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2F944BA0" w14:textId="77777777" w:rsidR="00AA5A29" w:rsidRPr="00AA5A29" w:rsidRDefault="00AA5A29" w:rsidP="00FF03B6">
      <w:pPr>
        <w:pStyle w:val="Titel"/>
        <w:rPr>
          <w:lang w:val="en-US"/>
        </w:rPr>
      </w:pPr>
      <w:r w:rsidRPr="00AA5A29">
        <w:rPr>
          <w:lang w:val="en-US"/>
        </w:rPr>
        <w:t xml:space="preserve"> </w:t>
      </w:r>
    </w:p>
    <w:p w14:paraId="351E6AD8" w14:textId="77777777" w:rsidR="0064140A" w:rsidRDefault="0064140A" w:rsidP="00FF03B6">
      <w:pPr>
        <w:pStyle w:val="Titel"/>
        <w:rPr>
          <w:lang w:val="en-US"/>
        </w:rPr>
      </w:pPr>
    </w:p>
    <w:p w14:paraId="659DC16A" w14:textId="77777777" w:rsidR="0046559D" w:rsidRDefault="0046559D" w:rsidP="0046559D">
      <w:pPr>
        <w:rPr>
          <w:lang w:val="en-US"/>
        </w:rPr>
      </w:pPr>
    </w:p>
    <w:p w14:paraId="7011DCB7" w14:textId="77777777" w:rsidR="0046559D" w:rsidRDefault="0046559D" w:rsidP="0046559D">
      <w:pPr>
        <w:rPr>
          <w:lang w:val="en-US"/>
        </w:rPr>
      </w:pPr>
    </w:p>
    <w:p w14:paraId="784D572E" w14:textId="77777777" w:rsidR="0046559D" w:rsidRDefault="0046559D" w:rsidP="0046559D">
      <w:pPr>
        <w:rPr>
          <w:lang w:val="en-US"/>
        </w:rPr>
      </w:pPr>
    </w:p>
    <w:p w14:paraId="4A1685E8" w14:textId="77777777" w:rsidR="0046559D" w:rsidRDefault="0046559D" w:rsidP="0046559D">
      <w:pPr>
        <w:rPr>
          <w:lang w:val="en-US"/>
        </w:rPr>
      </w:pPr>
    </w:p>
    <w:p w14:paraId="5D1BFB68" w14:textId="77777777" w:rsidR="0046559D" w:rsidRPr="0046559D" w:rsidRDefault="0046559D" w:rsidP="0046559D">
      <w:pPr>
        <w:rPr>
          <w:lang w:val="en-US"/>
        </w:rPr>
      </w:pPr>
    </w:p>
    <w:p w14:paraId="6AF59EE2" w14:textId="77777777" w:rsidR="00331994" w:rsidRPr="0046559D" w:rsidRDefault="0030431C" w:rsidP="000B415A">
      <w:pPr>
        <w:spacing w:line="276" w:lineRule="auto"/>
        <w:jc w:val="center"/>
        <w:rPr>
          <w:rFonts w:ascii="Adobe Garamond Pro" w:hAnsi="Adobe Garamond Pro"/>
          <w:lang w:val="en-US"/>
        </w:rPr>
      </w:pPr>
      <w:r w:rsidRPr="0046559D">
        <w:rPr>
          <w:rFonts w:ascii="Adobe Garamond Pro" w:eastAsia="Times New Roman" w:hAnsi="Adobe Garamond Pro"/>
          <w:lang w:val="en-US"/>
        </w:rPr>
        <w:t xml:space="preserve">Auditory Brainstem Response (ABR) and Cambridge Neuropsychological </w:t>
      </w:r>
      <w:r w:rsidR="00782E1C" w:rsidRPr="0046559D">
        <w:rPr>
          <w:rFonts w:ascii="Adobe Garamond Pro" w:eastAsia="Times New Roman" w:hAnsi="Adobe Garamond Pro"/>
          <w:lang w:val="en-US"/>
        </w:rPr>
        <w:t xml:space="preserve">Test </w:t>
      </w:r>
      <w:r w:rsidRPr="0046559D">
        <w:rPr>
          <w:rFonts w:ascii="Adobe Garamond Pro" w:eastAsia="Times New Roman" w:hAnsi="Adobe Garamond Pro"/>
          <w:lang w:val="en-US"/>
        </w:rPr>
        <w:t>Automated Battery (CANTAB) as Objective Support in Diagnosing Childhood ADHD and ASD</w:t>
      </w:r>
    </w:p>
    <w:p w14:paraId="6BDD29B4" w14:textId="77777777" w:rsidR="00A21601" w:rsidRDefault="00A21601">
      <w:pPr>
        <w:spacing w:after="160" w:line="259" w:lineRule="auto"/>
        <w:rPr>
          <w:lang w:val="en-US"/>
        </w:rPr>
      </w:pPr>
      <w:r>
        <w:rPr>
          <w:lang w:val="en-US"/>
        </w:rPr>
        <w:br w:type="page"/>
      </w:r>
    </w:p>
    <w:p w14:paraId="363A52E0" w14:textId="77777777" w:rsidR="00AA5A29" w:rsidRDefault="0064140A" w:rsidP="0064140A">
      <w:pPr>
        <w:rPr>
          <w:rFonts w:eastAsia="Times New Roman"/>
          <w:sz w:val="48"/>
          <w:szCs w:val="48"/>
          <w:lang w:val="en-US"/>
        </w:rPr>
      </w:pPr>
      <w:r w:rsidRPr="00FC1481">
        <w:rPr>
          <w:lang w:val="en-US"/>
        </w:rPr>
        <w:lastRenderedPageBreak/>
        <w:br w:type="page"/>
      </w:r>
      <w:r w:rsidR="00AA5A29">
        <w:rPr>
          <w:rFonts w:eastAsia="Times New Roman"/>
          <w:sz w:val="48"/>
          <w:szCs w:val="48"/>
          <w:lang w:val="en-US"/>
        </w:rPr>
        <w:lastRenderedPageBreak/>
        <w:t xml:space="preserve"> </w:t>
      </w:r>
    </w:p>
    <w:p w14:paraId="2DACE1BA" w14:textId="77777777" w:rsidR="00AA5A29" w:rsidRPr="009069F1" w:rsidRDefault="00782E1C" w:rsidP="00FF03B6">
      <w:pPr>
        <w:pStyle w:val="Undertitel"/>
        <w:rPr>
          <w:rFonts w:ascii="Adobe Garamond Pro" w:hAnsi="Adobe Garamond Pro"/>
          <w:sz w:val="40"/>
          <w:szCs w:val="40"/>
          <w:lang w:val="en-US"/>
        </w:rPr>
      </w:pPr>
      <w:r w:rsidRPr="009069F1">
        <w:rPr>
          <w:rFonts w:ascii="Adobe Garamond Pro" w:hAnsi="Adobe Garamond Pro"/>
          <w:sz w:val="40"/>
          <w:szCs w:val="40"/>
          <w:lang w:val="en-US"/>
        </w:rPr>
        <w:t>Auditory Brainstem Response (ABR) and Cambridge Neuropsychological Test Automated Battery (CANTAB) as Objective Support in Diagnosing Childhood ADHD and ASD</w:t>
      </w:r>
      <w:r w:rsidR="00AA5A29" w:rsidRPr="009069F1">
        <w:rPr>
          <w:rFonts w:ascii="Adobe Garamond Pro" w:hAnsi="Adobe Garamond Pro"/>
          <w:sz w:val="40"/>
          <w:szCs w:val="40"/>
          <w:lang w:val="en-US"/>
        </w:rPr>
        <w:t xml:space="preserve"> </w:t>
      </w:r>
    </w:p>
    <w:p w14:paraId="77A26415" w14:textId="77777777" w:rsidR="000B415A" w:rsidRPr="000B415A" w:rsidRDefault="000B415A" w:rsidP="0030431C">
      <w:pPr>
        <w:jc w:val="center"/>
        <w:rPr>
          <w:rFonts w:ascii="Adobe Garamond Pro" w:hAnsi="Adobe Garamond Pro"/>
          <w:sz w:val="28"/>
          <w:szCs w:val="28"/>
          <w:lang w:val="en-US"/>
        </w:rPr>
      </w:pPr>
    </w:p>
    <w:p w14:paraId="2BE67F01" w14:textId="77777777" w:rsidR="000B415A" w:rsidRPr="000B415A" w:rsidRDefault="000B415A" w:rsidP="0030431C">
      <w:pPr>
        <w:jc w:val="center"/>
        <w:rPr>
          <w:rFonts w:ascii="Adobe Garamond Pro" w:hAnsi="Adobe Garamond Pro"/>
          <w:sz w:val="28"/>
          <w:szCs w:val="28"/>
          <w:lang w:val="en-US"/>
        </w:rPr>
      </w:pPr>
    </w:p>
    <w:p w14:paraId="44A30921" w14:textId="77777777" w:rsidR="000B415A" w:rsidRPr="000B415A" w:rsidRDefault="000B415A" w:rsidP="0030431C">
      <w:pPr>
        <w:jc w:val="center"/>
        <w:rPr>
          <w:rFonts w:ascii="Adobe Garamond Pro" w:hAnsi="Adobe Garamond Pro"/>
          <w:sz w:val="28"/>
          <w:szCs w:val="28"/>
          <w:lang w:val="en-US"/>
        </w:rPr>
      </w:pPr>
    </w:p>
    <w:p w14:paraId="5D74A2A6" w14:textId="77777777" w:rsidR="00AA5A29" w:rsidRPr="000B415A" w:rsidRDefault="0030431C" w:rsidP="0030431C">
      <w:pPr>
        <w:jc w:val="center"/>
        <w:rPr>
          <w:rFonts w:ascii="Adobe Garamond Pro" w:hAnsi="Adobe Garamond Pro"/>
          <w:sz w:val="28"/>
          <w:szCs w:val="28"/>
          <w:lang w:val="en-US"/>
        </w:rPr>
      </w:pPr>
      <w:r w:rsidRPr="000B415A">
        <w:rPr>
          <w:rFonts w:ascii="Adobe Garamond Pro" w:hAnsi="Adobe Garamond Pro"/>
          <w:sz w:val="28"/>
          <w:szCs w:val="28"/>
          <w:lang w:val="en-US"/>
        </w:rPr>
        <w:t xml:space="preserve">Emma </w:t>
      </w:r>
      <w:proofErr w:type="spellStart"/>
      <w:r w:rsidRPr="000B415A">
        <w:rPr>
          <w:rFonts w:ascii="Adobe Garamond Pro" w:hAnsi="Adobe Garamond Pro"/>
          <w:sz w:val="28"/>
          <w:szCs w:val="28"/>
          <w:lang w:val="en-US"/>
        </w:rPr>
        <w:t>Claesdotter</w:t>
      </w:r>
      <w:proofErr w:type="spellEnd"/>
      <w:r w:rsidRPr="000B415A">
        <w:rPr>
          <w:rFonts w:ascii="Adobe Garamond Pro" w:hAnsi="Adobe Garamond Pro"/>
          <w:sz w:val="28"/>
          <w:szCs w:val="28"/>
          <w:lang w:val="en-US"/>
        </w:rPr>
        <w:t>, MD</w:t>
      </w:r>
      <w:r w:rsidR="00AA5A29" w:rsidRPr="000B415A">
        <w:rPr>
          <w:rFonts w:ascii="Adobe Garamond Pro" w:hAnsi="Adobe Garamond Pro"/>
          <w:sz w:val="28"/>
          <w:szCs w:val="28"/>
          <w:lang w:val="en-US"/>
        </w:rPr>
        <w:t xml:space="preserve"> </w:t>
      </w:r>
    </w:p>
    <w:p w14:paraId="6EA3BDAD" w14:textId="77777777" w:rsidR="00AA5A29" w:rsidRDefault="00FF03B6" w:rsidP="00FF03B6">
      <w:pPr>
        <w:pStyle w:val="Undertitel"/>
        <w:rPr>
          <w:lang w:val="en-US"/>
        </w:rPr>
      </w:pPr>
      <w:r>
        <w:rPr>
          <w:noProof/>
          <w:lang w:val="en-GB" w:eastAsia="en-GB"/>
        </w:rPr>
        <w:drawing>
          <wp:anchor distT="0" distB="0" distL="114300" distR="114300" simplePos="0" relativeHeight="251660288" behindDoc="0" locked="0" layoutInCell="1" allowOverlap="1" wp14:anchorId="1B29A2AD" wp14:editId="275293BA">
            <wp:simplePos x="0" y="0"/>
            <wp:positionH relativeFrom="column">
              <wp:align>center</wp:align>
            </wp:positionH>
            <wp:positionV relativeFrom="page">
              <wp:posOffset>3499485</wp:posOffset>
            </wp:positionV>
            <wp:extent cx="1085850" cy="1362075"/>
            <wp:effectExtent l="0" t="0" r="0" b="0"/>
            <wp:wrapSquare wrapText="bothSides"/>
            <wp:docPr id="13" name="Bildobjekt 13" descr="LundUniv_ENG_C2line_Black"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_EN_1" descr="LundUniv_ENG_C2line_Black" hidden="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585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F85">
        <w:rPr>
          <w:noProof/>
          <w:lang w:val="en-GB" w:eastAsia="en-GB"/>
        </w:rPr>
        <w:drawing>
          <wp:inline distT="0" distB="0" distL="0" distR="0" wp14:anchorId="25FA07FC" wp14:editId="041117FB">
            <wp:extent cx="971550" cy="1228725"/>
            <wp:effectExtent l="0" t="0" r="0" b="952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1550" cy="1228725"/>
                    </a:xfrm>
                    <a:prstGeom prst="rect">
                      <a:avLst/>
                    </a:prstGeom>
                    <a:noFill/>
                    <a:ln>
                      <a:noFill/>
                    </a:ln>
                  </pic:spPr>
                </pic:pic>
              </a:graphicData>
            </a:graphic>
          </wp:inline>
        </w:drawing>
      </w:r>
      <w:r w:rsidR="00AA5A29">
        <w:rPr>
          <w:lang w:val="en-US"/>
        </w:rPr>
        <w:t xml:space="preserve"> </w:t>
      </w:r>
    </w:p>
    <w:p w14:paraId="3DA20091" w14:textId="77777777" w:rsidR="000B415A" w:rsidRDefault="000B415A" w:rsidP="00FF03B6">
      <w:pPr>
        <w:pStyle w:val="Undertitel"/>
        <w:rPr>
          <w:lang w:val="en-US"/>
        </w:rPr>
      </w:pPr>
    </w:p>
    <w:p w14:paraId="0AFCA2C1" w14:textId="77777777" w:rsidR="000B415A" w:rsidRDefault="000B415A" w:rsidP="00FF03B6">
      <w:pPr>
        <w:pStyle w:val="Undertitel"/>
        <w:rPr>
          <w:lang w:val="en-US"/>
        </w:rPr>
      </w:pPr>
    </w:p>
    <w:p w14:paraId="6C92C8B4" w14:textId="77777777" w:rsidR="000B415A" w:rsidRDefault="000B415A" w:rsidP="00FF03B6">
      <w:pPr>
        <w:pStyle w:val="Undertitel"/>
        <w:rPr>
          <w:lang w:val="en-US"/>
        </w:rPr>
      </w:pPr>
    </w:p>
    <w:p w14:paraId="6A394521" w14:textId="5E90A8AC" w:rsidR="0064140A" w:rsidRPr="00464F85" w:rsidRDefault="0064140A" w:rsidP="0030431C">
      <w:pPr>
        <w:pStyle w:val="Frfattare"/>
        <w:ind w:left="0"/>
        <w:jc w:val="both"/>
        <w:rPr>
          <w:sz w:val="22"/>
          <w:szCs w:val="22"/>
          <w:lang w:val="en-US"/>
        </w:rPr>
      </w:pPr>
    </w:p>
    <w:p w14:paraId="321E007F" w14:textId="77777777" w:rsidR="00FF03B6" w:rsidRPr="009069F1" w:rsidRDefault="00FF03B6" w:rsidP="00FF03B6">
      <w:pPr>
        <w:pStyle w:val="Frfattare"/>
        <w:rPr>
          <w:rFonts w:ascii="Adobe Garamond Pro" w:hAnsi="Adobe Garamond Pro"/>
          <w:sz w:val="20"/>
          <w:szCs w:val="20"/>
          <w:lang w:val="en-US"/>
        </w:rPr>
      </w:pPr>
      <w:r w:rsidRPr="009069F1">
        <w:rPr>
          <w:rFonts w:ascii="Adobe Garamond Pro" w:hAnsi="Adobe Garamond Pro"/>
          <w:sz w:val="20"/>
          <w:szCs w:val="20"/>
          <w:lang w:val="en-US"/>
        </w:rPr>
        <w:t>DOCTORAL DISSERTATION</w:t>
      </w:r>
    </w:p>
    <w:p w14:paraId="4405C521" w14:textId="77777777" w:rsidR="00FF03B6" w:rsidRPr="009069F1" w:rsidRDefault="00FF03B6" w:rsidP="00FF03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dobe Garamond Pro" w:hAnsi="Adobe Garamond Pro"/>
          <w:i/>
          <w:sz w:val="20"/>
          <w:szCs w:val="20"/>
        </w:rPr>
      </w:pPr>
      <w:r w:rsidRPr="009069F1">
        <w:rPr>
          <w:rFonts w:ascii="Adobe Garamond Pro" w:hAnsi="Adobe Garamond Pro"/>
          <w:sz w:val="20"/>
          <w:szCs w:val="20"/>
        </w:rPr>
        <w:t xml:space="preserve">by due permission of the Faculty </w:t>
      </w:r>
      <w:r w:rsidR="0030431C" w:rsidRPr="009069F1">
        <w:rPr>
          <w:rFonts w:ascii="Adobe Garamond Pro" w:hAnsi="Adobe Garamond Pro"/>
          <w:sz w:val="20"/>
          <w:szCs w:val="20"/>
        </w:rPr>
        <w:t>of Medicine</w:t>
      </w:r>
      <w:r w:rsidRPr="009069F1">
        <w:rPr>
          <w:rFonts w:ascii="Adobe Garamond Pro" w:hAnsi="Adobe Garamond Pro"/>
          <w:sz w:val="20"/>
          <w:szCs w:val="20"/>
        </w:rPr>
        <w:t>, Lund University, Sweden.</w:t>
      </w:r>
      <w:r w:rsidR="00A26564" w:rsidRPr="009069F1">
        <w:rPr>
          <w:rFonts w:ascii="Adobe Garamond Pro" w:hAnsi="Adobe Garamond Pro"/>
          <w:sz w:val="20"/>
          <w:szCs w:val="20"/>
        </w:rPr>
        <w:br/>
      </w:r>
      <w:r w:rsidRPr="009069F1">
        <w:rPr>
          <w:rFonts w:ascii="Adobe Garamond Pro" w:hAnsi="Adobe Garamond Pro"/>
          <w:sz w:val="20"/>
          <w:szCs w:val="20"/>
        </w:rPr>
        <w:t xml:space="preserve">To be defended at </w:t>
      </w:r>
      <w:r w:rsidR="0030431C" w:rsidRPr="009069F1">
        <w:rPr>
          <w:rFonts w:ascii="Adobe Garamond Pro" w:hAnsi="Adobe Garamond Pro"/>
          <w:sz w:val="20"/>
          <w:szCs w:val="20"/>
        </w:rPr>
        <w:t xml:space="preserve">Psychiatry Lund, </w:t>
      </w:r>
      <w:proofErr w:type="spellStart"/>
      <w:r w:rsidR="0030431C" w:rsidRPr="009069F1">
        <w:rPr>
          <w:rFonts w:ascii="Adobe Garamond Pro" w:hAnsi="Adobe Garamond Pro"/>
          <w:sz w:val="20"/>
          <w:szCs w:val="20"/>
        </w:rPr>
        <w:t>Baravägen</w:t>
      </w:r>
      <w:proofErr w:type="spellEnd"/>
      <w:r w:rsidR="0030431C" w:rsidRPr="009069F1">
        <w:rPr>
          <w:rFonts w:ascii="Adobe Garamond Pro" w:hAnsi="Adobe Garamond Pro"/>
          <w:sz w:val="20"/>
          <w:szCs w:val="20"/>
        </w:rPr>
        <w:t xml:space="preserve"> 1, the 20 </w:t>
      </w:r>
      <w:proofErr w:type="spellStart"/>
      <w:r w:rsidR="0030431C" w:rsidRPr="009069F1">
        <w:rPr>
          <w:rFonts w:ascii="Adobe Garamond Pro" w:hAnsi="Adobe Garamond Pro"/>
          <w:sz w:val="20"/>
          <w:szCs w:val="20"/>
        </w:rPr>
        <w:t>th</w:t>
      </w:r>
      <w:proofErr w:type="spellEnd"/>
      <w:r w:rsidR="0030431C" w:rsidRPr="009069F1">
        <w:rPr>
          <w:rFonts w:ascii="Adobe Garamond Pro" w:hAnsi="Adobe Garamond Pro"/>
          <w:sz w:val="20"/>
          <w:szCs w:val="20"/>
        </w:rPr>
        <w:t xml:space="preserve"> of October, 09,00</w:t>
      </w:r>
    </w:p>
    <w:p w14:paraId="11DEB1A5" w14:textId="77777777" w:rsidR="000B415A" w:rsidRPr="009069F1" w:rsidRDefault="000B415A" w:rsidP="0030431C">
      <w:pPr>
        <w:jc w:val="center"/>
        <w:rPr>
          <w:rFonts w:ascii="Adobe Garamond Pro" w:hAnsi="Adobe Garamond Pro"/>
          <w:i/>
          <w:sz w:val="20"/>
          <w:szCs w:val="20"/>
          <w:lang w:val="en-US"/>
        </w:rPr>
      </w:pPr>
    </w:p>
    <w:p w14:paraId="2C685749" w14:textId="77777777" w:rsidR="0030431C" w:rsidRPr="009069F1" w:rsidRDefault="00FF03B6" w:rsidP="0030431C">
      <w:pPr>
        <w:jc w:val="center"/>
        <w:rPr>
          <w:rFonts w:ascii="Adobe Garamond Pro" w:hAnsi="Adobe Garamond Pro"/>
          <w:sz w:val="20"/>
          <w:szCs w:val="20"/>
          <w:lang w:val="en-US"/>
        </w:rPr>
      </w:pPr>
      <w:r w:rsidRPr="009069F1">
        <w:rPr>
          <w:rFonts w:ascii="Adobe Garamond Pro" w:hAnsi="Adobe Garamond Pro"/>
          <w:i/>
          <w:sz w:val="20"/>
          <w:szCs w:val="20"/>
          <w:lang w:val="en-US"/>
        </w:rPr>
        <w:lastRenderedPageBreak/>
        <w:t>Faculty opponent</w:t>
      </w:r>
      <w:r w:rsidR="00A26564" w:rsidRPr="009069F1">
        <w:rPr>
          <w:rFonts w:ascii="Adobe Garamond Pro" w:hAnsi="Adobe Garamond Pro"/>
          <w:i/>
          <w:sz w:val="20"/>
          <w:szCs w:val="20"/>
          <w:lang w:val="en-US"/>
        </w:rPr>
        <w:br/>
      </w:r>
      <w:r w:rsidR="0030431C" w:rsidRPr="009069F1">
        <w:rPr>
          <w:rStyle w:val="bodytextChar"/>
          <w:rFonts w:eastAsiaTheme="minorHAnsi"/>
          <w:sz w:val="20"/>
          <w:szCs w:val="20"/>
          <w:lang w:val="en-US"/>
        </w:rPr>
        <w:t xml:space="preserve">Prof. Tommy </w:t>
      </w:r>
      <w:proofErr w:type="spellStart"/>
      <w:r w:rsidR="0030431C" w:rsidRPr="009069F1">
        <w:rPr>
          <w:rStyle w:val="bodytextChar"/>
          <w:rFonts w:eastAsiaTheme="minorHAnsi"/>
          <w:sz w:val="20"/>
          <w:szCs w:val="20"/>
          <w:lang w:val="en-US"/>
        </w:rPr>
        <w:t>Lewander</w:t>
      </w:r>
      <w:proofErr w:type="spellEnd"/>
      <w:r w:rsidR="0030431C" w:rsidRPr="009069F1">
        <w:rPr>
          <w:rStyle w:val="bodytextChar"/>
          <w:rFonts w:eastAsiaTheme="minorHAnsi"/>
          <w:sz w:val="20"/>
          <w:szCs w:val="20"/>
          <w:lang w:val="en-US"/>
        </w:rPr>
        <w:t>, MD, PhD</w:t>
      </w:r>
    </w:p>
    <w:p w14:paraId="39E94C42" w14:textId="77777777" w:rsidR="00FF03B6" w:rsidRPr="0030431C" w:rsidRDefault="00FF03B6" w:rsidP="003043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
          <w:szCs w:val="2"/>
          <w:lang w:val="en-US"/>
        </w:rPr>
      </w:pPr>
      <w:r w:rsidRPr="0030431C">
        <w:rPr>
          <w:lang w:val="en-U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568"/>
        <w:gridCol w:w="1844"/>
        <w:gridCol w:w="2488"/>
      </w:tblGrid>
      <w:tr w:rsidR="00FF03B6" w:rsidRPr="009069F1" w14:paraId="46C46D03" w14:textId="77777777" w:rsidTr="00091E74">
        <w:trPr>
          <w:trHeight w:val="300"/>
        </w:trPr>
        <w:tc>
          <w:tcPr>
            <w:tcW w:w="2035" w:type="pct"/>
            <w:gridSpan w:val="2"/>
            <w:tcBorders>
              <w:top w:val="single" w:sz="4" w:space="0" w:color="auto"/>
              <w:left w:val="single" w:sz="4" w:space="0" w:color="auto"/>
              <w:bottom w:val="nil"/>
              <w:right w:val="single" w:sz="4" w:space="0" w:color="auto"/>
            </w:tcBorders>
            <w:shd w:val="clear" w:color="auto" w:fill="auto"/>
          </w:tcPr>
          <w:p w14:paraId="461F576B" w14:textId="77777777" w:rsidR="00FF03B6" w:rsidRPr="009069F1" w:rsidRDefault="00FF03B6" w:rsidP="0030431C">
            <w:pPr>
              <w:pStyle w:val="tabeltextintabel"/>
              <w:rPr>
                <w:sz w:val="14"/>
                <w:szCs w:val="14"/>
                <w:lang w:val="en-US"/>
              </w:rPr>
            </w:pPr>
            <w:r w:rsidRPr="009069F1">
              <w:rPr>
                <w:sz w:val="14"/>
                <w:szCs w:val="14"/>
                <w:lang w:val="en-US"/>
              </w:rPr>
              <w:lastRenderedPageBreak/>
              <w:t>Organization</w:t>
            </w:r>
          </w:p>
          <w:p w14:paraId="3B697CBD" w14:textId="77777777" w:rsidR="00FF03B6" w:rsidRPr="009069F1" w:rsidRDefault="00FF03B6" w:rsidP="0030431C">
            <w:pPr>
              <w:pStyle w:val="tabeltextintabel"/>
              <w:rPr>
                <w:sz w:val="14"/>
                <w:szCs w:val="14"/>
                <w:lang w:val="en-US"/>
              </w:rPr>
            </w:pPr>
            <w:r w:rsidRPr="009069F1">
              <w:rPr>
                <w:sz w:val="14"/>
                <w:szCs w:val="14"/>
                <w:lang w:val="en-US"/>
              </w:rPr>
              <w:t>LUND UNIVERSITY</w:t>
            </w:r>
          </w:p>
          <w:p w14:paraId="58E32278" w14:textId="77777777" w:rsidR="0030431C" w:rsidRPr="009069F1" w:rsidRDefault="0030431C" w:rsidP="0030431C">
            <w:pPr>
              <w:pStyle w:val="tabeltextintabel"/>
              <w:rPr>
                <w:sz w:val="14"/>
                <w:szCs w:val="14"/>
                <w:lang w:val="en-US"/>
              </w:rPr>
            </w:pPr>
            <w:r w:rsidRPr="009069F1">
              <w:rPr>
                <w:sz w:val="14"/>
                <w:szCs w:val="14"/>
                <w:lang w:val="en-US"/>
              </w:rPr>
              <w:t>Faculty of Medicine</w:t>
            </w:r>
          </w:p>
          <w:p w14:paraId="1CAE3E32" w14:textId="77777777" w:rsidR="0030431C" w:rsidRPr="009069F1" w:rsidRDefault="0030431C" w:rsidP="0030431C">
            <w:pPr>
              <w:pStyle w:val="tabeltextintabel"/>
              <w:rPr>
                <w:sz w:val="14"/>
                <w:szCs w:val="14"/>
                <w:lang w:val="en-US"/>
              </w:rPr>
            </w:pPr>
            <w:r w:rsidRPr="009069F1">
              <w:rPr>
                <w:sz w:val="14"/>
                <w:szCs w:val="14"/>
                <w:lang w:val="en-US"/>
              </w:rPr>
              <w:t>Department of Clinical sciences, Lund</w:t>
            </w:r>
          </w:p>
          <w:p w14:paraId="6394CD84" w14:textId="77777777" w:rsidR="0030431C" w:rsidRPr="009069F1" w:rsidRDefault="0030431C" w:rsidP="0030431C">
            <w:pPr>
              <w:pStyle w:val="tabeltextintabel"/>
              <w:rPr>
                <w:sz w:val="14"/>
                <w:szCs w:val="14"/>
                <w:lang w:val="en-US"/>
              </w:rPr>
            </w:pPr>
            <w:r w:rsidRPr="009069F1">
              <w:rPr>
                <w:sz w:val="14"/>
                <w:szCs w:val="14"/>
                <w:lang w:val="en-US"/>
              </w:rPr>
              <w:t>Psychiatry</w:t>
            </w:r>
          </w:p>
          <w:p w14:paraId="5E9D3A7C" w14:textId="77777777" w:rsidR="0030431C" w:rsidRPr="009069F1" w:rsidRDefault="0030431C" w:rsidP="0030431C">
            <w:pPr>
              <w:pStyle w:val="tabeltextintabel"/>
              <w:rPr>
                <w:sz w:val="14"/>
                <w:szCs w:val="14"/>
              </w:rPr>
            </w:pPr>
            <w:r w:rsidRPr="009069F1">
              <w:rPr>
                <w:sz w:val="14"/>
                <w:szCs w:val="14"/>
              </w:rPr>
              <w:t>Lund, Sweden</w:t>
            </w:r>
          </w:p>
        </w:tc>
        <w:tc>
          <w:tcPr>
            <w:tcW w:w="2965" w:type="pct"/>
            <w:gridSpan w:val="2"/>
            <w:tcBorders>
              <w:left w:val="single" w:sz="4" w:space="0" w:color="auto"/>
            </w:tcBorders>
            <w:shd w:val="clear" w:color="auto" w:fill="auto"/>
          </w:tcPr>
          <w:p w14:paraId="50D998B6" w14:textId="77777777" w:rsidR="00FF03B6" w:rsidRPr="009069F1" w:rsidRDefault="0030431C" w:rsidP="0030431C">
            <w:pPr>
              <w:pStyle w:val="tabeltextintabel"/>
              <w:rPr>
                <w:sz w:val="14"/>
                <w:szCs w:val="14"/>
              </w:rPr>
            </w:pPr>
            <w:r w:rsidRPr="009069F1">
              <w:rPr>
                <w:sz w:val="14"/>
                <w:szCs w:val="14"/>
              </w:rPr>
              <w:t>Doctoral Dissertation</w:t>
            </w:r>
          </w:p>
        </w:tc>
      </w:tr>
      <w:tr w:rsidR="00FF03B6" w:rsidRPr="009069F1" w14:paraId="366D6483" w14:textId="77777777" w:rsidTr="00091E74">
        <w:trPr>
          <w:trHeight w:val="300"/>
        </w:trPr>
        <w:tc>
          <w:tcPr>
            <w:tcW w:w="2035" w:type="pct"/>
            <w:gridSpan w:val="2"/>
            <w:tcBorders>
              <w:top w:val="nil"/>
              <w:left w:val="single" w:sz="4" w:space="0" w:color="auto"/>
              <w:bottom w:val="nil"/>
              <w:right w:val="single" w:sz="4" w:space="0" w:color="auto"/>
            </w:tcBorders>
            <w:shd w:val="clear" w:color="auto" w:fill="auto"/>
          </w:tcPr>
          <w:p w14:paraId="7896DF55" w14:textId="77777777" w:rsidR="00FF03B6" w:rsidRPr="009069F1" w:rsidRDefault="00FF03B6" w:rsidP="0030431C">
            <w:pPr>
              <w:pStyle w:val="tabeltextintabel"/>
              <w:rPr>
                <w:sz w:val="14"/>
                <w:szCs w:val="14"/>
              </w:rPr>
            </w:pPr>
          </w:p>
        </w:tc>
        <w:tc>
          <w:tcPr>
            <w:tcW w:w="2965" w:type="pct"/>
            <w:gridSpan w:val="2"/>
            <w:tcBorders>
              <w:left w:val="single" w:sz="4" w:space="0" w:color="auto"/>
            </w:tcBorders>
            <w:shd w:val="clear" w:color="auto" w:fill="auto"/>
          </w:tcPr>
          <w:p w14:paraId="4F02B883" w14:textId="77777777" w:rsidR="00FF03B6" w:rsidRPr="009069F1" w:rsidRDefault="00FF03B6" w:rsidP="0030431C">
            <w:pPr>
              <w:pStyle w:val="tabeltextintabel"/>
              <w:rPr>
                <w:sz w:val="14"/>
                <w:szCs w:val="14"/>
              </w:rPr>
            </w:pPr>
            <w:r w:rsidRPr="009069F1">
              <w:rPr>
                <w:sz w:val="14"/>
                <w:szCs w:val="14"/>
              </w:rPr>
              <w:t xml:space="preserve">Date of </w:t>
            </w:r>
            <w:r w:rsidR="00E63D99" w:rsidRPr="009069F1">
              <w:rPr>
                <w:sz w:val="14"/>
                <w:szCs w:val="14"/>
              </w:rPr>
              <w:t>issue</w:t>
            </w:r>
            <w:r w:rsidR="0030431C" w:rsidRPr="009069F1">
              <w:rPr>
                <w:sz w:val="14"/>
                <w:szCs w:val="14"/>
              </w:rPr>
              <w:t xml:space="preserve"> 28/9-2017</w:t>
            </w:r>
          </w:p>
        </w:tc>
      </w:tr>
      <w:tr w:rsidR="00FF03B6" w:rsidRPr="009069F1" w14:paraId="2B1F3AFB" w14:textId="77777777" w:rsidTr="00091E74">
        <w:trPr>
          <w:trHeight w:val="300"/>
        </w:trPr>
        <w:tc>
          <w:tcPr>
            <w:tcW w:w="2035" w:type="pct"/>
            <w:gridSpan w:val="2"/>
            <w:tcBorders>
              <w:top w:val="nil"/>
              <w:left w:val="single" w:sz="4" w:space="0" w:color="auto"/>
              <w:bottom w:val="single" w:sz="4" w:space="0" w:color="auto"/>
              <w:right w:val="single" w:sz="4" w:space="0" w:color="auto"/>
            </w:tcBorders>
            <w:shd w:val="clear" w:color="auto" w:fill="auto"/>
          </w:tcPr>
          <w:p w14:paraId="1DB5D726" w14:textId="77777777" w:rsidR="00FF03B6" w:rsidRPr="009069F1" w:rsidRDefault="0030431C" w:rsidP="0030431C">
            <w:pPr>
              <w:pStyle w:val="tabeltextintabel"/>
              <w:rPr>
                <w:sz w:val="14"/>
                <w:szCs w:val="14"/>
              </w:rPr>
            </w:pPr>
            <w:r w:rsidRPr="009069F1">
              <w:rPr>
                <w:sz w:val="14"/>
                <w:szCs w:val="14"/>
              </w:rPr>
              <w:t>Author: Emma Claesdotter</w:t>
            </w:r>
            <w:r w:rsidR="00FF03B6" w:rsidRPr="009069F1">
              <w:rPr>
                <w:sz w:val="14"/>
                <w:szCs w:val="14"/>
              </w:rPr>
              <w:t>)</w:t>
            </w:r>
          </w:p>
        </w:tc>
        <w:tc>
          <w:tcPr>
            <w:tcW w:w="2965" w:type="pct"/>
            <w:gridSpan w:val="2"/>
            <w:tcBorders>
              <w:left w:val="single" w:sz="4" w:space="0" w:color="auto"/>
            </w:tcBorders>
            <w:shd w:val="clear" w:color="auto" w:fill="auto"/>
          </w:tcPr>
          <w:p w14:paraId="640B934F" w14:textId="4812635A" w:rsidR="00FF03B6" w:rsidRPr="009069F1" w:rsidRDefault="00FF03B6" w:rsidP="0030431C">
            <w:pPr>
              <w:pStyle w:val="tabeltextintabel"/>
              <w:rPr>
                <w:sz w:val="14"/>
                <w:szCs w:val="14"/>
              </w:rPr>
            </w:pPr>
          </w:p>
        </w:tc>
      </w:tr>
      <w:tr w:rsidR="00FF03B6" w:rsidRPr="00BC4DD2" w14:paraId="27AE9083" w14:textId="77777777" w:rsidTr="00FC1481">
        <w:trPr>
          <w:trHeight w:val="300"/>
        </w:trPr>
        <w:tc>
          <w:tcPr>
            <w:tcW w:w="5000" w:type="pct"/>
            <w:gridSpan w:val="4"/>
            <w:shd w:val="clear" w:color="auto" w:fill="auto"/>
          </w:tcPr>
          <w:p w14:paraId="68267DA2" w14:textId="3417845F" w:rsidR="00FF03B6" w:rsidRPr="009069F1" w:rsidRDefault="00FF03B6" w:rsidP="0030431C">
            <w:pPr>
              <w:pStyle w:val="tabeltextintabel"/>
              <w:rPr>
                <w:sz w:val="14"/>
                <w:szCs w:val="14"/>
                <w:lang w:val="en-US"/>
              </w:rPr>
            </w:pPr>
            <w:r w:rsidRPr="009069F1">
              <w:rPr>
                <w:sz w:val="14"/>
                <w:szCs w:val="14"/>
                <w:lang w:val="en-US"/>
              </w:rPr>
              <w:t>Title and subtitle</w:t>
            </w:r>
            <w:r w:rsidR="0030431C" w:rsidRPr="009069F1">
              <w:rPr>
                <w:sz w:val="14"/>
                <w:szCs w:val="14"/>
                <w:lang w:val="en-US"/>
              </w:rPr>
              <w:t>:</w:t>
            </w:r>
            <w:r w:rsidR="00AA5A29" w:rsidRPr="009069F1">
              <w:rPr>
                <w:sz w:val="14"/>
                <w:szCs w:val="14"/>
                <w:lang w:val="en-US"/>
              </w:rPr>
              <w:t xml:space="preserve"> </w:t>
            </w:r>
            <w:r w:rsidR="00782E1C" w:rsidRPr="009069F1">
              <w:rPr>
                <w:sz w:val="14"/>
                <w:szCs w:val="14"/>
                <w:lang w:val="en-US"/>
              </w:rPr>
              <w:t>Auditory Brainstem Response (ABR) and Cambridge Neuropsychological Test Automated Battery (CANTAB) as Objective Support in Diagnosing Childhood ADHD and ASD</w:t>
            </w:r>
          </w:p>
        </w:tc>
      </w:tr>
      <w:tr w:rsidR="00FF03B6" w:rsidRPr="00BC4DD2" w14:paraId="5A9707A4" w14:textId="77777777" w:rsidTr="000B415A">
        <w:trPr>
          <w:trHeight w:val="4041"/>
        </w:trPr>
        <w:tc>
          <w:tcPr>
            <w:tcW w:w="5000" w:type="pct"/>
            <w:gridSpan w:val="4"/>
            <w:shd w:val="clear" w:color="auto" w:fill="auto"/>
          </w:tcPr>
          <w:p w14:paraId="6EEAB134" w14:textId="77777777" w:rsidR="00FF03B6" w:rsidRPr="009069F1" w:rsidRDefault="00FF03B6" w:rsidP="0030431C">
            <w:pPr>
              <w:pStyle w:val="tabeltextintabel"/>
              <w:rPr>
                <w:sz w:val="14"/>
                <w:szCs w:val="14"/>
                <w:lang w:val="en-US"/>
              </w:rPr>
            </w:pPr>
            <w:r w:rsidRPr="009069F1">
              <w:rPr>
                <w:sz w:val="14"/>
                <w:szCs w:val="14"/>
                <w:lang w:val="en-US"/>
              </w:rPr>
              <w:t>Abstract</w:t>
            </w:r>
          </w:p>
          <w:p w14:paraId="3C9CF9E6" w14:textId="77777777" w:rsidR="0030431C" w:rsidRPr="009069F1" w:rsidRDefault="0030431C" w:rsidP="0030431C">
            <w:pPr>
              <w:pStyle w:val="tabeltextintabel"/>
              <w:rPr>
                <w:sz w:val="14"/>
                <w:szCs w:val="14"/>
                <w:lang w:val="en-US"/>
              </w:rPr>
            </w:pPr>
            <w:r w:rsidRPr="009069F1">
              <w:rPr>
                <w:sz w:val="14"/>
                <w:szCs w:val="14"/>
                <w:lang w:val="en-US"/>
              </w:rPr>
              <w:t>Background</w:t>
            </w:r>
          </w:p>
          <w:p w14:paraId="6D2BB682" w14:textId="34A1F897" w:rsidR="0030431C" w:rsidRPr="009069F1" w:rsidRDefault="0030431C" w:rsidP="0030431C">
            <w:pPr>
              <w:pStyle w:val="tabeltextintabel"/>
              <w:rPr>
                <w:sz w:val="14"/>
                <w:szCs w:val="14"/>
                <w:lang w:val="en-US"/>
              </w:rPr>
            </w:pPr>
            <w:r w:rsidRPr="009069F1">
              <w:rPr>
                <w:sz w:val="14"/>
                <w:szCs w:val="14"/>
                <w:lang w:val="en-US"/>
              </w:rPr>
              <w:t>There is a need for easily administered objective tests in neurodevelopmental disorders. We investigated the clinical utility for child and adolescent psychiatry of Auditory Brainstem Response (ABR) and Cambridge Neuropsychological Test Automated Battery (CANTAB) as</w:t>
            </w:r>
            <w:r w:rsidR="00AA5A29" w:rsidRPr="009069F1">
              <w:rPr>
                <w:sz w:val="14"/>
                <w:szCs w:val="14"/>
                <w:lang w:val="en-US"/>
              </w:rPr>
              <w:t xml:space="preserve"> </w:t>
            </w:r>
            <w:r w:rsidRPr="009069F1">
              <w:rPr>
                <w:sz w:val="14"/>
                <w:szCs w:val="14"/>
                <w:lang w:val="en-US"/>
              </w:rPr>
              <w:t xml:space="preserve">support in diagnosing attention deficit hyperactivity disorder (ADHD) and autism spectrum disorder (ASD). </w:t>
            </w:r>
          </w:p>
          <w:p w14:paraId="41057DC8" w14:textId="77777777" w:rsidR="0030431C" w:rsidRPr="009069F1" w:rsidRDefault="0030431C" w:rsidP="0030431C">
            <w:pPr>
              <w:pStyle w:val="tabeltextintabel"/>
              <w:rPr>
                <w:sz w:val="14"/>
                <w:szCs w:val="14"/>
                <w:lang w:val="en-US"/>
              </w:rPr>
            </w:pPr>
            <w:r w:rsidRPr="009069F1">
              <w:rPr>
                <w:sz w:val="14"/>
                <w:szCs w:val="14"/>
                <w:lang w:val="en-US"/>
              </w:rPr>
              <w:t>Methods</w:t>
            </w:r>
          </w:p>
          <w:p w14:paraId="0AB73282" w14:textId="7DE9B230" w:rsidR="0030431C" w:rsidRPr="009069F1" w:rsidRDefault="0030431C" w:rsidP="0030431C">
            <w:pPr>
              <w:pStyle w:val="tabeltextintabel"/>
              <w:rPr>
                <w:sz w:val="14"/>
                <w:szCs w:val="14"/>
                <w:lang w:val="en-US"/>
              </w:rPr>
            </w:pPr>
            <w:r w:rsidRPr="009069F1">
              <w:rPr>
                <w:sz w:val="14"/>
                <w:szCs w:val="14"/>
                <w:lang w:val="en-US"/>
              </w:rPr>
              <w:t>The thesis consists of four studies based on ABR and CANTAB. The patients (7-17 years old) were recruited from child and adolescent psychiatry outpatient clinics in Lund and Eslöv</w:t>
            </w:r>
            <w:r w:rsidR="00CB37A8">
              <w:rPr>
                <w:sz w:val="14"/>
                <w:szCs w:val="14"/>
                <w:lang w:val="en-US"/>
              </w:rPr>
              <w:t>, in southern Sweden.</w:t>
            </w:r>
            <w:r w:rsidRPr="009069F1">
              <w:rPr>
                <w:sz w:val="14"/>
                <w:szCs w:val="14"/>
                <w:lang w:val="en-US"/>
              </w:rPr>
              <w:t>. The age and gender matched controls were recruited from schools in the same areas. All invited families agreed to participate.</w:t>
            </w:r>
          </w:p>
          <w:p w14:paraId="31195854" w14:textId="26F2504D" w:rsidR="0030431C" w:rsidRPr="009069F1" w:rsidRDefault="0030431C" w:rsidP="0030431C">
            <w:pPr>
              <w:pStyle w:val="tabeltextintabel"/>
              <w:rPr>
                <w:sz w:val="14"/>
                <w:szCs w:val="14"/>
                <w:lang w:val="en-US"/>
              </w:rPr>
            </w:pPr>
            <w:r w:rsidRPr="009069F1">
              <w:rPr>
                <w:sz w:val="14"/>
                <w:szCs w:val="14"/>
                <w:lang w:val="en-US"/>
              </w:rPr>
              <w:t>ABR:</w:t>
            </w:r>
            <w:r w:rsidR="00AA5A29" w:rsidRPr="009069F1">
              <w:rPr>
                <w:sz w:val="14"/>
                <w:szCs w:val="14"/>
                <w:lang w:val="en-US"/>
              </w:rPr>
              <w:t xml:space="preserve"> </w:t>
            </w:r>
            <w:r w:rsidRPr="009069F1">
              <w:rPr>
                <w:sz w:val="14"/>
                <w:szCs w:val="14"/>
                <w:lang w:val="en-US"/>
              </w:rPr>
              <w:t>63 females and 48 males with ADHD were compared to 26 females and 20 male controls. Furthermore 31 females and 27 males with ASD were compared to 24 females and 23 male controls. Patients were diagnosed according to the DSM-IV/DSM-5. The ABR consists of seven positive peaks (waves I–VII) that occur during 10 Ms following a sound stimulus recorded by five electrodes.</w:t>
            </w:r>
          </w:p>
          <w:p w14:paraId="345E63B6" w14:textId="77777777" w:rsidR="0030431C" w:rsidRPr="009069F1" w:rsidRDefault="0030431C" w:rsidP="0030431C">
            <w:pPr>
              <w:pStyle w:val="tabeltextintabel"/>
              <w:rPr>
                <w:sz w:val="14"/>
                <w:szCs w:val="14"/>
                <w:lang w:val="en-US"/>
              </w:rPr>
            </w:pPr>
            <w:r w:rsidRPr="009069F1">
              <w:rPr>
                <w:sz w:val="14"/>
                <w:szCs w:val="14"/>
                <w:lang w:val="en-US"/>
              </w:rPr>
              <w:t xml:space="preserve">CANTAB:112 children with ADHD and 95 controls performed five </w:t>
            </w:r>
            <w:commentRangeStart w:id="0"/>
            <w:r w:rsidRPr="009069F1">
              <w:rPr>
                <w:sz w:val="14"/>
                <w:szCs w:val="14"/>
                <w:lang w:val="en-US"/>
              </w:rPr>
              <w:t>CANTAB tests</w:t>
            </w:r>
            <w:commentRangeEnd w:id="0"/>
            <w:r w:rsidRPr="009069F1">
              <w:rPr>
                <w:rStyle w:val="CommentReference"/>
                <w:sz w:val="14"/>
                <w:szCs w:val="14"/>
              </w:rPr>
              <w:commentReference w:id="0"/>
            </w:r>
            <w:r w:rsidRPr="009069F1">
              <w:rPr>
                <w:sz w:val="14"/>
                <w:szCs w:val="14"/>
                <w:lang w:val="en-US"/>
              </w:rPr>
              <w:t xml:space="preserve">: Stockings of Cambridge (SOC), </w:t>
            </w:r>
            <w:commentRangeStart w:id="1"/>
            <w:r w:rsidRPr="009069F1">
              <w:rPr>
                <w:sz w:val="14"/>
                <w:szCs w:val="14"/>
                <w:lang w:val="en-US"/>
              </w:rPr>
              <w:t>Intra-Extra Dimensional Set Shift (IED)</w:t>
            </w:r>
            <w:commentRangeEnd w:id="1"/>
            <w:r w:rsidRPr="009069F1">
              <w:rPr>
                <w:rStyle w:val="CommentReference"/>
                <w:sz w:val="14"/>
                <w:szCs w:val="14"/>
              </w:rPr>
              <w:commentReference w:id="1"/>
            </w:r>
            <w:r w:rsidRPr="009069F1">
              <w:rPr>
                <w:sz w:val="14"/>
                <w:szCs w:val="14"/>
                <w:lang w:val="en-US"/>
              </w:rPr>
              <w:t>, Spatial Working Memory (SWM), Stop Reaction Time (SRT), and Stop Signal Task (SST).</w:t>
            </w:r>
          </w:p>
          <w:p w14:paraId="242404C0" w14:textId="77777777" w:rsidR="0030431C" w:rsidRPr="009069F1" w:rsidRDefault="0030431C" w:rsidP="0030431C">
            <w:pPr>
              <w:pStyle w:val="tabeltextintabel"/>
              <w:rPr>
                <w:sz w:val="14"/>
                <w:szCs w:val="14"/>
                <w:lang w:val="en-US"/>
              </w:rPr>
            </w:pPr>
            <w:r w:rsidRPr="009069F1">
              <w:rPr>
                <w:sz w:val="14"/>
                <w:szCs w:val="14"/>
                <w:lang w:val="en-US"/>
              </w:rPr>
              <w:t>Results</w:t>
            </w:r>
          </w:p>
          <w:p w14:paraId="14D7061B" w14:textId="77777777" w:rsidR="0030431C" w:rsidRPr="009069F1" w:rsidRDefault="0030431C" w:rsidP="0030431C">
            <w:pPr>
              <w:pStyle w:val="tabeltextintabel"/>
              <w:rPr>
                <w:sz w:val="14"/>
                <w:szCs w:val="14"/>
                <w:lang w:val="en-US"/>
              </w:rPr>
            </w:pPr>
            <w:r w:rsidRPr="009069F1">
              <w:rPr>
                <w:sz w:val="14"/>
                <w:szCs w:val="14"/>
                <w:lang w:val="en-US"/>
              </w:rPr>
              <w:t xml:space="preserve">We found three aberrations in the young female ADHD group and three other aberrations in the young male ADHD group compared to controls, while one aberration was present in both genders. In the ASD study only one aberration was found compared to controls. </w:t>
            </w:r>
          </w:p>
          <w:p w14:paraId="1811F0CF" w14:textId="77777777" w:rsidR="0030431C" w:rsidRPr="009069F1" w:rsidRDefault="0030431C" w:rsidP="0030431C">
            <w:pPr>
              <w:pStyle w:val="tabeltextintabel"/>
              <w:rPr>
                <w:sz w:val="14"/>
                <w:szCs w:val="14"/>
                <w:lang w:val="en-US"/>
              </w:rPr>
            </w:pPr>
            <w:r w:rsidRPr="009069F1">
              <w:rPr>
                <w:sz w:val="14"/>
                <w:szCs w:val="14"/>
                <w:lang w:val="en-US"/>
              </w:rPr>
              <w:t>CANTAB: Between-group differences were found in all CANTAB tests except one. With hierarchical multiple regression analysis a main effect of ADHD diagnosis without interaction were seen in all the tests except SOC where a significant interaction with age was found.</w:t>
            </w:r>
          </w:p>
          <w:p w14:paraId="034FF51E" w14:textId="77777777" w:rsidR="0030431C" w:rsidRPr="009069F1" w:rsidRDefault="0030431C" w:rsidP="0030431C">
            <w:pPr>
              <w:pStyle w:val="tabeltextintabel"/>
              <w:rPr>
                <w:sz w:val="14"/>
                <w:szCs w:val="14"/>
                <w:lang w:val="en-US"/>
              </w:rPr>
            </w:pPr>
            <w:r w:rsidRPr="009069F1">
              <w:rPr>
                <w:sz w:val="14"/>
                <w:szCs w:val="14"/>
                <w:lang w:val="en-US"/>
              </w:rPr>
              <w:t>Conclusions</w:t>
            </w:r>
          </w:p>
          <w:p w14:paraId="2D7B310E" w14:textId="77777777" w:rsidR="0030431C" w:rsidRPr="009069F1" w:rsidRDefault="0030431C" w:rsidP="0030431C">
            <w:pPr>
              <w:pStyle w:val="tabeltextintabel"/>
              <w:rPr>
                <w:sz w:val="14"/>
                <w:szCs w:val="14"/>
                <w:lang w:val="en-US"/>
              </w:rPr>
            </w:pPr>
            <w:r w:rsidRPr="009069F1">
              <w:rPr>
                <w:sz w:val="14"/>
                <w:szCs w:val="14"/>
                <w:lang w:val="en-US"/>
              </w:rPr>
              <w:t>The results suggest that ABR and CANTAB can differentiate between typically developed children and children with ADHD or ASD. All our results are based on observed group differences and cannot at this stage be transferred to single individuals.</w:t>
            </w:r>
          </w:p>
          <w:p w14:paraId="6A159F8E" w14:textId="77777777" w:rsidR="0030431C" w:rsidRPr="009069F1" w:rsidRDefault="0030431C" w:rsidP="0030431C">
            <w:pPr>
              <w:pStyle w:val="tabeltextintabel"/>
              <w:rPr>
                <w:sz w:val="14"/>
                <w:szCs w:val="14"/>
                <w:lang w:val="en-US"/>
              </w:rPr>
            </w:pPr>
          </w:p>
        </w:tc>
      </w:tr>
      <w:tr w:rsidR="00FF03B6" w:rsidRPr="00BC4DD2" w14:paraId="608BC811" w14:textId="77777777" w:rsidTr="00FC1481">
        <w:trPr>
          <w:trHeight w:val="300"/>
        </w:trPr>
        <w:tc>
          <w:tcPr>
            <w:tcW w:w="5000" w:type="pct"/>
            <w:gridSpan w:val="4"/>
            <w:shd w:val="clear" w:color="auto" w:fill="auto"/>
          </w:tcPr>
          <w:p w14:paraId="6F0CFE7C" w14:textId="77777777" w:rsidR="00FF03B6" w:rsidRPr="009069F1" w:rsidRDefault="00FF03B6" w:rsidP="00782E1C">
            <w:pPr>
              <w:pStyle w:val="tabeltextintabel"/>
              <w:rPr>
                <w:sz w:val="14"/>
                <w:szCs w:val="14"/>
                <w:lang w:val="en-US"/>
              </w:rPr>
            </w:pPr>
            <w:r w:rsidRPr="009069F1">
              <w:rPr>
                <w:sz w:val="14"/>
                <w:szCs w:val="14"/>
                <w:lang w:val="en-US"/>
              </w:rPr>
              <w:t>Key words</w:t>
            </w:r>
            <w:r w:rsidR="0030431C" w:rsidRPr="009069F1">
              <w:rPr>
                <w:sz w:val="14"/>
                <w:szCs w:val="14"/>
                <w:lang w:val="en-US"/>
              </w:rPr>
              <w:t xml:space="preserve"> ADHD,</w:t>
            </w:r>
            <w:r w:rsidR="00782E1C" w:rsidRPr="009069F1">
              <w:rPr>
                <w:sz w:val="14"/>
                <w:szCs w:val="14"/>
                <w:lang w:val="en-US"/>
              </w:rPr>
              <w:t xml:space="preserve"> </w:t>
            </w:r>
            <w:r w:rsidR="0030431C" w:rsidRPr="009069F1">
              <w:rPr>
                <w:sz w:val="14"/>
                <w:szCs w:val="14"/>
                <w:lang w:val="en-US"/>
              </w:rPr>
              <w:t>ASD,</w:t>
            </w:r>
            <w:r w:rsidR="00782E1C" w:rsidRPr="009069F1">
              <w:rPr>
                <w:sz w:val="14"/>
                <w:szCs w:val="14"/>
                <w:lang w:val="en-US"/>
              </w:rPr>
              <w:t xml:space="preserve"> ABR, CANTAB, </w:t>
            </w:r>
            <w:r w:rsidR="0030431C" w:rsidRPr="009069F1">
              <w:rPr>
                <w:sz w:val="14"/>
                <w:szCs w:val="14"/>
                <w:lang w:val="en-US"/>
              </w:rPr>
              <w:t xml:space="preserve">Child and </w:t>
            </w:r>
            <w:r w:rsidR="00782E1C" w:rsidRPr="009069F1">
              <w:rPr>
                <w:sz w:val="14"/>
                <w:szCs w:val="14"/>
                <w:lang w:val="en-US"/>
              </w:rPr>
              <w:t>a</w:t>
            </w:r>
            <w:r w:rsidR="0030431C" w:rsidRPr="009069F1">
              <w:rPr>
                <w:sz w:val="14"/>
                <w:szCs w:val="14"/>
                <w:lang w:val="en-US"/>
              </w:rPr>
              <w:t xml:space="preserve">dolescent </w:t>
            </w:r>
            <w:r w:rsidR="00782E1C" w:rsidRPr="009069F1">
              <w:rPr>
                <w:sz w:val="14"/>
                <w:szCs w:val="14"/>
                <w:lang w:val="en-US"/>
              </w:rPr>
              <w:t>p</w:t>
            </w:r>
            <w:r w:rsidR="0030431C" w:rsidRPr="009069F1">
              <w:rPr>
                <w:sz w:val="14"/>
                <w:szCs w:val="14"/>
                <w:lang w:val="en-US"/>
              </w:rPr>
              <w:t>sychiatry</w:t>
            </w:r>
            <w:r w:rsidR="00782E1C" w:rsidRPr="009069F1">
              <w:rPr>
                <w:sz w:val="14"/>
                <w:szCs w:val="14"/>
                <w:lang w:val="en-US"/>
              </w:rPr>
              <w:t>, Gender</w:t>
            </w:r>
          </w:p>
        </w:tc>
      </w:tr>
      <w:tr w:rsidR="00FF03B6" w:rsidRPr="00BC4DD2" w14:paraId="72DAEDFB" w14:textId="77777777" w:rsidTr="00FC1481">
        <w:trPr>
          <w:trHeight w:val="300"/>
        </w:trPr>
        <w:tc>
          <w:tcPr>
            <w:tcW w:w="5000" w:type="pct"/>
            <w:gridSpan w:val="4"/>
            <w:tcBorders>
              <w:bottom w:val="single" w:sz="4" w:space="0" w:color="auto"/>
            </w:tcBorders>
            <w:shd w:val="clear" w:color="auto" w:fill="auto"/>
          </w:tcPr>
          <w:p w14:paraId="6D87191A" w14:textId="77777777" w:rsidR="00FF03B6" w:rsidRPr="009069F1" w:rsidRDefault="00FF03B6" w:rsidP="0030431C">
            <w:pPr>
              <w:pStyle w:val="tabeltextintabel"/>
              <w:rPr>
                <w:sz w:val="14"/>
                <w:szCs w:val="14"/>
                <w:lang w:val="en-US"/>
              </w:rPr>
            </w:pPr>
            <w:r w:rsidRPr="009069F1">
              <w:rPr>
                <w:sz w:val="14"/>
                <w:szCs w:val="14"/>
                <w:lang w:val="en-US"/>
              </w:rPr>
              <w:t>Classification system and/or index terms (if any)</w:t>
            </w:r>
          </w:p>
        </w:tc>
      </w:tr>
      <w:tr w:rsidR="00FF03B6" w:rsidRPr="009069F1" w14:paraId="3646923A" w14:textId="77777777" w:rsidTr="00091E74">
        <w:trPr>
          <w:trHeight w:val="300"/>
        </w:trPr>
        <w:tc>
          <w:tcPr>
            <w:tcW w:w="3297" w:type="pct"/>
            <w:gridSpan w:val="3"/>
            <w:tcBorders>
              <w:top w:val="single" w:sz="4" w:space="0" w:color="auto"/>
              <w:left w:val="single" w:sz="4" w:space="0" w:color="auto"/>
              <w:bottom w:val="nil"/>
              <w:right w:val="single" w:sz="4" w:space="0" w:color="auto"/>
            </w:tcBorders>
            <w:shd w:val="clear" w:color="auto" w:fill="auto"/>
          </w:tcPr>
          <w:p w14:paraId="53E8B9FB" w14:textId="77777777" w:rsidR="00FF03B6" w:rsidRPr="009069F1" w:rsidRDefault="00FF03B6" w:rsidP="0030431C">
            <w:pPr>
              <w:pStyle w:val="tabeltextintabel"/>
              <w:rPr>
                <w:sz w:val="14"/>
                <w:szCs w:val="14"/>
              </w:rPr>
            </w:pPr>
            <w:r w:rsidRPr="009069F1">
              <w:rPr>
                <w:sz w:val="14"/>
                <w:szCs w:val="14"/>
              </w:rPr>
              <w:t>Supplementary bibliographical information</w:t>
            </w:r>
          </w:p>
        </w:tc>
        <w:tc>
          <w:tcPr>
            <w:tcW w:w="1703" w:type="pct"/>
            <w:tcBorders>
              <w:top w:val="single" w:sz="4" w:space="0" w:color="auto"/>
              <w:left w:val="single" w:sz="4" w:space="0" w:color="auto"/>
              <w:bottom w:val="single" w:sz="4" w:space="0" w:color="auto"/>
              <w:right w:val="single" w:sz="4" w:space="0" w:color="auto"/>
            </w:tcBorders>
            <w:shd w:val="clear" w:color="auto" w:fill="auto"/>
          </w:tcPr>
          <w:p w14:paraId="2233BF82" w14:textId="77777777" w:rsidR="00FF03B6" w:rsidRPr="009069F1" w:rsidRDefault="00FF03B6" w:rsidP="0030431C">
            <w:pPr>
              <w:pStyle w:val="tabeltextintabel"/>
              <w:rPr>
                <w:sz w:val="14"/>
                <w:szCs w:val="14"/>
              </w:rPr>
            </w:pPr>
            <w:r w:rsidRPr="009069F1">
              <w:rPr>
                <w:sz w:val="14"/>
                <w:szCs w:val="14"/>
              </w:rPr>
              <w:t>Language</w:t>
            </w:r>
            <w:r w:rsidR="0030431C" w:rsidRPr="009069F1">
              <w:rPr>
                <w:sz w:val="14"/>
                <w:szCs w:val="14"/>
              </w:rPr>
              <w:t xml:space="preserve"> Eng</w:t>
            </w:r>
          </w:p>
        </w:tc>
      </w:tr>
      <w:tr w:rsidR="00FF03B6" w:rsidRPr="009069F1" w14:paraId="25D4E589" w14:textId="77777777" w:rsidTr="00091E74">
        <w:trPr>
          <w:trHeight w:val="300"/>
        </w:trPr>
        <w:tc>
          <w:tcPr>
            <w:tcW w:w="3297" w:type="pct"/>
            <w:gridSpan w:val="3"/>
            <w:tcBorders>
              <w:top w:val="single" w:sz="4" w:space="0" w:color="auto"/>
            </w:tcBorders>
            <w:shd w:val="clear" w:color="auto" w:fill="auto"/>
          </w:tcPr>
          <w:p w14:paraId="4C649728" w14:textId="77777777" w:rsidR="00FF03B6" w:rsidRPr="009069F1" w:rsidRDefault="00FF03B6" w:rsidP="0030431C">
            <w:pPr>
              <w:pStyle w:val="tabeltextintabel"/>
              <w:rPr>
                <w:sz w:val="14"/>
                <w:szCs w:val="14"/>
              </w:rPr>
            </w:pPr>
            <w:r w:rsidRPr="009069F1">
              <w:rPr>
                <w:sz w:val="14"/>
                <w:szCs w:val="14"/>
              </w:rPr>
              <w:t xml:space="preserve">ISSN </w:t>
            </w:r>
            <w:r w:rsidR="0030431C" w:rsidRPr="009069F1">
              <w:rPr>
                <w:sz w:val="14"/>
                <w:szCs w:val="14"/>
              </w:rPr>
              <w:t>1652-8220</w:t>
            </w:r>
          </w:p>
        </w:tc>
        <w:tc>
          <w:tcPr>
            <w:tcW w:w="1703" w:type="pct"/>
            <w:tcBorders>
              <w:top w:val="single" w:sz="4" w:space="0" w:color="auto"/>
            </w:tcBorders>
            <w:shd w:val="clear" w:color="auto" w:fill="auto"/>
          </w:tcPr>
          <w:p w14:paraId="4A07BC70" w14:textId="77777777" w:rsidR="00FF03B6" w:rsidRPr="009069F1" w:rsidRDefault="00FF03B6" w:rsidP="0030431C">
            <w:pPr>
              <w:pStyle w:val="tabeltextintabel"/>
              <w:rPr>
                <w:sz w:val="14"/>
                <w:szCs w:val="14"/>
              </w:rPr>
            </w:pPr>
            <w:r w:rsidRPr="009069F1">
              <w:rPr>
                <w:sz w:val="14"/>
                <w:szCs w:val="14"/>
              </w:rPr>
              <w:t>ISBN</w:t>
            </w:r>
            <w:r w:rsidR="0030431C" w:rsidRPr="009069F1">
              <w:rPr>
                <w:sz w:val="14"/>
                <w:szCs w:val="14"/>
              </w:rPr>
              <w:t xml:space="preserve"> 978-91-7619-507-9</w:t>
            </w:r>
          </w:p>
        </w:tc>
      </w:tr>
      <w:tr w:rsidR="00FF03B6" w:rsidRPr="009069F1" w14:paraId="50214781" w14:textId="77777777" w:rsidTr="00091E74">
        <w:trPr>
          <w:trHeight w:val="300"/>
        </w:trPr>
        <w:tc>
          <w:tcPr>
            <w:tcW w:w="1646" w:type="pct"/>
            <w:tcBorders>
              <w:top w:val="single" w:sz="4" w:space="0" w:color="auto"/>
              <w:left w:val="single" w:sz="4" w:space="0" w:color="auto"/>
              <w:bottom w:val="nil"/>
              <w:right w:val="single" w:sz="4" w:space="0" w:color="auto"/>
            </w:tcBorders>
            <w:shd w:val="clear" w:color="auto" w:fill="auto"/>
          </w:tcPr>
          <w:p w14:paraId="7376923B" w14:textId="77777777" w:rsidR="00FF03B6" w:rsidRPr="009069F1" w:rsidRDefault="00FF03B6" w:rsidP="0030431C">
            <w:pPr>
              <w:pStyle w:val="tabeltextintabel"/>
              <w:rPr>
                <w:sz w:val="14"/>
                <w:szCs w:val="14"/>
              </w:rPr>
            </w:pPr>
            <w:r w:rsidRPr="009069F1">
              <w:rPr>
                <w:sz w:val="14"/>
                <w:szCs w:val="14"/>
              </w:rPr>
              <w:t>Recipient’s notes</w:t>
            </w:r>
          </w:p>
        </w:tc>
        <w:tc>
          <w:tcPr>
            <w:tcW w:w="1650" w:type="pct"/>
            <w:gridSpan w:val="2"/>
            <w:tcBorders>
              <w:left w:val="single" w:sz="4" w:space="0" w:color="auto"/>
            </w:tcBorders>
            <w:shd w:val="clear" w:color="auto" w:fill="auto"/>
          </w:tcPr>
          <w:p w14:paraId="26D4DCFE" w14:textId="77777777" w:rsidR="00FF03B6" w:rsidRPr="009069F1" w:rsidRDefault="00FF03B6" w:rsidP="0030431C">
            <w:pPr>
              <w:pStyle w:val="tabeltextintabel"/>
              <w:rPr>
                <w:sz w:val="14"/>
                <w:szCs w:val="14"/>
              </w:rPr>
            </w:pPr>
            <w:r w:rsidRPr="009069F1">
              <w:rPr>
                <w:sz w:val="14"/>
                <w:szCs w:val="14"/>
              </w:rPr>
              <w:t>Number of pages</w:t>
            </w:r>
          </w:p>
        </w:tc>
        <w:tc>
          <w:tcPr>
            <w:tcW w:w="1703" w:type="pct"/>
            <w:shd w:val="clear" w:color="auto" w:fill="auto"/>
          </w:tcPr>
          <w:p w14:paraId="4F2EC3FB" w14:textId="77777777" w:rsidR="00FF03B6" w:rsidRPr="009069F1" w:rsidRDefault="00FF03B6" w:rsidP="0030431C">
            <w:pPr>
              <w:pStyle w:val="tabeltextintabel"/>
              <w:rPr>
                <w:sz w:val="14"/>
                <w:szCs w:val="14"/>
              </w:rPr>
            </w:pPr>
            <w:r w:rsidRPr="009069F1">
              <w:rPr>
                <w:sz w:val="14"/>
                <w:szCs w:val="14"/>
              </w:rPr>
              <w:t>Price</w:t>
            </w:r>
          </w:p>
        </w:tc>
      </w:tr>
      <w:tr w:rsidR="00FF03B6" w:rsidRPr="009069F1" w14:paraId="63CB3013" w14:textId="77777777" w:rsidTr="00091E74">
        <w:trPr>
          <w:trHeight w:val="300"/>
        </w:trPr>
        <w:tc>
          <w:tcPr>
            <w:tcW w:w="1646" w:type="pct"/>
            <w:tcBorders>
              <w:top w:val="nil"/>
              <w:left w:val="single" w:sz="4" w:space="0" w:color="auto"/>
              <w:bottom w:val="single" w:sz="4" w:space="0" w:color="auto"/>
              <w:right w:val="single" w:sz="4" w:space="0" w:color="auto"/>
            </w:tcBorders>
            <w:shd w:val="clear" w:color="auto" w:fill="auto"/>
          </w:tcPr>
          <w:p w14:paraId="27C0F91B" w14:textId="77777777" w:rsidR="00FF03B6" w:rsidRPr="009069F1" w:rsidRDefault="00FF03B6" w:rsidP="0030431C">
            <w:pPr>
              <w:pStyle w:val="tabeltextintabel"/>
              <w:rPr>
                <w:sz w:val="14"/>
                <w:szCs w:val="14"/>
              </w:rPr>
            </w:pPr>
          </w:p>
        </w:tc>
        <w:tc>
          <w:tcPr>
            <w:tcW w:w="3354" w:type="pct"/>
            <w:gridSpan w:val="3"/>
            <w:tcBorders>
              <w:left w:val="single" w:sz="4" w:space="0" w:color="auto"/>
            </w:tcBorders>
            <w:shd w:val="clear" w:color="auto" w:fill="auto"/>
          </w:tcPr>
          <w:p w14:paraId="31214119" w14:textId="77777777" w:rsidR="00FF03B6" w:rsidRPr="009069F1" w:rsidRDefault="00FF03B6" w:rsidP="0030431C">
            <w:pPr>
              <w:pStyle w:val="tabeltextintabel"/>
              <w:rPr>
                <w:sz w:val="14"/>
                <w:szCs w:val="14"/>
              </w:rPr>
            </w:pPr>
            <w:r w:rsidRPr="009069F1">
              <w:rPr>
                <w:sz w:val="14"/>
                <w:szCs w:val="14"/>
              </w:rPr>
              <w:t>Security classification</w:t>
            </w:r>
          </w:p>
        </w:tc>
      </w:tr>
    </w:tbl>
    <w:p w14:paraId="05003A7F" w14:textId="77777777" w:rsidR="009A52E1" w:rsidRPr="009069F1" w:rsidRDefault="009A52E1" w:rsidP="009E5FBE">
      <w:pPr>
        <w:pStyle w:val="tabeltext"/>
        <w:rPr>
          <w:szCs w:val="14"/>
        </w:rPr>
      </w:pPr>
    </w:p>
    <w:p w14:paraId="00E9DFF6" w14:textId="77777777" w:rsidR="00AA5A29" w:rsidRPr="009069F1" w:rsidRDefault="00FF03B6" w:rsidP="009E5FBE">
      <w:pPr>
        <w:pStyle w:val="tabeltext"/>
        <w:rPr>
          <w:szCs w:val="14"/>
        </w:rPr>
      </w:pPr>
      <w:r w:rsidRPr="009069F1">
        <w:rPr>
          <w:szCs w:val="14"/>
        </w:rPr>
        <w:t>I, the undersigned, being the copyright owner of the abstract of the above-mentioned dissertation, hereby grant to all reference sources</w:t>
      </w:r>
      <w:r w:rsidR="00FC1481" w:rsidRPr="009069F1">
        <w:rPr>
          <w:szCs w:val="14"/>
        </w:rPr>
        <w:t xml:space="preserve"> </w:t>
      </w:r>
      <w:r w:rsidRPr="009069F1">
        <w:rPr>
          <w:szCs w:val="14"/>
        </w:rPr>
        <w:t>permission to publish and disseminate the abstract of the above-mentioned dissertation.</w:t>
      </w:r>
      <w:r w:rsidR="00AA5A29" w:rsidRPr="009069F1">
        <w:rPr>
          <w:szCs w:val="14"/>
        </w:rPr>
        <w:t xml:space="preserve"> </w:t>
      </w:r>
    </w:p>
    <w:p w14:paraId="07665FA8" w14:textId="77777777" w:rsidR="000B415A" w:rsidRPr="009069F1" w:rsidRDefault="000B415A" w:rsidP="009E5FBE">
      <w:pPr>
        <w:pStyle w:val="tabeltext"/>
        <w:rPr>
          <w:szCs w:val="14"/>
          <w:lang w:val="en-US"/>
        </w:rPr>
      </w:pPr>
    </w:p>
    <w:p w14:paraId="574829D6" w14:textId="77777777" w:rsidR="000B415A" w:rsidRDefault="00FF03B6" w:rsidP="009069F1">
      <w:pPr>
        <w:pStyle w:val="tabeltextintabel"/>
        <w:rPr>
          <w:sz w:val="48"/>
          <w:szCs w:val="48"/>
          <w:lang w:val="en-US"/>
        </w:rPr>
      </w:pPr>
      <w:r w:rsidRPr="009069F1">
        <w:rPr>
          <w:sz w:val="14"/>
          <w:szCs w:val="14"/>
          <w:lang w:val="en-US"/>
        </w:rPr>
        <w:t xml:space="preserve">Signature </w:t>
      </w:r>
      <w:r w:rsidRPr="009069F1">
        <w:rPr>
          <w:sz w:val="14"/>
          <w:szCs w:val="14"/>
          <w:u w:val="single"/>
          <w:lang w:val="en-US"/>
        </w:rPr>
        <w:tab/>
      </w:r>
      <w:r w:rsidRPr="009069F1">
        <w:rPr>
          <w:sz w:val="14"/>
          <w:szCs w:val="14"/>
          <w:u w:val="single"/>
          <w:lang w:val="en-US"/>
        </w:rPr>
        <w:tab/>
      </w:r>
      <w:r w:rsidRPr="009069F1">
        <w:rPr>
          <w:sz w:val="14"/>
          <w:szCs w:val="14"/>
          <w:u w:val="single"/>
          <w:lang w:val="en-US"/>
        </w:rPr>
        <w:tab/>
      </w:r>
      <w:r w:rsidRPr="009069F1">
        <w:rPr>
          <w:sz w:val="14"/>
          <w:szCs w:val="14"/>
          <w:lang w:val="en-US"/>
        </w:rPr>
        <w:t xml:space="preserve">Date </w:t>
      </w:r>
      <w:r w:rsidRPr="009069F1">
        <w:rPr>
          <w:sz w:val="14"/>
          <w:szCs w:val="14"/>
          <w:u w:val="single"/>
          <w:lang w:val="en-US"/>
        </w:rPr>
        <w:tab/>
      </w:r>
      <w:r w:rsidRPr="00AA5A29">
        <w:rPr>
          <w:rStyle w:val="Brdtext-fet"/>
          <w:lang w:val="en-US"/>
        </w:rPr>
        <w:br w:type="page"/>
      </w:r>
      <w:r w:rsidR="00AA5A29" w:rsidRPr="00AA5A29">
        <w:rPr>
          <w:rStyle w:val="Brdtext-fet"/>
          <w:sz w:val="16"/>
          <w:szCs w:val="16"/>
          <w:u w:val="single"/>
          <w:lang w:val="en-US"/>
        </w:rPr>
        <w:lastRenderedPageBreak/>
        <w:t xml:space="preserve"> </w:t>
      </w:r>
    </w:p>
    <w:p w14:paraId="0679D7EE" w14:textId="77777777" w:rsidR="000B415A" w:rsidRPr="009069F1" w:rsidRDefault="000B415A" w:rsidP="000B415A">
      <w:pPr>
        <w:pStyle w:val="Undertitel"/>
        <w:rPr>
          <w:rFonts w:ascii="Adobe Garamond Pro" w:hAnsi="Adobe Garamond Pro"/>
          <w:sz w:val="40"/>
          <w:szCs w:val="40"/>
          <w:lang w:val="en-US"/>
        </w:rPr>
      </w:pPr>
      <w:r w:rsidRPr="009069F1">
        <w:rPr>
          <w:rFonts w:ascii="Adobe Garamond Pro" w:hAnsi="Adobe Garamond Pro"/>
          <w:sz w:val="40"/>
          <w:szCs w:val="40"/>
          <w:lang w:val="en-US"/>
        </w:rPr>
        <w:t xml:space="preserve">Auditory Brainstem Response (ABR) and Cambridge Neuropsychological Test Automated Battery (CANTAB) as Objective Support in Diagnosing Childhood ADHD and ASD </w:t>
      </w:r>
    </w:p>
    <w:p w14:paraId="0B5D6921" w14:textId="77777777" w:rsidR="000B415A" w:rsidRPr="000B415A" w:rsidRDefault="000B415A" w:rsidP="000B415A">
      <w:pPr>
        <w:jc w:val="center"/>
        <w:rPr>
          <w:rFonts w:ascii="Adobe Garamond Pro" w:hAnsi="Adobe Garamond Pro"/>
          <w:sz w:val="28"/>
          <w:szCs w:val="28"/>
          <w:lang w:val="en-US"/>
        </w:rPr>
      </w:pPr>
    </w:p>
    <w:p w14:paraId="1996DC26" w14:textId="77777777" w:rsidR="000B415A" w:rsidRPr="000B415A" w:rsidRDefault="000B415A" w:rsidP="000B415A">
      <w:pPr>
        <w:jc w:val="center"/>
        <w:rPr>
          <w:rFonts w:ascii="Adobe Garamond Pro" w:hAnsi="Adobe Garamond Pro"/>
          <w:sz w:val="28"/>
          <w:szCs w:val="28"/>
          <w:lang w:val="en-US"/>
        </w:rPr>
      </w:pPr>
    </w:p>
    <w:p w14:paraId="4B886A62" w14:textId="77777777" w:rsidR="000B415A" w:rsidRPr="000B415A" w:rsidRDefault="000B415A" w:rsidP="000B415A">
      <w:pPr>
        <w:jc w:val="center"/>
        <w:rPr>
          <w:rFonts w:ascii="Adobe Garamond Pro" w:hAnsi="Adobe Garamond Pro"/>
          <w:sz w:val="28"/>
          <w:szCs w:val="28"/>
          <w:lang w:val="en-US"/>
        </w:rPr>
      </w:pPr>
    </w:p>
    <w:p w14:paraId="4B65FD81" w14:textId="77777777" w:rsidR="000B415A" w:rsidRPr="000B415A" w:rsidRDefault="000B415A" w:rsidP="000B415A">
      <w:pPr>
        <w:jc w:val="center"/>
        <w:rPr>
          <w:rFonts w:ascii="Adobe Garamond Pro" w:hAnsi="Adobe Garamond Pro"/>
          <w:sz w:val="28"/>
          <w:szCs w:val="28"/>
          <w:lang w:val="en-US"/>
        </w:rPr>
      </w:pPr>
      <w:r w:rsidRPr="000B415A">
        <w:rPr>
          <w:rFonts w:ascii="Adobe Garamond Pro" w:hAnsi="Adobe Garamond Pro"/>
          <w:sz w:val="28"/>
          <w:szCs w:val="28"/>
          <w:lang w:val="en-US"/>
        </w:rPr>
        <w:t xml:space="preserve">Emma </w:t>
      </w:r>
      <w:proofErr w:type="spellStart"/>
      <w:r w:rsidRPr="000B415A">
        <w:rPr>
          <w:rFonts w:ascii="Adobe Garamond Pro" w:hAnsi="Adobe Garamond Pro"/>
          <w:sz w:val="28"/>
          <w:szCs w:val="28"/>
          <w:lang w:val="en-US"/>
        </w:rPr>
        <w:t>Claesdotter</w:t>
      </w:r>
      <w:proofErr w:type="spellEnd"/>
      <w:r w:rsidRPr="000B415A">
        <w:rPr>
          <w:rFonts w:ascii="Adobe Garamond Pro" w:hAnsi="Adobe Garamond Pro"/>
          <w:sz w:val="28"/>
          <w:szCs w:val="28"/>
          <w:lang w:val="en-US"/>
        </w:rPr>
        <w:t xml:space="preserve">, MD </w:t>
      </w:r>
    </w:p>
    <w:p w14:paraId="22BB17C8" w14:textId="77777777" w:rsidR="000B415A" w:rsidRDefault="000B415A" w:rsidP="000B415A">
      <w:pPr>
        <w:pStyle w:val="Undertitel"/>
        <w:rPr>
          <w:lang w:val="en-US"/>
        </w:rPr>
      </w:pPr>
      <w:r>
        <w:rPr>
          <w:noProof/>
          <w:lang w:val="en-GB" w:eastAsia="en-GB"/>
        </w:rPr>
        <w:drawing>
          <wp:anchor distT="0" distB="0" distL="114300" distR="114300" simplePos="0" relativeHeight="251672576" behindDoc="0" locked="0" layoutInCell="1" allowOverlap="1" wp14:anchorId="7E8C05EE" wp14:editId="5CCC7717">
            <wp:simplePos x="0" y="0"/>
            <wp:positionH relativeFrom="column">
              <wp:align>center</wp:align>
            </wp:positionH>
            <wp:positionV relativeFrom="page">
              <wp:posOffset>3499485</wp:posOffset>
            </wp:positionV>
            <wp:extent cx="1085850" cy="1362075"/>
            <wp:effectExtent l="0" t="0" r="0" b="0"/>
            <wp:wrapSquare wrapText="bothSides"/>
            <wp:docPr id="44" name="Bildobjekt 44" descr="LundUniv_ENG_C2line_Black"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_EN_1" descr="LundUniv_ENG_C2line_Black" hidden="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585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2B01A278" wp14:editId="78C2ABC2">
            <wp:extent cx="971550" cy="1228725"/>
            <wp:effectExtent l="0" t="0" r="0" b="9525"/>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1550" cy="1228725"/>
                    </a:xfrm>
                    <a:prstGeom prst="rect">
                      <a:avLst/>
                    </a:prstGeom>
                    <a:noFill/>
                    <a:ln>
                      <a:noFill/>
                    </a:ln>
                  </pic:spPr>
                </pic:pic>
              </a:graphicData>
            </a:graphic>
          </wp:inline>
        </w:drawing>
      </w:r>
      <w:r>
        <w:rPr>
          <w:lang w:val="en-US"/>
        </w:rPr>
        <w:t xml:space="preserve"> </w:t>
      </w:r>
    </w:p>
    <w:p w14:paraId="03484EA9" w14:textId="43DB8348" w:rsidR="00892171" w:rsidRDefault="00892171" w:rsidP="000B415A">
      <w:pPr>
        <w:pStyle w:val="tabeltext"/>
        <w:rPr>
          <w:lang w:val="en-US"/>
        </w:rPr>
      </w:pPr>
    </w:p>
    <w:p w14:paraId="44F88048" w14:textId="77777777" w:rsidR="00892171" w:rsidRDefault="00892171" w:rsidP="00464F85">
      <w:pPr>
        <w:pStyle w:val="Undertitel"/>
        <w:rPr>
          <w:lang w:val="en-US"/>
        </w:rPr>
      </w:pPr>
    </w:p>
    <w:p w14:paraId="1324CA21" w14:textId="04FD40CD" w:rsidR="00FF03B6" w:rsidRPr="00AA5A29" w:rsidRDefault="00FF03B6" w:rsidP="00FF03B6">
      <w:pPr>
        <w:pStyle w:val="Frfattare"/>
        <w:rPr>
          <w:lang w:val="en-US"/>
        </w:rPr>
      </w:pPr>
    </w:p>
    <w:p w14:paraId="41C3C27B" w14:textId="77777777" w:rsidR="00AA5A29" w:rsidRPr="009069F1" w:rsidRDefault="0030431C" w:rsidP="0030431C">
      <w:pPr>
        <w:pStyle w:val="bodytext"/>
        <w:jc w:val="center"/>
        <w:rPr>
          <w:szCs w:val="22"/>
        </w:rPr>
      </w:pPr>
      <w:bookmarkStart w:id="2" w:name="Avsnitt2"/>
      <w:bookmarkEnd w:id="2"/>
      <w:r w:rsidRPr="009069F1">
        <w:rPr>
          <w:szCs w:val="22"/>
        </w:rPr>
        <w:t>Faculty Opponent</w:t>
      </w:r>
      <w:r w:rsidRPr="009069F1">
        <w:rPr>
          <w:szCs w:val="22"/>
        </w:rPr>
        <w:br/>
      </w:r>
      <w:proofErr w:type="spellStart"/>
      <w:r w:rsidRPr="009069F1">
        <w:rPr>
          <w:szCs w:val="22"/>
        </w:rPr>
        <w:t>Prof.</w:t>
      </w:r>
      <w:proofErr w:type="spellEnd"/>
      <w:r w:rsidRPr="009069F1">
        <w:rPr>
          <w:szCs w:val="22"/>
        </w:rPr>
        <w:t xml:space="preserve"> Tommy </w:t>
      </w:r>
      <w:proofErr w:type="spellStart"/>
      <w:r w:rsidRPr="009069F1">
        <w:rPr>
          <w:szCs w:val="22"/>
        </w:rPr>
        <w:t>Lewander</w:t>
      </w:r>
      <w:proofErr w:type="spellEnd"/>
      <w:r w:rsidRPr="009069F1">
        <w:rPr>
          <w:szCs w:val="22"/>
        </w:rPr>
        <w:t>, MD, PhD</w:t>
      </w:r>
      <w:r w:rsidRPr="009069F1">
        <w:rPr>
          <w:szCs w:val="22"/>
        </w:rPr>
        <w:br/>
        <w:t>Department of Neuroscience, Psychiatry</w:t>
      </w:r>
      <w:r w:rsidRPr="009069F1">
        <w:rPr>
          <w:szCs w:val="22"/>
        </w:rPr>
        <w:br/>
        <w:t>Uppsala University, Sweden</w:t>
      </w:r>
      <w:r w:rsidR="00AA5A29" w:rsidRPr="009069F1">
        <w:rPr>
          <w:szCs w:val="22"/>
        </w:rPr>
        <w:t xml:space="preserve"> </w:t>
      </w:r>
    </w:p>
    <w:p w14:paraId="34BA751A" w14:textId="0E71E0A5" w:rsidR="0030431C" w:rsidRPr="009069F1" w:rsidRDefault="0030431C" w:rsidP="00892171">
      <w:pPr>
        <w:pStyle w:val="bodytext"/>
        <w:jc w:val="center"/>
        <w:rPr>
          <w:szCs w:val="22"/>
        </w:rPr>
      </w:pPr>
      <w:r w:rsidRPr="009069F1">
        <w:rPr>
          <w:szCs w:val="22"/>
        </w:rPr>
        <w:t>Supervisor:</w:t>
      </w:r>
      <w:r w:rsidRPr="009069F1">
        <w:rPr>
          <w:szCs w:val="22"/>
        </w:rPr>
        <w:br/>
        <w:t xml:space="preserve">Magnus </w:t>
      </w:r>
      <w:proofErr w:type="spellStart"/>
      <w:r w:rsidRPr="009069F1">
        <w:rPr>
          <w:szCs w:val="22"/>
        </w:rPr>
        <w:t>Lindvall</w:t>
      </w:r>
      <w:proofErr w:type="spellEnd"/>
      <w:r w:rsidRPr="009069F1">
        <w:rPr>
          <w:szCs w:val="22"/>
        </w:rPr>
        <w:t>, MD, PhD, Associated Professor</w:t>
      </w:r>
    </w:p>
    <w:p w14:paraId="1052BD6C" w14:textId="77777777" w:rsidR="00892171" w:rsidRPr="009069F1" w:rsidRDefault="0030431C" w:rsidP="00892171">
      <w:pPr>
        <w:jc w:val="center"/>
        <w:rPr>
          <w:rFonts w:ascii="Adobe Garamond Pro" w:hAnsi="Adobe Garamond Pro"/>
          <w:sz w:val="22"/>
          <w:szCs w:val="22"/>
        </w:rPr>
      </w:pPr>
      <w:r w:rsidRPr="009069F1">
        <w:rPr>
          <w:rFonts w:ascii="Adobe Garamond Pro" w:hAnsi="Adobe Garamond Pro"/>
          <w:sz w:val="22"/>
          <w:szCs w:val="22"/>
        </w:rPr>
        <w:lastRenderedPageBreak/>
        <w:t>Assisting Supervisor:</w:t>
      </w:r>
      <w:r w:rsidRPr="009069F1">
        <w:rPr>
          <w:rFonts w:ascii="Adobe Garamond Pro" w:hAnsi="Adobe Garamond Pro"/>
          <w:sz w:val="22"/>
          <w:szCs w:val="22"/>
        </w:rPr>
        <w:br/>
        <w:t xml:space="preserve">Maria </w:t>
      </w:r>
      <w:proofErr w:type="spellStart"/>
      <w:r w:rsidRPr="009069F1">
        <w:rPr>
          <w:rFonts w:ascii="Adobe Garamond Pro" w:hAnsi="Adobe Garamond Pro"/>
          <w:sz w:val="22"/>
          <w:szCs w:val="22"/>
        </w:rPr>
        <w:t>Råstam</w:t>
      </w:r>
      <w:proofErr w:type="spellEnd"/>
      <w:r w:rsidRPr="009069F1">
        <w:rPr>
          <w:rFonts w:ascii="Adobe Garamond Pro" w:hAnsi="Adobe Garamond Pro"/>
          <w:sz w:val="22"/>
          <w:szCs w:val="22"/>
        </w:rPr>
        <w:t>, MD, PhD, Senior Professor</w:t>
      </w:r>
    </w:p>
    <w:p w14:paraId="43B5D416" w14:textId="5139A3FC" w:rsidR="00FF03B6" w:rsidRPr="009B0E2B" w:rsidRDefault="0065651F" w:rsidP="00FF03B6">
      <w:r>
        <w:br w:type="page"/>
      </w:r>
    </w:p>
    <w:tbl>
      <w:tblPr>
        <w:tblpPr w:leftFromText="142" w:rightFromText="142" w:horzAnchor="margin" w:tblpYSpec="bottom"/>
        <w:tblW w:w="0" w:type="auto"/>
        <w:tblLook w:val="04A0" w:firstRow="1" w:lastRow="0" w:firstColumn="1" w:lastColumn="0" w:noHBand="0" w:noVBand="1"/>
      </w:tblPr>
      <w:tblGrid>
        <w:gridCol w:w="7314"/>
      </w:tblGrid>
      <w:tr w:rsidR="00FF03B6" w:rsidRPr="009B0E2B" w14:paraId="2F4FF9D7" w14:textId="77777777" w:rsidTr="00437525">
        <w:tc>
          <w:tcPr>
            <w:tcW w:w="7454" w:type="dxa"/>
          </w:tcPr>
          <w:p w14:paraId="307E6A6F" w14:textId="77777777" w:rsidR="00AA5A29" w:rsidRDefault="009A52E1" w:rsidP="00F95006">
            <w:pPr>
              <w:pStyle w:val="bodytext"/>
            </w:pPr>
            <w:proofErr w:type="spellStart"/>
            <w:r w:rsidRPr="00F95006">
              <w:lastRenderedPageBreak/>
              <w:t>Coverphoto</w:t>
            </w:r>
            <w:proofErr w:type="spellEnd"/>
            <w:r w:rsidRPr="00F95006">
              <w:t xml:space="preserve"> by</w:t>
            </w:r>
            <w:r w:rsidR="00F95006" w:rsidRPr="00F95006">
              <w:t xml:space="preserve">: Helge </w:t>
            </w:r>
            <w:proofErr w:type="spellStart"/>
            <w:r w:rsidR="00F95006" w:rsidRPr="00F95006">
              <w:t>Hybbinette</w:t>
            </w:r>
            <w:proofErr w:type="spellEnd"/>
            <w:r w:rsidR="00AA5A29">
              <w:t xml:space="preserve"> </w:t>
            </w:r>
          </w:p>
          <w:p w14:paraId="4E649497" w14:textId="77777777" w:rsidR="00AA5A29" w:rsidRDefault="009E5FBE" w:rsidP="00F95006">
            <w:pPr>
              <w:pStyle w:val="bodytext"/>
            </w:pPr>
            <w:r w:rsidRPr="00F95006">
              <w:t>Copyright</w:t>
            </w:r>
            <w:r w:rsidR="00FF03B6" w:rsidRPr="00F95006">
              <w:t xml:space="preserve"> </w:t>
            </w:r>
            <w:r w:rsidR="00F95006" w:rsidRPr="00F95006">
              <w:t xml:space="preserve">Emma </w:t>
            </w:r>
            <w:proofErr w:type="spellStart"/>
            <w:r w:rsidR="00F95006" w:rsidRPr="00F95006">
              <w:t>Claesdotter</w:t>
            </w:r>
            <w:proofErr w:type="spellEnd"/>
            <w:r w:rsidR="00AA5A29">
              <w:t xml:space="preserve"> </w:t>
            </w:r>
          </w:p>
          <w:p w14:paraId="57B9765C" w14:textId="1FE513A3" w:rsidR="00F95006" w:rsidRDefault="00F95006" w:rsidP="00F95006">
            <w:pPr>
              <w:pStyle w:val="bodytext"/>
              <w:jc w:val="left"/>
            </w:pPr>
            <w:r w:rsidRPr="00F95006">
              <w:t>Faculty of Medicine</w:t>
            </w:r>
            <w:r>
              <w:br/>
            </w:r>
            <w:r w:rsidRPr="00F95006">
              <w:t xml:space="preserve">Department of Clinical sciences, </w:t>
            </w:r>
            <w:r w:rsidR="000B415A">
              <w:br/>
            </w:r>
            <w:r w:rsidRPr="00F95006">
              <w:t>Lund</w:t>
            </w:r>
            <w:r w:rsidR="000B415A">
              <w:t xml:space="preserve"> </w:t>
            </w:r>
            <w:r w:rsidRPr="00F95006">
              <w:t>Psychiatry</w:t>
            </w:r>
            <w:r>
              <w:br/>
            </w:r>
            <w:r w:rsidRPr="00F95006">
              <w:t>Lund, Sweden</w:t>
            </w:r>
          </w:p>
          <w:p w14:paraId="76C7744C" w14:textId="77777777" w:rsidR="00AA5A29" w:rsidRDefault="00F95006" w:rsidP="00F95006">
            <w:pPr>
              <w:pStyle w:val="bodytext"/>
              <w:jc w:val="left"/>
            </w:pPr>
            <w:r w:rsidRPr="00F95006">
              <w:t>ISBN 978-91-7619-507-9</w:t>
            </w:r>
            <w:r>
              <w:br/>
            </w:r>
            <w:r w:rsidRPr="00F95006">
              <w:t>ISSN 1652-8220</w:t>
            </w:r>
            <w:r>
              <w:br/>
            </w:r>
            <w:r w:rsidRPr="00F95006">
              <w:t>Lund University, Faculty of Medicine Doctoral Dissertation Series 2017:124</w:t>
            </w:r>
            <w:r w:rsidR="00AA5A29">
              <w:t xml:space="preserve"> </w:t>
            </w:r>
          </w:p>
          <w:p w14:paraId="13F8C2AB" w14:textId="03A547FD" w:rsidR="00FF03B6" w:rsidRPr="00F95006" w:rsidRDefault="00464F85" w:rsidP="00F95006">
            <w:pPr>
              <w:pStyle w:val="bodytext"/>
            </w:pPr>
            <w:r w:rsidRPr="00F95006">
              <w:t>Printed in Sweden by</w:t>
            </w:r>
            <w:r w:rsidR="00FF03B6" w:rsidRPr="00F95006">
              <w:t xml:space="preserve"> Media-</w:t>
            </w:r>
            <w:proofErr w:type="spellStart"/>
            <w:r w:rsidR="00FF03B6" w:rsidRPr="00F95006">
              <w:t>Tryck</w:t>
            </w:r>
            <w:proofErr w:type="spellEnd"/>
            <w:r w:rsidR="00FF03B6" w:rsidRPr="00F95006">
              <w:t xml:space="preserve">, </w:t>
            </w:r>
            <w:r w:rsidRPr="00F95006">
              <w:t>Lund University</w:t>
            </w:r>
          </w:p>
          <w:p w14:paraId="1F0F5E4C" w14:textId="77777777" w:rsidR="00AA5A29" w:rsidRDefault="00FF03B6" w:rsidP="00F95006">
            <w:pPr>
              <w:pStyle w:val="bodytext"/>
            </w:pPr>
            <w:r w:rsidRPr="00F95006">
              <w:t>Lund 201</w:t>
            </w:r>
            <w:r w:rsidR="005004C8" w:rsidRPr="00F95006">
              <w:t>7</w:t>
            </w:r>
            <w:r w:rsidRPr="00F95006">
              <w:t xml:space="preserve"> </w:t>
            </w:r>
            <w:r w:rsidR="00AA5A29">
              <w:t xml:space="preserve"> </w:t>
            </w:r>
          </w:p>
          <w:p w14:paraId="34F8292A" w14:textId="5CC57B13" w:rsidR="00FF03B6" w:rsidRPr="009B0E2B" w:rsidRDefault="00A21601" w:rsidP="00437525">
            <w:r>
              <w:rPr>
                <w:noProof/>
              </w:rPr>
              <w:drawing>
                <wp:inline distT="0" distB="0" distL="0" distR="0" wp14:anchorId="61B8B017" wp14:editId="054851DA">
                  <wp:extent cx="2274932" cy="827278"/>
                  <wp:effectExtent l="0" t="0" r="0" b="0"/>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ng Miljölogotyper för sid 2 sv tes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5903" cy="831267"/>
                          </a:xfrm>
                          <a:prstGeom prst="rect">
                            <a:avLst/>
                          </a:prstGeom>
                        </pic:spPr>
                      </pic:pic>
                    </a:graphicData>
                  </a:graphic>
                </wp:inline>
              </w:drawing>
            </w:r>
          </w:p>
        </w:tc>
      </w:tr>
    </w:tbl>
    <w:p w14:paraId="2A306ED2" w14:textId="77777777" w:rsidR="00FF03B6" w:rsidRPr="009B0E2B" w:rsidRDefault="00FF03B6" w:rsidP="00FF03B6"/>
    <w:p w14:paraId="662C8A15" w14:textId="77777777" w:rsidR="00AA5A29" w:rsidRPr="00AA5A29" w:rsidRDefault="00570BE7">
      <w:pPr>
        <w:spacing w:after="160" w:line="259" w:lineRule="auto"/>
        <w:rPr>
          <w:rFonts w:ascii="Arial" w:eastAsia="Times New Roman" w:hAnsi="Arial"/>
          <w:sz w:val="48"/>
          <w:szCs w:val="48"/>
          <w:lang w:val="en-US"/>
        </w:rPr>
      </w:pPr>
      <w:bookmarkStart w:id="3" w:name="_Toc423598451"/>
      <w:r w:rsidRPr="00AA5A29">
        <w:rPr>
          <w:lang w:val="en-US"/>
        </w:rPr>
        <w:br w:type="page"/>
      </w:r>
      <w:r w:rsidR="00AA5A29" w:rsidRPr="00AA5A29">
        <w:rPr>
          <w:rFonts w:ascii="Arial" w:eastAsia="Times New Roman" w:hAnsi="Arial"/>
          <w:sz w:val="48"/>
          <w:szCs w:val="48"/>
          <w:lang w:val="en-US"/>
        </w:rPr>
        <w:lastRenderedPageBreak/>
        <w:t xml:space="preserve"> </w:t>
      </w:r>
    </w:p>
    <w:p w14:paraId="7E060D08" w14:textId="5F442D55" w:rsidR="00570BE7" w:rsidRDefault="00F95006" w:rsidP="009E5FBE">
      <w:pPr>
        <w:pStyle w:val="dedication"/>
        <w:rPr>
          <w:rStyle w:val="BookTitle"/>
          <w:b w:val="0"/>
          <w:bCs w:val="0"/>
          <w:i/>
          <w:iCs w:val="0"/>
          <w:spacing w:val="0"/>
          <w:lang w:val="en-US"/>
        </w:rPr>
      </w:pPr>
      <w:r>
        <w:rPr>
          <w:rStyle w:val="BookTitle"/>
          <w:b w:val="0"/>
          <w:bCs w:val="0"/>
          <w:i/>
          <w:iCs w:val="0"/>
          <w:spacing w:val="0"/>
          <w:lang w:val="en-US"/>
        </w:rPr>
        <w:t>To my lovely kids Helge, Sonja, Caesar &amp; Winston</w:t>
      </w:r>
    </w:p>
    <w:p w14:paraId="3435FB55" w14:textId="77777777" w:rsidR="009069F1" w:rsidRDefault="009069F1">
      <w:pPr>
        <w:spacing w:after="160" w:line="259" w:lineRule="auto"/>
        <w:rPr>
          <w:rFonts w:ascii="Adobe Garamond Pro" w:eastAsia="Times New Roman" w:hAnsi="Adobe Garamond Pro"/>
          <w:sz w:val="48"/>
          <w:szCs w:val="48"/>
          <w:lang w:val="en-US"/>
        </w:rPr>
      </w:pPr>
      <w:bookmarkStart w:id="4" w:name="_Toc446582082"/>
      <w:bookmarkStart w:id="5" w:name="_Toc451953222"/>
      <w:bookmarkStart w:id="6" w:name="_Toc451953279"/>
      <w:bookmarkStart w:id="7" w:name="_Toc482264289"/>
      <w:bookmarkStart w:id="8" w:name="_Toc492379946"/>
      <w:bookmarkStart w:id="9" w:name="_Toc492391034"/>
      <w:bookmarkEnd w:id="3"/>
      <w:r>
        <w:rPr>
          <w:lang w:val="en-US"/>
        </w:rPr>
        <w:br w:type="page"/>
      </w:r>
    </w:p>
    <w:p w14:paraId="0FBEC101" w14:textId="77777777" w:rsidR="00BC4DD2" w:rsidRPr="009D2D19" w:rsidRDefault="009069F1" w:rsidP="00BC4DD2">
      <w:pPr>
        <w:rPr>
          <w:i/>
          <w:lang w:val="sv-SE"/>
        </w:rPr>
      </w:pPr>
      <w:r w:rsidRPr="00915A05">
        <w:rPr>
          <w:lang w:val="sv-SE"/>
        </w:rPr>
        <w:lastRenderedPageBreak/>
        <w:br w:type="page"/>
      </w:r>
      <w:r w:rsidR="00BC4DD2" w:rsidRPr="00915A05">
        <w:rPr>
          <w:rFonts w:ascii="Adobe Garamond Pro" w:eastAsia="Times New Roman" w:hAnsi="Adobe Garamond Pro"/>
          <w:sz w:val="48"/>
          <w:szCs w:val="48"/>
          <w:lang w:val="sv-SE"/>
        </w:rPr>
        <w:lastRenderedPageBreak/>
        <w:t xml:space="preserve"> </w:t>
      </w:r>
      <w:r w:rsidR="00BC4DD2" w:rsidRPr="009D2D19">
        <w:rPr>
          <w:i/>
          <w:lang w:val="sv-SE"/>
        </w:rPr>
        <w:t xml:space="preserve">”Det finns en liten, liten sekund mellan tanke och handling. I den ligger människans hela frihet.” </w:t>
      </w:r>
    </w:p>
    <w:p w14:paraId="23FEF74A" w14:textId="77777777" w:rsidR="00BC4DD2" w:rsidRPr="00BC4DD2" w:rsidRDefault="00BC4DD2" w:rsidP="00BC4DD2">
      <w:pPr>
        <w:rPr>
          <w:i/>
        </w:rPr>
      </w:pPr>
      <w:r>
        <w:rPr>
          <w:i/>
        </w:rPr>
        <w:t>F.M Alexander</w:t>
      </w:r>
    </w:p>
    <w:p w14:paraId="0155AE8D" w14:textId="77777777" w:rsidR="00BC4DD2" w:rsidRDefault="00BC4DD2" w:rsidP="00BC4DD2"/>
    <w:p w14:paraId="386179A1" w14:textId="15F7C6D8" w:rsidR="009069F1" w:rsidRPr="009D2D19" w:rsidRDefault="000242D2" w:rsidP="001A1778">
      <w:pPr>
        <w:pStyle w:val="Heading1"/>
        <w:rPr>
          <w:noProof/>
        </w:rPr>
      </w:pPr>
      <w:r w:rsidRPr="009D2D19">
        <w:lastRenderedPageBreak/>
        <w:t xml:space="preserve">Table of </w:t>
      </w:r>
      <w:r w:rsidR="00464F85" w:rsidRPr="009D2D19">
        <w:t>Content</w:t>
      </w:r>
      <w:bookmarkStart w:id="10" w:name="Inneh"/>
      <w:bookmarkEnd w:id="4"/>
      <w:bookmarkEnd w:id="5"/>
      <w:bookmarkEnd w:id="6"/>
      <w:bookmarkEnd w:id="7"/>
      <w:bookmarkEnd w:id="10"/>
      <w:r w:rsidRPr="009D2D19">
        <w:t>s</w:t>
      </w:r>
      <w:bookmarkEnd w:id="8"/>
      <w:bookmarkEnd w:id="9"/>
      <w:r w:rsidR="009A52E1">
        <w:rPr>
          <w:noProof/>
          <w:sz w:val="22"/>
          <w:szCs w:val="22"/>
        </w:rPr>
        <w:fldChar w:fldCharType="begin"/>
      </w:r>
      <w:r w:rsidR="009A52E1" w:rsidRPr="009D2D19">
        <w:instrText xml:space="preserve"> TOC \o "1-3" \u </w:instrText>
      </w:r>
      <w:r w:rsidR="009A52E1">
        <w:rPr>
          <w:noProof/>
          <w:sz w:val="22"/>
          <w:szCs w:val="22"/>
        </w:rPr>
        <w:fldChar w:fldCharType="separate"/>
      </w:r>
    </w:p>
    <w:p w14:paraId="737EDDD8" w14:textId="77777777" w:rsidR="009069F1" w:rsidRDefault="009069F1">
      <w:pPr>
        <w:pStyle w:val="TOC2"/>
        <w:rPr>
          <w:rFonts w:asciiTheme="minorHAnsi" w:eastAsiaTheme="minorEastAsia" w:hAnsiTheme="minorHAnsi" w:cstheme="minorBidi"/>
          <w:iCs w:val="0"/>
          <w:noProof/>
          <w:szCs w:val="22"/>
        </w:rPr>
      </w:pPr>
      <w:r w:rsidRPr="009069F1">
        <w:rPr>
          <w:noProof/>
        </w:rPr>
        <w:t>Abstract</w:t>
      </w:r>
      <w:r>
        <w:rPr>
          <w:noProof/>
        </w:rPr>
        <w:tab/>
      </w:r>
      <w:r>
        <w:rPr>
          <w:noProof/>
        </w:rPr>
        <w:fldChar w:fldCharType="begin"/>
      </w:r>
      <w:r>
        <w:rPr>
          <w:noProof/>
        </w:rPr>
        <w:instrText xml:space="preserve"> PAGEREF _Toc492391035 \h </w:instrText>
      </w:r>
      <w:r>
        <w:rPr>
          <w:noProof/>
        </w:rPr>
      </w:r>
      <w:r>
        <w:rPr>
          <w:noProof/>
        </w:rPr>
        <w:fldChar w:fldCharType="separate"/>
      </w:r>
      <w:r w:rsidR="003B6BE9">
        <w:rPr>
          <w:noProof/>
        </w:rPr>
        <w:t>11</w:t>
      </w:r>
      <w:r>
        <w:rPr>
          <w:noProof/>
        </w:rPr>
        <w:fldChar w:fldCharType="end"/>
      </w:r>
    </w:p>
    <w:p w14:paraId="65119F21" w14:textId="77777777" w:rsidR="009069F1" w:rsidRDefault="009069F1">
      <w:pPr>
        <w:pStyle w:val="TOC2"/>
        <w:rPr>
          <w:rFonts w:asciiTheme="minorHAnsi" w:eastAsiaTheme="minorEastAsia" w:hAnsiTheme="minorHAnsi" w:cstheme="minorBidi"/>
          <w:iCs w:val="0"/>
          <w:noProof/>
          <w:szCs w:val="22"/>
        </w:rPr>
      </w:pPr>
      <w:r>
        <w:rPr>
          <w:noProof/>
        </w:rPr>
        <w:t>Populärvetenskaplig sammanfattning på svenska</w:t>
      </w:r>
      <w:r>
        <w:rPr>
          <w:noProof/>
        </w:rPr>
        <w:tab/>
      </w:r>
      <w:r>
        <w:rPr>
          <w:noProof/>
        </w:rPr>
        <w:fldChar w:fldCharType="begin"/>
      </w:r>
      <w:r>
        <w:rPr>
          <w:noProof/>
        </w:rPr>
        <w:instrText xml:space="preserve"> PAGEREF _Toc492391036 \h </w:instrText>
      </w:r>
      <w:r>
        <w:rPr>
          <w:noProof/>
        </w:rPr>
      </w:r>
      <w:r>
        <w:rPr>
          <w:noProof/>
        </w:rPr>
        <w:fldChar w:fldCharType="separate"/>
      </w:r>
      <w:r w:rsidR="003B6BE9">
        <w:rPr>
          <w:noProof/>
        </w:rPr>
        <w:t>12</w:t>
      </w:r>
      <w:r>
        <w:rPr>
          <w:noProof/>
        </w:rPr>
        <w:fldChar w:fldCharType="end"/>
      </w:r>
    </w:p>
    <w:p w14:paraId="701291F9" w14:textId="77777777" w:rsidR="009069F1" w:rsidRPr="009069F1" w:rsidRDefault="009069F1">
      <w:pPr>
        <w:pStyle w:val="TOC2"/>
        <w:rPr>
          <w:rFonts w:asciiTheme="minorHAnsi" w:eastAsiaTheme="minorEastAsia" w:hAnsiTheme="minorHAnsi" w:cstheme="minorBidi"/>
          <w:iCs w:val="0"/>
          <w:noProof/>
          <w:szCs w:val="22"/>
          <w:lang w:val="en-US"/>
        </w:rPr>
      </w:pPr>
      <w:r w:rsidRPr="00FC7680">
        <w:rPr>
          <w:noProof/>
          <w:lang w:val="en-US"/>
        </w:rPr>
        <w:t>Abbreviations</w:t>
      </w:r>
      <w:r w:rsidRPr="009069F1">
        <w:rPr>
          <w:noProof/>
          <w:lang w:val="en-US"/>
        </w:rPr>
        <w:tab/>
      </w:r>
      <w:r>
        <w:rPr>
          <w:noProof/>
        </w:rPr>
        <w:fldChar w:fldCharType="begin"/>
      </w:r>
      <w:r w:rsidRPr="009069F1">
        <w:rPr>
          <w:noProof/>
          <w:lang w:val="en-US"/>
        </w:rPr>
        <w:instrText xml:space="preserve"> PAGEREF _Toc492391037 \h </w:instrText>
      </w:r>
      <w:r>
        <w:rPr>
          <w:noProof/>
        </w:rPr>
      </w:r>
      <w:r>
        <w:rPr>
          <w:noProof/>
        </w:rPr>
        <w:fldChar w:fldCharType="separate"/>
      </w:r>
      <w:r w:rsidR="003B6BE9">
        <w:rPr>
          <w:noProof/>
          <w:lang w:val="en-US"/>
        </w:rPr>
        <w:t>14</w:t>
      </w:r>
      <w:r>
        <w:rPr>
          <w:noProof/>
        </w:rPr>
        <w:fldChar w:fldCharType="end"/>
      </w:r>
    </w:p>
    <w:p w14:paraId="1376E742" w14:textId="77777777" w:rsidR="009069F1" w:rsidRPr="009069F1" w:rsidRDefault="009069F1">
      <w:pPr>
        <w:pStyle w:val="TOC2"/>
        <w:rPr>
          <w:rFonts w:asciiTheme="minorHAnsi" w:eastAsiaTheme="minorEastAsia" w:hAnsiTheme="minorHAnsi" w:cstheme="minorBidi"/>
          <w:iCs w:val="0"/>
          <w:noProof/>
          <w:szCs w:val="22"/>
          <w:lang w:val="en-US"/>
        </w:rPr>
      </w:pPr>
      <w:r w:rsidRPr="009069F1">
        <w:rPr>
          <w:noProof/>
          <w:lang w:val="en-US"/>
        </w:rPr>
        <w:t>Original papers</w:t>
      </w:r>
      <w:r w:rsidRPr="009069F1">
        <w:rPr>
          <w:noProof/>
          <w:lang w:val="en-US"/>
        </w:rPr>
        <w:tab/>
      </w:r>
      <w:r>
        <w:rPr>
          <w:noProof/>
        </w:rPr>
        <w:fldChar w:fldCharType="begin"/>
      </w:r>
      <w:r w:rsidRPr="009069F1">
        <w:rPr>
          <w:noProof/>
          <w:lang w:val="en-US"/>
        </w:rPr>
        <w:instrText xml:space="preserve"> PAGEREF _Toc492391038 \h </w:instrText>
      </w:r>
      <w:r>
        <w:rPr>
          <w:noProof/>
        </w:rPr>
      </w:r>
      <w:r>
        <w:rPr>
          <w:noProof/>
        </w:rPr>
        <w:fldChar w:fldCharType="separate"/>
      </w:r>
      <w:r w:rsidR="003B6BE9">
        <w:rPr>
          <w:noProof/>
          <w:lang w:val="en-US"/>
        </w:rPr>
        <w:t>15</w:t>
      </w:r>
      <w:r>
        <w:rPr>
          <w:noProof/>
        </w:rPr>
        <w:fldChar w:fldCharType="end"/>
      </w:r>
    </w:p>
    <w:p w14:paraId="539294BC" w14:textId="77777777" w:rsidR="009069F1" w:rsidRPr="009069F1" w:rsidRDefault="009069F1">
      <w:pPr>
        <w:pStyle w:val="TOC1"/>
        <w:rPr>
          <w:rFonts w:asciiTheme="minorHAnsi" w:eastAsiaTheme="minorEastAsia" w:hAnsiTheme="minorHAnsi" w:cstheme="minorBidi"/>
          <w:lang w:val="en-US"/>
        </w:rPr>
      </w:pPr>
      <w:r w:rsidRPr="009069F1">
        <w:rPr>
          <w:lang w:val="en-US"/>
        </w:rPr>
        <w:t>Introduction</w:t>
      </w:r>
      <w:r w:rsidRPr="009069F1">
        <w:rPr>
          <w:lang w:val="en-US"/>
        </w:rPr>
        <w:tab/>
      </w:r>
      <w:r>
        <w:fldChar w:fldCharType="begin"/>
      </w:r>
      <w:r w:rsidRPr="009069F1">
        <w:rPr>
          <w:lang w:val="en-US"/>
        </w:rPr>
        <w:instrText xml:space="preserve"> PAGEREF _Toc492391039 \h </w:instrText>
      </w:r>
      <w:r>
        <w:fldChar w:fldCharType="separate"/>
      </w:r>
      <w:r w:rsidR="003B6BE9">
        <w:rPr>
          <w:lang w:val="en-US"/>
        </w:rPr>
        <w:t>17</w:t>
      </w:r>
      <w:r>
        <w:fldChar w:fldCharType="end"/>
      </w:r>
    </w:p>
    <w:p w14:paraId="3960CE42" w14:textId="77777777" w:rsidR="009069F1" w:rsidRPr="009069F1" w:rsidRDefault="009069F1">
      <w:pPr>
        <w:pStyle w:val="TOC2"/>
        <w:rPr>
          <w:rFonts w:asciiTheme="minorHAnsi" w:eastAsiaTheme="minorEastAsia" w:hAnsiTheme="minorHAnsi" w:cstheme="minorBidi"/>
          <w:iCs w:val="0"/>
          <w:noProof/>
          <w:szCs w:val="22"/>
          <w:lang w:val="en-US"/>
        </w:rPr>
      </w:pPr>
      <w:r w:rsidRPr="00FC7680">
        <w:rPr>
          <w:noProof/>
          <w:lang w:val="en-US"/>
        </w:rPr>
        <w:t>Background</w:t>
      </w:r>
      <w:r w:rsidRPr="009069F1">
        <w:rPr>
          <w:noProof/>
          <w:lang w:val="en-US"/>
        </w:rPr>
        <w:tab/>
      </w:r>
      <w:r>
        <w:rPr>
          <w:noProof/>
        </w:rPr>
        <w:fldChar w:fldCharType="begin"/>
      </w:r>
      <w:r w:rsidRPr="009069F1">
        <w:rPr>
          <w:noProof/>
          <w:lang w:val="en-US"/>
        </w:rPr>
        <w:instrText xml:space="preserve"> PAGEREF _Toc492391040 \h </w:instrText>
      </w:r>
      <w:r>
        <w:rPr>
          <w:noProof/>
        </w:rPr>
      </w:r>
      <w:r>
        <w:rPr>
          <w:noProof/>
        </w:rPr>
        <w:fldChar w:fldCharType="separate"/>
      </w:r>
      <w:r w:rsidR="003B6BE9">
        <w:rPr>
          <w:noProof/>
          <w:lang w:val="en-US"/>
        </w:rPr>
        <w:t>17</w:t>
      </w:r>
      <w:r>
        <w:rPr>
          <w:noProof/>
        </w:rPr>
        <w:fldChar w:fldCharType="end"/>
      </w:r>
    </w:p>
    <w:p w14:paraId="51D58B46" w14:textId="77777777" w:rsidR="009069F1" w:rsidRPr="009069F1" w:rsidRDefault="009069F1">
      <w:pPr>
        <w:pStyle w:val="TOC2"/>
        <w:rPr>
          <w:rFonts w:asciiTheme="minorHAnsi" w:eastAsiaTheme="minorEastAsia" w:hAnsiTheme="minorHAnsi" w:cstheme="minorBidi"/>
          <w:iCs w:val="0"/>
          <w:noProof/>
          <w:szCs w:val="22"/>
          <w:lang w:val="en-US"/>
        </w:rPr>
      </w:pPr>
      <w:r w:rsidRPr="00FC7680">
        <w:rPr>
          <w:noProof/>
          <w:lang w:val="en-US"/>
        </w:rPr>
        <w:t>ABR</w:t>
      </w:r>
      <w:r w:rsidRPr="009069F1">
        <w:rPr>
          <w:noProof/>
          <w:lang w:val="en-US"/>
        </w:rPr>
        <w:tab/>
      </w:r>
      <w:r>
        <w:rPr>
          <w:noProof/>
        </w:rPr>
        <w:fldChar w:fldCharType="begin"/>
      </w:r>
      <w:r w:rsidRPr="009069F1">
        <w:rPr>
          <w:noProof/>
          <w:lang w:val="en-US"/>
        </w:rPr>
        <w:instrText xml:space="preserve"> PAGEREF _Toc492391041 \h </w:instrText>
      </w:r>
      <w:r>
        <w:rPr>
          <w:noProof/>
        </w:rPr>
      </w:r>
      <w:r>
        <w:rPr>
          <w:noProof/>
        </w:rPr>
        <w:fldChar w:fldCharType="separate"/>
      </w:r>
      <w:r w:rsidR="003B6BE9">
        <w:rPr>
          <w:noProof/>
          <w:lang w:val="en-US"/>
        </w:rPr>
        <w:t>22</w:t>
      </w:r>
      <w:r>
        <w:rPr>
          <w:noProof/>
        </w:rPr>
        <w:fldChar w:fldCharType="end"/>
      </w:r>
    </w:p>
    <w:p w14:paraId="084CD958" w14:textId="77777777" w:rsidR="009069F1" w:rsidRPr="009069F1" w:rsidRDefault="009069F1">
      <w:pPr>
        <w:pStyle w:val="TOC2"/>
        <w:rPr>
          <w:rFonts w:asciiTheme="minorHAnsi" w:eastAsiaTheme="minorEastAsia" w:hAnsiTheme="minorHAnsi" w:cstheme="minorBidi"/>
          <w:iCs w:val="0"/>
          <w:noProof/>
          <w:szCs w:val="22"/>
          <w:lang w:val="en-US"/>
        </w:rPr>
      </w:pPr>
      <w:r w:rsidRPr="00FC7680">
        <w:rPr>
          <w:noProof/>
          <w:lang w:val="en-US"/>
        </w:rPr>
        <w:t>CANTAB</w:t>
      </w:r>
      <w:r w:rsidRPr="009069F1">
        <w:rPr>
          <w:noProof/>
          <w:lang w:val="en-US"/>
        </w:rPr>
        <w:tab/>
      </w:r>
      <w:r>
        <w:rPr>
          <w:noProof/>
        </w:rPr>
        <w:fldChar w:fldCharType="begin"/>
      </w:r>
      <w:r w:rsidRPr="009069F1">
        <w:rPr>
          <w:noProof/>
          <w:lang w:val="en-US"/>
        </w:rPr>
        <w:instrText xml:space="preserve"> PAGEREF _Toc492391042 \h </w:instrText>
      </w:r>
      <w:r>
        <w:rPr>
          <w:noProof/>
        </w:rPr>
      </w:r>
      <w:r>
        <w:rPr>
          <w:noProof/>
        </w:rPr>
        <w:fldChar w:fldCharType="separate"/>
      </w:r>
      <w:r w:rsidR="003B6BE9">
        <w:rPr>
          <w:noProof/>
          <w:lang w:val="en-US"/>
        </w:rPr>
        <w:t>27</w:t>
      </w:r>
      <w:r>
        <w:rPr>
          <w:noProof/>
        </w:rPr>
        <w:fldChar w:fldCharType="end"/>
      </w:r>
    </w:p>
    <w:p w14:paraId="073AC171" w14:textId="77777777" w:rsidR="009069F1" w:rsidRPr="009069F1" w:rsidRDefault="009069F1">
      <w:pPr>
        <w:pStyle w:val="TOC1"/>
        <w:rPr>
          <w:rFonts w:asciiTheme="minorHAnsi" w:eastAsiaTheme="minorEastAsia" w:hAnsiTheme="minorHAnsi" w:cstheme="minorBidi"/>
          <w:lang w:val="en-US"/>
        </w:rPr>
      </w:pPr>
      <w:r w:rsidRPr="009069F1">
        <w:rPr>
          <w:lang w:val="en-US"/>
        </w:rPr>
        <w:t>Aims of the thesis</w:t>
      </w:r>
      <w:r w:rsidRPr="009069F1">
        <w:rPr>
          <w:lang w:val="en-US"/>
        </w:rPr>
        <w:tab/>
      </w:r>
      <w:r>
        <w:fldChar w:fldCharType="begin"/>
      </w:r>
      <w:r w:rsidRPr="009069F1">
        <w:rPr>
          <w:lang w:val="en-US"/>
        </w:rPr>
        <w:instrText xml:space="preserve"> PAGEREF _Toc492391043 \h </w:instrText>
      </w:r>
      <w:r>
        <w:fldChar w:fldCharType="separate"/>
      </w:r>
      <w:r w:rsidR="003B6BE9">
        <w:rPr>
          <w:lang w:val="en-US"/>
        </w:rPr>
        <w:t>33</w:t>
      </w:r>
      <w:r>
        <w:fldChar w:fldCharType="end"/>
      </w:r>
    </w:p>
    <w:p w14:paraId="741BAF90" w14:textId="77777777" w:rsidR="009069F1" w:rsidRPr="009069F1" w:rsidRDefault="009069F1">
      <w:pPr>
        <w:pStyle w:val="TOC1"/>
        <w:rPr>
          <w:rFonts w:asciiTheme="minorHAnsi" w:eastAsiaTheme="minorEastAsia" w:hAnsiTheme="minorHAnsi" w:cstheme="minorBidi"/>
          <w:lang w:val="en-US"/>
        </w:rPr>
      </w:pPr>
      <w:r w:rsidRPr="009069F1">
        <w:rPr>
          <w:lang w:val="en-US"/>
        </w:rPr>
        <w:t>Ethical considerations</w:t>
      </w:r>
      <w:r w:rsidRPr="009069F1">
        <w:rPr>
          <w:lang w:val="en-US"/>
        </w:rPr>
        <w:tab/>
      </w:r>
      <w:r>
        <w:fldChar w:fldCharType="begin"/>
      </w:r>
      <w:r w:rsidRPr="009069F1">
        <w:rPr>
          <w:lang w:val="en-US"/>
        </w:rPr>
        <w:instrText xml:space="preserve"> PAGEREF _Toc492391044 \h </w:instrText>
      </w:r>
      <w:r>
        <w:fldChar w:fldCharType="separate"/>
      </w:r>
      <w:r w:rsidR="003B6BE9">
        <w:rPr>
          <w:lang w:val="en-US"/>
        </w:rPr>
        <w:t>35</w:t>
      </w:r>
      <w:r>
        <w:fldChar w:fldCharType="end"/>
      </w:r>
    </w:p>
    <w:p w14:paraId="652B2B42" w14:textId="77777777" w:rsidR="009069F1" w:rsidRPr="009069F1" w:rsidRDefault="009069F1">
      <w:pPr>
        <w:pStyle w:val="TOC1"/>
        <w:rPr>
          <w:rFonts w:asciiTheme="minorHAnsi" w:eastAsiaTheme="minorEastAsia" w:hAnsiTheme="minorHAnsi" w:cstheme="minorBidi"/>
          <w:lang w:val="en-US"/>
        </w:rPr>
      </w:pPr>
      <w:r w:rsidRPr="009069F1">
        <w:rPr>
          <w:lang w:val="en-US"/>
        </w:rPr>
        <w:t>Methods</w:t>
      </w:r>
      <w:r w:rsidRPr="009069F1">
        <w:rPr>
          <w:lang w:val="en-US"/>
        </w:rPr>
        <w:tab/>
      </w:r>
      <w:r>
        <w:fldChar w:fldCharType="begin"/>
      </w:r>
      <w:r w:rsidRPr="009069F1">
        <w:rPr>
          <w:lang w:val="en-US"/>
        </w:rPr>
        <w:instrText xml:space="preserve"> PAGEREF _Toc492391045 \h </w:instrText>
      </w:r>
      <w:r>
        <w:fldChar w:fldCharType="separate"/>
      </w:r>
      <w:r w:rsidR="003B6BE9">
        <w:rPr>
          <w:lang w:val="en-US"/>
        </w:rPr>
        <w:t>37</w:t>
      </w:r>
      <w:r>
        <w:fldChar w:fldCharType="end"/>
      </w:r>
    </w:p>
    <w:p w14:paraId="44277E3C" w14:textId="77777777" w:rsidR="009069F1" w:rsidRPr="009069F1" w:rsidRDefault="009069F1">
      <w:pPr>
        <w:pStyle w:val="TOC2"/>
        <w:rPr>
          <w:rFonts w:asciiTheme="minorHAnsi" w:eastAsiaTheme="minorEastAsia" w:hAnsiTheme="minorHAnsi" w:cstheme="minorBidi"/>
          <w:iCs w:val="0"/>
          <w:noProof/>
          <w:szCs w:val="22"/>
          <w:lang w:val="en-US"/>
        </w:rPr>
      </w:pPr>
      <w:r w:rsidRPr="00FC7680">
        <w:rPr>
          <w:noProof/>
          <w:lang w:val="en-US"/>
        </w:rPr>
        <w:t>Subjects</w:t>
      </w:r>
      <w:r w:rsidRPr="009069F1">
        <w:rPr>
          <w:noProof/>
          <w:lang w:val="en-US"/>
        </w:rPr>
        <w:tab/>
      </w:r>
      <w:r>
        <w:rPr>
          <w:noProof/>
        </w:rPr>
        <w:fldChar w:fldCharType="begin"/>
      </w:r>
      <w:r w:rsidRPr="009069F1">
        <w:rPr>
          <w:noProof/>
          <w:lang w:val="en-US"/>
        </w:rPr>
        <w:instrText xml:space="preserve"> PAGEREF _Toc492391046 \h </w:instrText>
      </w:r>
      <w:r>
        <w:rPr>
          <w:noProof/>
        </w:rPr>
      </w:r>
      <w:r>
        <w:rPr>
          <w:noProof/>
        </w:rPr>
        <w:fldChar w:fldCharType="separate"/>
      </w:r>
      <w:r w:rsidR="003B6BE9">
        <w:rPr>
          <w:noProof/>
          <w:lang w:val="en-US"/>
        </w:rPr>
        <w:t>37</w:t>
      </w:r>
      <w:r>
        <w:rPr>
          <w:noProof/>
        </w:rPr>
        <w:fldChar w:fldCharType="end"/>
      </w:r>
    </w:p>
    <w:p w14:paraId="3A2295EB" w14:textId="77777777" w:rsidR="009069F1" w:rsidRPr="009069F1" w:rsidRDefault="009069F1">
      <w:pPr>
        <w:pStyle w:val="TOC2"/>
        <w:rPr>
          <w:rFonts w:asciiTheme="minorHAnsi" w:eastAsiaTheme="minorEastAsia" w:hAnsiTheme="minorHAnsi" w:cstheme="minorBidi"/>
          <w:iCs w:val="0"/>
          <w:noProof/>
          <w:szCs w:val="22"/>
          <w:lang w:val="en-US"/>
        </w:rPr>
      </w:pPr>
      <w:r w:rsidRPr="00FC7680">
        <w:rPr>
          <w:noProof/>
          <w:lang w:val="en-US"/>
        </w:rPr>
        <w:t>Procedures</w:t>
      </w:r>
      <w:r w:rsidRPr="009069F1">
        <w:rPr>
          <w:noProof/>
          <w:lang w:val="en-US"/>
        </w:rPr>
        <w:tab/>
      </w:r>
      <w:r>
        <w:rPr>
          <w:noProof/>
        </w:rPr>
        <w:fldChar w:fldCharType="begin"/>
      </w:r>
      <w:r w:rsidRPr="009069F1">
        <w:rPr>
          <w:noProof/>
          <w:lang w:val="en-US"/>
        </w:rPr>
        <w:instrText xml:space="preserve"> PAGEREF _Toc492391047 \h </w:instrText>
      </w:r>
      <w:r>
        <w:rPr>
          <w:noProof/>
        </w:rPr>
      </w:r>
      <w:r>
        <w:rPr>
          <w:noProof/>
        </w:rPr>
        <w:fldChar w:fldCharType="separate"/>
      </w:r>
      <w:r w:rsidR="003B6BE9">
        <w:rPr>
          <w:noProof/>
          <w:lang w:val="en-US"/>
        </w:rPr>
        <w:t>40</w:t>
      </w:r>
      <w:r>
        <w:rPr>
          <w:noProof/>
        </w:rPr>
        <w:fldChar w:fldCharType="end"/>
      </w:r>
    </w:p>
    <w:p w14:paraId="5BDE3535" w14:textId="77777777" w:rsidR="009069F1" w:rsidRPr="009069F1" w:rsidRDefault="009069F1">
      <w:pPr>
        <w:pStyle w:val="TOC2"/>
        <w:rPr>
          <w:rFonts w:asciiTheme="minorHAnsi" w:eastAsiaTheme="minorEastAsia" w:hAnsiTheme="minorHAnsi" w:cstheme="minorBidi"/>
          <w:iCs w:val="0"/>
          <w:noProof/>
          <w:szCs w:val="22"/>
          <w:lang w:val="en-US"/>
        </w:rPr>
      </w:pPr>
      <w:r w:rsidRPr="00FC7680">
        <w:rPr>
          <w:noProof/>
          <w:lang w:val="en-US"/>
        </w:rPr>
        <w:t>Measures</w:t>
      </w:r>
      <w:r w:rsidRPr="009069F1">
        <w:rPr>
          <w:noProof/>
          <w:lang w:val="en-US"/>
        </w:rPr>
        <w:tab/>
      </w:r>
      <w:r>
        <w:rPr>
          <w:noProof/>
        </w:rPr>
        <w:fldChar w:fldCharType="begin"/>
      </w:r>
      <w:r w:rsidRPr="009069F1">
        <w:rPr>
          <w:noProof/>
          <w:lang w:val="en-US"/>
        </w:rPr>
        <w:instrText xml:space="preserve"> PAGEREF _Toc492391048 \h </w:instrText>
      </w:r>
      <w:r>
        <w:rPr>
          <w:noProof/>
        </w:rPr>
      </w:r>
      <w:r>
        <w:rPr>
          <w:noProof/>
        </w:rPr>
        <w:fldChar w:fldCharType="separate"/>
      </w:r>
      <w:r w:rsidR="003B6BE9">
        <w:rPr>
          <w:noProof/>
          <w:lang w:val="en-US"/>
        </w:rPr>
        <w:t>42</w:t>
      </w:r>
      <w:r>
        <w:rPr>
          <w:noProof/>
        </w:rPr>
        <w:fldChar w:fldCharType="end"/>
      </w:r>
    </w:p>
    <w:p w14:paraId="76AC0E1D" w14:textId="77777777" w:rsidR="009069F1" w:rsidRPr="009069F1" w:rsidRDefault="009069F1">
      <w:pPr>
        <w:pStyle w:val="TOC2"/>
        <w:rPr>
          <w:rFonts w:asciiTheme="minorHAnsi" w:eastAsiaTheme="minorEastAsia" w:hAnsiTheme="minorHAnsi" w:cstheme="minorBidi"/>
          <w:iCs w:val="0"/>
          <w:noProof/>
          <w:szCs w:val="22"/>
          <w:lang w:val="en-US"/>
        </w:rPr>
      </w:pPr>
      <w:r w:rsidRPr="00FC7680">
        <w:rPr>
          <w:noProof/>
          <w:lang w:val="en-US"/>
        </w:rPr>
        <w:t>Statistics</w:t>
      </w:r>
      <w:r w:rsidRPr="009069F1">
        <w:rPr>
          <w:noProof/>
          <w:lang w:val="en-US"/>
        </w:rPr>
        <w:tab/>
      </w:r>
      <w:r>
        <w:rPr>
          <w:noProof/>
        </w:rPr>
        <w:fldChar w:fldCharType="begin"/>
      </w:r>
      <w:r w:rsidRPr="009069F1">
        <w:rPr>
          <w:noProof/>
          <w:lang w:val="en-US"/>
        </w:rPr>
        <w:instrText xml:space="preserve"> PAGEREF _Toc492391049 \h </w:instrText>
      </w:r>
      <w:r>
        <w:rPr>
          <w:noProof/>
        </w:rPr>
      </w:r>
      <w:r>
        <w:rPr>
          <w:noProof/>
        </w:rPr>
        <w:fldChar w:fldCharType="separate"/>
      </w:r>
      <w:r w:rsidR="003B6BE9">
        <w:rPr>
          <w:noProof/>
          <w:lang w:val="en-US"/>
        </w:rPr>
        <w:t>45</w:t>
      </w:r>
      <w:r>
        <w:rPr>
          <w:noProof/>
        </w:rPr>
        <w:fldChar w:fldCharType="end"/>
      </w:r>
    </w:p>
    <w:p w14:paraId="41A662E6" w14:textId="77777777" w:rsidR="009069F1" w:rsidRPr="009069F1" w:rsidRDefault="009069F1">
      <w:pPr>
        <w:pStyle w:val="TOC1"/>
        <w:rPr>
          <w:rFonts w:asciiTheme="minorHAnsi" w:eastAsiaTheme="minorEastAsia" w:hAnsiTheme="minorHAnsi" w:cstheme="minorBidi"/>
          <w:lang w:val="en-US"/>
        </w:rPr>
      </w:pPr>
      <w:r w:rsidRPr="009069F1">
        <w:rPr>
          <w:lang w:val="en-US"/>
        </w:rPr>
        <w:t>Results</w:t>
      </w:r>
      <w:r w:rsidRPr="009069F1">
        <w:rPr>
          <w:lang w:val="en-US"/>
        </w:rPr>
        <w:tab/>
      </w:r>
      <w:r>
        <w:fldChar w:fldCharType="begin"/>
      </w:r>
      <w:r w:rsidRPr="009069F1">
        <w:rPr>
          <w:lang w:val="en-US"/>
        </w:rPr>
        <w:instrText xml:space="preserve"> PAGEREF _Toc492391050 \h </w:instrText>
      </w:r>
      <w:r>
        <w:fldChar w:fldCharType="separate"/>
      </w:r>
      <w:r w:rsidR="003B6BE9">
        <w:rPr>
          <w:lang w:val="en-US"/>
        </w:rPr>
        <w:t>47</w:t>
      </w:r>
      <w:r>
        <w:fldChar w:fldCharType="end"/>
      </w:r>
    </w:p>
    <w:p w14:paraId="272CEED8" w14:textId="77777777" w:rsidR="009069F1" w:rsidRPr="009069F1" w:rsidRDefault="009069F1">
      <w:pPr>
        <w:pStyle w:val="TOC2"/>
        <w:rPr>
          <w:rFonts w:asciiTheme="minorHAnsi" w:eastAsiaTheme="minorEastAsia" w:hAnsiTheme="minorHAnsi" w:cstheme="minorBidi"/>
          <w:iCs w:val="0"/>
          <w:noProof/>
          <w:szCs w:val="22"/>
          <w:lang w:val="en-US"/>
        </w:rPr>
      </w:pPr>
      <w:r w:rsidRPr="00FC7680">
        <w:rPr>
          <w:noProof/>
          <w:lang w:val="en-US"/>
        </w:rPr>
        <w:t>Paper I</w:t>
      </w:r>
      <w:r w:rsidRPr="009069F1">
        <w:rPr>
          <w:noProof/>
          <w:lang w:val="en-US"/>
        </w:rPr>
        <w:tab/>
      </w:r>
      <w:r>
        <w:rPr>
          <w:noProof/>
        </w:rPr>
        <w:fldChar w:fldCharType="begin"/>
      </w:r>
      <w:r w:rsidRPr="009069F1">
        <w:rPr>
          <w:noProof/>
          <w:lang w:val="en-US"/>
        </w:rPr>
        <w:instrText xml:space="preserve"> PAGEREF _Toc492391051 \h </w:instrText>
      </w:r>
      <w:r>
        <w:rPr>
          <w:noProof/>
        </w:rPr>
      </w:r>
      <w:r>
        <w:rPr>
          <w:noProof/>
        </w:rPr>
        <w:fldChar w:fldCharType="separate"/>
      </w:r>
      <w:r w:rsidR="003B6BE9">
        <w:rPr>
          <w:noProof/>
          <w:lang w:val="en-US"/>
        </w:rPr>
        <w:t>47</w:t>
      </w:r>
      <w:r>
        <w:rPr>
          <w:noProof/>
        </w:rPr>
        <w:fldChar w:fldCharType="end"/>
      </w:r>
    </w:p>
    <w:p w14:paraId="01D38D6B" w14:textId="77777777" w:rsidR="009069F1" w:rsidRPr="009069F1" w:rsidRDefault="009069F1">
      <w:pPr>
        <w:pStyle w:val="TOC2"/>
        <w:rPr>
          <w:rFonts w:asciiTheme="minorHAnsi" w:eastAsiaTheme="minorEastAsia" w:hAnsiTheme="minorHAnsi" w:cstheme="minorBidi"/>
          <w:iCs w:val="0"/>
          <w:noProof/>
          <w:szCs w:val="22"/>
          <w:lang w:val="en-US"/>
        </w:rPr>
      </w:pPr>
      <w:r w:rsidRPr="00FC7680">
        <w:rPr>
          <w:noProof/>
          <w:lang w:val="en-US"/>
        </w:rPr>
        <w:t>Paper II</w:t>
      </w:r>
      <w:r w:rsidRPr="009069F1">
        <w:rPr>
          <w:noProof/>
          <w:lang w:val="en-US"/>
        </w:rPr>
        <w:tab/>
      </w:r>
      <w:r>
        <w:rPr>
          <w:noProof/>
        </w:rPr>
        <w:fldChar w:fldCharType="begin"/>
      </w:r>
      <w:r w:rsidRPr="009069F1">
        <w:rPr>
          <w:noProof/>
          <w:lang w:val="en-US"/>
        </w:rPr>
        <w:instrText xml:space="preserve"> PAGEREF _Toc492391052 \h </w:instrText>
      </w:r>
      <w:r>
        <w:rPr>
          <w:noProof/>
        </w:rPr>
      </w:r>
      <w:r>
        <w:rPr>
          <w:noProof/>
        </w:rPr>
        <w:fldChar w:fldCharType="separate"/>
      </w:r>
      <w:r w:rsidR="003B6BE9">
        <w:rPr>
          <w:noProof/>
          <w:lang w:val="en-US"/>
        </w:rPr>
        <w:t>50</w:t>
      </w:r>
      <w:r>
        <w:rPr>
          <w:noProof/>
        </w:rPr>
        <w:fldChar w:fldCharType="end"/>
      </w:r>
    </w:p>
    <w:p w14:paraId="2BE4F726" w14:textId="77777777" w:rsidR="009069F1" w:rsidRPr="009069F1" w:rsidRDefault="009069F1">
      <w:pPr>
        <w:pStyle w:val="TOC2"/>
        <w:rPr>
          <w:rFonts w:asciiTheme="minorHAnsi" w:eastAsiaTheme="minorEastAsia" w:hAnsiTheme="minorHAnsi" w:cstheme="minorBidi"/>
          <w:iCs w:val="0"/>
          <w:noProof/>
          <w:szCs w:val="22"/>
          <w:lang w:val="en-US"/>
        </w:rPr>
      </w:pPr>
      <w:r w:rsidRPr="00FC7680">
        <w:rPr>
          <w:noProof/>
          <w:lang w:val="en-US"/>
        </w:rPr>
        <w:t>Paper III</w:t>
      </w:r>
      <w:r w:rsidRPr="009069F1">
        <w:rPr>
          <w:noProof/>
          <w:lang w:val="en-US"/>
        </w:rPr>
        <w:tab/>
      </w:r>
      <w:r>
        <w:rPr>
          <w:noProof/>
        </w:rPr>
        <w:fldChar w:fldCharType="begin"/>
      </w:r>
      <w:r w:rsidRPr="009069F1">
        <w:rPr>
          <w:noProof/>
          <w:lang w:val="en-US"/>
        </w:rPr>
        <w:instrText xml:space="preserve"> PAGEREF _Toc492391053 \h </w:instrText>
      </w:r>
      <w:r>
        <w:rPr>
          <w:noProof/>
        </w:rPr>
      </w:r>
      <w:r>
        <w:rPr>
          <w:noProof/>
        </w:rPr>
        <w:fldChar w:fldCharType="separate"/>
      </w:r>
      <w:r w:rsidR="003B6BE9">
        <w:rPr>
          <w:noProof/>
          <w:lang w:val="en-US"/>
        </w:rPr>
        <w:t>54</w:t>
      </w:r>
      <w:r>
        <w:rPr>
          <w:noProof/>
        </w:rPr>
        <w:fldChar w:fldCharType="end"/>
      </w:r>
    </w:p>
    <w:p w14:paraId="09EA25E8" w14:textId="77777777" w:rsidR="009069F1" w:rsidRPr="009069F1" w:rsidRDefault="009069F1">
      <w:pPr>
        <w:pStyle w:val="TOC2"/>
        <w:rPr>
          <w:rFonts w:asciiTheme="minorHAnsi" w:eastAsiaTheme="minorEastAsia" w:hAnsiTheme="minorHAnsi" w:cstheme="minorBidi"/>
          <w:iCs w:val="0"/>
          <w:noProof/>
          <w:szCs w:val="22"/>
          <w:lang w:val="en-US"/>
        </w:rPr>
      </w:pPr>
      <w:r w:rsidRPr="00FC7680">
        <w:rPr>
          <w:noProof/>
          <w:lang w:val="en-US"/>
        </w:rPr>
        <w:t>Paper IV</w:t>
      </w:r>
      <w:r w:rsidRPr="009069F1">
        <w:rPr>
          <w:noProof/>
          <w:lang w:val="en-US"/>
        </w:rPr>
        <w:tab/>
      </w:r>
      <w:r>
        <w:rPr>
          <w:noProof/>
        </w:rPr>
        <w:fldChar w:fldCharType="begin"/>
      </w:r>
      <w:r w:rsidRPr="009069F1">
        <w:rPr>
          <w:noProof/>
          <w:lang w:val="en-US"/>
        </w:rPr>
        <w:instrText xml:space="preserve"> PAGEREF _Toc492391054 \h </w:instrText>
      </w:r>
      <w:r>
        <w:rPr>
          <w:noProof/>
        </w:rPr>
      </w:r>
      <w:r>
        <w:rPr>
          <w:noProof/>
        </w:rPr>
        <w:fldChar w:fldCharType="separate"/>
      </w:r>
      <w:r w:rsidR="003B6BE9">
        <w:rPr>
          <w:noProof/>
          <w:lang w:val="en-US"/>
        </w:rPr>
        <w:t>56</w:t>
      </w:r>
      <w:r>
        <w:rPr>
          <w:noProof/>
        </w:rPr>
        <w:fldChar w:fldCharType="end"/>
      </w:r>
    </w:p>
    <w:p w14:paraId="76BCE921" w14:textId="77777777" w:rsidR="009069F1" w:rsidRPr="009069F1" w:rsidRDefault="009069F1">
      <w:pPr>
        <w:pStyle w:val="TOC1"/>
        <w:rPr>
          <w:rFonts w:asciiTheme="minorHAnsi" w:eastAsiaTheme="minorEastAsia" w:hAnsiTheme="minorHAnsi" w:cstheme="minorBidi"/>
          <w:lang w:val="en-US"/>
        </w:rPr>
      </w:pPr>
      <w:r w:rsidRPr="009069F1">
        <w:rPr>
          <w:lang w:val="en-US"/>
        </w:rPr>
        <w:t>Discussion</w:t>
      </w:r>
      <w:r w:rsidRPr="009069F1">
        <w:rPr>
          <w:lang w:val="en-US"/>
        </w:rPr>
        <w:tab/>
      </w:r>
      <w:r>
        <w:fldChar w:fldCharType="begin"/>
      </w:r>
      <w:r w:rsidRPr="009069F1">
        <w:rPr>
          <w:lang w:val="en-US"/>
        </w:rPr>
        <w:instrText xml:space="preserve"> PAGEREF _Toc492391055 \h </w:instrText>
      </w:r>
      <w:r>
        <w:fldChar w:fldCharType="separate"/>
      </w:r>
      <w:r w:rsidR="003B6BE9">
        <w:rPr>
          <w:lang w:val="en-US"/>
        </w:rPr>
        <w:t>61</w:t>
      </w:r>
      <w:r>
        <w:fldChar w:fldCharType="end"/>
      </w:r>
    </w:p>
    <w:p w14:paraId="48488B80" w14:textId="77777777" w:rsidR="009069F1" w:rsidRPr="00BC4DD2" w:rsidRDefault="009069F1">
      <w:pPr>
        <w:pStyle w:val="TOC1"/>
        <w:rPr>
          <w:rFonts w:asciiTheme="minorHAnsi" w:eastAsiaTheme="minorEastAsia" w:hAnsiTheme="minorHAnsi" w:cstheme="minorBidi"/>
          <w:lang w:val="en-GB"/>
        </w:rPr>
      </w:pPr>
      <w:r w:rsidRPr="00BC4DD2">
        <w:rPr>
          <w:lang w:val="en-GB"/>
        </w:rPr>
        <w:t>Limitations</w:t>
      </w:r>
      <w:r w:rsidRPr="00BC4DD2">
        <w:rPr>
          <w:lang w:val="en-GB"/>
        </w:rPr>
        <w:tab/>
      </w:r>
      <w:r>
        <w:fldChar w:fldCharType="begin"/>
      </w:r>
      <w:r w:rsidRPr="00BC4DD2">
        <w:rPr>
          <w:lang w:val="en-GB"/>
        </w:rPr>
        <w:instrText xml:space="preserve"> PAGEREF _Toc492391056 \h </w:instrText>
      </w:r>
      <w:r>
        <w:fldChar w:fldCharType="separate"/>
      </w:r>
      <w:r w:rsidR="003B6BE9" w:rsidRPr="00BC4DD2">
        <w:rPr>
          <w:lang w:val="en-GB"/>
        </w:rPr>
        <w:t>67</w:t>
      </w:r>
      <w:r>
        <w:fldChar w:fldCharType="end"/>
      </w:r>
    </w:p>
    <w:p w14:paraId="221C98B9" w14:textId="77777777" w:rsidR="009069F1" w:rsidRPr="00BC4DD2" w:rsidRDefault="009069F1">
      <w:pPr>
        <w:pStyle w:val="TOC1"/>
        <w:rPr>
          <w:rFonts w:asciiTheme="minorHAnsi" w:eastAsiaTheme="minorEastAsia" w:hAnsiTheme="minorHAnsi" w:cstheme="minorBidi"/>
          <w:lang w:val="en-GB"/>
        </w:rPr>
      </w:pPr>
      <w:r w:rsidRPr="00BC4DD2">
        <w:rPr>
          <w:lang w:val="en-GB"/>
        </w:rPr>
        <w:t>Future</w:t>
      </w:r>
      <w:r w:rsidRPr="00BC4DD2">
        <w:rPr>
          <w:lang w:val="en-GB"/>
        </w:rPr>
        <w:tab/>
      </w:r>
      <w:r>
        <w:fldChar w:fldCharType="begin"/>
      </w:r>
      <w:r w:rsidRPr="00BC4DD2">
        <w:rPr>
          <w:lang w:val="en-GB"/>
        </w:rPr>
        <w:instrText xml:space="preserve"> PAGEREF _Toc492391057 \h </w:instrText>
      </w:r>
      <w:r>
        <w:fldChar w:fldCharType="separate"/>
      </w:r>
      <w:r w:rsidR="003B6BE9" w:rsidRPr="00BC4DD2">
        <w:rPr>
          <w:lang w:val="en-GB"/>
        </w:rPr>
        <w:t>69</w:t>
      </w:r>
      <w:r>
        <w:fldChar w:fldCharType="end"/>
      </w:r>
    </w:p>
    <w:p w14:paraId="3E1BC846" w14:textId="77777777" w:rsidR="009069F1" w:rsidRPr="00BC4DD2" w:rsidRDefault="009069F1">
      <w:pPr>
        <w:pStyle w:val="TOC1"/>
        <w:rPr>
          <w:rFonts w:asciiTheme="minorHAnsi" w:eastAsiaTheme="minorEastAsia" w:hAnsiTheme="minorHAnsi" w:cstheme="minorBidi"/>
          <w:lang w:val="en-GB"/>
        </w:rPr>
      </w:pPr>
      <w:r w:rsidRPr="00BC4DD2">
        <w:rPr>
          <w:lang w:val="en-GB"/>
        </w:rPr>
        <w:t>Acknowledgment</w:t>
      </w:r>
      <w:r w:rsidRPr="00BC4DD2">
        <w:rPr>
          <w:lang w:val="en-GB"/>
        </w:rPr>
        <w:tab/>
      </w:r>
      <w:r>
        <w:fldChar w:fldCharType="begin"/>
      </w:r>
      <w:r w:rsidRPr="00BC4DD2">
        <w:rPr>
          <w:lang w:val="en-GB"/>
        </w:rPr>
        <w:instrText xml:space="preserve"> PAGEREF _Toc492391058 \h </w:instrText>
      </w:r>
      <w:r>
        <w:fldChar w:fldCharType="separate"/>
      </w:r>
      <w:r w:rsidR="003B6BE9" w:rsidRPr="00BC4DD2">
        <w:rPr>
          <w:lang w:val="en-GB"/>
        </w:rPr>
        <w:t>71</w:t>
      </w:r>
      <w:r>
        <w:fldChar w:fldCharType="end"/>
      </w:r>
    </w:p>
    <w:p w14:paraId="4ADF01D1" w14:textId="77777777" w:rsidR="009069F1" w:rsidRPr="00BC4DD2" w:rsidRDefault="009069F1">
      <w:pPr>
        <w:pStyle w:val="TOC1"/>
        <w:rPr>
          <w:rFonts w:asciiTheme="minorHAnsi" w:eastAsiaTheme="minorEastAsia" w:hAnsiTheme="minorHAnsi" w:cstheme="minorBidi"/>
          <w:lang w:val="en-GB"/>
        </w:rPr>
      </w:pPr>
      <w:r w:rsidRPr="00BC4DD2">
        <w:rPr>
          <w:shd w:val="clear" w:color="auto" w:fill="FFFFFF"/>
          <w:lang w:val="en-GB"/>
        </w:rPr>
        <w:t>References</w:t>
      </w:r>
      <w:r w:rsidRPr="00BC4DD2">
        <w:rPr>
          <w:lang w:val="en-GB"/>
        </w:rPr>
        <w:tab/>
      </w:r>
      <w:r>
        <w:fldChar w:fldCharType="begin"/>
      </w:r>
      <w:r w:rsidRPr="00BC4DD2">
        <w:rPr>
          <w:lang w:val="en-GB"/>
        </w:rPr>
        <w:instrText xml:space="preserve"> PAGEREF _Toc492391059 \h </w:instrText>
      </w:r>
      <w:r>
        <w:fldChar w:fldCharType="separate"/>
      </w:r>
      <w:r w:rsidR="003B6BE9" w:rsidRPr="00BC4DD2">
        <w:rPr>
          <w:lang w:val="en-GB"/>
        </w:rPr>
        <w:t>73</w:t>
      </w:r>
      <w:r>
        <w:fldChar w:fldCharType="end"/>
      </w:r>
    </w:p>
    <w:p w14:paraId="6641D54E" w14:textId="77777777" w:rsidR="00590EE0" w:rsidRPr="00A21601" w:rsidRDefault="009A52E1" w:rsidP="00590EE0">
      <w:pPr>
        <w:pStyle w:val="UppsatsBrdtext"/>
        <w:rPr>
          <w:lang w:val="en-US"/>
        </w:rPr>
      </w:pPr>
      <w:r>
        <w:lastRenderedPageBreak/>
        <w:fldChar w:fldCharType="end"/>
      </w:r>
      <w:bookmarkStart w:id="11" w:name="_Toc446582083"/>
      <w:bookmarkStart w:id="12" w:name="_Toc63737265"/>
      <w:bookmarkStart w:id="13" w:name="_Toc284856061"/>
      <w:bookmarkStart w:id="14" w:name="_Toc288641853"/>
      <w:bookmarkStart w:id="15" w:name="_Toc295890110"/>
      <w:bookmarkStart w:id="16" w:name="_Toc295890348"/>
    </w:p>
    <w:p w14:paraId="06A101BB" w14:textId="77777777" w:rsidR="00590EE0" w:rsidRPr="00A21601" w:rsidRDefault="00590EE0">
      <w:pPr>
        <w:spacing w:after="160" w:line="259" w:lineRule="auto"/>
        <w:rPr>
          <w:rFonts w:eastAsia="Times New Roman"/>
          <w:szCs w:val="48"/>
          <w:lang w:val="en-US"/>
        </w:rPr>
      </w:pPr>
      <w:r w:rsidRPr="00A21601">
        <w:rPr>
          <w:lang w:val="en-US"/>
        </w:rPr>
        <w:br w:type="page"/>
      </w:r>
    </w:p>
    <w:p w14:paraId="69CC2817" w14:textId="77777777" w:rsidR="00F95006" w:rsidRPr="00AA5A29" w:rsidRDefault="00F95006" w:rsidP="00F95006">
      <w:pPr>
        <w:pStyle w:val="Heading2"/>
        <w:rPr>
          <w:lang w:val="en-US"/>
        </w:rPr>
      </w:pPr>
      <w:bookmarkStart w:id="17" w:name="_Toc492391035"/>
      <w:bookmarkEnd w:id="11"/>
      <w:bookmarkEnd w:id="12"/>
      <w:bookmarkEnd w:id="13"/>
      <w:bookmarkEnd w:id="14"/>
      <w:bookmarkEnd w:id="15"/>
      <w:bookmarkEnd w:id="16"/>
      <w:r w:rsidRPr="00AA5A29">
        <w:rPr>
          <w:lang w:val="en-US"/>
        </w:rPr>
        <w:lastRenderedPageBreak/>
        <w:t>Abstract</w:t>
      </w:r>
      <w:bookmarkEnd w:id="17"/>
    </w:p>
    <w:p w14:paraId="582AED4B" w14:textId="77777777" w:rsidR="00F95006" w:rsidRPr="00AA5A29" w:rsidRDefault="00F95006" w:rsidP="00F95006">
      <w:pPr>
        <w:pStyle w:val="Heading4"/>
        <w:rPr>
          <w:lang w:val="en-US"/>
        </w:rPr>
      </w:pPr>
      <w:r w:rsidRPr="00AA5A29">
        <w:rPr>
          <w:lang w:val="en-US"/>
        </w:rPr>
        <w:t>Background</w:t>
      </w:r>
    </w:p>
    <w:p w14:paraId="01DE4884" w14:textId="36565A6C" w:rsidR="00F95006" w:rsidRDefault="00F95006" w:rsidP="00F95006">
      <w:pPr>
        <w:pStyle w:val="bodytext"/>
      </w:pPr>
      <w:r>
        <w:t>There is a need for easily administered objective tests in neurodevelopmental disorders. We investigated the clinical utility for child and adolescent psychiatry of Auditory Brainstem Response (ABR) and Cambridge Neuropsychological Test Automated Battery (CANTAB) as</w:t>
      </w:r>
      <w:r w:rsidR="00AA5A29">
        <w:t xml:space="preserve"> </w:t>
      </w:r>
      <w:r>
        <w:t xml:space="preserve">support in diagnosing attention deficit hyperactivity disorder (ADHD) and autism spectrum disorder (ASD). </w:t>
      </w:r>
    </w:p>
    <w:p w14:paraId="4790A381" w14:textId="77777777" w:rsidR="00F95006" w:rsidRPr="00AA5A29" w:rsidRDefault="00F95006" w:rsidP="00F95006">
      <w:pPr>
        <w:pStyle w:val="Heading4"/>
        <w:rPr>
          <w:lang w:val="en-US"/>
        </w:rPr>
      </w:pPr>
      <w:r w:rsidRPr="00AA5A29">
        <w:rPr>
          <w:lang w:val="en-US"/>
        </w:rPr>
        <w:t>Methods</w:t>
      </w:r>
    </w:p>
    <w:p w14:paraId="12DD6482" w14:textId="72AA3589" w:rsidR="00F95006" w:rsidRDefault="00F95006" w:rsidP="00F95006">
      <w:pPr>
        <w:pStyle w:val="bodytext"/>
      </w:pPr>
      <w:r>
        <w:t>The thesis consists of four studies based on ABR and CANTAB. The patients (7-17 years old) were recruited from child and adolescent psychiatry outpa</w:t>
      </w:r>
      <w:r w:rsidR="00A05528">
        <w:t xml:space="preserve">tient clinics in Lund and </w:t>
      </w:r>
      <w:proofErr w:type="spellStart"/>
      <w:r w:rsidR="00A05528">
        <w:t>Eslöv</w:t>
      </w:r>
      <w:proofErr w:type="spellEnd"/>
      <w:r w:rsidR="00A05528">
        <w:t>, in southern Sweden.</w:t>
      </w:r>
      <w:r>
        <w:t xml:space="preserve"> The age and gender matched controls were recruited from schools in the same areas. All invited families agreed to participate.</w:t>
      </w:r>
    </w:p>
    <w:p w14:paraId="52659522" w14:textId="386BD342" w:rsidR="00F95006" w:rsidRDefault="00F95006" w:rsidP="00F95006">
      <w:pPr>
        <w:pStyle w:val="bodytext"/>
      </w:pPr>
      <w:r>
        <w:t>ABR:</w:t>
      </w:r>
      <w:r w:rsidR="00AA5A29">
        <w:t xml:space="preserve"> </w:t>
      </w:r>
      <w:r>
        <w:t xml:space="preserve">63 females and 48 males with ADHD were compared to 26 females and 20 male controls. Furthermore 31 females and 27 males with ASD were compared to 24 females and 23 male controls. Patients were diagnosed according to the DSM-IV/DSM-5. The ABR consists of seven positive peaks (waves I–VII) </w:t>
      </w:r>
      <w:r w:rsidR="00067D64">
        <w:t xml:space="preserve">derived from electrical activity in the brain </w:t>
      </w:r>
      <w:r>
        <w:t>that occur during 10 Ms following a sound stimulus recorded by five electrodes.</w:t>
      </w:r>
    </w:p>
    <w:p w14:paraId="1E172540" w14:textId="77777777" w:rsidR="00F95006" w:rsidRDefault="00F95006" w:rsidP="00F95006">
      <w:pPr>
        <w:pStyle w:val="bodytext"/>
      </w:pPr>
      <w:r>
        <w:t>CANTAB:112 children with ADHD and 95 controls performed five CANTAB tests: Stockings of Cambridge (SOC), Intra-Extra Dimensional Set Shift (IED), Spatial Working Memory (SWM), Stop Reaction Time (SRT), and Stop Signal Task (SST).</w:t>
      </w:r>
    </w:p>
    <w:p w14:paraId="78FCD14D" w14:textId="77777777" w:rsidR="00F95006" w:rsidRPr="00AA5A29" w:rsidRDefault="00F95006" w:rsidP="00F95006">
      <w:pPr>
        <w:pStyle w:val="Heading4"/>
        <w:rPr>
          <w:lang w:val="en-US"/>
        </w:rPr>
      </w:pPr>
      <w:r w:rsidRPr="00AA5A29">
        <w:rPr>
          <w:lang w:val="en-US"/>
        </w:rPr>
        <w:t>Results</w:t>
      </w:r>
    </w:p>
    <w:p w14:paraId="15F67B00" w14:textId="532B1F50" w:rsidR="00F95006" w:rsidRDefault="005A0586" w:rsidP="00F95006">
      <w:pPr>
        <w:pStyle w:val="bodytext"/>
      </w:pPr>
      <w:r>
        <w:t>ABR:</w:t>
      </w:r>
      <w:r w:rsidR="00BB0D19">
        <w:t xml:space="preserve"> </w:t>
      </w:r>
      <w:r w:rsidR="00F95006">
        <w:t xml:space="preserve">We found three aberrations in the young female ADHD group and three other aberrations in the young male ADHD group compared to controls, while one aberration was present in both genders. In the ASD study only one aberration was found compared to controls. </w:t>
      </w:r>
    </w:p>
    <w:p w14:paraId="2BD96493" w14:textId="1B946531" w:rsidR="00F95006" w:rsidRDefault="00F95006" w:rsidP="00F95006">
      <w:pPr>
        <w:pStyle w:val="bodytext"/>
      </w:pPr>
      <w:r>
        <w:t xml:space="preserve">CANTAB: Between-group differences were found in all CANTAB tests except one. With hierarchical multiple regression </w:t>
      </w:r>
      <w:proofErr w:type="gramStart"/>
      <w:r>
        <w:t>analysis</w:t>
      </w:r>
      <w:proofErr w:type="gramEnd"/>
      <w:r>
        <w:t xml:space="preserve"> a main effect of ADHD diagnosis without interaction </w:t>
      </w:r>
      <w:r w:rsidR="00067D64">
        <w:t xml:space="preserve">with age </w:t>
      </w:r>
      <w:r>
        <w:t>were seen in all the tests except SOC where a significant interaction with age was found.</w:t>
      </w:r>
    </w:p>
    <w:p w14:paraId="4DF4305F" w14:textId="77777777" w:rsidR="00F95006" w:rsidRPr="00AA5A29" w:rsidRDefault="00F95006" w:rsidP="00F95006">
      <w:pPr>
        <w:pStyle w:val="Heading4"/>
        <w:rPr>
          <w:lang w:val="en-US"/>
        </w:rPr>
      </w:pPr>
      <w:r w:rsidRPr="00AA5A29">
        <w:rPr>
          <w:lang w:val="en-US"/>
        </w:rPr>
        <w:t>Conclusions</w:t>
      </w:r>
    </w:p>
    <w:p w14:paraId="2BF0859A" w14:textId="77777777" w:rsidR="00F95006" w:rsidRDefault="00F95006" w:rsidP="00F95006">
      <w:pPr>
        <w:pStyle w:val="bodytext"/>
      </w:pPr>
      <w:r>
        <w:lastRenderedPageBreak/>
        <w:t>The results suggest that ABR and CANTAB can differentiate between typically developed children and children with ADHD or ASD. All our results are based on observed group differences and cannot at this stage be transferred to single individuals.</w:t>
      </w:r>
    </w:p>
    <w:p w14:paraId="45423DA9" w14:textId="77777777" w:rsidR="00F95006" w:rsidRPr="00F95006" w:rsidRDefault="00F95006" w:rsidP="00F95006">
      <w:pPr>
        <w:pStyle w:val="Heading2"/>
      </w:pPr>
      <w:bookmarkStart w:id="18" w:name="_Toc492391036"/>
      <w:r w:rsidRPr="00F95006">
        <w:t>Populärvetenskaplig sammanfattning på svenska</w:t>
      </w:r>
      <w:bookmarkEnd w:id="18"/>
    </w:p>
    <w:p w14:paraId="194458A2" w14:textId="14CEE92D" w:rsidR="00F95006" w:rsidRPr="00F95006" w:rsidRDefault="00F95006" w:rsidP="00F95006">
      <w:pPr>
        <w:pStyle w:val="bodytext"/>
        <w:rPr>
          <w:lang w:val="sv-SE"/>
        </w:rPr>
      </w:pPr>
      <w:r w:rsidRPr="00F95006">
        <w:rPr>
          <w:lang w:val="sv-SE"/>
        </w:rPr>
        <w:t>Introduktion: Diagnostik av ADH</w:t>
      </w:r>
      <w:r w:rsidR="00067D64">
        <w:rPr>
          <w:lang w:val="sv-SE"/>
        </w:rPr>
        <w:t xml:space="preserve">D (attention deficit </w:t>
      </w:r>
      <w:proofErr w:type="spellStart"/>
      <w:r w:rsidR="00067D64">
        <w:rPr>
          <w:lang w:val="sv-SE"/>
        </w:rPr>
        <w:t>hyperactivity</w:t>
      </w:r>
      <w:proofErr w:type="spellEnd"/>
      <w:r w:rsidRPr="00F95006">
        <w:rPr>
          <w:lang w:val="sv-SE"/>
        </w:rPr>
        <w:t xml:space="preserve"> disorder) och ASD (autism spektrum tillstånd) inom barnpsykiatri baseras på anamnesupptagning, psykologtestning och skattningsformulär. Det finns få objektiva diagnosmetoder. I vårt projekt ville vi undersöka om ABR (Auditory </w:t>
      </w:r>
      <w:proofErr w:type="spellStart"/>
      <w:r w:rsidRPr="00F95006">
        <w:rPr>
          <w:lang w:val="sv-SE"/>
        </w:rPr>
        <w:t>Brainstem</w:t>
      </w:r>
      <w:proofErr w:type="spellEnd"/>
      <w:r w:rsidRPr="00F95006">
        <w:rPr>
          <w:lang w:val="sv-SE"/>
        </w:rPr>
        <w:t xml:space="preserve"> </w:t>
      </w:r>
      <w:proofErr w:type="spellStart"/>
      <w:r w:rsidRPr="00F95006">
        <w:rPr>
          <w:lang w:val="sv-SE"/>
        </w:rPr>
        <w:t>Response</w:t>
      </w:r>
      <w:proofErr w:type="spellEnd"/>
      <w:r w:rsidRPr="00F95006">
        <w:rPr>
          <w:lang w:val="sv-SE"/>
        </w:rPr>
        <w:t>) och CANTAB (</w:t>
      </w:r>
      <w:r w:rsidR="00614850" w:rsidRPr="00614850">
        <w:rPr>
          <w:lang w:val="sv-SE"/>
        </w:rPr>
        <w:t xml:space="preserve">Cambridge </w:t>
      </w:r>
      <w:proofErr w:type="spellStart"/>
      <w:r w:rsidR="00614850" w:rsidRPr="00614850">
        <w:rPr>
          <w:lang w:val="sv-SE"/>
        </w:rPr>
        <w:t>Neuropsychological</w:t>
      </w:r>
      <w:proofErr w:type="spellEnd"/>
      <w:r w:rsidR="00614850" w:rsidRPr="00614850">
        <w:rPr>
          <w:lang w:val="sv-SE"/>
        </w:rPr>
        <w:t xml:space="preserve"> Test </w:t>
      </w:r>
      <w:proofErr w:type="spellStart"/>
      <w:r w:rsidR="00614850" w:rsidRPr="00614850">
        <w:rPr>
          <w:lang w:val="sv-SE"/>
        </w:rPr>
        <w:t>Automated</w:t>
      </w:r>
      <w:proofErr w:type="spellEnd"/>
      <w:r w:rsidR="00614850" w:rsidRPr="00614850">
        <w:rPr>
          <w:lang w:val="sv-SE"/>
        </w:rPr>
        <w:t xml:space="preserve"> </w:t>
      </w:r>
      <w:proofErr w:type="spellStart"/>
      <w:r w:rsidR="00614850" w:rsidRPr="00614850">
        <w:rPr>
          <w:lang w:val="sv-SE"/>
        </w:rPr>
        <w:t>Battery</w:t>
      </w:r>
      <w:proofErr w:type="spellEnd"/>
      <w:r w:rsidR="00067D64">
        <w:rPr>
          <w:lang w:val="sv-SE"/>
        </w:rPr>
        <w:t xml:space="preserve">) kan </w:t>
      </w:r>
      <w:r w:rsidRPr="00F95006">
        <w:rPr>
          <w:lang w:val="sv-SE"/>
        </w:rPr>
        <w:t>fungera som objektivt stöd vid diagnostik av ADHD och ASD, två av barnpsykiatrins vanligaste diagnoser.</w:t>
      </w:r>
    </w:p>
    <w:p w14:paraId="6E090954" w14:textId="35C29E33" w:rsidR="00F95006" w:rsidRPr="00F95006" w:rsidRDefault="00F95006" w:rsidP="00F95006">
      <w:pPr>
        <w:pStyle w:val="bodytext"/>
        <w:rPr>
          <w:lang w:val="sv-SE"/>
        </w:rPr>
      </w:pPr>
      <w:r w:rsidRPr="00F95006">
        <w:rPr>
          <w:lang w:val="sv-SE"/>
        </w:rPr>
        <w:t>Barnpsykiatriska diagnoser är idag definierade av en bestämd uppsättning beteendeavvikelser/symtom. Att enbart använda beteendeproblem/symto</w:t>
      </w:r>
      <w:r w:rsidR="00067D64">
        <w:rPr>
          <w:lang w:val="sv-SE"/>
        </w:rPr>
        <w:t>m i diagnostik är problematiskt</w:t>
      </w:r>
      <w:r w:rsidRPr="00F95006">
        <w:rPr>
          <w:lang w:val="sv-SE"/>
        </w:rPr>
        <w:t xml:space="preserve"> eftersom symtom inte bara påverkas av avvikelser i hjärnans funktion </w:t>
      </w:r>
      <w:r w:rsidR="00067D64">
        <w:rPr>
          <w:lang w:val="sv-SE"/>
        </w:rPr>
        <w:t>relaterade till</w:t>
      </w:r>
      <w:r w:rsidRPr="00F95006">
        <w:rPr>
          <w:lang w:val="sv-SE"/>
        </w:rPr>
        <w:t xml:space="preserve"> av den utvecklingsrelaterade diagnosen, utan även av exempelvis psykosociala faktorer. Trots att mycket tyder på att ADHD och ASD till stor del har biologiska orsaker, finns det fortfarande ingen enighet om specifika biologiska korrelat. ABR är </w:t>
      </w:r>
      <w:r w:rsidR="00B87A7B">
        <w:rPr>
          <w:lang w:val="sv-SE"/>
        </w:rPr>
        <w:t xml:space="preserve">en metod som visar hjärnans </w:t>
      </w:r>
      <w:proofErr w:type="spellStart"/>
      <w:r w:rsidR="00B87A7B">
        <w:rPr>
          <w:lang w:val="sv-SE"/>
        </w:rPr>
        <w:t>subk</w:t>
      </w:r>
      <w:r w:rsidRPr="00F95006">
        <w:rPr>
          <w:lang w:val="sv-SE"/>
        </w:rPr>
        <w:t>ortikala</w:t>
      </w:r>
      <w:proofErr w:type="spellEnd"/>
      <w:r w:rsidRPr="00F95006">
        <w:rPr>
          <w:lang w:val="sv-SE"/>
        </w:rPr>
        <w:t xml:space="preserve"> </w:t>
      </w:r>
      <w:proofErr w:type="spellStart"/>
      <w:r w:rsidRPr="00F95006">
        <w:rPr>
          <w:lang w:val="sv-SE"/>
        </w:rPr>
        <w:t>neuronala</w:t>
      </w:r>
      <w:proofErr w:type="spellEnd"/>
      <w:r w:rsidRPr="00F95006">
        <w:rPr>
          <w:lang w:val="sv-SE"/>
        </w:rPr>
        <w:t xml:space="preserve"> aktivitet. </w:t>
      </w:r>
    </w:p>
    <w:p w14:paraId="6BB7CA7B" w14:textId="77777777" w:rsidR="00F95006" w:rsidRPr="00F95006" w:rsidRDefault="00F95006" w:rsidP="00F95006">
      <w:pPr>
        <w:pStyle w:val="bodytext"/>
        <w:rPr>
          <w:lang w:val="sv-SE"/>
        </w:rPr>
      </w:pPr>
      <w:r w:rsidRPr="00F95006">
        <w:rPr>
          <w:lang w:val="sv-SE"/>
        </w:rPr>
        <w:t>Vi vill undersöka ABR hos barn och ungdomar med ADHD och ASD och jämföra dem med kontroller. Vår förhoppning är att hitta skillnader på gruppnivå som i framtida studier ska kunna specificeras och så småningom hjälpa oss att skilja ut patienter med ADHD/ASD från typiskt utvecklade barn (TD). ABR skulle därmed i framtiden kunna utgöra ett stöd i barn/ungdomspsykiatrisk diagnostik.</w:t>
      </w:r>
    </w:p>
    <w:p w14:paraId="04DFD157" w14:textId="77777777" w:rsidR="00F95006" w:rsidRPr="00F95006" w:rsidRDefault="00F95006" w:rsidP="00F95006">
      <w:pPr>
        <w:pStyle w:val="bodytext"/>
        <w:rPr>
          <w:lang w:val="sv-SE"/>
        </w:rPr>
      </w:pPr>
      <w:r w:rsidRPr="00F95006">
        <w:rPr>
          <w:lang w:val="sv-SE"/>
        </w:rPr>
        <w:t xml:space="preserve">Vi vill också studera barn med ADHD avseende exekutiva funktioner med hjälp av CANTAB, ett datoriserat neuropsykologiskt test. </w:t>
      </w:r>
    </w:p>
    <w:p w14:paraId="196EA570" w14:textId="5A8CCE59" w:rsidR="00F95006" w:rsidRPr="00F95006" w:rsidRDefault="00F95006" w:rsidP="00F95006">
      <w:pPr>
        <w:pStyle w:val="bodytext"/>
        <w:rPr>
          <w:lang w:val="sv-SE"/>
        </w:rPr>
      </w:pPr>
      <w:r w:rsidRPr="00F95006">
        <w:rPr>
          <w:lang w:val="sv-SE"/>
        </w:rPr>
        <w:t xml:space="preserve">Metod: ABR är samlingsnamnet för undersökningar vid vilka man registrerar elektriska potentialer som alstras i hörselsystemet efter akustisk stimulering. ABR används idag på audiologiska avdelningar, huvudsakligen för hörtröskelmätningar, diagnostik av </w:t>
      </w:r>
      <w:proofErr w:type="spellStart"/>
      <w:r w:rsidRPr="00F95006">
        <w:rPr>
          <w:lang w:val="sv-SE"/>
        </w:rPr>
        <w:t>sensorineural</w:t>
      </w:r>
      <w:proofErr w:type="spellEnd"/>
      <w:r w:rsidRPr="00F95006">
        <w:rPr>
          <w:lang w:val="sv-SE"/>
        </w:rPr>
        <w:t xml:space="preserve"> </w:t>
      </w:r>
      <w:r w:rsidRPr="00F95006">
        <w:rPr>
          <w:lang w:val="sv-SE"/>
        </w:rPr>
        <w:lastRenderedPageBreak/>
        <w:t xml:space="preserve">hörselnedsättning samt diagnostik av hjärnstamslesioner. Vid en ABR-undersökning använder man sig av </w:t>
      </w:r>
      <w:proofErr w:type="spellStart"/>
      <w:r w:rsidRPr="00F95006">
        <w:rPr>
          <w:lang w:val="sv-SE"/>
        </w:rPr>
        <w:t>ytelektrode</w:t>
      </w:r>
      <w:r w:rsidR="00B87A7B">
        <w:rPr>
          <w:lang w:val="sv-SE"/>
        </w:rPr>
        <w:t>r</w:t>
      </w:r>
      <w:proofErr w:type="spellEnd"/>
      <w:r w:rsidR="00B87A7B">
        <w:rPr>
          <w:lang w:val="sv-SE"/>
        </w:rPr>
        <w:t xml:space="preserve"> som fästs i pannan och</w:t>
      </w:r>
      <w:r w:rsidRPr="00F95006">
        <w:rPr>
          <w:lang w:val="sv-SE"/>
        </w:rPr>
        <w:t xml:space="preserve"> bakom öronen. Akustiska stimuli presenteras via hörlurar. De elektriska signalerna från elektroderna förstärks och medelvärde bildas. Detta resulterar i en grafisk kurva bestående av toppar och dalar. Vid tolkning av kurvorna kan man titta på en rad olika mått och jämföra med standard ABR alternativt en 3500 Hz kurva. Vi har valt att studera latenstiderna, dvs. den tid som passerar från det att stimuli presenteras till att respektive toppar och dalar uppkommer samt </w:t>
      </w:r>
      <w:proofErr w:type="spellStart"/>
      <w:r w:rsidR="005A0586">
        <w:rPr>
          <w:lang w:val="sv-SE"/>
        </w:rPr>
        <w:t>interaurala</w:t>
      </w:r>
      <w:proofErr w:type="spellEnd"/>
      <w:r w:rsidR="005A0586">
        <w:rPr>
          <w:lang w:val="sv-SE"/>
        </w:rPr>
        <w:t xml:space="preserve"> skillnader (skillnaden i an</w:t>
      </w:r>
      <w:r w:rsidR="00B87A7B">
        <w:rPr>
          <w:lang w:val="sv-SE"/>
        </w:rPr>
        <w:t>komsttid för ett ljud mellan höger och vänster öra</w:t>
      </w:r>
      <w:r w:rsidR="005A0586">
        <w:rPr>
          <w:lang w:val="sv-SE"/>
        </w:rPr>
        <w:t>)</w:t>
      </w:r>
      <w:r w:rsidR="00B87A7B">
        <w:rPr>
          <w:lang w:val="sv-SE"/>
        </w:rPr>
        <w:t>,</w:t>
      </w:r>
      <w:r w:rsidR="005A0586">
        <w:rPr>
          <w:lang w:val="sv-SE"/>
        </w:rPr>
        <w:t xml:space="preserve"> samt </w:t>
      </w:r>
      <w:r w:rsidRPr="00F95006">
        <w:rPr>
          <w:lang w:val="sv-SE"/>
        </w:rPr>
        <w:t>vågornas amplitud samt hur patienternas ABR stämmer överens med standard ABR alternativt 3500 Hz kurvan. ABR anses vara en icke-</w:t>
      </w:r>
      <w:proofErr w:type="spellStart"/>
      <w:r w:rsidRPr="00F95006">
        <w:rPr>
          <w:lang w:val="sv-SE"/>
        </w:rPr>
        <w:t>invasiv</w:t>
      </w:r>
      <w:proofErr w:type="spellEnd"/>
      <w:r w:rsidRPr="00F95006">
        <w:rPr>
          <w:lang w:val="sv-SE"/>
        </w:rPr>
        <w:t xml:space="preserve">, objektiv metod som mäter ljudbanans funktion, från åttonde kraniala nerven till de första </w:t>
      </w:r>
      <w:proofErr w:type="spellStart"/>
      <w:r w:rsidRPr="00F95006">
        <w:rPr>
          <w:lang w:val="sv-SE"/>
        </w:rPr>
        <w:t>thalamo</w:t>
      </w:r>
      <w:proofErr w:type="spellEnd"/>
      <w:r w:rsidRPr="00F95006">
        <w:rPr>
          <w:lang w:val="sv-SE"/>
        </w:rPr>
        <w:t xml:space="preserve">-kortikala strukturerna. Metoden har använts i klinisk praxis och för forskningsändamål under mer än trettio år. </w:t>
      </w:r>
    </w:p>
    <w:p w14:paraId="44CD8152" w14:textId="2078B3BD" w:rsidR="00F95006" w:rsidRPr="00F95006" w:rsidRDefault="00F95006" w:rsidP="00F95006">
      <w:pPr>
        <w:pStyle w:val="bodytext"/>
        <w:rPr>
          <w:lang w:val="sv-SE"/>
        </w:rPr>
      </w:pPr>
      <w:r w:rsidRPr="00F95006">
        <w:rPr>
          <w:lang w:val="sv-SE"/>
        </w:rPr>
        <w:t xml:space="preserve">Sedan några decennier </w:t>
      </w:r>
      <w:r w:rsidR="005A0586">
        <w:rPr>
          <w:lang w:val="sv-SE"/>
        </w:rPr>
        <w:t>har arbete pågått med att försöka finna ett</w:t>
      </w:r>
      <w:r w:rsidRPr="00F95006">
        <w:rPr>
          <w:lang w:val="sv-SE"/>
        </w:rPr>
        <w:t xml:space="preserve"> objektivt sätt att utvärdera barn och ungdomars neuropsykologiska problem genom att använda väl validerade datoriserade test med tillgängliga data för normalmaterial. Den mest kompletta uppsättningen av sådana datoriserade test som finns på marknaden idag har utvecklats av Cambridge </w:t>
      </w:r>
      <w:proofErr w:type="spellStart"/>
      <w:r w:rsidRPr="00F95006">
        <w:rPr>
          <w:lang w:val="sv-SE"/>
        </w:rPr>
        <w:t>Cognition</w:t>
      </w:r>
      <w:proofErr w:type="spellEnd"/>
      <w:r w:rsidRPr="00F95006">
        <w:rPr>
          <w:lang w:val="sv-SE"/>
        </w:rPr>
        <w:t>: CANTAB. CANTAB innehåller ett testbatteri av totalt 22 tester (varav 20 oberoende av språk) som mäter bl.a. visuellt och rumsligt minne, exekutiva funktioner, uppmärksamhet, semantiskt och verbalt minne samt beslutsfattande och svarskontroll på olika svårighetsnivåer. CANTAB har många fördelar jämfört med traditionella papper- och penna test. Precision, noggrannhet i mätning av svar, pålitlighet och objektivt återförande av det uppmätta är några av dem.</w:t>
      </w:r>
    </w:p>
    <w:p w14:paraId="1AE6F325" w14:textId="77777777" w:rsidR="00F95006" w:rsidRPr="00F95006" w:rsidRDefault="00F95006" w:rsidP="00F95006">
      <w:pPr>
        <w:pStyle w:val="bodytext"/>
        <w:rPr>
          <w:lang w:val="sv-SE"/>
        </w:rPr>
      </w:pPr>
      <w:r w:rsidRPr="00F95006">
        <w:rPr>
          <w:lang w:val="sv-SE"/>
        </w:rPr>
        <w:t xml:space="preserve">Vi har valt ut 5 olika CANTAB tester som testar barns exekutiva funktioner. </w:t>
      </w:r>
    </w:p>
    <w:p w14:paraId="290A8971" w14:textId="5D45924B" w:rsidR="00F95006" w:rsidRPr="00F95006" w:rsidRDefault="00F95006" w:rsidP="00F95006">
      <w:pPr>
        <w:pStyle w:val="bodytext"/>
        <w:rPr>
          <w:lang w:val="sv-SE"/>
        </w:rPr>
      </w:pPr>
      <w:r w:rsidRPr="00F95006">
        <w:rPr>
          <w:lang w:val="sv-SE"/>
        </w:rPr>
        <w:t>Patienter till studierna rekryterades från barn- och ungdomspsykiatrins öppenvårdsmottagningar i Eslöv och Lund. Alla patienter har diagnostiserats en</w:t>
      </w:r>
      <w:r w:rsidR="00B87A7B">
        <w:rPr>
          <w:lang w:val="sv-SE"/>
        </w:rPr>
        <w:t>ligt DSM-</w:t>
      </w:r>
      <w:r w:rsidRPr="00F95006">
        <w:rPr>
          <w:lang w:val="sv-SE"/>
        </w:rPr>
        <w:t>IV respektive DSM-5. Kontrollgrupperna i samtliga studier består av ålders</w:t>
      </w:r>
      <w:r w:rsidR="00B87A7B">
        <w:rPr>
          <w:lang w:val="sv-SE"/>
        </w:rPr>
        <w:t>-</w:t>
      </w:r>
      <w:r w:rsidRPr="00F95006">
        <w:rPr>
          <w:lang w:val="sv-SE"/>
        </w:rPr>
        <w:t xml:space="preserve"> och könsmatchade barn/ungdomar från samma geografiska upptagningsområde. </w:t>
      </w:r>
    </w:p>
    <w:p w14:paraId="1438A240" w14:textId="0F895F5F" w:rsidR="00F95006" w:rsidRPr="00F95006" w:rsidRDefault="00860AAD" w:rsidP="00F95006">
      <w:pPr>
        <w:pStyle w:val="bodytext"/>
        <w:rPr>
          <w:lang w:val="sv-SE"/>
        </w:rPr>
      </w:pPr>
      <w:r>
        <w:rPr>
          <w:lang w:val="sv-SE"/>
        </w:rPr>
        <w:t xml:space="preserve">Resultat: </w:t>
      </w:r>
      <w:r w:rsidR="00F95006" w:rsidRPr="00F95006">
        <w:rPr>
          <w:lang w:val="sv-SE"/>
        </w:rPr>
        <w:t>ABR visade skillnader hos ADHD-gruppen jämfört med kontrollgruppen. I ADHD-gruppen hittade vi tre ABR skillnader i gruppen flickor med ADHD respektive tre ABR skillnader i gruppen pojkar med ADHD. Endast en av skillnaderna förekom i båda grupperna. Skillnaderna i ABR motsvarar anatomiskt thalamus, mellanhjärnan och hörselnerven.</w:t>
      </w:r>
    </w:p>
    <w:p w14:paraId="5BB52AB8" w14:textId="103351AC" w:rsidR="00F95006" w:rsidRPr="00F95006" w:rsidRDefault="00F95006" w:rsidP="00F95006">
      <w:pPr>
        <w:pStyle w:val="bodytext"/>
        <w:rPr>
          <w:lang w:val="sv-SE"/>
        </w:rPr>
      </w:pPr>
      <w:r w:rsidRPr="00F95006">
        <w:rPr>
          <w:lang w:val="sv-SE"/>
        </w:rPr>
        <w:lastRenderedPageBreak/>
        <w:t xml:space="preserve">Hos ASD patienterna såg vi samma skillnad i ABR hos både hos pojkar och flickor. ABR avvikelsen vi hittade </w:t>
      </w:r>
      <w:r w:rsidR="00B87A7B">
        <w:rPr>
          <w:lang w:val="sv-SE"/>
        </w:rPr>
        <w:t>korresponderar</w:t>
      </w:r>
      <w:r w:rsidRPr="00F95006">
        <w:rPr>
          <w:lang w:val="sv-SE"/>
        </w:rPr>
        <w:t xml:space="preserve"> anatomiskt till </w:t>
      </w:r>
      <w:proofErr w:type="spellStart"/>
      <w:r w:rsidRPr="00F95006">
        <w:rPr>
          <w:lang w:val="sv-SE"/>
        </w:rPr>
        <w:t>pons</w:t>
      </w:r>
      <w:proofErr w:type="spellEnd"/>
      <w:r w:rsidRPr="00F95006">
        <w:rPr>
          <w:lang w:val="sv-SE"/>
        </w:rPr>
        <w:t>.</w:t>
      </w:r>
    </w:p>
    <w:p w14:paraId="5034BAE5" w14:textId="77777777" w:rsidR="00F95006" w:rsidRPr="00F95006" w:rsidRDefault="00F95006" w:rsidP="00F95006">
      <w:pPr>
        <w:pStyle w:val="bodytext"/>
        <w:rPr>
          <w:lang w:val="sv-SE"/>
        </w:rPr>
      </w:pPr>
      <w:r w:rsidRPr="00F95006">
        <w:rPr>
          <w:lang w:val="sv-SE"/>
        </w:rPr>
        <w:t>CANTAB påvisade påtagligt sämre resultat avseende exekutiva funktioner i ADHD-gruppen jämfört med kontrollgruppen utan att detta kunde förklaras av ålder. Detta gäller alla test utom ett, där åldern verkar ha spelat störst roll för det försämrade resultatet.</w:t>
      </w:r>
    </w:p>
    <w:p w14:paraId="11F2CC2B" w14:textId="42E76AC5" w:rsidR="00F95006" w:rsidRPr="00F95006" w:rsidRDefault="00F95006" w:rsidP="00F95006">
      <w:pPr>
        <w:pStyle w:val="bodytext"/>
        <w:rPr>
          <w:lang w:val="sv-SE"/>
        </w:rPr>
      </w:pPr>
      <w:r w:rsidRPr="00F95006">
        <w:rPr>
          <w:lang w:val="sv-SE"/>
        </w:rPr>
        <w:t>Slutsats: Våra resultat visar att både ABR och CANTAB skiljer ut ADHD respektive ASD-gruppen från normala kontroller på gruppnivå.</w:t>
      </w:r>
      <w:r w:rsidR="00AA5A29">
        <w:rPr>
          <w:lang w:val="sv-SE"/>
        </w:rPr>
        <w:t xml:space="preserve"> </w:t>
      </w:r>
      <w:r w:rsidRPr="00F95006">
        <w:rPr>
          <w:lang w:val="sv-SE"/>
        </w:rPr>
        <w:t>Då vi har tittat på skillnader på gruppnivå, kan man inte dra slutsatser om den enskilda individen utifrån våra resultat.</w:t>
      </w:r>
    </w:p>
    <w:p w14:paraId="2A8F5375" w14:textId="0D9D97B8" w:rsidR="00F95006" w:rsidRPr="00F95006" w:rsidRDefault="00F95006" w:rsidP="00F95006">
      <w:pPr>
        <w:pStyle w:val="bodytext"/>
        <w:rPr>
          <w:lang w:val="sv-SE"/>
        </w:rPr>
      </w:pPr>
      <w:r w:rsidRPr="00F95006">
        <w:rPr>
          <w:lang w:val="sv-SE"/>
        </w:rPr>
        <w:t>Det behövs mer forskning kring ABR och CANTAB på barn och ungdomar innan man kan använda dessa instrument som en del i en ADHD</w:t>
      </w:r>
      <w:r w:rsidR="00B87A7B">
        <w:rPr>
          <w:lang w:val="sv-SE"/>
        </w:rPr>
        <w:t>- eller en</w:t>
      </w:r>
      <w:r w:rsidRPr="00F95006">
        <w:rPr>
          <w:lang w:val="sv-SE"/>
        </w:rPr>
        <w:t xml:space="preserve"> ASD-utredning. </w:t>
      </w:r>
    </w:p>
    <w:p w14:paraId="57816E11" w14:textId="4CA95C8C" w:rsidR="00F95006" w:rsidRPr="00F95006" w:rsidRDefault="00AA5A29" w:rsidP="00F95006">
      <w:pPr>
        <w:pStyle w:val="bodytext"/>
        <w:rPr>
          <w:lang w:val="sv-SE"/>
        </w:rPr>
      </w:pPr>
      <w:r>
        <w:rPr>
          <w:lang w:val="sv-SE"/>
        </w:rPr>
        <w:t xml:space="preserve">           </w:t>
      </w:r>
    </w:p>
    <w:p w14:paraId="369964A1" w14:textId="77777777" w:rsidR="000B415A" w:rsidRPr="009D2D19" w:rsidRDefault="000B415A">
      <w:pPr>
        <w:spacing w:after="160" w:line="259" w:lineRule="auto"/>
        <w:rPr>
          <w:rFonts w:ascii="Adobe Garamond Pro" w:eastAsia="Times New Roman" w:hAnsi="Adobe Garamond Pro"/>
          <w:sz w:val="32"/>
          <w:lang w:val="sv-SE"/>
        </w:rPr>
      </w:pPr>
      <w:r w:rsidRPr="009D2D19">
        <w:rPr>
          <w:lang w:val="sv-SE"/>
        </w:rPr>
        <w:br w:type="page"/>
      </w:r>
    </w:p>
    <w:p w14:paraId="1B6875B8" w14:textId="42B86221" w:rsidR="00F95006" w:rsidRPr="00F95006" w:rsidRDefault="00F95006" w:rsidP="00F95006">
      <w:pPr>
        <w:pStyle w:val="Heading2"/>
        <w:rPr>
          <w:lang w:val="en-US"/>
        </w:rPr>
      </w:pPr>
      <w:bookmarkStart w:id="19" w:name="_Toc492391037"/>
      <w:r w:rsidRPr="00F95006">
        <w:rPr>
          <w:lang w:val="en-US"/>
        </w:rPr>
        <w:lastRenderedPageBreak/>
        <w:t>Abbreviations</w:t>
      </w:r>
      <w:bookmarkEnd w:id="19"/>
    </w:p>
    <w:p w14:paraId="1178CAC5" w14:textId="77777777" w:rsidR="00F95006" w:rsidRPr="00F95006" w:rsidRDefault="00F95006" w:rsidP="00F95006">
      <w:pPr>
        <w:pStyle w:val="bodytext1"/>
      </w:pPr>
      <w:r w:rsidRPr="00F95006">
        <w:t>ABR</w:t>
      </w:r>
      <w:r>
        <w:tab/>
      </w:r>
      <w:r w:rsidRPr="00F95006">
        <w:t>Auditory brainstem response</w:t>
      </w:r>
    </w:p>
    <w:p w14:paraId="6207A083" w14:textId="77777777" w:rsidR="00F95006" w:rsidRPr="00F95006" w:rsidRDefault="00F95006" w:rsidP="00F95006">
      <w:pPr>
        <w:pStyle w:val="bodytext1"/>
      </w:pPr>
      <w:r w:rsidRPr="00F95006">
        <w:t>ADHD</w:t>
      </w:r>
      <w:r>
        <w:tab/>
      </w:r>
      <w:r w:rsidRPr="00F95006">
        <w:t xml:space="preserve">Attention deficient hyperactivity disorder </w:t>
      </w:r>
    </w:p>
    <w:p w14:paraId="59A59D3A" w14:textId="77777777" w:rsidR="00F95006" w:rsidRPr="00F95006" w:rsidRDefault="00F95006" w:rsidP="00F95006">
      <w:pPr>
        <w:pStyle w:val="bodytext1"/>
      </w:pPr>
      <w:r w:rsidRPr="00F95006">
        <w:t>ADI-R</w:t>
      </w:r>
      <w:r>
        <w:tab/>
      </w:r>
      <w:r w:rsidRPr="00F95006">
        <w:t>Autism Diagnostic Interview–Revised</w:t>
      </w:r>
    </w:p>
    <w:p w14:paraId="418D9987" w14:textId="77777777" w:rsidR="00F95006" w:rsidRPr="00F95006" w:rsidRDefault="00F95006" w:rsidP="00F95006">
      <w:pPr>
        <w:pStyle w:val="bodytext1"/>
      </w:pPr>
      <w:r w:rsidRPr="00F95006">
        <w:t>ADOS</w:t>
      </w:r>
      <w:r>
        <w:tab/>
      </w:r>
      <w:r w:rsidRPr="00F95006">
        <w:t>Autism Diagnostic Observation Schedule</w:t>
      </w:r>
    </w:p>
    <w:p w14:paraId="7047B99D" w14:textId="77777777" w:rsidR="00F95006" w:rsidRPr="00F95006" w:rsidRDefault="00F95006" w:rsidP="00F95006">
      <w:pPr>
        <w:pStyle w:val="bodytext1"/>
      </w:pPr>
      <w:r>
        <w:t>AQ</w:t>
      </w:r>
      <w:r>
        <w:tab/>
      </w:r>
      <w:r w:rsidRPr="00F95006">
        <w:t>Autism-Spectrum Quotient</w:t>
      </w:r>
    </w:p>
    <w:p w14:paraId="0AA8B99E" w14:textId="77777777" w:rsidR="00F95006" w:rsidRPr="00F95006" w:rsidRDefault="00F95006" w:rsidP="00F95006">
      <w:pPr>
        <w:pStyle w:val="bodytext1"/>
      </w:pPr>
      <w:r w:rsidRPr="00F95006">
        <w:t>ASD</w:t>
      </w:r>
      <w:r>
        <w:tab/>
      </w:r>
      <w:r w:rsidRPr="00F95006">
        <w:t>Autism spectrum disorder</w:t>
      </w:r>
    </w:p>
    <w:p w14:paraId="05E5A65D" w14:textId="77777777" w:rsidR="00F95006" w:rsidRPr="00F95006" w:rsidRDefault="00F95006" w:rsidP="00F95006">
      <w:pPr>
        <w:pStyle w:val="bodytext1"/>
      </w:pPr>
      <w:r w:rsidRPr="00F95006">
        <w:t>CANTAB</w:t>
      </w:r>
      <w:r>
        <w:tab/>
      </w:r>
      <w:r w:rsidRPr="00F95006">
        <w:t>Cambridge Neuropsychological Test Automated Battery</w:t>
      </w:r>
    </w:p>
    <w:p w14:paraId="562BE798" w14:textId="1A299A71" w:rsidR="00F95006" w:rsidRPr="00F95006" w:rsidRDefault="00F95006" w:rsidP="00F95006">
      <w:pPr>
        <w:pStyle w:val="bodytext1"/>
      </w:pPr>
      <w:r w:rsidRPr="00F95006">
        <w:t>CAP</w:t>
      </w:r>
      <w:r>
        <w:tab/>
      </w:r>
      <w:r w:rsidRPr="00F95006">
        <w:t xml:space="preserve">Child and adolescent </w:t>
      </w:r>
      <w:r w:rsidR="00F77C94">
        <w:t xml:space="preserve">psychiatry </w:t>
      </w:r>
      <w:r w:rsidRPr="00F95006">
        <w:t>clinic</w:t>
      </w:r>
    </w:p>
    <w:p w14:paraId="6D6099B1" w14:textId="77777777" w:rsidR="00F95006" w:rsidRPr="00F95006" w:rsidRDefault="00F95006" w:rsidP="00F95006">
      <w:pPr>
        <w:pStyle w:val="bodytext1"/>
      </w:pPr>
      <w:r w:rsidRPr="00F95006">
        <w:t>CAPD</w:t>
      </w:r>
      <w:r>
        <w:tab/>
      </w:r>
      <w:r w:rsidRPr="00F95006">
        <w:t xml:space="preserve">Central auditory processing disorder </w:t>
      </w:r>
    </w:p>
    <w:p w14:paraId="2DF51596" w14:textId="77777777" w:rsidR="00F95006" w:rsidRPr="00F95006" w:rsidRDefault="00F95006" w:rsidP="00F95006">
      <w:pPr>
        <w:pStyle w:val="bodytext1"/>
      </w:pPr>
      <w:r w:rsidRPr="00F95006">
        <w:t>DCD</w:t>
      </w:r>
      <w:r>
        <w:tab/>
      </w:r>
      <w:r w:rsidRPr="00F95006">
        <w:t>Developmental coordination disorder</w:t>
      </w:r>
    </w:p>
    <w:p w14:paraId="2E49DFC1" w14:textId="77777777" w:rsidR="00F95006" w:rsidRPr="00F95006" w:rsidRDefault="00F95006" w:rsidP="00F95006">
      <w:pPr>
        <w:pStyle w:val="bodytext1"/>
      </w:pPr>
      <w:r w:rsidRPr="00F95006">
        <w:t>DSM</w:t>
      </w:r>
      <w:r>
        <w:tab/>
      </w:r>
      <w:r w:rsidRPr="00F95006">
        <w:t>Diagnostic and Statistical Manual of Mental Disorders</w:t>
      </w:r>
    </w:p>
    <w:p w14:paraId="6319B4CB" w14:textId="050A312A" w:rsidR="00F95006" w:rsidRPr="00F95006" w:rsidRDefault="00F95006" w:rsidP="00F95006">
      <w:pPr>
        <w:pStyle w:val="bodytext1"/>
      </w:pPr>
      <w:r w:rsidRPr="00F95006">
        <w:t>ECG</w:t>
      </w:r>
      <w:r>
        <w:tab/>
      </w:r>
      <w:r w:rsidR="00F77C94">
        <w:t>E</w:t>
      </w:r>
      <w:r w:rsidRPr="00F95006">
        <w:t>lectrocardiography</w:t>
      </w:r>
    </w:p>
    <w:p w14:paraId="6C39CD19" w14:textId="77777777" w:rsidR="00F95006" w:rsidRPr="00F95006" w:rsidRDefault="00F95006" w:rsidP="00F95006">
      <w:pPr>
        <w:pStyle w:val="bodytext1"/>
      </w:pPr>
      <w:r w:rsidRPr="00F95006">
        <w:t>EEG</w:t>
      </w:r>
      <w:r>
        <w:tab/>
      </w:r>
      <w:r w:rsidRPr="00F95006">
        <w:t>Electroencephalography</w:t>
      </w:r>
    </w:p>
    <w:p w14:paraId="007E33DE" w14:textId="77777777" w:rsidR="00F95006" w:rsidRPr="00F95006" w:rsidRDefault="00F95006" w:rsidP="00F95006">
      <w:pPr>
        <w:pStyle w:val="bodytext1"/>
      </w:pPr>
      <w:r w:rsidRPr="00F95006">
        <w:t>ENT</w:t>
      </w:r>
      <w:r>
        <w:tab/>
      </w:r>
      <w:r w:rsidRPr="00F95006">
        <w:t xml:space="preserve">Ear, nose, and throat </w:t>
      </w:r>
    </w:p>
    <w:p w14:paraId="049881D3" w14:textId="77777777" w:rsidR="00F95006" w:rsidRPr="00F95006" w:rsidRDefault="00F95006" w:rsidP="00F95006">
      <w:pPr>
        <w:pStyle w:val="bodytext1"/>
      </w:pPr>
      <w:r w:rsidRPr="00F95006">
        <w:t>ERG</w:t>
      </w:r>
      <w:r>
        <w:tab/>
      </w:r>
      <w:r w:rsidRPr="00F95006">
        <w:t>Electroretinography</w:t>
      </w:r>
    </w:p>
    <w:p w14:paraId="69B93BA4" w14:textId="77777777" w:rsidR="00F95006" w:rsidRPr="00F95006" w:rsidRDefault="00F95006" w:rsidP="00F95006">
      <w:pPr>
        <w:pStyle w:val="bodytext1"/>
      </w:pPr>
      <w:r w:rsidRPr="00F95006">
        <w:t>ERP</w:t>
      </w:r>
      <w:r>
        <w:tab/>
      </w:r>
      <w:r w:rsidRPr="00F95006">
        <w:t>Event-related potentials</w:t>
      </w:r>
    </w:p>
    <w:p w14:paraId="0231EC90" w14:textId="77777777" w:rsidR="00F95006" w:rsidRPr="00F95006" w:rsidRDefault="00F95006" w:rsidP="00F95006">
      <w:pPr>
        <w:pStyle w:val="bodytext1"/>
      </w:pPr>
      <w:r w:rsidRPr="00F95006">
        <w:t>FTF</w:t>
      </w:r>
      <w:r>
        <w:tab/>
      </w:r>
      <w:r w:rsidRPr="00F95006">
        <w:t>5–15</w:t>
      </w:r>
    </w:p>
    <w:p w14:paraId="504D0CB4" w14:textId="77777777" w:rsidR="00F95006" w:rsidRPr="00F95006" w:rsidRDefault="00F95006" w:rsidP="00F95006">
      <w:pPr>
        <w:pStyle w:val="bodytext1"/>
      </w:pPr>
      <w:r w:rsidRPr="00F95006">
        <w:t>IED</w:t>
      </w:r>
      <w:r>
        <w:tab/>
      </w:r>
      <w:r w:rsidRPr="00F95006">
        <w:t>Intra-Extra Dimensional Set Shift</w:t>
      </w:r>
    </w:p>
    <w:p w14:paraId="36ED3EAB" w14:textId="77777777" w:rsidR="00F95006" w:rsidRPr="00F95006" w:rsidRDefault="00F95006" w:rsidP="00F95006">
      <w:pPr>
        <w:pStyle w:val="bodytext1"/>
      </w:pPr>
      <w:r w:rsidRPr="00F95006">
        <w:t>IPI</w:t>
      </w:r>
      <w:r>
        <w:tab/>
      </w:r>
      <w:proofErr w:type="spellStart"/>
      <w:r w:rsidRPr="00F95006">
        <w:t>Interpeak</w:t>
      </w:r>
      <w:proofErr w:type="spellEnd"/>
      <w:r w:rsidRPr="00F95006">
        <w:t xml:space="preserve"> interval</w:t>
      </w:r>
    </w:p>
    <w:p w14:paraId="4689F878" w14:textId="77777777" w:rsidR="00F95006" w:rsidRPr="00F95006" w:rsidRDefault="00F95006" w:rsidP="00F95006">
      <w:pPr>
        <w:pStyle w:val="bodytext1"/>
      </w:pPr>
      <w:r w:rsidRPr="00F95006">
        <w:t>IQ</w:t>
      </w:r>
      <w:r>
        <w:tab/>
      </w:r>
      <w:r w:rsidRPr="00F95006">
        <w:t>Intelligence quotient</w:t>
      </w:r>
    </w:p>
    <w:p w14:paraId="360DDEF9" w14:textId="603D87D4" w:rsidR="00F95006" w:rsidRPr="00F95006" w:rsidRDefault="00F95006" w:rsidP="00F95006">
      <w:pPr>
        <w:pStyle w:val="bodytext1"/>
      </w:pPr>
      <w:r w:rsidRPr="00F95006">
        <w:t>ISI</w:t>
      </w:r>
      <w:r>
        <w:tab/>
      </w:r>
      <w:proofErr w:type="spellStart"/>
      <w:r w:rsidR="00DE4304">
        <w:t>I</w:t>
      </w:r>
      <w:r w:rsidRPr="00F95006">
        <w:t>nterstimulus</w:t>
      </w:r>
      <w:proofErr w:type="spellEnd"/>
      <w:r w:rsidRPr="00F95006">
        <w:t xml:space="preserve"> interval </w:t>
      </w:r>
    </w:p>
    <w:p w14:paraId="4D2FC5F5" w14:textId="77777777" w:rsidR="00F95006" w:rsidRPr="00F95006" w:rsidRDefault="00F95006" w:rsidP="00F95006">
      <w:pPr>
        <w:pStyle w:val="bodytext1"/>
      </w:pPr>
      <w:r w:rsidRPr="00F95006">
        <w:t>MS</w:t>
      </w:r>
      <w:r>
        <w:tab/>
      </w:r>
      <w:r w:rsidRPr="00F95006">
        <w:t>Millisecond</w:t>
      </w:r>
    </w:p>
    <w:p w14:paraId="3CCA1721" w14:textId="77777777" w:rsidR="00F95006" w:rsidRPr="00F95006" w:rsidRDefault="00F95006" w:rsidP="00F95006">
      <w:pPr>
        <w:pStyle w:val="bodytext1"/>
      </w:pPr>
      <w:r w:rsidRPr="00F95006">
        <w:t>NDD</w:t>
      </w:r>
      <w:r>
        <w:tab/>
      </w:r>
      <w:r w:rsidRPr="00F95006">
        <w:t>Neurodevelopmental disorder</w:t>
      </w:r>
    </w:p>
    <w:p w14:paraId="2FE61FA3" w14:textId="77777777" w:rsidR="00F95006" w:rsidRPr="00F95006" w:rsidRDefault="00F95006" w:rsidP="00F95006">
      <w:pPr>
        <w:pStyle w:val="bodytext1"/>
      </w:pPr>
      <w:r w:rsidRPr="00F95006">
        <w:t>NIMH</w:t>
      </w:r>
      <w:r>
        <w:tab/>
      </w:r>
      <w:r w:rsidRPr="00F95006">
        <w:t>National Institute of Mental Health</w:t>
      </w:r>
    </w:p>
    <w:p w14:paraId="2A58711B" w14:textId="77777777" w:rsidR="00F95006" w:rsidRPr="00F95006" w:rsidRDefault="00F95006" w:rsidP="00F95006">
      <w:pPr>
        <w:pStyle w:val="bodytext1"/>
      </w:pPr>
      <w:proofErr w:type="spellStart"/>
      <w:r w:rsidRPr="00F95006">
        <w:t>RdoC</w:t>
      </w:r>
      <w:proofErr w:type="spellEnd"/>
      <w:r>
        <w:tab/>
      </w:r>
      <w:r w:rsidRPr="00F95006">
        <w:t>Research Domain Criteria</w:t>
      </w:r>
    </w:p>
    <w:p w14:paraId="1DF7D7D3" w14:textId="77777777" w:rsidR="00F95006" w:rsidRPr="00F95006" w:rsidRDefault="00F95006" w:rsidP="00F95006">
      <w:pPr>
        <w:pStyle w:val="bodytext1"/>
      </w:pPr>
      <w:r w:rsidRPr="00F95006">
        <w:t>SD</w:t>
      </w:r>
      <w:r>
        <w:tab/>
      </w:r>
      <w:r w:rsidRPr="00F95006">
        <w:t>Standard deviation</w:t>
      </w:r>
    </w:p>
    <w:p w14:paraId="481F8A46" w14:textId="77777777" w:rsidR="00F95006" w:rsidRPr="00F95006" w:rsidRDefault="00F95006" w:rsidP="00F95006">
      <w:pPr>
        <w:pStyle w:val="bodytext1"/>
      </w:pPr>
      <w:r w:rsidRPr="00F95006">
        <w:t>SNAP-IV</w:t>
      </w:r>
      <w:r>
        <w:tab/>
      </w:r>
      <w:r w:rsidRPr="00F95006">
        <w:t>Swanson, Nolan and Pelham Teacher and Parent Rating Scale–IV</w:t>
      </w:r>
    </w:p>
    <w:p w14:paraId="7D088A59" w14:textId="77777777" w:rsidR="00F95006" w:rsidRPr="00F95006" w:rsidRDefault="00F95006" w:rsidP="00F95006">
      <w:pPr>
        <w:pStyle w:val="bodytext1"/>
      </w:pPr>
      <w:r w:rsidRPr="00F95006">
        <w:t>SOC</w:t>
      </w:r>
      <w:r>
        <w:tab/>
      </w:r>
      <w:r w:rsidRPr="00F95006">
        <w:t xml:space="preserve">Stockings of Cambridge </w:t>
      </w:r>
    </w:p>
    <w:p w14:paraId="4BB08040" w14:textId="77777777" w:rsidR="00F95006" w:rsidRPr="00F95006" w:rsidRDefault="00F95006" w:rsidP="00F95006">
      <w:pPr>
        <w:pStyle w:val="bodytext1"/>
      </w:pPr>
      <w:r w:rsidRPr="00F95006">
        <w:t xml:space="preserve">SPL </w:t>
      </w:r>
      <w:r>
        <w:tab/>
      </w:r>
      <w:r w:rsidRPr="00F95006">
        <w:t>Sound Pressure Level</w:t>
      </w:r>
    </w:p>
    <w:p w14:paraId="4D350445" w14:textId="77777777" w:rsidR="00F95006" w:rsidRPr="00F95006" w:rsidRDefault="00F95006" w:rsidP="00F95006">
      <w:pPr>
        <w:pStyle w:val="bodytext1"/>
      </w:pPr>
      <w:r w:rsidRPr="00F95006">
        <w:t>SRT</w:t>
      </w:r>
      <w:r>
        <w:tab/>
      </w:r>
      <w:r w:rsidRPr="00F95006">
        <w:t xml:space="preserve">Stop Reaction Time </w:t>
      </w:r>
    </w:p>
    <w:p w14:paraId="05F1AFEC" w14:textId="77777777" w:rsidR="00F95006" w:rsidRPr="00F95006" w:rsidRDefault="00F95006" w:rsidP="00F95006">
      <w:pPr>
        <w:pStyle w:val="bodytext1"/>
      </w:pPr>
      <w:r w:rsidRPr="00F95006">
        <w:t>SST</w:t>
      </w:r>
      <w:r>
        <w:tab/>
      </w:r>
      <w:r w:rsidRPr="00F95006">
        <w:t xml:space="preserve">Stop Signal Task </w:t>
      </w:r>
    </w:p>
    <w:p w14:paraId="23F6B6F2" w14:textId="77777777" w:rsidR="00F95006" w:rsidRPr="00F95006" w:rsidRDefault="00F95006" w:rsidP="00F95006">
      <w:pPr>
        <w:pStyle w:val="bodytext1"/>
      </w:pPr>
      <w:r w:rsidRPr="00F95006">
        <w:t>SWM</w:t>
      </w:r>
      <w:r>
        <w:tab/>
      </w:r>
      <w:r w:rsidRPr="00F95006">
        <w:t>Spatial Working Memory</w:t>
      </w:r>
    </w:p>
    <w:p w14:paraId="4AD51CF5" w14:textId="77777777" w:rsidR="00F95006" w:rsidRPr="00F95006" w:rsidRDefault="00F95006" w:rsidP="00F95006">
      <w:pPr>
        <w:pStyle w:val="bodytext1"/>
      </w:pPr>
      <w:r w:rsidRPr="00F95006">
        <w:t>TD</w:t>
      </w:r>
      <w:r>
        <w:tab/>
      </w:r>
      <w:r w:rsidRPr="00F95006">
        <w:t>Typically developed</w:t>
      </w:r>
    </w:p>
    <w:p w14:paraId="6CC4C1F0" w14:textId="77777777" w:rsidR="00F95006" w:rsidRPr="00F95006" w:rsidRDefault="00F95006" w:rsidP="00F95006">
      <w:pPr>
        <w:pStyle w:val="bodytext1"/>
      </w:pPr>
      <w:r w:rsidRPr="00F95006">
        <w:t>TTL</w:t>
      </w:r>
      <w:r>
        <w:tab/>
      </w:r>
      <w:r w:rsidRPr="00F95006">
        <w:t>Transistor–transistor logic</w:t>
      </w:r>
    </w:p>
    <w:p w14:paraId="5350F358" w14:textId="77777777" w:rsidR="00F95006" w:rsidRPr="00F95006" w:rsidRDefault="00F95006" w:rsidP="00F95006">
      <w:pPr>
        <w:pStyle w:val="bodytext1"/>
      </w:pPr>
      <w:r w:rsidRPr="00F95006">
        <w:t>TR</w:t>
      </w:r>
      <w:r>
        <w:tab/>
      </w:r>
      <w:r w:rsidRPr="00F95006">
        <w:t>Traits</w:t>
      </w:r>
    </w:p>
    <w:p w14:paraId="63946B2E" w14:textId="77777777" w:rsidR="00F95006" w:rsidRPr="00F95006" w:rsidRDefault="00F95006" w:rsidP="00F95006">
      <w:pPr>
        <w:pStyle w:val="bodytext1"/>
      </w:pPr>
      <w:r w:rsidRPr="00F95006">
        <w:t xml:space="preserve">WISC-IV </w:t>
      </w:r>
      <w:r>
        <w:tab/>
      </w:r>
      <w:r w:rsidRPr="00F95006">
        <w:t>Wechsler Intelligence Scale for Children–Fourth edition</w:t>
      </w:r>
    </w:p>
    <w:p w14:paraId="4FE0B959" w14:textId="77777777" w:rsidR="00F95006" w:rsidRDefault="00F95006" w:rsidP="00F95006">
      <w:pPr>
        <w:pStyle w:val="bodytext1"/>
      </w:pPr>
      <w:r w:rsidRPr="00F95006">
        <w:t>WAIS-IV</w:t>
      </w:r>
      <w:r>
        <w:tab/>
      </w:r>
      <w:r w:rsidRPr="00F95006">
        <w:t>Wechsler Adult Intelligence Scale–Fourth edition</w:t>
      </w:r>
    </w:p>
    <w:p w14:paraId="7B336BE9" w14:textId="77777777" w:rsidR="00F95006" w:rsidRDefault="00F95006" w:rsidP="00F95006">
      <w:pPr>
        <w:rPr>
          <w:rFonts w:eastAsia="Times New Roman"/>
          <w:sz w:val="22"/>
        </w:rPr>
      </w:pPr>
      <w:r w:rsidRPr="00AA5A29">
        <w:rPr>
          <w:lang w:val="en-US"/>
        </w:rPr>
        <w:br w:type="page"/>
      </w:r>
    </w:p>
    <w:p w14:paraId="7EBFCF03" w14:textId="77777777" w:rsidR="00F95006" w:rsidRDefault="00F95006" w:rsidP="00437525">
      <w:pPr>
        <w:pStyle w:val="Heading2"/>
      </w:pPr>
      <w:bookmarkStart w:id="20" w:name="_Toc492391038"/>
      <w:r>
        <w:lastRenderedPageBreak/>
        <w:t xml:space="preserve">Original </w:t>
      </w:r>
      <w:proofErr w:type="spellStart"/>
      <w:r>
        <w:t>papers</w:t>
      </w:r>
      <w:bookmarkEnd w:id="20"/>
      <w:proofErr w:type="spellEnd"/>
    </w:p>
    <w:p w14:paraId="1F75B295" w14:textId="77777777" w:rsidR="00F95006" w:rsidRDefault="00F95006" w:rsidP="00437525">
      <w:pPr>
        <w:pStyle w:val="bodytext"/>
        <w:numPr>
          <w:ilvl w:val="0"/>
          <w:numId w:val="4"/>
        </w:numPr>
        <w:jc w:val="left"/>
      </w:pPr>
      <w:r w:rsidRPr="00437525">
        <w:t>Abnormal brainstem auditory response in young females with ADHD</w:t>
      </w:r>
      <w:r w:rsidR="00437525" w:rsidRPr="00437525">
        <w:br/>
      </w:r>
      <w:r w:rsidRPr="00437525">
        <w:t xml:space="preserve">Emma </w:t>
      </w:r>
      <w:proofErr w:type="spellStart"/>
      <w:r w:rsidRPr="00437525">
        <w:t>Claesdotter-Hybbinette</w:t>
      </w:r>
      <w:r w:rsidRPr="00437525">
        <w:rPr>
          <w:vertAlign w:val="superscript"/>
        </w:rPr>
        <w:t>a</w:t>
      </w:r>
      <w:proofErr w:type="spellEnd"/>
      <w:r w:rsidRPr="00437525">
        <w:t xml:space="preserve">*, Maryam </w:t>
      </w:r>
      <w:proofErr w:type="spellStart"/>
      <w:r w:rsidRPr="00437525">
        <w:t>Safdarzadeh-Haghighi</w:t>
      </w:r>
      <w:r w:rsidRPr="00437525">
        <w:rPr>
          <w:vertAlign w:val="superscript"/>
        </w:rPr>
        <w:t>b</w:t>
      </w:r>
      <w:proofErr w:type="spellEnd"/>
      <w:r w:rsidRPr="00437525">
        <w:t xml:space="preserve">, Maria </w:t>
      </w:r>
      <w:proofErr w:type="spellStart"/>
      <w:r w:rsidR="00437525" w:rsidRPr="00437525">
        <w:t>Råstam</w:t>
      </w:r>
      <w:r w:rsidR="00437525" w:rsidRPr="00437525">
        <w:rPr>
          <w:vertAlign w:val="superscript"/>
        </w:rPr>
        <w:t>a</w:t>
      </w:r>
      <w:proofErr w:type="spellEnd"/>
      <w:r w:rsidR="00437525" w:rsidRPr="00437525">
        <w:t xml:space="preserve">, Magnus </w:t>
      </w:r>
      <w:proofErr w:type="spellStart"/>
      <w:r w:rsidR="00437525" w:rsidRPr="00437525">
        <w:t>Lindvall</w:t>
      </w:r>
      <w:r w:rsidR="00437525" w:rsidRPr="00437525">
        <w:rPr>
          <w:vertAlign w:val="superscript"/>
        </w:rPr>
        <w:t>a</w:t>
      </w:r>
      <w:proofErr w:type="spellEnd"/>
      <w:r w:rsidRPr="00437525">
        <w:t xml:space="preserve"> </w:t>
      </w:r>
      <w:r w:rsidR="00437525" w:rsidRPr="00437525">
        <w:br/>
      </w:r>
      <w:proofErr w:type="spellStart"/>
      <w:r w:rsidRPr="00437525">
        <w:t>aDept</w:t>
      </w:r>
      <w:proofErr w:type="spellEnd"/>
      <w:r w:rsidRPr="00437525">
        <w:t xml:space="preserve">. of Clinical Sciences Lund, Lund University, Sweden </w:t>
      </w:r>
      <w:r w:rsidR="00437525">
        <w:br/>
      </w:r>
      <w:proofErr w:type="spellStart"/>
      <w:r>
        <w:t>bDept</w:t>
      </w:r>
      <w:proofErr w:type="spellEnd"/>
      <w:r>
        <w:t xml:space="preserve">. of Psychology, Lund University, Sweden </w:t>
      </w:r>
      <w:r w:rsidR="00437525">
        <w:br/>
      </w:r>
      <w:r>
        <w:t xml:space="preserve">Psychiatry Res. 2015 Oct 30;229(3):750–4. </w:t>
      </w:r>
      <w:proofErr w:type="spellStart"/>
      <w:r>
        <w:t>doi</w:t>
      </w:r>
      <w:proofErr w:type="spellEnd"/>
      <w:r>
        <w:t xml:space="preserve">: 10.1016/j.psychres.2015.08.007. </w:t>
      </w:r>
      <w:proofErr w:type="spellStart"/>
      <w:r>
        <w:t>Epub</w:t>
      </w:r>
      <w:proofErr w:type="spellEnd"/>
      <w:r>
        <w:t xml:space="preserve"> 2015 Aug 6.</w:t>
      </w:r>
    </w:p>
    <w:p w14:paraId="0150C7CA" w14:textId="77777777" w:rsidR="00F95006" w:rsidRDefault="00F95006" w:rsidP="00437525">
      <w:pPr>
        <w:pStyle w:val="bodytext"/>
        <w:numPr>
          <w:ilvl w:val="0"/>
          <w:numId w:val="4"/>
        </w:numPr>
        <w:jc w:val="left"/>
      </w:pPr>
      <w:r w:rsidRPr="00437525">
        <w:t>Gender specific differences in auditory brain stem response in young patients with ADHD</w:t>
      </w:r>
      <w:r w:rsidR="00437525">
        <w:br/>
      </w:r>
      <w:r w:rsidRPr="00AA5A29">
        <w:rPr>
          <w:lang w:val="en-US"/>
        </w:rPr>
        <w:t xml:space="preserve">Emma </w:t>
      </w:r>
      <w:proofErr w:type="spellStart"/>
      <w:r w:rsidRPr="00AA5A29">
        <w:rPr>
          <w:lang w:val="en-US"/>
        </w:rPr>
        <w:t>Claesdotter-Hybbinette</w:t>
      </w:r>
      <w:proofErr w:type="spellEnd"/>
      <w:r w:rsidRPr="00AA5A29">
        <w:rPr>
          <w:lang w:val="en-US"/>
        </w:rPr>
        <w:t xml:space="preserve">*, </w:t>
      </w:r>
      <w:proofErr w:type="spellStart"/>
      <w:r w:rsidRPr="00AA5A29">
        <w:rPr>
          <w:lang w:val="en-US"/>
        </w:rPr>
        <w:t>Matti</w:t>
      </w:r>
      <w:proofErr w:type="spellEnd"/>
      <w:r w:rsidRPr="00AA5A29">
        <w:rPr>
          <w:lang w:val="en-US"/>
        </w:rPr>
        <w:t xml:space="preserve"> </w:t>
      </w:r>
      <w:proofErr w:type="spellStart"/>
      <w:r w:rsidRPr="00AA5A29">
        <w:rPr>
          <w:lang w:val="en-US"/>
        </w:rPr>
        <w:t>Cervin</w:t>
      </w:r>
      <w:proofErr w:type="spellEnd"/>
      <w:r w:rsidRPr="00AA5A29">
        <w:rPr>
          <w:lang w:val="en-US"/>
        </w:rPr>
        <w:t xml:space="preserve">, Sofia </w:t>
      </w:r>
      <w:proofErr w:type="spellStart"/>
      <w:r w:rsidRPr="00AA5A29">
        <w:rPr>
          <w:lang w:val="en-US"/>
        </w:rPr>
        <w:t>Åkerlund</w:t>
      </w:r>
      <w:proofErr w:type="spellEnd"/>
      <w:r w:rsidRPr="00AA5A29">
        <w:rPr>
          <w:lang w:val="en-US"/>
        </w:rPr>
        <w:t xml:space="preserve">, Maria </w:t>
      </w:r>
      <w:proofErr w:type="spellStart"/>
      <w:r w:rsidRPr="00AA5A29">
        <w:rPr>
          <w:lang w:val="en-US"/>
        </w:rPr>
        <w:t>Råstam</w:t>
      </w:r>
      <w:proofErr w:type="spellEnd"/>
      <w:r w:rsidRPr="00AA5A29">
        <w:rPr>
          <w:lang w:val="en-US"/>
        </w:rPr>
        <w:t xml:space="preserve">, Magnus </w:t>
      </w:r>
      <w:proofErr w:type="spellStart"/>
      <w:r w:rsidRPr="00AA5A29">
        <w:rPr>
          <w:lang w:val="en-US"/>
        </w:rPr>
        <w:t>Lindvall</w:t>
      </w:r>
      <w:proofErr w:type="spellEnd"/>
      <w:r w:rsidR="00437525">
        <w:br/>
      </w:r>
      <w:r>
        <w:t xml:space="preserve">Dept. of Clinical Sciences Lund, Lund University, Sweden </w:t>
      </w:r>
      <w:r w:rsidR="00437525">
        <w:br/>
      </w:r>
      <w:r>
        <w:t>J Neuropsychiatry. 2016;2(1):14. http://neuropsychiatry.imedpub.com/gender-specific-differences-in-auditory-brainstem-response-in-young-patients-with-adhd.php?aid=8913</w:t>
      </w:r>
    </w:p>
    <w:p w14:paraId="130D32B4" w14:textId="77777777" w:rsidR="00F95006" w:rsidRDefault="00F95006" w:rsidP="00437525">
      <w:pPr>
        <w:pStyle w:val="bodytext"/>
        <w:numPr>
          <w:ilvl w:val="0"/>
          <w:numId w:val="4"/>
        </w:numPr>
        <w:jc w:val="left"/>
      </w:pPr>
      <w:r w:rsidRPr="00437525">
        <w:t>Abnormal brainstem response in young patients with autism</w:t>
      </w:r>
      <w:r w:rsidR="00437525">
        <w:br/>
      </w:r>
      <w:r w:rsidRPr="00AA5A29">
        <w:rPr>
          <w:lang w:val="en-US"/>
        </w:rPr>
        <w:t xml:space="preserve">Emma </w:t>
      </w:r>
      <w:proofErr w:type="spellStart"/>
      <w:r w:rsidRPr="00AA5A29">
        <w:rPr>
          <w:lang w:val="en-US"/>
        </w:rPr>
        <w:t>Claesdotter-Hybbinette</w:t>
      </w:r>
      <w:proofErr w:type="spellEnd"/>
      <w:r w:rsidRPr="00AA5A29">
        <w:rPr>
          <w:lang w:val="en-US"/>
        </w:rPr>
        <w:t xml:space="preserve">/Sofia </w:t>
      </w:r>
      <w:proofErr w:type="spellStart"/>
      <w:r w:rsidRPr="00AA5A29">
        <w:rPr>
          <w:lang w:val="en-US"/>
        </w:rPr>
        <w:t>Åkerlund</w:t>
      </w:r>
      <w:proofErr w:type="spellEnd"/>
      <w:r w:rsidRPr="00AA5A29">
        <w:rPr>
          <w:lang w:val="en-US"/>
        </w:rPr>
        <w:t xml:space="preserve">, </w:t>
      </w:r>
      <w:proofErr w:type="spellStart"/>
      <w:r w:rsidRPr="00AA5A29">
        <w:rPr>
          <w:lang w:val="en-US"/>
        </w:rPr>
        <w:t>Matti</w:t>
      </w:r>
      <w:proofErr w:type="spellEnd"/>
      <w:r w:rsidRPr="00AA5A29">
        <w:rPr>
          <w:lang w:val="en-US"/>
        </w:rPr>
        <w:t xml:space="preserve"> </w:t>
      </w:r>
      <w:proofErr w:type="spellStart"/>
      <w:r w:rsidRPr="00AA5A29">
        <w:rPr>
          <w:lang w:val="en-US"/>
        </w:rPr>
        <w:t>Cervin</w:t>
      </w:r>
      <w:proofErr w:type="spellEnd"/>
      <w:r w:rsidRPr="00AA5A29">
        <w:rPr>
          <w:lang w:val="en-US"/>
        </w:rPr>
        <w:t xml:space="preserve">, Maria </w:t>
      </w:r>
      <w:proofErr w:type="spellStart"/>
      <w:r w:rsidRPr="00AA5A29">
        <w:rPr>
          <w:lang w:val="en-US"/>
        </w:rPr>
        <w:t>Råstam</w:t>
      </w:r>
      <w:proofErr w:type="spellEnd"/>
      <w:r w:rsidRPr="00AA5A29">
        <w:rPr>
          <w:lang w:val="en-US"/>
        </w:rPr>
        <w:t xml:space="preserve">, Magnus </w:t>
      </w:r>
      <w:proofErr w:type="spellStart"/>
      <w:r w:rsidRPr="00AA5A29">
        <w:rPr>
          <w:lang w:val="en-US"/>
        </w:rPr>
        <w:t>Lindvall</w:t>
      </w:r>
      <w:proofErr w:type="spellEnd"/>
      <w:r w:rsidR="00437525" w:rsidRPr="00AA5A29">
        <w:rPr>
          <w:lang w:val="en-US"/>
        </w:rPr>
        <w:br/>
      </w:r>
      <w:r>
        <w:t xml:space="preserve">Dept. of Clinical Sciences Lund, Lund University, Sweden </w:t>
      </w:r>
      <w:r w:rsidR="00437525">
        <w:br/>
      </w:r>
      <w:r>
        <w:t xml:space="preserve">Submitted </w:t>
      </w:r>
    </w:p>
    <w:p w14:paraId="7C5EDE35" w14:textId="504A3453" w:rsidR="00F95006" w:rsidRDefault="00F95006" w:rsidP="00437525">
      <w:pPr>
        <w:pStyle w:val="bodytext"/>
        <w:numPr>
          <w:ilvl w:val="0"/>
          <w:numId w:val="4"/>
        </w:numPr>
        <w:jc w:val="left"/>
      </w:pPr>
      <w:r w:rsidRPr="00437525">
        <w:t>The effects of ADHD on cognitive performance</w:t>
      </w:r>
      <w:r w:rsidR="00437525">
        <w:br/>
      </w:r>
      <w:r w:rsidRPr="00AA5A29">
        <w:rPr>
          <w:lang w:val="en-US"/>
        </w:rPr>
        <w:t xml:space="preserve">Emma </w:t>
      </w:r>
      <w:proofErr w:type="spellStart"/>
      <w:r w:rsidRPr="00AA5A29">
        <w:rPr>
          <w:lang w:val="en-US"/>
        </w:rPr>
        <w:t>Claesdotter-Hybbinette</w:t>
      </w:r>
      <w:proofErr w:type="spellEnd"/>
      <w:r w:rsidRPr="00AA5A29">
        <w:rPr>
          <w:lang w:val="en-US"/>
        </w:rPr>
        <w:t xml:space="preserve">, Sofia </w:t>
      </w:r>
      <w:proofErr w:type="spellStart"/>
      <w:r w:rsidRPr="00AA5A29">
        <w:rPr>
          <w:lang w:val="en-US"/>
        </w:rPr>
        <w:t>Åkerlund</w:t>
      </w:r>
      <w:proofErr w:type="spellEnd"/>
      <w:r w:rsidRPr="00AA5A29">
        <w:rPr>
          <w:lang w:val="en-US"/>
        </w:rPr>
        <w:t xml:space="preserve">, </w:t>
      </w:r>
      <w:proofErr w:type="spellStart"/>
      <w:r w:rsidRPr="00AA5A29">
        <w:rPr>
          <w:lang w:val="en-US"/>
        </w:rPr>
        <w:t>Matti</w:t>
      </w:r>
      <w:proofErr w:type="spellEnd"/>
      <w:r w:rsidRPr="00AA5A29">
        <w:rPr>
          <w:lang w:val="en-US"/>
        </w:rPr>
        <w:t xml:space="preserve"> </w:t>
      </w:r>
      <w:proofErr w:type="spellStart"/>
      <w:r w:rsidRPr="00AA5A29">
        <w:rPr>
          <w:lang w:val="en-US"/>
        </w:rPr>
        <w:t>Cervin</w:t>
      </w:r>
      <w:proofErr w:type="spellEnd"/>
      <w:r w:rsidRPr="00AA5A29">
        <w:rPr>
          <w:lang w:val="en-US"/>
        </w:rPr>
        <w:t xml:space="preserve">, Maria </w:t>
      </w:r>
      <w:proofErr w:type="spellStart"/>
      <w:r w:rsidRPr="00AA5A29">
        <w:rPr>
          <w:lang w:val="en-US"/>
        </w:rPr>
        <w:t>Råstam</w:t>
      </w:r>
      <w:proofErr w:type="spellEnd"/>
      <w:r w:rsidRPr="00AA5A29">
        <w:rPr>
          <w:lang w:val="en-US"/>
        </w:rPr>
        <w:t xml:space="preserve">, Magnus </w:t>
      </w:r>
      <w:proofErr w:type="spellStart"/>
      <w:r w:rsidRPr="00AA5A29">
        <w:rPr>
          <w:lang w:val="en-US"/>
        </w:rPr>
        <w:t>Lindvall</w:t>
      </w:r>
      <w:proofErr w:type="spellEnd"/>
      <w:r w:rsidR="00437525" w:rsidRPr="00AA5A29">
        <w:rPr>
          <w:lang w:val="en-US"/>
        </w:rPr>
        <w:br/>
      </w:r>
      <w:r>
        <w:t xml:space="preserve">Dept. of Clinical Sciences Lund, Lund University, Sweden </w:t>
      </w:r>
      <w:r w:rsidR="00437525">
        <w:br/>
      </w:r>
      <w:r>
        <w:t>Submitted</w:t>
      </w:r>
      <w:r w:rsidR="005A0586">
        <w:t xml:space="preserve"> </w:t>
      </w:r>
      <w:r w:rsidR="00217B52">
        <w:t>and under review</w:t>
      </w:r>
    </w:p>
    <w:p w14:paraId="5E7F9325" w14:textId="77777777" w:rsidR="00437525" w:rsidRDefault="00437525">
      <w:pPr>
        <w:spacing w:after="160" w:line="259" w:lineRule="auto"/>
        <w:rPr>
          <w:rFonts w:eastAsia="Times New Roman"/>
          <w:sz w:val="22"/>
        </w:rPr>
      </w:pPr>
      <w:r w:rsidRPr="00AA5A29">
        <w:rPr>
          <w:lang w:val="en-US"/>
        </w:rPr>
        <w:br w:type="page"/>
      </w:r>
    </w:p>
    <w:p w14:paraId="4E63F5BF" w14:textId="77777777" w:rsidR="009069F1" w:rsidRDefault="009069F1">
      <w:pPr>
        <w:spacing w:after="160" w:line="259" w:lineRule="auto"/>
        <w:rPr>
          <w:rFonts w:ascii="Adobe Garamond Pro" w:eastAsia="Times New Roman" w:hAnsi="Adobe Garamond Pro"/>
          <w:sz w:val="48"/>
          <w:szCs w:val="48"/>
        </w:rPr>
      </w:pPr>
      <w:bookmarkStart w:id="21" w:name="_Toc492391039"/>
      <w:r w:rsidRPr="00860AAD">
        <w:lastRenderedPageBreak/>
        <w:br w:type="page"/>
      </w:r>
    </w:p>
    <w:p w14:paraId="5F3CECA6" w14:textId="1CDC66E4" w:rsidR="00437525" w:rsidRDefault="00437525" w:rsidP="00437525">
      <w:pPr>
        <w:pStyle w:val="Heading1"/>
      </w:pPr>
      <w:r>
        <w:lastRenderedPageBreak/>
        <w:t>Introduction</w:t>
      </w:r>
      <w:bookmarkEnd w:id="21"/>
    </w:p>
    <w:p w14:paraId="3F4F7FF6" w14:textId="77777777" w:rsidR="00437525" w:rsidRPr="00AA5A29" w:rsidRDefault="00437525" w:rsidP="00437525">
      <w:pPr>
        <w:pStyle w:val="Heading2"/>
        <w:rPr>
          <w:lang w:val="en-US"/>
        </w:rPr>
      </w:pPr>
      <w:bookmarkStart w:id="22" w:name="_Toc492391040"/>
      <w:r w:rsidRPr="00AA5A29">
        <w:rPr>
          <w:lang w:val="en-US"/>
        </w:rPr>
        <w:t>Background</w:t>
      </w:r>
      <w:bookmarkEnd w:id="22"/>
    </w:p>
    <w:p w14:paraId="67ECCA2B" w14:textId="5716A0F4" w:rsidR="00437525" w:rsidRDefault="00437525" w:rsidP="00437525">
      <w:pPr>
        <w:pStyle w:val="bodytext"/>
      </w:pPr>
      <w:r>
        <w:t>The neurodevelopmental disorders (NDDs) are a group of disorders with onset in the developmental period (</w:t>
      </w:r>
      <w:proofErr w:type="spellStart"/>
      <w:r>
        <w:t>Gillberg</w:t>
      </w:r>
      <w:proofErr w:type="spellEnd"/>
      <w:r>
        <w:t>, 1995). The most common NDDs are attention deficit hyperactivity disorder (ADHD), autism spectrum disorder (ASD), tic disorder, and developmental coordination disorders (DCDs). The prevalence of NDDs is estimat</w:t>
      </w:r>
      <w:r w:rsidR="005A0586">
        <w:t>ed to be 5%-10% (</w:t>
      </w:r>
      <w:proofErr w:type="spellStart"/>
      <w:r w:rsidR="005A0586">
        <w:t>Gillberg</w:t>
      </w:r>
      <w:proofErr w:type="spellEnd"/>
      <w:r w:rsidR="005A0586">
        <w:t>,</w:t>
      </w:r>
      <w:r w:rsidR="00F77C94">
        <w:t xml:space="preserve"> 2010), ASD 1%–3% (</w:t>
      </w:r>
      <w:r w:rsidR="00860AAD">
        <w:t xml:space="preserve">Baxter et al., 2015; </w:t>
      </w:r>
      <w:r>
        <w:t>Kim et al., 2011;</w:t>
      </w:r>
      <w:r w:rsidR="00860AAD" w:rsidRPr="00860AAD">
        <w:t xml:space="preserve"> </w:t>
      </w:r>
      <w:proofErr w:type="spellStart"/>
      <w:r w:rsidR="00860AAD">
        <w:t>Lundström</w:t>
      </w:r>
      <w:proofErr w:type="spellEnd"/>
      <w:r w:rsidR="00860AAD">
        <w:t xml:space="preserve"> et al., 2012</w:t>
      </w:r>
      <w:r>
        <w:t>), DCD 4%–6% of children (</w:t>
      </w:r>
      <w:proofErr w:type="spellStart"/>
      <w:r>
        <w:t>Gillberg</w:t>
      </w:r>
      <w:proofErr w:type="spellEnd"/>
      <w:r>
        <w:t xml:space="preserve"> &amp; </w:t>
      </w:r>
      <w:proofErr w:type="spellStart"/>
      <w:r>
        <w:t>Kadesjö</w:t>
      </w:r>
      <w:proofErr w:type="spellEnd"/>
      <w:r>
        <w:t xml:space="preserve">, 2003; </w:t>
      </w:r>
      <w:proofErr w:type="spellStart"/>
      <w:r>
        <w:t>Zwicker</w:t>
      </w:r>
      <w:proofErr w:type="spellEnd"/>
      <w:r>
        <w:t xml:space="preserve"> et al.</w:t>
      </w:r>
      <w:r w:rsidR="005A0586">
        <w:t>, 2012), the prevalence for tic disorder</w:t>
      </w:r>
      <w:r>
        <w:t xml:space="preserve"> being around 5% (Dooley, 2006), and</w:t>
      </w:r>
      <w:r w:rsidR="000946D5">
        <w:t xml:space="preserve"> ADHD with a prevalence around 7</w:t>
      </w:r>
      <w:r w:rsidR="00BB0D19">
        <w:t>% (Thomas et al., 2015</w:t>
      </w:r>
      <w:r>
        <w:t>). NDDs are a group of disorders in which the development of the central nervous system is disturbed, manifesting itself as impaired motor function, or as problems of learning, language and non-verbal communication. The range of developmental deficits varies from very specific limitations of learning or control of executive functions to global impairments of social skills or intelligence. NDD characteristics and severity often vary during the lifespan due to, for example, changes in demands of the environment, life events, and co-existing disorders (</w:t>
      </w:r>
      <w:proofErr w:type="spellStart"/>
      <w:r>
        <w:t>Biederman</w:t>
      </w:r>
      <w:proofErr w:type="spellEnd"/>
      <w:r>
        <w:t xml:space="preserve"> et al., 2010). Over time, some individuals will not </w:t>
      </w:r>
      <w:proofErr w:type="spellStart"/>
      <w:r>
        <w:t>fulfill</w:t>
      </w:r>
      <w:proofErr w:type="spellEnd"/>
      <w:r>
        <w:t xml:space="preserve"> the criteria for the original diagnosis. Even if the diagnosis does not persist, impairment will often persist into adult life, putting these patients in great need of help from the society. Having greater risk of poor school performance and low academic achievement, grade retention, school dropout, aggression, conduct problems and delinquency, early substance experimentation, and difficulties in social relationships, marriage, and employment (</w:t>
      </w:r>
      <w:proofErr w:type="spellStart"/>
      <w:r>
        <w:t>Biederman</w:t>
      </w:r>
      <w:proofErr w:type="spellEnd"/>
      <w:r>
        <w:t xml:space="preserve">, 2010; </w:t>
      </w:r>
      <w:proofErr w:type="spellStart"/>
      <w:r>
        <w:t>Kieling</w:t>
      </w:r>
      <w:proofErr w:type="spellEnd"/>
      <w:r>
        <w:t xml:space="preserve"> &amp; Rohde, 2012; </w:t>
      </w:r>
      <w:proofErr w:type="spellStart"/>
      <w:r>
        <w:t>Perou</w:t>
      </w:r>
      <w:proofErr w:type="spellEnd"/>
      <w:r>
        <w:t xml:space="preserve"> et al., 2013). NDDs frequently co-occur (</w:t>
      </w:r>
      <w:proofErr w:type="spellStart"/>
      <w:r>
        <w:t>Gillberg</w:t>
      </w:r>
      <w:proofErr w:type="spellEnd"/>
      <w:r>
        <w:t xml:space="preserve"> et al., 2004; </w:t>
      </w:r>
      <w:proofErr w:type="spellStart"/>
      <w:r>
        <w:t>Halleröd</w:t>
      </w:r>
      <w:proofErr w:type="spellEnd"/>
      <w:r>
        <w:t xml:space="preserve"> et al., 2010). Approximately 50% of youngsters with ADHD also meet diagnostic criteria for oppositional defiance disorder (ODD) and/or conduct disorder (CD), adding significant impairment to the clinical picture (</w:t>
      </w:r>
      <w:proofErr w:type="spellStart"/>
      <w:r>
        <w:t>Kerekes</w:t>
      </w:r>
      <w:proofErr w:type="spellEnd"/>
      <w:r>
        <w:t xml:space="preserve"> et al., 2017; Kutcher et al., 2004).</w:t>
      </w:r>
      <w:r w:rsidR="00860AAD">
        <w:t xml:space="preserve"> </w:t>
      </w:r>
      <w:r>
        <w:t xml:space="preserve">The clinical presentation of NDDs includes strengths as well as symptoms of deficit and delays in achieving expected milestones. </w:t>
      </w:r>
    </w:p>
    <w:p w14:paraId="0214D09B" w14:textId="2363CED6" w:rsidR="00437525" w:rsidRDefault="00437525" w:rsidP="00437525">
      <w:pPr>
        <w:pStyle w:val="bodytext"/>
      </w:pPr>
      <w:r>
        <w:lastRenderedPageBreak/>
        <w:t xml:space="preserve">In my </w:t>
      </w:r>
      <w:proofErr w:type="gramStart"/>
      <w:r>
        <w:t>thesis</w:t>
      </w:r>
      <w:proofErr w:type="gramEnd"/>
      <w:r>
        <w:t xml:space="preserve"> I have focused on ADHD and ASD in a Swedish chil</w:t>
      </w:r>
      <w:r w:rsidR="00B87A7B">
        <w:t>d and adolescent population (7-17</w:t>
      </w:r>
      <w:r>
        <w:t xml:space="preserve"> years of age).</w:t>
      </w:r>
    </w:p>
    <w:p w14:paraId="73937CE2" w14:textId="77777777" w:rsidR="00437525" w:rsidRPr="00AA5A29" w:rsidRDefault="00437525" w:rsidP="00437525">
      <w:pPr>
        <w:pStyle w:val="Heading4"/>
        <w:rPr>
          <w:lang w:val="en-US"/>
        </w:rPr>
      </w:pPr>
      <w:r w:rsidRPr="00AA5A29">
        <w:rPr>
          <w:lang w:val="en-US"/>
        </w:rPr>
        <w:t xml:space="preserve">Categorical versus dimensional diagnoses </w:t>
      </w:r>
    </w:p>
    <w:p w14:paraId="7C2ADB3E" w14:textId="0F1E5FB3" w:rsidR="00437525" w:rsidRDefault="00437525" w:rsidP="00437525">
      <w:pPr>
        <w:pStyle w:val="bodytext"/>
      </w:pPr>
      <w:r>
        <w:t xml:space="preserve">In child and adolescent psychiatry, diagnoses are defined by a certain set of </w:t>
      </w:r>
      <w:proofErr w:type="spellStart"/>
      <w:r>
        <w:t>behavioral</w:t>
      </w:r>
      <w:proofErr w:type="spellEnd"/>
      <w:r>
        <w:t xml:space="preserve"> abnormalities/symptoms (American Psychiatric Association [APA], 1994, 2013). Using only </w:t>
      </w:r>
      <w:proofErr w:type="spellStart"/>
      <w:r>
        <w:t>behavioral</w:t>
      </w:r>
      <w:proofErr w:type="spellEnd"/>
      <w:r>
        <w:t xml:space="preserve"> problems/symp</w:t>
      </w:r>
      <w:r w:rsidR="00B87A7B">
        <w:t>toms when establishing a diagnosis</w:t>
      </w:r>
      <w:r>
        <w:t xml:space="preserve"> is problematic, because the symptoms are affected not only by abnormalities in function due to the NDD but also by psychosocial factors such as previous experiences and the current context of the child. There are several national and international guidelines for the assessment and treatment of NDDs. However, there is no consensus regarding what should be included in a neuropsychiatric examination.</w:t>
      </w:r>
    </w:p>
    <w:p w14:paraId="1329D515" w14:textId="059FE5E8" w:rsidR="00437525" w:rsidRDefault="00437525" w:rsidP="00437525">
      <w:pPr>
        <w:pStyle w:val="bodytext"/>
      </w:pPr>
      <w:r>
        <w:t>Today, clinical praxis is a categorical conceptualization of NDD diagnoses based on manuals like the Diagnostic and Statistical Manu</w:t>
      </w:r>
      <w:r w:rsidR="00BC2188">
        <w:t>al of Me</w:t>
      </w:r>
      <w:r w:rsidR="001D797A">
        <w:t>ntal Disorders (DSM-IV [4th ed.]/DSM-5 [5th ed.]</w:t>
      </w:r>
      <w:r>
        <w:t>; APA, 1994, 2013) and the International Classificatio</w:t>
      </w:r>
      <w:r w:rsidR="001D797A">
        <w:t xml:space="preserve">n of Diseases </w:t>
      </w:r>
      <w:r>
        <w:t xml:space="preserve">ICD; World Health Organization [WHO], 1993). In the process of trying to understand more about mental </w:t>
      </w:r>
      <w:r w:rsidR="00B87A7B">
        <w:t>health issues</w:t>
      </w:r>
      <w:r>
        <w:t xml:space="preserve">, researchers have questioned the practice of looking at mental diagnoses as something one either has or doesn’t have (categorical), not overlapping with other diagnoses (distinct), and the concept of a mental diagnosis as being something that is not associated with the probability of having another diagnosis (independent). </w:t>
      </w:r>
    </w:p>
    <w:p w14:paraId="46E04E56" w14:textId="1F0DD6F8" w:rsidR="00437525" w:rsidRDefault="00437525" w:rsidP="00437525">
      <w:pPr>
        <w:pStyle w:val="bodytext"/>
      </w:pPr>
      <w:r>
        <w:t xml:space="preserve">As a result, the US National Institute of Mental Health (NIMH) called for “the development, for research purposes, of new ways of classifying psychopathology based on dimensions of observable </w:t>
      </w:r>
      <w:proofErr w:type="spellStart"/>
      <w:r>
        <w:t>behavior</w:t>
      </w:r>
      <w:proofErr w:type="spellEnd"/>
      <w:r>
        <w:t xml:space="preserve"> and neurobiological measures,” and in 2010 NIMH launched the framework of Research Domain Criteria (</w:t>
      </w:r>
      <w:proofErr w:type="spellStart"/>
      <w:r>
        <w:t>RDoC</w:t>
      </w:r>
      <w:proofErr w:type="spellEnd"/>
      <w:r>
        <w:t xml:space="preserve">). The main aim was to break the previous strict classification of mental illnesses and instead create a framework for studying mental disorders that would take into consideration modern research such as genetics, neuroscience, and </w:t>
      </w:r>
      <w:proofErr w:type="spellStart"/>
      <w:r>
        <w:t>behavioral</w:t>
      </w:r>
      <w:proofErr w:type="spellEnd"/>
      <w:r>
        <w:t xml:space="preserve"> sciences. </w:t>
      </w:r>
      <w:proofErr w:type="spellStart"/>
      <w:r>
        <w:t>RDoC</w:t>
      </w:r>
      <w:proofErr w:type="spellEnd"/>
      <w:r>
        <w:t xml:space="preserve"> is a dimensional system built on “the span from normal to abnormal” (</w:t>
      </w:r>
      <w:proofErr w:type="spellStart"/>
      <w:r>
        <w:t>Insel</w:t>
      </w:r>
      <w:proofErr w:type="spellEnd"/>
      <w:r>
        <w:t xml:space="preserve">, 2014) and consists of five research domains: Negative Valence Systems (fear, anxiety, loss, </w:t>
      </w:r>
      <w:proofErr w:type="spellStart"/>
      <w:r>
        <w:t>frustrative</w:t>
      </w:r>
      <w:proofErr w:type="spellEnd"/>
      <w:r>
        <w:t xml:space="preserve"> non-reward), Positive Valence Systems (reward learning, reward valuation, habits), Cognitive Systems (attention, perception, declarative memory, working memory, cognitive control), Systems for Social Processes (attachment formation, social communication, perception of self, perception of others), and Arousal/Modulatory Systems (arousal, circadian rhythm, sleep and wakefulness) (</w:t>
      </w:r>
      <w:proofErr w:type="spellStart"/>
      <w:r>
        <w:t>Insel</w:t>
      </w:r>
      <w:proofErr w:type="spellEnd"/>
      <w:r>
        <w:t xml:space="preserve"> et al., 2010). Each of these domains can be studied using seven different classes of variables: genes, molecules, cells, neural circuits, </w:t>
      </w:r>
      <w:r>
        <w:lastRenderedPageBreak/>
        <w:t>physiol</w:t>
      </w:r>
      <w:r w:rsidR="00B87A7B">
        <w:t xml:space="preserve">ogy, </w:t>
      </w:r>
      <w:proofErr w:type="spellStart"/>
      <w:r w:rsidR="00B87A7B">
        <w:t>behaviors</w:t>
      </w:r>
      <w:proofErr w:type="spellEnd"/>
      <w:r w:rsidR="00B87A7B">
        <w:t>, and self-reports</w:t>
      </w:r>
      <w:r>
        <w:t xml:space="preserve"> (Morris et al., 2012). In </w:t>
      </w:r>
      <w:proofErr w:type="spellStart"/>
      <w:r>
        <w:t>RDoC</w:t>
      </w:r>
      <w:proofErr w:type="spellEnd"/>
      <w:r>
        <w:t xml:space="preserve"> one starts with </w:t>
      </w:r>
      <w:proofErr w:type="spellStart"/>
      <w:r>
        <w:t>behavioral</w:t>
      </w:r>
      <w:proofErr w:type="spellEnd"/>
      <w:r>
        <w:t>/br</w:t>
      </w:r>
      <w:r w:rsidR="00B87A7B">
        <w:t>ain relationships and then link</w:t>
      </w:r>
      <w:r>
        <w:t xml:space="preserve"> them to clinical symptoms without trying to fit them into diagnostic categories. </w:t>
      </w:r>
      <w:proofErr w:type="spellStart"/>
      <w:r>
        <w:t>RDoC</w:t>
      </w:r>
      <w:proofErr w:type="spellEnd"/>
      <w:r>
        <w:t xml:space="preserve"> adds insights into genes, molecules, cells, circuits, and physiology. In the future, </w:t>
      </w:r>
      <w:proofErr w:type="spellStart"/>
      <w:r>
        <w:t>RDoC</w:t>
      </w:r>
      <w:proofErr w:type="spellEnd"/>
      <w:r>
        <w:t xml:space="preserve"> might be used in parallel with categorical manuals of mental diagnostics, such as the DSM, to create a new kind of taxonomy. With the </w:t>
      </w:r>
      <w:proofErr w:type="spellStart"/>
      <w:r>
        <w:t>RDoC</w:t>
      </w:r>
      <w:proofErr w:type="spellEnd"/>
      <w:r>
        <w:t xml:space="preserve"> dimensional approach in mind, looking at </w:t>
      </w:r>
      <w:r w:rsidR="00217B52">
        <w:t>NDDs</w:t>
      </w:r>
      <w:r>
        <w:t xml:space="preserve"> like ADHD and ASD, there are three key concepts of interest: developmental trajectory, sensitive period, and dynamic interaction of systems (Casey et al., 2014). Regarding developmental trajectories, one needs normative data in order to determine whether the deviation of interest is due to developmental delay, deviation, or regression in function. The concept of sensitive periods is based on the fact that environmental events impact brain development and that the brain is more or less malleable at different times in life (</w:t>
      </w:r>
      <w:proofErr w:type="spellStart"/>
      <w:r>
        <w:t>Keshavan</w:t>
      </w:r>
      <w:proofErr w:type="spellEnd"/>
      <w:r>
        <w:t xml:space="preserve"> et al., 2008). Regarding the dynamic interactions of systems across development, one must look at the relations between different </w:t>
      </w:r>
      <w:proofErr w:type="spellStart"/>
      <w:r>
        <w:t>RDoC</w:t>
      </w:r>
      <w:proofErr w:type="spellEnd"/>
      <w:r>
        <w:t xml:space="preserve"> domains of function to get the right understanding of the patient problem. Early in brain development different regions interact dynamically, and these interactions will have an impact on the course of development (</w:t>
      </w:r>
      <w:proofErr w:type="spellStart"/>
      <w:r>
        <w:t>Durstone</w:t>
      </w:r>
      <w:proofErr w:type="spellEnd"/>
      <w:r>
        <w:t xml:space="preserve"> &amp; Casey, 2006; </w:t>
      </w:r>
      <w:proofErr w:type="spellStart"/>
      <w:r>
        <w:t>Geschwind</w:t>
      </w:r>
      <w:proofErr w:type="spellEnd"/>
      <w:r>
        <w:t xml:space="preserve"> &amp; Levitt, 2007). Although it appears that various indicators of NDDs are continuously distributed, dimensional indicators can be symptoms o</w:t>
      </w:r>
      <w:r w:rsidR="00217B52">
        <w:t>f a categorical condition (similar to</w:t>
      </w:r>
      <w:r>
        <w:t xml:space="preserve"> fever as an indicator of ear infection).</w:t>
      </w:r>
    </w:p>
    <w:p w14:paraId="262A0C90" w14:textId="0ACB80F7" w:rsidR="00437525" w:rsidRDefault="00437525" w:rsidP="00437525">
      <w:pPr>
        <w:pStyle w:val="bodytext"/>
      </w:pPr>
      <w:r>
        <w:t>The use of categorical diagnosing of NDDs is widespread and well accepted in both clinical and research settings. At present, using the DSM or ICD is a good way to make sure several aspects of the disorders are present, in order to arrive at a diagnosis. The positive aspect is that it protects people from being diagnosed too easily, and the negative aspect is that people who do have impaired everyday function due to symptoms of inattention, hyperactivity and/or deficits in social communication might not be diagnosed because they do not meet all criteria. The DSM</w:t>
      </w:r>
      <w:r w:rsidR="00217B52">
        <w:t xml:space="preserve"> and ICD are </w:t>
      </w:r>
      <w:r>
        <w:t>methods and well accepted across different pr</w:t>
      </w:r>
      <w:r w:rsidR="00B87A7B">
        <w:t xml:space="preserve">ofessions and countries. </w:t>
      </w:r>
      <w:proofErr w:type="gramStart"/>
      <w:r w:rsidR="00B87A7B">
        <w:t>However</w:t>
      </w:r>
      <w:proofErr w:type="gramEnd"/>
      <w:r>
        <w:t xml:space="preserve"> question of whether NDDs are categorical or continuous is both important and unresolved and still of great interest, with a vivid, ongoing discussion (</w:t>
      </w:r>
      <w:proofErr w:type="spellStart"/>
      <w:r>
        <w:t>Hengartner</w:t>
      </w:r>
      <w:proofErr w:type="spellEnd"/>
      <w:r>
        <w:t xml:space="preserve"> &amp;Lehmann, 2017).</w:t>
      </w:r>
    </w:p>
    <w:p w14:paraId="3630C98E" w14:textId="77777777" w:rsidR="00437525" w:rsidRPr="00AA5A29" w:rsidRDefault="00437525" w:rsidP="00437525">
      <w:pPr>
        <w:pStyle w:val="Heading4"/>
        <w:rPr>
          <w:lang w:val="en-US"/>
        </w:rPr>
      </w:pPr>
      <w:r w:rsidRPr="00AA5A29">
        <w:rPr>
          <w:i w:val="0"/>
          <w:lang w:val="en-US"/>
        </w:rPr>
        <w:t>ADHD</w:t>
      </w:r>
    </w:p>
    <w:p w14:paraId="08B10CE1" w14:textId="3B8717E3" w:rsidR="00437525" w:rsidRDefault="00437525" w:rsidP="00437525">
      <w:pPr>
        <w:pStyle w:val="bodytext"/>
      </w:pPr>
      <w:r>
        <w:t xml:space="preserve">Attention deficit hyperactivity disorder was first mentioned in </w:t>
      </w:r>
      <w:r w:rsidR="00B87A7B">
        <w:t xml:space="preserve">the </w:t>
      </w:r>
      <w:r>
        <w:t>literature in 1798 by Sir Alexander Crichton (Palmer &amp; Finger, 2001). ADHD has been recognized as one of the most common NDDs in childhood (</w:t>
      </w:r>
      <w:proofErr w:type="spellStart"/>
      <w:r>
        <w:t>Kieling</w:t>
      </w:r>
      <w:proofErr w:type="spellEnd"/>
      <w:r>
        <w:t xml:space="preserve"> &amp; Rohde, 2010). It is a heterogeneous condition with </w:t>
      </w:r>
      <w:r>
        <w:lastRenderedPageBreak/>
        <w:t>persistent symptoms of hyperactivity, inattention, and impulsiveness, which impair functioning in multiple settings (APA, 1994, 2013). ADHD is a highly heritable disorder, and twin studies have shown a heritability rate of 60%–80% (</w:t>
      </w:r>
      <w:proofErr w:type="spellStart"/>
      <w:r>
        <w:t>Faraone</w:t>
      </w:r>
      <w:proofErr w:type="spellEnd"/>
      <w:r>
        <w:t xml:space="preserve"> et al., 2006; Larsson et al., 2012; Larson et al., 2013). The estimated worldwide prevalence of ADHD in children is aroun</w:t>
      </w:r>
      <w:r w:rsidR="00121E8E">
        <w:t>d 7</w:t>
      </w:r>
      <w:r>
        <w:t>% (</w:t>
      </w:r>
      <w:r w:rsidR="00121E8E">
        <w:t>Thomas et al., 2015</w:t>
      </w:r>
      <w:r>
        <w:t>). The symptoms, all or some, frequently persist into adulthood (</w:t>
      </w:r>
      <w:proofErr w:type="spellStart"/>
      <w:r>
        <w:t>Faraone</w:t>
      </w:r>
      <w:proofErr w:type="spellEnd"/>
      <w:r>
        <w:t xml:space="preserve"> et al., 2006) and are associated with functional limitations as well as psychiatric and somatic morbidity. ADHD is a considerable burden to the affected individual and to society (</w:t>
      </w:r>
      <w:proofErr w:type="spellStart"/>
      <w:r>
        <w:t>Kieling</w:t>
      </w:r>
      <w:proofErr w:type="spellEnd"/>
      <w:r>
        <w:t xml:space="preserve"> &amp; Rohde, 2010; Larsson et al., 2007; </w:t>
      </w:r>
      <w:proofErr w:type="spellStart"/>
      <w:r>
        <w:t>Perou</w:t>
      </w:r>
      <w:proofErr w:type="spellEnd"/>
      <w:r>
        <w:t xml:space="preserve"> et al., 2013), resulting in reduced quality of life (Agarwal et al., 2012). ADHD affects both sexes, with a male to female ratio approaching 1:1 (Froehlich et al., 2007), in contrast to previous studies showing a gender ratio (</w:t>
      </w:r>
      <w:proofErr w:type="spellStart"/>
      <w:proofErr w:type="gramStart"/>
      <w:r>
        <w:t>girl:boy</w:t>
      </w:r>
      <w:proofErr w:type="spellEnd"/>
      <w:proofErr w:type="gramEnd"/>
      <w:r>
        <w:t>) ranging from 1:3 to 1:16. (</w:t>
      </w:r>
      <w:proofErr w:type="spellStart"/>
      <w:r>
        <w:t>Nøvik</w:t>
      </w:r>
      <w:proofErr w:type="spellEnd"/>
      <w:r>
        <w:t xml:space="preserve"> et al., 2006). Girls also tend to be diagnosed later in life (</w:t>
      </w:r>
      <w:proofErr w:type="spellStart"/>
      <w:r>
        <w:t>Mahone</w:t>
      </w:r>
      <w:proofErr w:type="spellEnd"/>
      <w:r>
        <w:t xml:space="preserve"> </w:t>
      </w:r>
      <w:proofErr w:type="spellStart"/>
      <w:r>
        <w:t>Wodka</w:t>
      </w:r>
      <w:proofErr w:type="spellEnd"/>
      <w:r>
        <w:t xml:space="preserve">, 2008; Quinn &amp; </w:t>
      </w:r>
      <w:proofErr w:type="spellStart"/>
      <w:r>
        <w:t>Madhoo</w:t>
      </w:r>
      <w:proofErr w:type="spellEnd"/>
      <w:r>
        <w:t xml:space="preserve">, 2014). Researchers have been trying to find differences in symptoms to explain the gender differences in prevalence. It has been proposed that girls with ADHD may be more likely to have the inattentive type of ADHD and may suffer more from internalizing symptoms and inattention, while boys, on the other hand, have more hyperactive and aggressive symptoms (Barkley et al., 1990; </w:t>
      </w:r>
      <w:proofErr w:type="spellStart"/>
      <w:r>
        <w:t>Biederman</w:t>
      </w:r>
      <w:proofErr w:type="spellEnd"/>
      <w:r>
        <w:t xml:space="preserve"> et al., 2002, </w:t>
      </w:r>
      <w:proofErr w:type="spellStart"/>
      <w:r>
        <w:t>Biederman</w:t>
      </w:r>
      <w:proofErr w:type="spellEnd"/>
      <w:r>
        <w:t xml:space="preserve"> &amp; </w:t>
      </w:r>
      <w:proofErr w:type="spellStart"/>
      <w:r>
        <w:t>Faraone</w:t>
      </w:r>
      <w:proofErr w:type="spellEnd"/>
      <w:r>
        <w:t xml:space="preserve"> 2004; </w:t>
      </w:r>
      <w:proofErr w:type="spellStart"/>
      <w:r w:rsidR="00121E8E">
        <w:t>Graetz</w:t>
      </w:r>
      <w:proofErr w:type="spellEnd"/>
      <w:r w:rsidR="00121E8E">
        <w:t xml:space="preserve"> et al., 2005; Levy et al., 2005; </w:t>
      </w:r>
      <w:proofErr w:type="spellStart"/>
      <w:r>
        <w:t>Newcorn</w:t>
      </w:r>
      <w:proofErr w:type="spellEnd"/>
      <w:r>
        <w:t xml:space="preserve"> et al., 200</w:t>
      </w:r>
      <w:r w:rsidR="00121E8E">
        <w:t xml:space="preserve">1). </w:t>
      </w:r>
      <w:r>
        <w:t>An ADHD diagnosis should be based on neurodevelopmental and clinical history (APA, 1994, 2013). In addition, neuropsychological testing and rating scales are often used as a supplement. Several environmental factors have been proposed as contributors to ADHD, including food additiv</w:t>
      </w:r>
      <w:r w:rsidR="00217B52">
        <w:t>es/diet (Stevenson et al., 2010</w:t>
      </w:r>
      <w:r>
        <w:t xml:space="preserve">) lead contamination (Cho et al., 2010; </w:t>
      </w:r>
      <w:proofErr w:type="spellStart"/>
      <w:r>
        <w:t>Nicolescu</w:t>
      </w:r>
      <w:proofErr w:type="spellEnd"/>
      <w:r>
        <w:t xml:space="preserve"> et al., 2010; </w:t>
      </w:r>
      <w:proofErr w:type="spellStart"/>
      <w:r>
        <w:t>Nigg</w:t>
      </w:r>
      <w:proofErr w:type="spellEnd"/>
      <w:r>
        <w:t xml:space="preserve"> et al., 2010), maternal smoking during pregnancy (</w:t>
      </w:r>
      <w:proofErr w:type="spellStart"/>
      <w:r>
        <w:t>Kovess</w:t>
      </w:r>
      <w:proofErr w:type="spellEnd"/>
      <w:r>
        <w:t xml:space="preserve"> et al., 2015; Nomura et al., 2010), and low birth weight (Hatch et al., 2014). Neurobiological factors in ADHD have been well studied, and several different neurotransmitter systems are thought to be involved (Spencer et al., 2007). The core symptoms of ADHD are thought to be due to imbalances in dopaminergic and noradrenergic systems (</w:t>
      </w:r>
      <w:proofErr w:type="spellStart"/>
      <w:r>
        <w:t>Faraone</w:t>
      </w:r>
      <w:proofErr w:type="spellEnd"/>
      <w:r>
        <w:t xml:space="preserve"> et al., 2006 Li et al., 2006; </w:t>
      </w:r>
      <w:proofErr w:type="spellStart"/>
      <w:r>
        <w:t>Kooij</w:t>
      </w:r>
      <w:proofErr w:type="spellEnd"/>
      <w:r>
        <w:t xml:space="preserve"> et al., 2010). Many brain regions are candidates for impaired functioning in ADHD (Seidman et al., 2000). MRI-based structural imaging studies have lately found evidence of structural brain abnormalities among ADHD patients, with the most common findings being smaller volumes in frontal cortex, cerebellum, and subcortical structures (Castellanos, 2002; </w:t>
      </w:r>
      <w:proofErr w:type="spellStart"/>
      <w:r>
        <w:t>Hoogman</w:t>
      </w:r>
      <w:proofErr w:type="spellEnd"/>
      <w:r>
        <w:t>, 2017). Studies with functional MRI have reported hypofunction in the dorsal anterior cingulate cortex (Bush et al., 2005) as well as in both the cerebellum (</w:t>
      </w:r>
      <w:proofErr w:type="spellStart"/>
      <w:r>
        <w:t>Berquin</w:t>
      </w:r>
      <w:proofErr w:type="spellEnd"/>
      <w:r>
        <w:t xml:space="preserve"> et al., 1998) and the corpus callosum (Castellanos et al., 2002; </w:t>
      </w:r>
      <w:proofErr w:type="spellStart"/>
      <w:r>
        <w:t>Hoogman</w:t>
      </w:r>
      <w:proofErr w:type="spellEnd"/>
      <w:r>
        <w:t xml:space="preserve"> et al., 2017) in patients with ADHD. Twin studies </w:t>
      </w:r>
      <w:r>
        <w:lastRenderedPageBreak/>
        <w:t xml:space="preserve">have showed ADHD to be highly genetic, with a mean heritability of 77% (Spencer et al., 2007); researchers have not found a specific ADHD gene, but rather several genes associated with a higher risk of ADHD symptoms (Fisher et al., 2002). Neither neuroimaging studies nor genetic studies have been able to identify a distinctive </w:t>
      </w:r>
      <w:proofErr w:type="spellStart"/>
      <w:r>
        <w:t>etiology</w:t>
      </w:r>
      <w:proofErr w:type="spellEnd"/>
      <w:r>
        <w:t xml:space="preserve"> for ADHD. </w:t>
      </w:r>
    </w:p>
    <w:p w14:paraId="0B47C160" w14:textId="77777777" w:rsidR="00437525" w:rsidRPr="00AA5A29" w:rsidRDefault="00437525" w:rsidP="00437525">
      <w:pPr>
        <w:pStyle w:val="Heading4"/>
        <w:rPr>
          <w:lang w:val="en-US"/>
        </w:rPr>
      </w:pPr>
      <w:r w:rsidRPr="00AA5A29">
        <w:rPr>
          <w:lang w:val="en-US"/>
        </w:rPr>
        <w:t>ASD</w:t>
      </w:r>
    </w:p>
    <w:p w14:paraId="5AD224BD" w14:textId="435E820E" w:rsidR="00437525" w:rsidRDefault="00437525" w:rsidP="00437525">
      <w:pPr>
        <w:pStyle w:val="bodytext"/>
      </w:pPr>
      <w:r>
        <w:t xml:space="preserve">Autism in children was first described by Leo </w:t>
      </w:r>
      <w:proofErr w:type="spellStart"/>
      <w:r>
        <w:t>Kanner</w:t>
      </w:r>
      <w:proofErr w:type="spellEnd"/>
      <w:r>
        <w:t xml:space="preserve"> in 1943, who systematically described what he called “autistic disturbance in affective contact” (</w:t>
      </w:r>
      <w:proofErr w:type="spellStart"/>
      <w:r>
        <w:t>Kanner</w:t>
      </w:r>
      <w:proofErr w:type="spellEnd"/>
      <w:r>
        <w:t>, 1943). For many years childhood autism was grouped together with schizophrenia, and it was not until 1971 (</w:t>
      </w:r>
      <w:proofErr w:type="spellStart"/>
      <w:r>
        <w:t>Kolvin</w:t>
      </w:r>
      <w:proofErr w:type="spellEnd"/>
      <w:r>
        <w:t xml:space="preserve"> et al., 1971) that autism was separated from schizophrenia in diagnostic manuals and </w:t>
      </w:r>
      <w:proofErr w:type="spellStart"/>
      <w:r>
        <w:t>labeled</w:t>
      </w:r>
      <w:proofErr w:type="spellEnd"/>
      <w:r>
        <w:t xml:space="preserve"> childhood psychosis. In DSM-IV the term childhood autism/autistic disorder was first used and </w:t>
      </w:r>
      <w:proofErr w:type="spellStart"/>
      <w:r>
        <w:t>labeled</w:t>
      </w:r>
      <w:proofErr w:type="spellEnd"/>
      <w:r>
        <w:t xml:space="preserve"> “pervasive developmental disorder” (APA, 1994). ASD is a heterogeneous </w:t>
      </w:r>
      <w:r w:rsidR="00007E65">
        <w:t xml:space="preserve">NDD </w:t>
      </w:r>
      <w:r>
        <w:t xml:space="preserve">characterized by social impairments and difficulties in communication and sensory processing, as well as repetitive/restricted </w:t>
      </w:r>
      <w:proofErr w:type="spellStart"/>
      <w:r>
        <w:t>behaviors</w:t>
      </w:r>
      <w:proofErr w:type="spellEnd"/>
      <w:r>
        <w:t xml:space="preserve"> (APA, 2013). </w:t>
      </w:r>
      <w:proofErr w:type="spellStart"/>
      <w:r>
        <w:t>Gillberg</w:t>
      </w:r>
      <w:proofErr w:type="spellEnd"/>
      <w:r>
        <w:t xml:space="preserve"> (1983a, 1983b) was the first to implicate that there was an autistic continuum, meaning that there were more children that could </w:t>
      </w:r>
      <w:r w:rsidR="00A81EAF">
        <w:t>fit the criteria for autism than</w:t>
      </w:r>
      <w:r>
        <w:t xml:space="preserve"> the type described by </w:t>
      </w:r>
      <w:proofErr w:type="spellStart"/>
      <w:r>
        <w:t>Kanner</w:t>
      </w:r>
      <w:proofErr w:type="spellEnd"/>
      <w:r>
        <w:t xml:space="preserve"> (1943). In line with this theory Lorna Wing and others proposed the term “autism spectrum” (Wing, 1991, 1997). Excitingly enough, in 1983 </w:t>
      </w:r>
      <w:proofErr w:type="spellStart"/>
      <w:r>
        <w:t>Gillberg</w:t>
      </w:r>
      <w:proofErr w:type="spellEnd"/>
      <w:r>
        <w:t xml:space="preserve"> also published an article where he looked at the same group of patients with ABR (</w:t>
      </w:r>
      <w:proofErr w:type="spellStart"/>
      <w:r>
        <w:t>Gillberg</w:t>
      </w:r>
      <w:proofErr w:type="spellEnd"/>
      <w:r>
        <w:t xml:space="preserve"> et al., 1983)</w:t>
      </w:r>
      <w:r w:rsidR="005D4318">
        <w:t xml:space="preserve">. Depending on assessment </w:t>
      </w:r>
      <w:proofErr w:type="gramStart"/>
      <w:r w:rsidR="005D4318">
        <w:t xml:space="preserve">method </w:t>
      </w:r>
      <w:r>
        <w:t xml:space="preserve"> and</w:t>
      </w:r>
      <w:proofErr w:type="gramEnd"/>
      <w:r>
        <w:t xml:space="preserve"> the age group in focus, large population-based studies report a</w:t>
      </w:r>
      <w:r w:rsidR="005D4318">
        <w:t>n ASD</w:t>
      </w:r>
      <w:r>
        <w:t xml:space="preserve"> prevalence of 1% to 3% (Baron-Cohen et al., 2009; Baxter et al., 2015; Kim et al., 2011). The male to female ratio lies between 3 and 5:1, decreasing in later studies, most likely due to better knowledge of how autism is expressed in females (Van </w:t>
      </w:r>
      <w:proofErr w:type="spellStart"/>
      <w:r>
        <w:t>Wijngaarden-Cremers</w:t>
      </w:r>
      <w:proofErr w:type="spellEnd"/>
      <w:r>
        <w:t xml:space="preserve"> et al., 2014). The prevalence of ASD diagnoses has grown steadily over the last few years (</w:t>
      </w:r>
      <w:proofErr w:type="spellStart"/>
      <w:r>
        <w:t>Atladottir</w:t>
      </w:r>
      <w:proofErr w:type="spellEnd"/>
      <w:r>
        <w:t xml:space="preserve"> et al., 2015). Suggested explanations do not include an actual increase in phenotype, but rather an increased awareness, broadening of diagnostic criteria, changes in definitions, and improved screening/identification by providers (Johnson et al., 2007; </w:t>
      </w:r>
      <w:proofErr w:type="spellStart"/>
      <w:r>
        <w:t>Fombonne</w:t>
      </w:r>
      <w:proofErr w:type="spellEnd"/>
      <w:r>
        <w:t xml:space="preserve">, 2009). This is supported by </w:t>
      </w:r>
      <w:proofErr w:type="spellStart"/>
      <w:r>
        <w:t>Lundström</w:t>
      </w:r>
      <w:proofErr w:type="spellEnd"/>
      <w:r>
        <w:t xml:space="preserve"> et al. (2012), who showed a stable prevalence of ASD in a Swedish population of 9- to 12-year-olds over the last 10 years.</w:t>
      </w:r>
    </w:p>
    <w:p w14:paraId="4AD84E96" w14:textId="5646D3BE" w:rsidR="00437525" w:rsidRDefault="00437525" w:rsidP="00437525">
      <w:pPr>
        <w:pStyle w:val="bodytext"/>
      </w:pPr>
      <w:r>
        <w:t xml:space="preserve">The ASD assessment process is generally long and demanding, both for the patient and for the mental health system. The gold standard includes different self-report scales, Autism Diagnostic Interview (ADI-R) (Rutter et al., 2003), and Autism Diagnostic Observation Schedule (ADOS) (Lord et al., 2000), which leaves a big part of the assessment to the clinician’s </w:t>
      </w:r>
      <w:r>
        <w:lastRenderedPageBreak/>
        <w:t xml:space="preserve">own ability to interpret results and discriminate autistic features. Genetics and epigenetics have been a large research area. </w:t>
      </w:r>
      <w:proofErr w:type="spellStart"/>
      <w:r>
        <w:t>Kooij</w:t>
      </w:r>
      <w:proofErr w:type="spellEnd"/>
      <w:r>
        <w:t xml:space="preserve"> et al. (2010) and </w:t>
      </w:r>
      <w:proofErr w:type="spellStart"/>
      <w:r>
        <w:t>Leblond</w:t>
      </w:r>
      <w:proofErr w:type="spellEnd"/>
      <w:r>
        <w:t xml:space="preserve"> et al. (2014) have pointed at SHANK genes (coding proteins located post-synaptic at the glutamatergic synapses) as high-risk genes f</w:t>
      </w:r>
      <w:r w:rsidR="005D4318">
        <w:t xml:space="preserve">or ASD. </w:t>
      </w:r>
      <w:proofErr w:type="spellStart"/>
      <w:r w:rsidR="005D4318">
        <w:t>Scheid</w:t>
      </w:r>
      <w:proofErr w:type="spellEnd"/>
      <w:r w:rsidR="005D4318">
        <w:t xml:space="preserve"> et al. (2013) have</w:t>
      </w:r>
      <w:r>
        <w:t xml:space="preserve"> found that genes coding enzymes involved in myelin synthesis, FA2H, to be high-risk genes. Other researchers have found nearly 800 ASD-risk genes (Butler et al. 2015). These genes are as stated by </w:t>
      </w:r>
      <w:proofErr w:type="spellStart"/>
      <w:r>
        <w:t>Vissers</w:t>
      </w:r>
      <w:proofErr w:type="spellEnd"/>
      <w:r>
        <w:t xml:space="preserve"> et al. (2016) “not fully understood,” and the polygenesis in ASD might be as extreme as in schizophrenia (</w:t>
      </w:r>
      <w:proofErr w:type="spellStart"/>
      <w:r>
        <w:t>Loh</w:t>
      </w:r>
      <w:proofErr w:type="spellEnd"/>
      <w:r>
        <w:t xml:space="preserve"> et al., 2015), linking almost every human gene to schizophrenia. This would make it impossible to tie ASD to one or a few specific genes.</w:t>
      </w:r>
    </w:p>
    <w:p w14:paraId="674BA7DB" w14:textId="657A82BD" w:rsidR="00437525" w:rsidRDefault="00437525" w:rsidP="00437525">
      <w:pPr>
        <w:pStyle w:val="bodytext"/>
      </w:pPr>
      <w:r>
        <w:t>ASD has an early onset (</w:t>
      </w:r>
      <w:proofErr w:type="spellStart"/>
      <w:r>
        <w:t>Tharpe</w:t>
      </w:r>
      <w:proofErr w:type="spellEnd"/>
      <w:r>
        <w:t xml:space="preserve"> et al., 2006; </w:t>
      </w:r>
      <w:proofErr w:type="spellStart"/>
      <w:r>
        <w:t>Volkmar</w:t>
      </w:r>
      <w:proofErr w:type="spellEnd"/>
      <w:r>
        <w:t xml:space="preserve"> et al., 2014) and is primarily characterized by impaired social interaction and communicative abiliti</w:t>
      </w:r>
      <w:r w:rsidR="00007E65">
        <w:t>es. ASD is considered to impact</w:t>
      </w:r>
      <w:r>
        <w:t xml:space="preserve"> the child’s ability to initiate social engagement, regulate social interactions, and share enjoyment and interests with others (APA, 2013). It also commonly manifests with delayed and aberrant speech and language development and an abnormal sensory perception (</w:t>
      </w:r>
      <w:proofErr w:type="spellStart"/>
      <w:r>
        <w:t>Baranek</w:t>
      </w:r>
      <w:proofErr w:type="spellEnd"/>
      <w:r>
        <w:t xml:space="preserve"> et al., 2006). The abnormal sensory perception in ASD can be expressed in several different ways, including being hyper- or </w:t>
      </w:r>
      <w:proofErr w:type="spellStart"/>
      <w:r>
        <w:t>hyporeactive</w:t>
      </w:r>
      <w:proofErr w:type="spellEnd"/>
      <w:r>
        <w:t xml:space="preserve"> to certain stimuli such as touch, smell, or sound. The abnormal perception of sound in ASD has been the subject of research in several studies, mostly using brain imaging, showing differences between patients with ASD and typically developed (TD) subjects in cortex activa</w:t>
      </w:r>
      <w:r w:rsidR="005D4318">
        <w:t>tion. Many of the studies found</w:t>
      </w:r>
      <w:r>
        <w:t xml:space="preserve"> a lower activation of the cortex in ASD (</w:t>
      </w:r>
      <w:proofErr w:type="spellStart"/>
      <w:r>
        <w:t>Boddaert</w:t>
      </w:r>
      <w:proofErr w:type="spellEnd"/>
      <w:r>
        <w:t xml:space="preserve"> et al., 2004; </w:t>
      </w:r>
      <w:proofErr w:type="spellStart"/>
      <w:r>
        <w:t>Orekhova</w:t>
      </w:r>
      <w:proofErr w:type="spellEnd"/>
      <w:r>
        <w:t xml:space="preserve"> et al., 2012). The reasons for the visual differences of cortex activation in ASD are yet to be explained. Several studies suggest that the explanation can be found in abnormal processing within subcortical brain structures like the brainstem (</w:t>
      </w:r>
      <w:proofErr w:type="spellStart"/>
      <w:r>
        <w:t>Orekhova</w:t>
      </w:r>
      <w:proofErr w:type="spellEnd"/>
      <w:r>
        <w:t xml:space="preserve"> et al., 2012). As early as in 1983 Edward M. </w:t>
      </w:r>
      <w:proofErr w:type="spellStart"/>
      <w:r>
        <w:t>Ornitz</w:t>
      </w:r>
      <w:proofErr w:type="spellEnd"/>
      <w:r>
        <w:t xml:space="preserve"> stated that autism was best explained by the term “sensory modulation disorder” and pointed towards the brainstem for explanations (</w:t>
      </w:r>
      <w:proofErr w:type="spellStart"/>
      <w:r>
        <w:t>Ornitz</w:t>
      </w:r>
      <w:proofErr w:type="spellEnd"/>
      <w:r>
        <w:t xml:space="preserve">, 1983). </w:t>
      </w:r>
      <w:proofErr w:type="spellStart"/>
      <w:r>
        <w:t>Geva</w:t>
      </w:r>
      <w:proofErr w:type="spellEnd"/>
      <w:r>
        <w:t xml:space="preserve"> and Feldman (2008) proposed a neurobiological model for the effects of early brainstem functioning on the development of </w:t>
      </w:r>
      <w:proofErr w:type="spellStart"/>
      <w:r>
        <w:t>behavior</w:t>
      </w:r>
      <w:proofErr w:type="spellEnd"/>
      <w:r>
        <w:t xml:space="preserve"> and emotion regulation in infants. It has also been suggested that brainstem abnormalities may be partly responsible for deviant language development as well as cognitive and social development in children with ASD. In 2013 </w:t>
      </w:r>
      <w:proofErr w:type="spellStart"/>
      <w:r>
        <w:t>Jou</w:t>
      </w:r>
      <w:proofErr w:type="spellEnd"/>
      <w:r>
        <w:t xml:space="preserve"> et al. conducted a two-year-long study of the brainstem in young males with autism versus TD, which showed alterations in brain-growth trajectories suggesting brainstem abnormalities in autism primarily involving </w:t>
      </w:r>
      <w:proofErr w:type="spellStart"/>
      <w:r>
        <w:t>gray</w:t>
      </w:r>
      <w:proofErr w:type="spellEnd"/>
      <w:r>
        <w:t xml:space="preserve"> matter structures (</w:t>
      </w:r>
      <w:proofErr w:type="spellStart"/>
      <w:r>
        <w:t>Jou</w:t>
      </w:r>
      <w:proofErr w:type="spellEnd"/>
      <w:r>
        <w:t xml:space="preserve"> et al., 2013). In 2016 Waterhouse et al. pointed out that there is no biological validity in the ASD diagnosis: </w:t>
      </w:r>
      <w:r>
        <w:lastRenderedPageBreak/>
        <w:t>Individuals diagnosed with ASD do not share one common brain impairment (Waterhouse et al., 2016). Instead, they vary both in brain size/volume (Lefebvre et al., 2015; Riddle et al., 2017), in electrophysiology (</w:t>
      </w:r>
      <w:proofErr w:type="spellStart"/>
      <w:r>
        <w:t>Billeci</w:t>
      </w:r>
      <w:proofErr w:type="spellEnd"/>
      <w:r>
        <w:t xml:space="preserve"> et al., 2013), and in neurochemistry findings (</w:t>
      </w:r>
      <w:proofErr w:type="spellStart"/>
      <w:r>
        <w:t>Zürcher</w:t>
      </w:r>
      <w:proofErr w:type="spellEnd"/>
      <w:r>
        <w:t xml:space="preserve"> et al., 2015). </w:t>
      </w:r>
    </w:p>
    <w:p w14:paraId="5C7374D1" w14:textId="77777777" w:rsidR="00437525" w:rsidRDefault="00437525" w:rsidP="00437525">
      <w:pPr>
        <w:pStyle w:val="bodytext"/>
      </w:pPr>
      <w:r>
        <w:t xml:space="preserve">To summarize, neither ADHD nor ASD can be explained by one single biological </w:t>
      </w:r>
      <w:proofErr w:type="spellStart"/>
      <w:r>
        <w:t>etiology</w:t>
      </w:r>
      <w:proofErr w:type="spellEnd"/>
      <w:r>
        <w:t>. Biological causes must be looked at in a wider perspective, not focusing on categorical diagnoses but rather on well-defined subgroups based on symptoms and risk factors. A new paradigm in psychiatric diagnostics is in the making, moving from categorical towards dimensional diagnostics. In this paradigm shift finding new ways of looking at neurodevelopmental principles is an important task.</w:t>
      </w:r>
    </w:p>
    <w:p w14:paraId="6AF2A091" w14:textId="77777777" w:rsidR="00437525" w:rsidRPr="00437525" w:rsidRDefault="00437525" w:rsidP="00437525">
      <w:pPr>
        <w:pStyle w:val="Heading2"/>
        <w:rPr>
          <w:lang w:val="en-US"/>
        </w:rPr>
      </w:pPr>
      <w:bookmarkStart w:id="23" w:name="_Toc492391041"/>
      <w:r w:rsidRPr="00437525">
        <w:rPr>
          <w:lang w:val="en-US"/>
        </w:rPr>
        <w:t>ABR</w:t>
      </w:r>
      <w:bookmarkEnd w:id="23"/>
    </w:p>
    <w:p w14:paraId="7906CDEA" w14:textId="1BB029B5" w:rsidR="00437525" w:rsidRPr="00437525" w:rsidRDefault="00437525" w:rsidP="00437525">
      <w:pPr>
        <w:pStyle w:val="bodytext"/>
      </w:pPr>
      <w:r w:rsidRPr="00437525">
        <w:t xml:space="preserve">Electrophysiology is the biomedical field regarding </w:t>
      </w:r>
      <w:r w:rsidR="005D4318">
        <w:t xml:space="preserve">the </w:t>
      </w:r>
      <w:r w:rsidRPr="00437525">
        <w:t>study of the production in and the effects of electrical activi</w:t>
      </w:r>
      <w:r w:rsidR="005D4318">
        <w:t>ty in</w:t>
      </w:r>
      <w:r w:rsidRPr="00437525">
        <w:t xml:space="preserve"> the body: in the heart, electrocardiography (EKG); in the eyes, </w:t>
      </w:r>
      <w:commentRangeStart w:id="24"/>
      <w:r w:rsidRPr="00437525">
        <w:t xml:space="preserve">electroretinography </w:t>
      </w:r>
      <w:commentRangeEnd w:id="24"/>
      <w:r w:rsidRPr="00292106">
        <w:rPr>
          <w:rStyle w:val="CommentReference"/>
        </w:rPr>
        <w:commentReference w:id="24"/>
      </w:r>
      <w:r w:rsidRPr="00437525">
        <w:t xml:space="preserve">(ERG); and in the brain, electroencephalography (EEG). The electrical potentials across cell membranes are created by the change of different concentrations of ions, for example, sodium (Na+) and potassium (K+), between the inside of the cell (intracellular liquid) and the outside (extracellular liquid). These ions diffuse across the cell membrane through specialized ion channels that can be open or closed. This creates an electrical charge. If the charge exceeds a certain threshold, an action potential is created. Action potentials are all-or-nothing events; the amplitude does not vary depending on the size of the proceeding stimulus, but the </w:t>
      </w:r>
      <w:r w:rsidRPr="00437525">
        <w:rPr>
          <w:i/>
        </w:rPr>
        <w:t>numbers</w:t>
      </w:r>
      <w:r w:rsidRPr="00437525">
        <w:t xml:space="preserve"> of firing neurons do. The cascade that is elicited is what is called neural communication. Electrical properties of the brain can be measured in different ways: EEG, event-related potentials (ERP), and ABR. EEG measures the electrical properties of the brain by using extracranial electrodes (de Almeida, 2013). When recording neural activity that is limited to one specific, repeated stimulus (sensory, cognitive, or motor event), it is referred to as an ERP (</w:t>
      </w:r>
      <w:proofErr w:type="spellStart"/>
      <w:r w:rsidRPr="00437525">
        <w:t>Micera</w:t>
      </w:r>
      <w:proofErr w:type="spellEnd"/>
      <w:r w:rsidRPr="00437525">
        <w:t xml:space="preserve"> et al., 2006). These responses are identical in each repetition, making it possible to average them, and in that way to calculate the </w:t>
      </w:r>
      <w:r w:rsidRPr="00437525">
        <w:rPr>
          <w:color w:val="1C1C1C"/>
        </w:rPr>
        <w:t xml:space="preserve">background noise contribution to the recorded ERP, that is, electromagnetic interference, brain background activity, or other </w:t>
      </w:r>
      <w:proofErr w:type="spellStart"/>
      <w:r w:rsidRPr="00437525">
        <w:rPr>
          <w:color w:val="1C1C1C"/>
        </w:rPr>
        <w:t>biosignals</w:t>
      </w:r>
      <w:proofErr w:type="spellEnd"/>
      <w:r w:rsidRPr="00437525">
        <w:rPr>
          <w:color w:val="1C1C1C"/>
        </w:rPr>
        <w:t xml:space="preserve">. </w:t>
      </w:r>
    </w:p>
    <w:p w14:paraId="151671F0" w14:textId="77777777" w:rsidR="00437525" w:rsidRPr="00437525" w:rsidRDefault="00437525" w:rsidP="00437525">
      <w:pPr>
        <w:pStyle w:val="bodytext"/>
      </w:pPr>
      <w:r w:rsidRPr="00437525">
        <w:t xml:space="preserve">ABR was first described by Jewett and Williston in 1971 (Jewett &amp; Williston, 1971). ABR is the collective name for the method, which records </w:t>
      </w:r>
      <w:r w:rsidRPr="00437525">
        <w:lastRenderedPageBreak/>
        <w:t xml:space="preserve">the electrical potentials generated in the auditory system for acoustic stimulation. ABR reflects the subcortical neuronal electrical activity in the auditory pathways, during10 milliseconds (Ms) after a brief auditory stimulus. The acoustic characteristics of the stimulation, the electrode placement and design, the studied time frame, the number of averaging signals, and the electrical filtering may be varied. The sound stimuli used may include, for example, unfiltered clicks, filtered clicks, or brief tone pulses. One can use single stimuli or more complex stimuli (e.g., forward masking). The ABR consists of a sequence of seven positive peaks (waves I–VII) that normally occur within 10 Ms following the onset of a stimulus recorded by surface electrodes on the mastoid processes of each ear and on the forehead. Waves I and II are produced by the peripheral part of the auditory nerve, whereas the subsequent peaks are due to the combined electrical activity of nuclei at gradually higher levels of the ascending auditory pathway in the brainstem. Wave III is believed to be generated in the cochlear nucleus. Waves IV and V have multiple origins, but superior </w:t>
      </w:r>
      <w:proofErr w:type="spellStart"/>
      <w:r w:rsidRPr="00437525">
        <w:t>olivary</w:t>
      </w:r>
      <w:proofErr w:type="spellEnd"/>
      <w:r w:rsidRPr="00437525">
        <w:t xml:space="preserve"> complex and lateral </w:t>
      </w:r>
      <w:bookmarkStart w:id="25" w:name="OLE_LINK1"/>
      <w:bookmarkStart w:id="26" w:name="OLE_LINK2"/>
      <w:r w:rsidRPr="00437525">
        <w:t xml:space="preserve">lemniscuses </w:t>
      </w:r>
      <w:bookmarkEnd w:id="25"/>
      <w:bookmarkEnd w:id="26"/>
      <w:r w:rsidRPr="00437525">
        <w:t>are two of the major sources (</w:t>
      </w:r>
      <w:proofErr w:type="spellStart"/>
      <w:r w:rsidRPr="00437525">
        <w:t>Klin</w:t>
      </w:r>
      <w:proofErr w:type="spellEnd"/>
      <w:r w:rsidRPr="00437525">
        <w:t xml:space="preserve">, 1993; </w:t>
      </w:r>
      <w:proofErr w:type="spellStart"/>
      <w:r w:rsidRPr="00F244F7">
        <w:rPr>
          <w:color w:val="222222"/>
          <w:shd w:val="clear" w:color="auto" w:fill="FFFFFF"/>
        </w:rPr>
        <w:t>Møsller</w:t>
      </w:r>
      <w:proofErr w:type="spellEnd"/>
      <w:r w:rsidRPr="00437525">
        <w:t xml:space="preserve"> et al., 1981; </w:t>
      </w:r>
      <w:proofErr w:type="spellStart"/>
      <w:r w:rsidRPr="00437525">
        <w:t>Parkkonen</w:t>
      </w:r>
      <w:proofErr w:type="spellEnd"/>
      <w:r w:rsidRPr="00437525">
        <w:t xml:space="preserve"> et al., 2009). Waves VI and VII represent higher anatomic areas of the brain and are thought to have thalamic origin (Figure 1).</w:t>
      </w:r>
    </w:p>
    <w:p w14:paraId="191DB545" w14:textId="77777777" w:rsidR="00437525" w:rsidRPr="00292106" w:rsidRDefault="00437525" w:rsidP="00437525">
      <w:pPr>
        <w:pStyle w:val="insertpicture"/>
      </w:pPr>
      <w:r w:rsidRPr="00292106">
        <w:rPr>
          <w:noProof/>
          <w:lang w:eastAsia="en-GB"/>
        </w:rPr>
        <w:drawing>
          <wp:inline distT="0" distB="0" distL="0" distR="0" wp14:anchorId="4278D676" wp14:editId="30C84489">
            <wp:extent cx="4407535" cy="2976880"/>
            <wp:effectExtent l="0" t="0" r="12065" b="0"/>
            <wp:docPr id="7" name="Picture 7" descr="Origin of BA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 of BAEP.jpg"/>
                    <pic:cNvPicPr/>
                  </pic:nvPicPr>
                  <pic:blipFill>
                    <a:blip r:embed="rId13" cstate="print"/>
                    <a:stretch>
                      <a:fillRect/>
                    </a:stretch>
                  </pic:blipFill>
                  <pic:spPr>
                    <a:xfrm>
                      <a:off x="0" y="0"/>
                      <a:ext cx="4430071" cy="2992101"/>
                    </a:xfrm>
                    <a:prstGeom prst="rect">
                      <a:avLst/>
                    </a:prstGeom>
                  </pic:spPr>
                </pic:pic>
              </a:graphicData>
            </a:graphic>
          </wp:inline>
        </w:drawing>
      </w:r>
    </w:p>
    <w:p w14:paraId="23BFCA92" w14:textId="77777777" w:rsidR="00437525" w:rsidRPr="00AA5A29" w:rsidRDefault="00437525" w:rsidP="00437525">
      <w:pPr>
        <w:pStyle w:val="picturetextheadline0"/>
        <w:rPr>
          <w:lang w:val="en-US"/>
        </w:rPr>
      </w:pPr>
      <w:r w:rsidRPr="00AA5A29">
        <w:rPr>
          <w:lang w:val="en-US"/>
        </w:rPr>
        <w:t xml:space="preserve">Figure 1. </w:t>
      </w:r>
    </w:p>
    <w:p w14:paraId="0FCB06DA" w14:textId="77777777" w:rsidR="00437525" w:rsidRPr="00F244F7" w:rsidRDefault="00437525" w:rsidP="00437525">
      <w:pPr>
        <w:pStyle w:val="picturetext"/>
        <w:rPr>
          <w:sz w:val="24"/>
        </w:rPr>
      </w:pPr>
      <w:r w:rsidRPr="00292106">
        <w:t>Illustration of the standard ABR</w:t>
      </w:r>
      <w:r>
        <w:t xml:space="preserve"> </w:t>
      </w:r>
      <w:r w:rsidRPr="00292106">
        <w:t>wave pattern and corresponding anatomical structures within the first 10 Ms after stimulation</w:t>
      </w:r>
      <w:r w:rsidRPr="00437525">
        <w:t>. Reprinted with permission of Sensodetect.</w:t>
      </w:r>
    </w:p>
    <w:p w14:paraId="7AD29B6E" w14:textId="234A13B4" w:rsidR="00437525" w:rsidRPr="00437525" w:rsidRDefault="00437525" w:rsidP="00437525">
      <w:pPr>
        <w:pStyle w:val="bodytext"/>
      </w:pPr>
      <w:r w:rsidRPr="00437525">
        <w:lastRenderedPageBreak/>
        <w:t>The brainstem</w:t>
      </w:r>
      <w:r w:rsidR="005D4318">
        <w:t xml:space="preserve"> </w:t>
      </w:r>
      <w:r w:rsidR="005D4318" w:rsidRPr="00437525">
        <w:t>matura</w:t>
      </w:r>
      <w:r w:rsidR="005D4318">
        <w:t>tion</w:t>
      </w:r>
      <w:r w:rsidRPr="00437525">
        <w:t xml:space="preserve">, towards an adult architecture starts in the more peripheral regions, with waves I, II, and III maturing at the age of 1–2 years. Wave V matures last and is considered to have developed an adult architecture at age 3–4 years (Burkard &amp; Sims, 2001; </w:t>
      </w:r>
      <w:proofErr w:type="spellStart"/>
      <w:r w:rsidRPr="00437525">
        <w:t>Fujikawa</w:t>
      </w:r>
      <w:proofErr w:type="spellEnd"/>
      <w:r w:rsidRPr="00437525">
        <w:t xml:space="preserve">-Brooks et al., 2010; Konrad-Martin et al., 2012; Moore &amp; Linthicum, 2007). </w:t>
      </w:r>
    </w:p>
    <w:p w14:paraId="7CA1BAAD" w14:textId="503CB754" w:rsidR="00437525" w:rsidRPr="00437525" w:rsidRDefault="00437525" w:rsidP="00437525">
      <w:pPr>
        <w:pStyle w:val="bodytext"/>
        <w:rPr>
          <w:lang w:eastAsia="en-GB"/>
        </w:rPr>
      </w:pPr>
      <w:r w:rsidRPr="00437525">
        <w:t xml:space="preserve">ABR is currently used in audiological departments, mainly for sensorineural hearing loss and lesions in the brainstem but also for </w:t>
      </w:r>
      <w:proofErr w:type="spellStart"/>
      <w:r w:rsidRPr="00437525">
        <w:rPr>
          <w:color w:val="000000"/>
          <w:shd w:val="clear" w:color="auto" w:fill="FFFFFF"/>
          <w:lang w:eastAsia="en-GB"/>
        </w:rPr>
        <w:t>newborn</w:t>
      </w:r>
      <w:proofErr w:type="spellEnd"/>
      <w:r w:rsidRPr="00437525">
        <w:rPr>
          <w:color w:val="000000"/>
          <w:shd w:val="clear" w:color="auto" w:fill="FFFFFF"/>
          <w:lang w:eastAsia="en-GB"/>
        </w:rPr>
        <w:t xml:space="preserve"> hearing screenings, estimation of auditory threshold, detecting auditory nerve lesions, assessing for the presence of demyelinating conditions, detecting brain death, and determining coma type and recovery prognosis.</w:t>
      </w:r>
    </w:p>
    <w:p w14:paraId="63837874" w14:textId="77777777" w:rsidR="00437525" w:rsidRPr="00437525" w:rsidRDefault="00437525" w:rsidP="00437525">
      <w:pPr>
        <w:pStyle w:val="bodytext"/>
      </w:pPr>
      <w:r w:rsidRPr="00437525">
        <w:t xml:space="preserve">To measure ABR surface electrodes are attached to the forehead, behind the ears, and on the mastoid part of the temporal bones. Acoustic stimuli are presented through headphones. The electrical signals from the electrodes are amplified and averaged, resulting in a graph consisting of peaks and valleys (Figure 2). </w:t>
      </w:r>
    </w:p>
    <w:p w14:paraId="45B0F2DA" w14:textId="77777777" w:rsidR="00437525" w:rsidRPr="00437525" w:rsidRDefault="00437525" w:rsidP="00437525">
      <w:pPr>
        <w:pStyle w:val="insertpicture"/>
        <w:rPr>
          <w:lang w:val="en-US"/>
        </w:rPr>
      </w:pPr>
      <w:r w:rsidRPr="00292106">
        <w:rPr>
          <w:noProof/>
          <w:lang w:eastAsia="en-GB"/>
        </w:rPr>
        <w:drawing>
          <wp:inline distT="0" distB="0" distL="0" distR="0" wp14:anchorId="0DFA032E" wp14:editId="61E3A952">
            <wp:extent cx="4677242" cy="2260600"/>
            <wp:effectExtent l="0" t="0" r="952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rotWithShape="1">
                    <a:blip r:embed="rId14">
                      <a:extLst>
                        <a:ext uri="{28A0092B-C50C-407E-A947-70E740481C1C}">
                          <a14:useLocalDpi xmlns:a14="http://schemas.microsoft.com/office/drawing/2010/main" val="0"/>
                        </a:ext>
                      </a:extLst>
                    </a:blip>
                    <a:srcRect l="6596" t="35158" r="28230" b="19760"/>
                    <a:stretch/>
                  </pic:blipFill>
                  <pic:spPr bwMode="auto">
                    <a:xfrm>
                      <a:off x="0" y="0"/>
                      <a:ext cx="4681081" cy="2262456"/>
                    </a:xfrm>
                    <a:prstGeom prst="rect">
                      <a:avLst/>
                    </a:prstGeom>
                    <a:noFill/>
                    <a:ln>
                      <a:noFill/>
                    </a:ln>
                    <a:extLst>
                      <a:ext uri="{53640926-AAD7-44D8-BBD7-CCE9431645EC}">
                        <a14:shadowObscured xmlns:a14="http://schemas.microsoft.com/office/drawing/2010/main"/>
                      </a:ext>
                    </a:extLst>
                  </pic:spPr>
                </pic:pic>
              </a:graphicData>
            </a:graphic>
          </wp:inline>
        </w:drawing>
      </w:r>
      <w:r w:rsidRPr="00437525">
        <w:rPr>
          <w:lang w:val="en-US"/>
        </w:rPr>
        <w:t xml:space="preserve"> </w:t>
      </w:r>
    </w:p>
    <w:p w14:paraId="30616093" w14:textId="77777777" w:rsidR="00437525" w:rsidRDefault="00437525" w:rsidP="00437525">
      <w:pPr>
        <w:pStyle w:val="picturetextheadline0"/>
        <w:rPr>
          <w:lang w:val="en-US"/>
        </w:rPr>
      </w:pPr>
      <w:r w:rsidRPr="00437525">
        <w:rPr>
          <w:lang w:val="en-US"/>
        </w:rPr>
        <w:t xml:space="preserve">Figure 2. </w:t>
      </w:r>
    </w:p>
    <w:p w14:paraId="22C2B6E7" w14:textId="77777777" w:rsidR="00437525" w:rsidRPr="00437525" w:rsidRDefault="00437525" w:rsidP="00437525">
      <w:pPr>
        <w:pStyle w:val="picturetext"/>
      </w:pPr>
      <w:r w:rsidRPr="00437525">
        <w:t xml:space="preserve">Median curves of all healthy females, ADHD females, healthy males, and ADHD males. Sound 1, left ears. </w:t>
      </w:r>
    </w:p>
    <w:p w14:paraId="22EF8B0B" w14:textId="6D5C5B6F" w:rsidR="00437525" w:rsidRPr="00292106" w:rsidRDefault="00437525" w:rsidP="00437525">
      <w:pPr>
        <w:pStyle w:val="bodytext"/>
      </w:pPr>
      <w:r w:rsidRPr="00292106">
        <w:t xml:space="preserve">Analysis of the ABR wave patterns can be done </w:t>
      </w:r>
      <w:r w:rsidR="00007E65">
        <w:t xml:space="preserve">for example </w:t>
      </w:r>
      <w:r w:rsidRPr="00292106">
        <w:t xml:space="preserve">by peak amplitudes; </w:t>
      </w:r>
      <w:proofErr w:type="spellStart"/>
      <w:r w:rsidRPr="00292106">
        <w:t>interpeak</w:t>
      </w:r>
      <w:proofErr w:type="spellEnd"/>
      <w:r w:rsidRPr="00292106">
        <w:t xml:space="preserve"> latency;</w:t>
      </w:r>
      <w:r>
        <w:t xml:space="preserve"> wave</w:t>
      </w:r>
      <w:r w:rsidRPr="00292106">
        <w:t xml:space="preserve">form morphology, that is, correlation to a norm ABR; and </w:t>
      </w:r>
      <w:proofErr w:type="spellStart"/>
      <w:r w:rsidRPr="00292106">
        <w:t>interaural</w:t>
      </w:r>
      <w:proofErr w:type="spellEnd"/>
      <w:r w:rsidRPr="00292106">
        <w:t xml:space="preserve"> correlation (</w:t>
      </w:r>
      <w:proofErr w:type="spellStart"/>
      <w:r w:rsidRPr="00292106">
        <w:rPr>
          <w:bCs/>
          <w:u w:color="262626"/>
        </w:rPr>
        <w:t>Musiek</w:t>
      </w:r>
      <w:proofErr w:type="spellEnd"/>
      <w:r w:rsidRPr="00292106">
        <w:rPr>
          <w:bCs/>
          <w:u w:color="262626"/>
        </w:rPr>
        <w:t xml:space="preserve"> </w:t>
      </w:r>
      <w:r>
        <w:rPr>
          <w:bCs/>
          <w:u w:color="262626"/>
        </w:rPr>
        <w:t>&amp; Berge</w:t>
      </w:r>
      <w:r w:rsidRPr="00292106">
        <w:rPr>
          <w:bCs/>
          <w:u w:color="262626"/>
        </w:rPr>
        <w:t xml:space="preserve"> 19</w:t>
      </w:r>
      <w:r>
        <w:rPr>
          <w:bCs/>
          <w:u w:color="262626"/>
        </w:rPr>
        <w:t>9</w:t>
      </w:r>
      <w:r w:rsidRPr="00292106">
        <w:rPr>
          <w:bCs/>
          <w:u w:color="262626"/>
        </w:rPr>
        <w:t xml:space="preserve">8; </w:t>
      </w:r>
      <w:proofErr w:type="spellStart"/>
      <w:r w:rsidRPr="00292106">
        <w:t>Musiek</w:t>
      </w:r>
      <w:proofErr w:type="spellEnd"/>
      <w:r w:rsidRPr="00292106">
        <w:t xml:space="preserve"> &amp; Lee, 1995</w:t>
      </w:r>
      <w:r>
        <w:t xml:space="preserve">; </w:t>
      </w:r>
      <w:r w:rsidRPr="00292106">
        <w:rPr>
          <w:color w:val="262626"/>
          <w:u w:color="262626"/>
        </w:rPr>
        <w:t xml:space="preserve">Sand </w:t>
      </w:r>
      <w:r w:rsidRPr="00292106">
        <w:rPr>
          <w:bCs/>
          <w:u w:color="262626"/>
        </w:rPr>
        <w:t>1990</w:t>
      </w:r>
      <w:r w:rsidRPr="00292106">
        <w:t xml:space="preserve">). ABR is a method that does not require active patient participation. Complex stimuli (e.g., forward masking) were used in the present studies to increase the possibility of detecting </w:t>
      </w:r>
      <w:r>
        <w:t>deviances</w:t>
      </w:r>
      <w:r w:rsidRPr="00292106">
        <w:t xml:space="preserve"> in comparison with matched healthy children.</w:t>
      </w:r>
      <w:r w:rsidRPr="00292106">
        <w:rPr>
          <w:b/>
        </w:rPr>
        <w:t xml:space="preserve"> </w:t>
      </w:r>
      <w:r w:rsidRPr="00437525">
        <w:t xml:space="preserve">Complex stimuli may reveal </w:t>
      </w:r>
      <w:r w:rsidRPr="00437525">
        <w:lastRenderedPageBreak/>
        <w:t>aberrations, which may not be assessed by standard single-stimuli ABR procedures. In our studies, we were interested in the processing that</w:t>
      </w:r>
      <w:r w:rsidRPr="00292106">
        <w:t xml:space="preserve"> occurs in the basic auditory pathways, situated in the brainstem. Therefore, electrodes were placed and calibrated so that the later responses from cerebral clusters of higher processing complexity</w:t>
      </w:r>
      <w:r w:rsidRPr="00292106">
        <w:rPr>
          <w:position w:val="264"/>
        </w:rPr>
        <w:t xml:space="preserve"> </w:t>
      </w:r>
      <w:r w:rsidRPr="00292106">
        <w:t>were left out. In our studies, only wanting brainstem activity, the available data extend to only 10 Ms post stimuli. This excludes the post-brainstem responses and therefore provides a clearer picture of the deeper cerebral functions</w:t>
      </w:r>
      <w:r>
        <w:t xml:space="preserve">. </w:t>
      </w:r>
      <w:r w:rsidRPr="00292106">
        <w:t>There have been studies of ABR up to half a second post stimuli, capturing the later, cognitive auditory processing, in this way letting the ABR be affected by a test subject’s conscious thoughts, memories, or preferences attached to the induced sound. This has been done to show differences in the brains of musicians and non-musicians (</w:t>
      </w:r>
      <w:proofErr w:type="spellStart"/>
      <w:r w:rsidRPr="00292106">
        <w:t>Okhrei</w:t>
      </w:r>
      <w:proofErr w:type="spellEnd"/>
      <w:r w:rsidRPr="00292106">
        <w:t xml:space="preserve"> et al., 2012). Gender has been discussed to be a confounder in ABR, since TD females have been seen to have shorter latencies in ABR (Aoyagi et al., 1990; </w:t>
      </w:r>
      <w:proofErr w:type="spellStart"/>
      <w:r w:rsidRPr="00292106">
        <w:t>Dehan</w:t>
      </w:r>
      <w:proofErr w:type="spellEnd"/>
      <w:r w:rsidRPr="00292106">
        <w:t xml:space="preserve"> &amp; </w:t>
      </w:r>
      <w:proofErr w:type="spellStart"/>
      <w:r w:rsidRPr="00292106">
        <w:t>Jerger</w:t>
      </w:r>
      <w:proofErr w:type="spellEnd"/>
      <w:r w:rsidRPr="00292106">
        <w:t xml:space="preserve">, 1990; </w:t>
      </w:r>
      <w:proofErr w:type="spellStart"/>
      <w:r w:rsidRPr="00292106">
        <w:t>Durrant</w:t>
      </w:r>
      <w:proofErr w:type="spellEnd"/>
      <w:r w:rsidRPr="00292106">
        <w:t xml:space="preserve"> et al., 1990</w:t>
      </w:r>
      <w:r>
        <w:t xml:space="preserve">; </w:t>
      </w:r>
      <w:proofErr w:type="spellStart"/>
      <w:r w:rsidRPr="00292106">
        <w:t>L</w:t>
      </w:r>
      <w:r>
        <w:t>ó</w:t>
      </w:r>
      <w:r w:rsidRPr="00292106">
        <w:t>pez-Esc</w:t>
      </w:r>
      <w:r>
        <w:t>á</w:t>
      </w:r>
      <w:r w:rsidRPr="00292106">
        <w:t>mez</w:t>
      </w:r>
      <w:proofErr w:type="spellEnd"/>
      <w:r w:rsidRPr="00292106">
        <w:t xml:space="preserve"> et al., 199</w:t>
      </w:r>
      <w:r>
        <w:t>8</w:t>
      </w:r>
      <w:r w:rsidRPr="00292106">
        <w:t>;</w:t>
      </w:r>
      <w:r>
        <w:t xml:space="preserve"> </w:t>
      </w:r>
      <w:r w:rsidRPr="00292106">
        <w:t>Stuart &amp; Yang,</w:t>
      </w:r>
      <w:r>
        <w:t xml:space="preserve"> 2001</w:t>
      </w:r>
      <w:r w:rsidRPr="00292106">
        <w:t>). In studies of ABR where genders were not separated and wh</w:t>
      </w:r>
      <w:r>
        <w:t>ere</w:t>
      </w:r>
      <w:r w:rsidRPr="00292106">
        <w:t xml:space="preserve"> a substantial proportion of </w:t>
      </w:r>
      <w:r w:rsidR="00745283">
        <w:t>the TD group is</w:t>
      </w:r>
      <w:r>
        <w:t xml:space="preserve"> </w:t>
      </w:r>
      <w:r w:rsidRPr="00292106">
        <w:t xml:space="preserve">females, this could </w:t>
      </w:r>
      <w:r>
        <w:t>result in a</w:t>
      </w:r>
      <w:r w:rsidRPr="00292106">
        <w:t xml:space="preserve"> prolongation of waves due to too many females in the TD group shortening the latencies of the TD group. In ABR studies it is </w:t>
      </w:r>
      <w:r>
        <w:t xml:space="preserve">therefore </w:t>
      </w:r>
      <w:r w:rsidRPr="00292106">
        <w:t xml:space="preserve">important to control for gender (Russo et al., 2008). </w:t>
      </w:r>
      <w:r>
        <w:t>Auditory deviances</w:t>
      </w:r>
      <w:r w:rsidRPr="00292106">
        <w:t xml:space="preserve"> </w:t>
      </w:r>
      <w:r>
        <w:t>are</w:t>
      </w:r>
      <w:r w:rsidR="00AA5A29">
        <w:t xml:space="preserve"> </w:t>
      </w:r>
      <w:r w:rsidRPr="00292106">
        <w:t>important clinical symptom</w:t>
      </w:r>
      <w:r>
        <w:t>s</w:t>
      </w:r>
      <w:r w:rsidRPr="00292106">
        <w:t xml:space="preserve"> in many </w:t>
      </w:r>
      <w:r>
        <w:t>mental disorders</w:t>
      </w:r>
      <w:r w:rsidRPr="00292106">
        <w:t>, such as psychosis (DSM</w:t>
      </w:r>
      <w:r>
        <w:t>-</w:t>
      </w:r>
      <w:r w:rsidRPr="00292106">
        <w:t>IV/</w:t>
      </w:r>
      <w:r>
        <w:t>DSM-5</w:t>
      </w:r>
      <w:r w:rsidRPr="00292106">
        <w:t>). In both ASD and ADHD, sensory modification in hearing is a substantial clinical finding (DSM</w:t>
      </w:r>
      <w:r>
        <w:t>-</w:t>
      </w:r>
      <w:r w:rsidRPr="00292106">
        <w:t>IV/</w:t>
      </w:r>
      <w:r>
        <w:t>DSM-5</w:t>
      </w:r>
      <w:r w:rsidRPr="00292106">
        <w:t xml:space="preserve">). </w:t>
      </w:r>
    </w:p>
    <w:p w14:paraId="5AB5F7A4" w14:textId="31A3D58D" w:rsidR="00437525" w:rsidRPr="00AA5A29" w:rsidRDefault="00437525" w:rsidP="00437525">
      <w:pPr>
        <w:pStyle w:val="Heading4"/>
        <w:rPr>
          <w:lang w:val="en-US"/>
        </w:rPr>
      </w:pPr>
      <w:r w:rsidRPr="00AA5A29">
        <w:rPr>
          <w:lang w:val="en-US"/>
        </w:rPr>
        <w:t>ABR and ADHD</w:t>
      </w:r>
      <w:r w:rsidR="00AA5A29" w:rsidRPr="00AA5A29">
        <w:rPr>
          <w:lang w:val="en-US"/>
        </w:rPr>
        <w:t xml:space="preserve"> </w:t>
      </w:r>
    </w:p>
    <w:p w14:paraId="11EA35D5" w14:textId="57DFAF5E" w:rsidR="00437525" w:rsidRPr="003B6BE9" w:rsidRDefault="00437525" w:rsidP="00437525">
      <w:pPr>
        <w:pStyle w:val="bodytext"/>
        <w:rPr>
          <w:color w:val="000000" w:themeColor="text1"/>
          <w:shd w:val="clear" w:color="auto" w:fill="FFFFFF"/>
        </w:rPr>
      </w:pPr>
      <w:r w:rsidRPr="003B6BE9">
        <w:rPr>
          <w:rFonts w:cs="TimesNewRomanPSMT"/>
          <w:color w:val="000000" w:themeColor="text1"/>
        </w:rPr>
        <w:t xml:space="preserve">The literature on ABR and ADHD is scarce. </w:t>
      </w:r>
      <w:r w:rsidRPr="003B6BE9">
        <w:rPr>
          <w:color w:val="000000" w:themeColor="text1"/>
        </w:rPr>
        <w:t>Studies have shown that children with ADHD have abnormalities in their pontine and thalamic regions (</w:t>
      </w:r>
      <w:proofErr w:type="spellStart"/>
      <w:r w:rsidRPr="003B6BE9">
        <w:rPr>
          <w:color w:val="000000" w:themeColor="text1"/>
        </w:rPr>
        <w:t>Cortese</w:t>
      </w:r>
      <w:proofErr w:type="spellEnd"/>
      <w:r w:rsidRPr="003B6BE9">
        <w:rPr>
          <w:color w:val="000000" w:themeColor="text1"/>
        </w:rPr>
        <w:t xml:space="preserve"> et al., 2013; Dickstein et al., 2006; Ivanov et al., 2010), not only structural abnormalities but also functional ones (Zhu et al., 2008). Could ABR be used to monitor these? </w:t>
      </w:r>
      <w:proofErr w:type="spellStart"/>
      <w:r w:rsidRPr="003B6BE9">
        <w:rPr>
          <w:rFonts w:cs="TimesNewRomanPSMT"/>
          <w:color w:val="000000" w:themeColor="text1"/>
        </w:rPr>
        <w:t>Lahat</w:t>
      </w:r>
      <w:proofErr w:type="spellEnd"/>
      <w:r w:rsidRPr="003B6BE9">
        <w:rPr>
          <w:rFonts w:cs="TimesNewRomanPSMT"/>
          <w:color w:val="000000" w:themeColor="text1"/>
        </w:rPr>
        <w:t xml:space="preserve"> et al. (1995) </w:t>
      </w:r>
      <w:r w:rsidR="00745283">
        <w:rPr>
          <w:rFonts w:cs="TimesNewRomanPSMT"/>
          <w:color w:val="000000" w:themeColor="text1"/>
        </w:rPr>
        <w:t xml:space="preserve">found prolonged latencies of waves I–III and I–V in </w:t>
      </w:r>
      <w:r w:rsidR="00745283" w:rsidRPr="003B6BE9">
        <w:rPr>
          <w:rFonts w:cs="TimesNewRomanPSMT"/>
          <w:color w:val="000000" w:themeColor="text1"/>
        </w:rPr>
        <w:t xml:space="preserve">114 children with ADHD </w:t>
      </w:r>
      <w:r w:rsidRPr="003B6BE9">
        <w:rPr>
          <w:rFonts w:cs="TimesNewRomanPSMT"/>
          <w:color w:val="000000" w:themeColor="text1"/>
        </w:rPr>
        <w:t xml:space="preserve">compared to normal controls. They also found a significant asymmetry of wave III latency between the ears in the study group, but not in the control group. In 2011 </w:t>
      </w:r>
      <w:proofErr w:type="spellStart"/>
      <w:r w:rsidRPr="003B6BE9">
        <w:rPr>
          <w:rFonts w:cs="TimesNewRomanPSMT"/>
          <w:color w:val="000000" w:themeColor="text1"/>
        </w:rPr>
        <w:t>Vaney</w:t>
      </w:r>
      <w:proofErr w:type="spellEnd"/>
      <w:r w:rsidRPr="003B6BE9">
        <w:rPr>
          <w:rFonts w:cs="TimesNewRomanPSMT"/>
          <w:color w:val="000000" w:themeColor="text1"/>
        </w:rPr>
        <w:t xml:space="preserve"> et al. (2011) published a study on 20 ADHD patients and 20 TD participants that found ABR differences in the ADHD group, but these were not statistically significant. </w:t>
      </w:r>
      <w:r w:rsidRPr="003B6BE9">
        <w:rPr>
          <w:color w:val="000000" w:themeColor="text1"/>
        </w:rPr>
        <w:t xml:space="preserve">In 1999 Ismail and Amin (1999) performed ABR on 30 children with ADHD and found </w:t>
      </w:r>
      <w:r w:rsidRPr="003B6BE9">
        <w:rPr>
          <w:rFonts w:cs="TimesNewRomanPSMT"/>
          <w:color w:val="000000" w:themeColor="text1"/>
        </w:rPr>
        <w:t xml:space="preserve">no statistically significant differences between the children with ADHD and TD group regarding absolute latencies of waves I, III, and V as well as </w:t>
      </w:r>
      <w:proofErr w:type="spellStart"/>
      <w:r w:rsidRPr="003B6BE9">
        <w:rPr>
          <w:rFonts w:cs="TimesNewRomanPSMT"/>
          <w:color w:val="000000" w:themeColor="text1"/>
        </w:rPr>
        <w:t>interpeak</w:t>
      </w:r>
      <w:proofErr w:type="spellEnd"/>
      <w:r w:rsidRPr="003B6BE9">
        <w:rPr>
          <w:rFonts w:cs="TimesNewRomanPSMT"/>
          <w:color w:val="000000" w:themeColor="text1"/>
        </w:rPr>
        <w:t xml:space="preserve"> intervals (</w:t>
      </w:r>
      <w:commentRangeStart w:id="27"/>
      <w:r w:rsidRPr="003B6BE9">
        <w:rPr>
          <w:rFonts w:cs="TimesNewRomanPSMT"/>
          <w:color w:val="000000" w:themeColor="text1"/>
        </w:rPr>
        <w:t>IPI</w:t>
      </w:r>
      <w:commentRangeEnd w:id="27"/>
      <w:r w:rsidRPr="003B6BE9">
        <w:rPr>
          <w:rFonts w:cs="TimesNewRomanPSMT"/>
          <w:color w:val="000000" w:themeColor="text1"/>
        </w:rPr>
        <w:t>s)</w:t>
      </w:r>
      <w:r w:rsidRPr="003B6BE9">
        <w:rPr>
          <w:rStyle w:val="CommentReference"/>
          <w:rFonts w:cstheme="minorBidi"/>
          <w:color w:val="000000" w:themeColor="text1"/>
        </w:rPr>
        <w:commentReference w:id="27"/>
      </w:r>
      <w:r w:rsidRPr="003B6BE9">
        <w:rPr>
          <w:rFonts w:cs="TimesNewRomanPSMT"/>
          <w:color w:val="000000" w:themeColor="text1"/>
        </w:rPr>
        <w:t xml:space="preserve"> I–III, III–V, and I–V. From this, Ismail and Amin concluded that disturbances in ADHD could occur at a brain level higher than the </w:t>
      </w:r>
      <w:r w:rsidRPr="003B6BE9">
        <w:rPr>
          <w:rFonts w:cs="TimesNewRomanPSMT"/>
          <w:color w:val="000000" w:themeColor="text1"/>
        </w:rPr>
        <w:lastRenderedPageBreak/>
        <w:t xml:space="preserve">brainstem level and suggested </w:t>
      </w:r>
      <w:proofErr w:type="spellStart"/>
      <w:r w:rsidRPr="003B6BE9">
        <w:rPr>
          <w:rFonts w:cs="TimesNewRomanPSMT"/>
          <w:color w:val="000000" w:themeColor="text1"/>
        </w:rPr>
        <w:t>thalamocortical</w:t>
      </w:r>
      <w:proofErr w:type="spellEnd"/>
      <w:r w:rsidRPr="003B6BE9">
        <w:rPr>
          <w:rFonts w:cs="TimesNewRomanPSMT"/>
          <w:color w:val="000000" w:themeColor="text1"/>
        </w:rPr>
        <w:t xml:space="preserve"> projections. </w:t>
      </w:r>
      <w:proofErr w:type="spellStart"/>
      <w:r w:rsidRPr="003B6BE9">
        <w:rPr>
          <w:rFonts w:cs="TimesNewRomanPSMT"/>
          <w:color w:val="000000" w:themeColor="text1"/>
        </w:rPr>
        <w:t>Schochat</w:t>
      </w:r>
      <w:proofErr w:type="spellEnd"/>
      <w:r w:rsidRPr="003B6BE9">
        <w:rPr>
          <w:rFonts w:cs="TimesNewRomanPSMT"/>
          <w:color w:val="000000" w:themeColor="text1"/>
        </w:rPr>
        <w:t xml:space="preserve"> et al. (2002) looked at wave V and couldn’t find a statistically significant difference in the ABR of ADHD children. ADHD and ABR were studied in</w:t>
      </w:r>
      <w:r w:rsidRPr="003B6BE9">
        <w:rPr>
          <w:color w:val="000000" w:themeColor="text1"/>
        </w:rPr>
        <w:t xml:space="preserve"> 2002 by Puente et al. (2002), who found t</w:t>
      </w:r>
      <w:r w:rsidRPr="003B6BE9">
        <w:rPr>
          <w:color w:val="000000" w:themeColor="text1"/>
          <w:shd w:val="clear" w:color="auto" w:fill="FFFFFF"/>
        </w:rPr>
        <w:t xml:space="preserve">hat the latencies of waves III and V were significantly prolonged in children with ADHD. Furthermore, a significant difference was found between mean IPIs of I–III and I–V of children with ADHD compared with controls. In this study brainstem transmission was significantly longer in children with ADHD. </w:t>
      </w:r>
      <w:r w:rsidRPr="003B6BE9">
        <w:rPr>
          <w:rFonts w:cs="TimesNewRomanPSMT"/>
          <w:color w:val="000000" w:themeColor="text1"/>
        </w:rPr>
        <w:t>Over the years ABR research has been more fo</w:t>
      </w:r>
      <w:r w:rsidR="00745283">
        <w:rPr>
          <w:rFonts w:cs="TimesNewRomanPSMT"/>
          <w:color w:val="000000" w:themeColor="text1"/>
        </w:rPr>
        <w:t>cused on schizophrenia (</w:t>
      </w:r>
      <w:proofErr w:type="spellStart"/>
      <w:r w:rsidR="00745283">
        <w:rPr>
          <w:rFonts w:cs="TimesNewRomanPSMT"/>
          <w:color w:val="000000" w:themeColor="text1"/>
        </w:rPr>
        <w:t>Källstra</w:t>
      </w:r>
      <w:r w:rsidRPr="003B6BE9">
        <w:rPr>
          <w:rFonts w:cs="TimesNewRomanPSMT"/>
          <w:color w:val="000000" w:themeColor="text1"/>
        </w:rPr>
        <w:t>nd</w:t>
      </w:r>
      <w:proofErr w:type="spellEnd"/>
      <w:r w:rsidRPr="003B6BE9">
        <w:rPr>
          <w:rFonts w:cs="TimesNewRomanPSMT"/>
          <w:color w:val="000000" w:themeColor="text1"/>
        </w:rPr>
        <w:t xml:space="preserve"> et al., 2002, 2010) and ASD (</w:t>
      </w:r>
      <w:r w:rsidRPr="003B6BE9">
        <w:rPr>
          <w:color w:val="000000" w:themeColor="text1"/>
        </w:rPr>
        <w:t xml:space="preserve">Kwon et al., 2007; </w:t>
      </w:r>
      <w:proofErr w:type="spellStart"/>
      <w:r w:rsidRPr="003B6BE9">
        <w:rPr>
          <w:color w:val="000000" w:themeColor="text1"/>
        </w:rPr>
        <w:t>O’Hearn</w:t>
      </w:r>
      <w:proofErr w:type="spellEnd"/>
      <w:r w:rsidRPr="003B6BE9">
        <w:rPr>
          <w:color w:val="000000" w:themeColor="text1"/>
        </w:rPr>
        <w:t xml:space="preserve">, 2013; </w:t>
      </w:r>
      <w:proofErr w:type="spellStart"/>
      <w:r w:rsidRPr="003B6BE9">
        <w:rPr>
          <w:color w:val="000000" w:themeColor="text1"/>
        </w:rPr>
        <w:t>Rosenhall</w:t>
      </w:r>
      <w:proofErr w:type="spellEnd"/>
      <w:r w:rsidRPr="003B6BE9">
        <w:rPr>
          <w:color w:val="000000" w:themeColor="text1"/>
        </w:rPr>
        <w:t xml:space="preserve"> et al., 2004; </w:t>
      </w:r>
      <w:proofErr w:type="spellStart"/>
      <w:r w:rsidRPr="003B6BE9">
        <w:rPr>
          <w:color w:val="000000" w:themeColor="text1"/>
        </w:rPr>
        <w:t>Tas</w:t>
      </w:r>
      <w:proofErr w:type="spellEnd"/>
      <w:r w:rsidRPr="003B6BE9">
        <w:rPr>
          <w:color w:val="000000" w:themeColor="text1"/>
        </w:rPr>
        <w:t xml:space="preserve"> et al., 2007).</w:t>
      </w:r>
    </w:p>
    <w:p w14:paraId="611FEB64" w14:textId="2B9BA3CB" w:rsidR="00437525" w:rsidRPr="00437525" w:rsidRDefault="00437525" w:rsidP="00437525">
      <w:pPr>
        <w:pStyle w:val="bodytext"/>
        <w:rPr>
          <w:shd w:val="clear" w:color="auto" w:fill="FFFFFF"/>
        </w:rPr>
      </w:pPr>
      <w:r w:rsidRPr="00437525">
        <w:rPr>
          <w:shd w:val="clear" w:color="auto" w:fill="FFFFFF"/>
        </w:rPr>
        <w:t>There have also been ABR studies focusing on ADHD and P300 (</w:t>
      </w:r>
      <w:bookmarkStart w:id="28" w:name="OLE_LINK3"/>
      <w:bookmarkStart w:id="29" w:name="OLE_LINK4"/>
      <w:r w:rsidRPr="00437525">
        <w:rPr>
          <w:shd w:val="clear" w:color="auto" w:fill="FFFFFF"/>
        </w:rPr>
        <w:t>auditory cognitive evoked potential</w:t>
      </w:r>
      <w:bookmarkEnd w:id="28"/>
      <w:bookmarkEnd w:id="29"/>
      <w:r w:rsidRPr="00437525">
        <w:rPr>
          <w:shd w:val="clear" w:color="auto" w:fill="FFFFFF"/>
        </w:rPr>
        <w:t>) (Puente et al., 2001), most of them to evaluate whether P300 topography predicts treatment response with methylphenidate and/or atomoxetine in ADHD patients (</w:t>
      </w:r>
      <w:proofErr w:type="spellStart"/>
      <w:r w:rsidRPr="00437525">
        <w:rPr>
          <w:shd w:val="clear" w:color="auto" w:fill="FFFFFF"/>
        </w:rPr>
        <w:t>Sanfins</w:t>
      </w:r>
      <w:proofErr w:type="spellEnd"/>
      <w:r w:rsidRPr="00437525">
        <w:rPr>
          <w:shd w:val="clear" w:color="auto" w:fill="FFFFFF"/>
        </w:rPr>
        <w:t xml:space="preserve"> et al., 2017). P300 studies are a bit different from the above-described ABR, as P300 response is elicited with the “oddball paradigm” where an unexpected sound stimulus is embedded in a series of reoccurring stimuli. The P300 is named after a signal component peaking around a post-stimulus latency of 300 Ms. Hence, both brainstem and cortical structures are involved in the P300 results. The cortical structures involved in the P300 generation include the reticular cortex, the prefrontal cortex, the </w:t>
      </w:r>
      <w:proofErr w:type="spellStart"/>
      <w:r w:rsidRPr="00437525">
        <w:rPr>
          <w:shd w:val="clear" w:color="auto" w:fill="FFFFFF"/>
        </w:rPr>
        <w:t>center</w:t>
      </w:r>
      <w:proofErr w:type="spellEnd"/>
      <w:r w:rsidRPr="00437525">
        <w:rPr>
          <w:shd w:val="clear" w:color="auto" w:fill="FFFFFF"/>
        </w:rPr>
        <w:t xml:space="preserve">-parietal cortex, the temporal cortex, the limbic system (hippocampus), and parts of the thalamus. These structures are also involved in the process of attention. Hence, P300 findings are interesting in </w:t>
      </w:r>
      <w:commentRangeStart w:id="30"/>
      <w:r w:rsidRPr="00437525">
        <w:rPr>
          <w:shd w:val="clear" w:color="auto" w:fill="FFFFFF"/>
        </w:rPr>
        <w:t>the ABR–ADHD context.</w:t>
      </w:r>
      <w:commentRangeEnd w:id="30"/>
      <w:r w:rsidRPr="00292106">
        <w:rPr>
          <w:rStyle w:val="CommentReference"/>
        </w:rPr>
        <w:commentReference w:id="30"/>
      </w:r>
      <w:r w:rsidRPr="00437525">
        <w:rPr>
          <w:shd w:val="clear" w:color="auto" w:fill="FFFFFF"/>
        </w:rPr>
        <w:t xml:space="preserve"> It was found that 31-electrode mean auditory P300 amplitude (AA) predicts response to atomoxetine (</w:t>
      </w:r>
      <w:proofErr w:type="spellStart"/>
      <w:r w:rsidRPr="00437525">
        <w:rPr>
          <w:shd w:val="clear" w:color="auto" w:fill="FFFFFF"/>
        </w:rPr>
        <w:t>Sangal</w:t>
      </w:r>
      <w:proofErr w:type="spellEnd"/>
      <w:r w:rsidRPr="00437525">
        <w:rPr>
          <w:shd w:val="clear" w:color="auto" w:fill="FFFFFF"/>
        </w:rPr>
        <w:t xml:space="preserve"> &amp; </w:t>
      </w:r>
      <w:proofErr w:type="spellStart"/>
      <w:r w:rsidRPr="00437525">
        <w:rPr>
          <w:shd w:val="clear" w:color="auto" w:fill="FFFFFF"/>
        </w:rPr>
        <w:t>Sangal</w:t>
      </w:r>
      <w:proofErr w:type="spellEnd"/>
      <w:r w:rsidRPr="00437525">
        <w:rPr>
          <w:shd w:val="clear" w:color="auto" w:fill="FFFFFF"/>
        </w:rPr>
        <w:t>, 2005, 2006), whereas AA at T8 (right mid-temporal) predicts response to methylphenidate</w:t>
      </w:r>
      <w:r w:rsidRPr="00437525">
        <w:t xml:space="preserve"> </w:t>
      </w:r>
      <w:r w:rsidRPr="00437525">
        <w:rPr>
          <w:shd w:val="clear" w:color="auto" w:fill="FFFFFF"/>
        </w:rPr>
        <w:t>(</w:t>
      </w:r>
      <w:proofErr w:type="spellStart"/>
      <w:r w:rsidRPr="00437525">
        <w:rPr>
          <w:shd w:val="clear" w:color="auto" w:fill="FFFFFF"/>
        </w:rPr>
        <w:t>Sangal</w:t>
      </w:r>
      <w:proofErr w:type="spellEnd"/>
      <w:r w:rsidRPr="00437525">
        <w:rPr>
          <w:shd w:val="clear" w:color="auto" w:fill="FFFFFF"/>
        </w:rPr>
        <w:t xml:space="preserve"> &amp; </w:t>
      </w:r>
      <w:proofErr w:type="spellStart"/>
      <w:r w:rsidRPr="00437525">
        <w:rPr>
          <w:shd w:val="clear" w:color="auto" w:fill="FFFFFF"/>
        </w:rPr>
        <w:t>Sangal</w:t>
      </w:r>
      <w:proofErr w:type="spellEnd"/>
      <w:r w:rsidRPr="00437525">
        <w:rPr>
          <w:shd w:val="clear" w:color="auto" w:fill="FFFFFF"/>
        </w:rPr>
        <w:t xml:space="preserve">, 2006). </w:t>
      </w:r>
      <w:proofErr w:type="spellStart"/>
      <w:r w:rsidRPr="00437525">
        <w:rPr>
          <w:shd w:val="clear" w:color="auto" w:fill="FFFFFF"/>
        </w:rPr>
        <w:t>Sangal</w:t>
      </w:r>
      <w:proofErr w:type="spellEnd"/>
      <w:r w:rsidRPr="00437525">
        <w:rPr>
          <w:shd w:val="clear" w:color="auto" w:fill="FFFFFF"/>
        </w:rPr>
        <w:t xml:space="preserve"> and </w:t>
      </w:r>
      <w:proofErr w:type="spellStart"/>
      <w:r w:rsidRPr="00437525">
        <w:rPr>
          <w:shd w:val="clear" w:color="auto" w:fill="FFFFFF"/>
        </w:rPr>
        <w:t>Sangal</w:t>
      </w:r>
      <w:proofErr w:type="spellEnd"/>
      <w:r w:rsidRPr="00437525">
        <w:rPr>
          <w:shd w:val="clear" w:color="auto" w:fill="FFFFFF"/>
        </w:rPr>
        <w:t xml:space="preserve"> (2006) also point to the fact that ADHD patients seem to vary in their P300 response and suggest that the</w:t>
      </w:r>
      <w:r w:rsidR="00745283">
        <w:rPr>
          <w:shd w:val="clear" w:color="auto" w:fill="FFFFFF"/>
        </w:rPr>
        <w:t xml:space="preserve"> explanation</w:t>
      </w:r>
      <w:r w:rsidRPr="00437525">
        <w:rPr>
          <w:shd w:val="clear" w:color="auto" w:fill="FFFFFF"/>
        </w:rPr>
        <w:t xml:space="preserve"> might be a heterogeneity in the patient group.</w:t>
      </w:r>
    </w:p>
    <w:p w14:paraId="20965251" w14:textId="77777777" w:rsidR="00437525" w:rsidRPr="00437525" w:rsidRDefault="00437525" w:rsidP="00437525">
      <w:pPr>
        <w:pStyle w:val="bodytext"/>
        <w:rPr>
          <w:shd w:val="clear" w:color="auto" w:fill="FFFFFF"/>
        </w:rPr>
      </w:pPr>
      <w:proofErr w:type="spellStart"/>
      <w:r w:rsidRPr="00437525">
        <w:rPr>
          <w:shd w:val="clear" w:color="auto" w:fill="FFFFFF"/>
        </w:rPr>
        <w:t>Sanfins</w:t>
      </w:r>
      <w:proofErr w:type="spellEnd"/>
      <w:r w:rsidRPr="00437525">
        <w:rPr>
          <w:shd w:val="clear" w:color="auto" w:fill="FFFFFF"/>
        </w:rPr>
        <w:t xml:space="preserve"> et al. (2017) pointed out that the scientific nomenclature regarding P300 is confusing and is a hindrance to literature reviews. The following terms are used interchangeably to relate to the same procedure: long latency auditory evoked potential, late auditory evoked potential, cognitive potential, P300, and auditory evoked potential related events.</w:t>
      </w:r>
    </w:p>
    <w:p w14:paraId="41E0B1FC" w14:textId="77777777" w:rsidR="00437525" w:rsidRPr="00AA5A29" w:rsidRDefault="00437525" w:rsidP="00437525">
      <w:pPr>
        <w:pStyle w:val="Heading4"/>
        <w:rPr>
          <w:lang w:val="en-US"/>
        </w:rPr>
      </w:pPr>
      <w:r w:rsidRPr="00AA5A29">
        <w:rPr>
          <w:lang w:val="en-US"/>
        </w:rPr>
        <w:t>ABR and ASD</w:t>
      </w:r>
    </w:p>
    <w:p w14:paraId="6418F21A" w14:textId="161EBDE2" w:rsidR="00437525" w:rsidRPr="00292106" w:rsidRDefault="00437525" w:rsidP="00437525">
      <w:pPr>
        <w:pStyle w:val="bodytext"/>
      </w:pPr>
      <w:r>
        <w:t>In</w:t>
      </w:r>
      <w:r w:rsidRPr="00292106">
        <w:t xml:space="preserve"> 1983 </w:t>
      </w:r>
      <w:proofErr w:type="spellStart"/>
      <w:r w:rsidRPr="00292106">
        <w:t>Ornitz</w:t>
      </w:r>
      <w:proofErr w:type="spellEnd"/>
      <w:r w:rsidRPr="00292106">
        <w:t xml:space="preserve"> proposed that since a main characteristic of ASD is over- and under-reactivity to sound, auditory brainstem </w:t>
      </w:r>
      <w:r>
        <w:t>processing</w:t>
      </w:r>
      <w:r w:rsidRPr="00292106">
        <w:t xml:space="preserve"> could be </w:t>
      </w:r>
      <w:r w:rsidRPr="00292106">
        <w:lastRenderedPageBreak/>
        <w:t>affected in ASD (</w:t>
      </w:r>
      <w:proofErr w:type="spellStart"/>
      <w:r w:rsidRPr="00292106">
        <w:t>Ornitz</w:t>
      </w:r>
      <w:proofErr w:type="spellEnd"/>
      <w:r w:rsidRPr="00292106">
        <w:t xml:space="preserve">, 1983). In 1993 </w:t>
      </w:r>
      <w:proofErr w:type="spellStart"/>
      <w:r w:rsidRPr="00292106">
        <w:t>Klin</w:t>
      </w:r>
      <w:proofErr w:type="spellEnd"/>
      <w:r w:rsidRPr="00292106">
        <w:t xml:space="preserve"> pointed out that there did not seem to be consistency regarding </w:t>
      </w:r>
      <w:proofErr w:type="spellStart"/>
      <w:r>
        <w:t>wich</w:t>
      </w:r>
      <w:proofErr w:type="spellEnd"/>
      <w:r w:rsidRPr="00292106">
        <w:t xml:space="preserve"> aspect of ABR that differed in ASD (</w:t>
      </w:r>
      <w:proofErr w:type="spellStart"/>
      <w:r w:rsidRPr="00292106">
        <w:t>Klin</w:t>
      </w:r>
      <w:proofErr w:type="spellEnd"/>
      <w:r w:rsidRPr="00292106">
        <w:t xml:space="preserve"> 1993). Noted is that in many of the studies </w:t>
      </w:r>
      <w:r>
        <w:t xml:space="preserve">conducted </w:t>
      </w:r>
      <w:r w:rsidRPr="00292106">
        <w:t>in 1980</w:t>
      </w:r>
      <w:r>
        <w:t>s</w:t>
      </w:r>
      <w:r w:rsidRPr="00292106">
        <w:t xml:space="preserve"> and 1990</w:t>
      </w:r>
      <w:r>
        <w:t xml:space="preserve">s </w:t>
      </w:r>
      <w:r w:rsidRPr="00292106">
        <w:t>(</w:t>
      </w:r>
      <w:proofErr w:type="spellStart"/>
      <w:r w:rsidRPr="00292106">
        <w:t>Courchesne</w:t>
      </w:r>
      <w:proofErr w:type="spellEnd"/>
      <w:r w:rsidRPr="00292106">
        <w:t>, 1985</w:t>
      </w:r>
      <w:r>
        <w:t xml:space="preserve">; </w:t>
      </w:r>
      <w:proofErr w:type="spellStart"/>
      <w:r w:rsidRPr="00292106">
        <w:t>Gillberg</w:t>
      </w:r>
      <w:proofErr w:type="spellEnd"/>
      <w:r w:rsidRPr="00292106">
        <w:t xml:space="preserve"> et al., 1983; </w:t>
      </w:r>
      <w:proofErr w:type="spellStart"/>
      <w:r w:rsidRPr="00292106">
        <w:t>Klin</w:t>
      </w:r>
      <w:proofErr w:type="spellEnd"/>
      <w:r w:rsidRPr="00292106">
        <w:t xml:space="preserve">, 1993; </w:t>
      </w:r>
      <w:proofErr w:type="spellStart"/>
      <w:r w:rsidRPr="00292106">
        <w:t>Minshew</w:t>
      </w:r>
      <w:proofErr w:type="spellEnd"/>
      <w:r w:rsidRPr="00292106">
        <w:t>, 1991</w:t>
      </w:r>
      <w:r>
        <w:t xml:space="preserve">) </w:t>
      </w:r>
      <w:r w:rsidRPr="00292106">
        <w:t>both the TD</w:t>
      </w:r>
      <w:r>
        <w:t xml:space="preserve"> </w:t>
      </w:r>
      <w:commentRangeStart w:id="31"/>
      <w:r>
        <w:t>controls</w:t>
      </w:r>
      <w:commentRangeEnd w:id="31"/>
      <w:r>
        <w:rPr>
          <w:rStyle w:val="CommentReference"/>
          <w:rFonts w:asciiTheme="minorHAnsi" w:hAnsiTheme="minorHAnsi" w:cstheme="minorBidi"/>
          <w:lang w:val="sv-SE"/>
        </w:rPr>
        <w:commentReference w:id="31"/>
      </w:r>
      <w:r w:rsidR="005458DE">
        <w:t xml:space="preserve"> and the ASD</w:t>
      </w:r>
      <w:r w:rsidRPr="00292106">
        <w:t xml:space="preserve"> patients were heterogeneous, consisting of patients with very different severity of ASD, hearing loss </w:t>
      </w:r>
      <w:r>
        <w:t xml:space="preserve">and </w:t>
      </w:r>
      <w:r w:rsidRPr="00292106">
        <w:t>not controlled for gender. This led to suggestions that the found differences were actually differences between the participants, not related to the ASD, and that there were no evident differences in ABR in a</w:t>
      </w:r>
      <w:r w:rsidR="005458DE">
        <w:t xml:space="preserve"> well-defined ASD population (</w:t>
      </w:r>
      <w:proofErr w:type="spellStart"/>
      <w:r w:rsidRPr="00292106">
        <w:t>Klin</w:t>
      </w:r>
      <w:proofErr w:type="spellEnd"/>
      <w:r w:rsidRPr="00292106">
        <w:t>, 1993</w:t>
      </w:r>
      <w:r>
        <w:t xml:space="preserve">; </w:t>
      </w:r>
      <w:proofErr w:type="spellStart"/>
      <w:r w:rsidRPr="00292106">
        <w:t>Minshew</w:t>
      </w:r>
      <w:proofErr w:type="spellEnd"/>
      <w:r w:rsidRPr="00292106">
        <w:t xml:space="preserve">, 1991). </w:t>
      </w:r>
      <w:r>
        <w:t>However,</w:t>
      </w:r>
      <w:r w:rsidRPr="00292106">
        <w:t xml:space="preserve"> researchers continued to </w:t>
      </w:r>
      <w:r>
        <w:t xml:space="preserve">study </w:t>
      </w:r>
      <w:r w:rsidRPr="00292106">
        <w:t xml:space="preserve">ABR </w:t>
      </w:r>
      <w:r>
        <w:t xml:space="preserve">in </w:t>
      </w:r>
      <w:r w:rsidRPr="00292106">
        <w:t xml:space="preserve">ASD and found links between ABR and ASD: a prolongation of the waves themselves or IPIs (Kwon et al., 2007; </w:t>
      </w:r>
      <w:proofErr w:type="spellStart"/>
      <w:r w:rsidRPr="00292106">
        <w:t>Maziade</w:t>
      </w:r>
      <w:proofErr w:type="spellEnd"/>
      <w:r w:rsidRPr="00292106">
        <w:t xml:space="preserve"> et al., 2000; </w:t>
      </w:r>
      <w:proofErr w:type="spellStart"/>
      <w:r w:rsidRPr="00292106">
        <w:t>Rosenhall</w:t>
      </w:r>
      <w:proofErr w:type="spellEnd"/>
      <w:r w:rsidRPr="00292106">
        <w:t xml:space="preserve"> et al., 2003; </w:t>
      </w:r>
      <w:proofErr w:type="spellStart"/>
      <w:r w:rsidRPr="00292106">
        <w:t>Tas</w:t>
      </w:r>
      <w:proofErr w:type="spellEnd"/>
      <w:r w:rsidRPr="00292106">
        <w:t xml:space="preserve"> et al., 2007). The waves tha</w:t>
      </w:r>
      <w:r w:rsidR="00ED7D44">
        <w:t>t were studied differed between studies</w:t>
      </w:r>
      <w:r w:rsidRPr="00292106">
        <w:t xml:space="preserve"> but most </w:t>
      </w:r>
      <w:r w:rsidR="00ED7D44">
        <w:t xml:space="preserve">studies </w:t>
      </w:r>
      <w:r w:rsidRPr="00292106">
        <w:t xml:space="preserve">of them found prolongation in wave V. </w:t>
      </w:r>
      <w:r>
        <w:t xml:space="preserve">Hence </w:t>
      </w:r>
      <w:r w:rsidRPr="00292106">
        <w:t xml:space="preserve">ABR studies focusing on children with ASD have found </w:t>
      </w:r>
      <w:commentRangeStart w:id="32"/>
      <w:r w:rsidRPr="00292106">
        <w:t>both</w:t>
      </w:r>
      <w:commentRangeEnd w:id="32"/>
      <w:r w:rsidRPr="00292106">
        <w:rPr>
          <w:rStyle w:val="CommentReference"/>
          <w:rFonts w:asciiTheme="minorHAnsi" w:hAnsiTheme="minorHAnsi" w:cstheme="minorBidi"/>
        </w:rPr>
        <w:commentReference w:id="32"/>
      </w:r>
      <w:r w:rsidRPr="00292106">
        <w:t xml:space="preserve"> brainstem abnormalities (Rosenblum et al., 1980; Roth et al., 2012) </w:t>
      </w:r>
      <w:r w:rsidR="00ED7D44">
        <w:t>but</w:t>
      </w:r>
      <w:r>
        <w:t xml:space="preserve"> </w:t>
      </w:r>
      <w:r w:rsidRPr="00292106">
        <w:t>also normal ABR in ASD children (</w:t>
      </w:r>
      <w:proofErr w:type="spellStart"/>
      <w:r w:rsidRPr="00292106">
        <w:t>Minshew</w:t>
      </w:r>
      <w:proofErr w:type="spellEnd"/>
      <w:r w:rsidRPr="00292106">
        <w:t xml:space="preserve">, 1991; Russo et al., 2008). The </w:t>
      </w:r>
      <w:r>
        <w:t>inconsistent</w:t>
      </w:r>
      <w:r w:rsidRPr="00292106">
        <w:t xml:space="preserve"> results regarding ABR and ASD may be due to the </w:t>
      </w:r>
      <w:r>
        <w:t xml:space="preserve">heterogeneous </w:t>
      </w:r>
      <w:r w:rsidRPr="00292106">
        <w:t xml:space="preserve">symptomatology </w:t>
      </w:r>
      <w:r>
        <w:t>of</w:t>
      </w:r>
      <w:r w:rsidRPr="00292106">
        <w:t xml:space="preserve"> ASD that might </w:t>
      </w:r>
      <w:r w:rsidR="00ED7D44">
        <w:t xml:space="preserve">in turn </w:t>
      </w:r>
      <w:r w:rsidRPr="00292106">
        <w:t>be related to different abnormalities in the brainstem (</w:t>
      </w:r>
      <w:proofErr w:type="spellStart"/>
      <w:r w:rsidRPr="00292106">
        <w:t>Bomba</w:t>
      </w:r>
      <w:proofErr w:type="spellEnd"/>
      <w:r w:rsidRPr="00292106">
        <w:t xml:space="preserve"> &amp; Pang, 2004; </w:t>
      </w:r>
      <w:proofErr w:type="spellStart"/>
      <w:r w:rsidRPr="00292106">
        <w:t>Klin</w:t>
      </w:r>
      <w:proofErr w:type="spellEnd"/>
      <w:r w:rsidRPr="00292106">
        <w:t xml:space="preserve">, 1993; </w:t>
      </w:r>
      <w:proofErr w:type="spellStart"/>
      <w:r w:rsidRPr="00292106">
        <w:t>Rosenhall</w:t>
      </w:r>
      <w:proofErr w:type="spellEnd"/>
      <w:r w:rsidRPr="00292106">
        <w:t xml:space="preserve">, 2003). Despite the lack of consensus, </w:t>
      </w:r>
      <w:r w:rsidR="00ED7D44">
        <w:t xml:space="preserve">many </w:t>
      </w:r>
      <w:proofErr w:type="spellStart"/>
      <w:r w:rsidR="00ED7D44">
        <w:t>researches</w:t>
      </w:r>
      <w:proofErr w:type="spellEnd"/>
      <w:r w:rsidR="00ED7D44">
        <w:t xml:space="preserve"> suggest</w:t>
      </w:r>
      <w:r w:rsidRPr="00292106">
        <w:t xml:space="preserve"> potential for ABR to be a possible biomarker for ASD, providing insight into the disorder and ASD subgroups.</w:t>
      </w:r>
    </w:p>
    <w:p w14:paraId="7FA14657" w14:textId="77777777" w:rsidR="00437525" w:rsidRPr="00437525" w:rsidRDefault="00437525" w:rsidP="00437525">
      <w:pPr>
        <w:pStyle w:val="Heading2"/>
        <w:rPr>
          <w:lang w:val="en-US"/>
        </w:rPr>
      </w:pPr>
      <w:bookmarkStart w:id="33" w:name="_Toc492391042"/>
      <w:r w:rsidRPr="00437525">
        <w:rPr>
          <w:lang w:val="en-US"/>
        </w:rPr>
        <w:t>CANTAB</w:t>
      </w:r>
      <w:bookmarkEnd w:id="33"/>
      <w:r w:rsidRPr="00437525">
        <w:rPr>
          <w:lang w:val="en-US"/>
        </w:rPr>
        <w:t xml:space="preserve"> </w:t>
      </w:r>
    </w:p>
    <w:p w14:paraId="69146C6B" w14:textId="2C37B1E8" w:rsidR="00437525" w:rsidRPr="003B6BE9" w:rsidRDefault="00437525" w:rsidP="00437525">
      <w:pPr>
        <w:pStyle w:val="bodytext"/>
        <w:rPr>
          <w:color w:val="000000" w:themeColor="text1"/>
        </w:rPr>
      </w:pPr>
      <w:r w:rsidRPr="00FD68A1">
        <w:t>CANTAB wa</w:t>
      </w:r>
      <w:r w:rsidR="005D4318">
        <w:t>s developed in the 1980s and</w:t>
      </w:r>
      <w:r w:rsidRPr="00FD68A1">
        <w:t xml:space="preserve"> was originally designed for use in elderly patients with neurodegenerative diseases such as Parkinson’s and Alzheimer’s diseases (Barnett et al</w:t>
      </w:r>
      <w:r>
        <w:t>.,</w:t>
      </w:r>
      <w:r w:rsidRPr="00FD68A1">
        <w:t xml:space="preserve"> 201</w:t>
      </w:r>
      <w:r>
        <w:t>5</w:t>
      </w:r>
      <w:r w:rsidRPr="00FD68A1">
        <w:t xml:space="preserve">). </w:t>
      </w:r>
      <w:r w:rsidR="005D2042">
        <w:t>CANTAB has</w:t>
      </w:r>
      <w:r w:rsidRPr="00FD68A1">
        <w:t xml:space="preserve"> been tested in animals with good results and is still in use with both monkeys and rats </w:t>
      </w:r>
      <w:r w:rsidRPr="003B6BE9">
        <w:rPr>
          <w:color w:val="000000" w:themeColor="text1"/>
        </w:rPr>
        <w:t>(</w:t>
      </w:r>
      <w:proofErr w:type="spellStart"/>
      <w:r w:rsidRPr="003B6BE9">
        <w:rPr>
          <w:color w:val="000000" w:themeColor="text1"/>
        </w:rPr>
        <w:t>Hvoslef-Eide</w:t>
      </w:r>
      <w:proofErr w:type="spellEnd"/>
      <w:r w:rsidRPr="003B6BE9">
        <w:rPr>
          <w:color w:val="000000" w:themeColor="text1"/>
        </w:rPr>
        <w:t xml:space="preserve"> et al., 2015, Weed et al., 1999). Since the 1980s the use of CANTAB has increased and broadened considerably to include disorders such as depression, schizophrenia, and epilepsy, and developmental disorders such as ADHD and ASD (Fried et al., 2015; </w:t>
      </w:r>
      <w:proofErr w:type="spellStart"/>
      <w:r w:rsidRPr="003B6BE9">
        <w:rPr>
          <w:color w:val="000000" w:themeColor="text1"/>
        </w:rPr>
        <w:t>Liotti</w:t>
      </w:r>
      <w:proofErr w:type="spellEnd"/>
      <w:r w:rsidRPr="003B6BE9">
        <w:rPr>
          <w:color w:val="000000" w:themeColor="text1"/>
        </w:rPr>
        <w:t xml:space="preserve"> et al., 2007; Palade &amp; </w:t>
      </w:r>
      <w:proofErr w:type="spellStart"/>
      <w:r w:rsidRPr="003B6BE9">
        <w:rPr>
          <w:color w:val="000000" w:themeColor="text1"/>
        </w:rPr>
        <w:t>Benga</w:t>
      </w:r>
      <w:proofErr w:type="spellEnd"/>
      <w:r w:rsidRPr="003B6BE9">
        <w:rPr>
          <w:color w:val="000000" w:themeColor="text1"/>
        </w:rPr>
        <w:t xml:space="preserve">, 2007; </w:t>
      </w:r>
      <w:proofErr w:type="spellStart"/>
      <w:r w:rsidRPr="003B6BE9">
        <w:rPr>
          <w:color w:val="000000" w:themeColor="text1"/>
        </w:rPr>
        <w:t>Pantelis</w:t>
      </w:r>
      <w:proofErr w:type="spellEnd"/>
      <w:r w:rsidRPr="003B6BE9">
        <w:rPr>
          <w:color w:val="000000" w:themeColor="text1"/>
        </w:rPr>
        <w:t xml:space="preserve"> et al., 1997; Rhodes et al., 2005; Roque et al., 2011; Sweeney et al., 2000; Torgersen et al., 2012). CANTAB is a test battery of a total of </w:t>
      </w:r>
      <w:commentRangeStart w:id="34"/>
      <w:r w:rsidRPr="003B6BE9">
        <w:rPr>
          <w:color w:val="000000" w:themeColor="text1"/>
        </w:rPr>
        <w:t xml:space="preserve">25 tests </w:t>
      </w:r>
      <w:commentRangeEnd w:id="34"/>
      <w:r w:rsidRPr="003B6BE9">
        <w:rPr>
          <w:rStyle w:val="CommentReference"/>
          <w:color w:val="000000" w:themeColor="text1"/>
        </w:rPr>
        <w:commentReference w:id="34"/>
      </w:r>
      <w:r w:rsidRPr="003B6BE9">
        <w:rPr>
          <w:color w:val="000000" w:themeColor="text1"/>
        </w:rPr>
        <w:t xml:space="preserve">(of which 20 are independent of language) that measure, among other things, visual and spatial memory, executive function, attention, semantic and verbal memory, and decision-making of various difficulty levels (Luciana &amp; Nelson, 2002). Many of these tests have </w:t>
      </w:r>
      <w:r w:rsidRPr="003B6BE9">
        <w:rPr>
          <w:color w:val="000000" w:themeColor="text1"/>
        </w:rPr>
        <w:lastRenderedPageBreak/>
        <w:t xml:space="preserve">normalized data down to age 4 years. The </w:t>
      </w:r>
      <w:commentRangeStart w:id="35"/>
      <w:r w:rsidRPr="003B6BE9">
        <w:rPr>
          <w:color w:val="000000" w:themeColor="text1"/>
        </w:rPr>
        <w:t>CANTAB</w:t>
      </w:r>
      <w:commentRangeEnd w:id="35"/>
      <w:r w:rsidRPr="003B6BE9">
        <w:rPr>
          <w:rStyle w:val="CommentReference"/>
          <w:rFonts w:cstheme="minorBidi"/>
          <w:color w:val="000000" w:themeColor="text1"/>
        </w:rPr>
        <w:commentReference w:id="35"/>
      </w:r>
      <w:r w:rsidRPr="003B6BE9">
        <w:rPr>
          <w:color w:val="000000" w:themeColor="text1"/>
        </w:rPr>
        <w:t xml:space="preserve"> tests have additional important advantages over traditional neuropsychological testing.</w:t>
      </w:r>
      <w:r w:rsidRPr="003B6BE9">
        <w:rPr>
          <w:rFonts w:cs="TimesNewRomanPSMT"/>
          <w:color w:val="000000" w:themeColor="text1"/>
          <w:sz w:val="20"/>
          <w:szCs w:val="20"/>
        </w:rPr>
        <w:t xml:space="preserve"> </w:t>
      </w:r>
      <w:r w:rsidRPr="003B6BE9">
        <w:rPr>
          <w:color w:val="000000" w:themeColor="text1"/>
        </w:rPr>
        <w:t xml:space="preserve">Some of the benefits of CANTAB are that it requires no verbal response and is therefore ideal for use with small children. The tests do not require reading skills, since there is no verbal component of the test. The two advantages mentioned above indicate that the tests can be used in children of different cultural backgrounds. Children of today have a great deal of computer experience, and since CANTAB tests are like computer games, this is motivating for children. CANTAB tests have graded degrees of difficulty to avoid “floor and ceiling” effects. CANTAB uses a touchscreen method that minimizes the interaction with the tester and thus reduces test anxiety. Since CANTAB is easily administered and does not require a doctor or a psychologist, it can be used in places where services are limited. </w:t>
      </w:r>
    </w:p>
    <w:p w14:paraId="4F90259A" w14:textId="77777777" w:rsidR="00437525" w:rsidRPr="003B6BE9" w:rsidRDefault="00437525" w:rsidP="00437525">
      <w:pPr>
        <w:pStyle w:val="bodytext"/>
        <w:rPr>
          <w:color w:val="000000" w:themeColor="text1"/>
        </w:rPr>
      </w:pPr>
      <w:r w:rsidRPr="003B6BE9">
        <w:rPr>
          <w:color w:val="000000" w:themeColor="text1"/>
        </w:rPr>
        <w:t xml:space="preserve">There is an extensive literature on CANTAB and ADHD in adults (Chamberlain et al., 2007; De Luca et al., 2003; Lowe &amp; </w:t>
      </w:r>
      <w:proofErr w:type="spellStart"/>
      <w:r w:rsidRPr="003B6BE9">
        <w:rPr>
          <w:color w:val="000000" w:themeColor="text1"/>
        </w:rPr>
        <w:t>Rabbitt</w:t>
      </w:r>
      <w:proofErr w:type="spellEnd"/>
      <w:r w:rsidRPr="003B6BE9">
        <w:rPr>
          <w:color w:val="000000" w:themeColor="text1"/>
        </w:rPr>
        <w:t>, 1998; Ni et al., 2013; Turner et al., 2005; Williams et al., 1999). CANTAB and ADHD in a younger population has not been as well studied (</w:t>
      </w:r>
      <w:proofErr w:type="spellStart"/>
      <w:r w:rsidRPr="003B6BE9">
        <w:rPr>
          <w:color w:val="000000" w:themeColor="text1"/>
        </w:rPr>
        <w:t>Liotti</w:t>
      </w:r>
      <w:proofErr w:type="spellEnd"/>
      <w:r w:rsidRPr="003B6BE9">
        <w:rPr>
          <w:color w:val="000000" w:themeColor="text1"/>
        </w:rPr>
        <w:t xml:space="preserve"> et al., 2007; </w:t>
      </w:r>
      <w:proofErr w:type="spellStart"/>
      <w:r w:rsidRPr="003B6BE9">
        <w:rPr>
          <w:color w:val="000000" w:themeColor="text1"/>
        </w:rPr>
        <w:t>Rohdes</w:t>
      </w:r>
      <w:proofErr w:type="spellEnd"/>
      <w:r w:rsidRPr="003B6BE9">
        <w:rPr>
          <w:color w:val="000000" w:themeColor="text1"/>
        </w:rPr>
        <w:t xml:space="preserve"> et al., 2005; Seidman et al., 2000), but the results have shown robust evidence of dysfunction in executive and cognitive functioning in children with ADHD, </w:t>
      </w:r>
      <w:r w:rsidRPr="003B6BE9">
        <w:rPr>
          <w:color w:val="000000" w:themeColor="text1"/>
          <w:shd w:val="clear" w:color="auto" w:fill="FFFFFF"/>
        </w:rPr>
        <w:t>highly congruent with those reported in studies using traditional neuropsychological testing batteries, supporting the utility of CANTAB to assess neuropsychological deficits in children with ADHD in clinical and research settings.</w:t>
      </w:r>
    </w:p>
    <w:p w14:paraId="67FF71E4" w14:textId="77777777" w:rsidR="00437525" w:rsidRPr="00437525" w:rsidRDefault="00437525" w:rsidP="00437525">
      <w:pPr>
        <w:pStyle w:val="Heading4"/>
        <w:rPr>
          <w:lang w:val="en-US"/>
        </w:rPr>
      </w:pPr>
      <w:r w:rsidRPr="00437525">
        <w:rPr>
          <w:lang w:val="en-US"/>
        </w:rPr>
        <w:t>CANTAB tests</w:t>
      </w:r>
    </w:p>
    <w:p w14:paraId="4DC115B6" w14:textId="77777777" w:rsidR="00437525" w:rsidRPr="00437525" w:rsidRDefault="00437525" w:rsidP="00437525">
      <w:pPr>
        <w:pStyle w:val="bodytext"/>
        <w:rPr>
          <w:color w:val="000000" w:themeColor="text1"/>
        </w:rPr>
      </w:pPr>
      <w:r w:rsidRPr="00437525">
        <w:t xml:space="preserve">All participants in study IV were administered five tests from the CANTAB set that target domains of executive functioning, shifting, verbal memory, visual memory, and planning: </w:t>
      </w:r>
      <w:r w:rsidRPr="00437525">
        <w:rPr>
          <w:color w:val="000000" w:themeColor="text1"/>
        </w:rPr>
        <w:t>Intra-Extra Dimensional Set Shift (IED), Stockings of Cambridge (SOC), Spatial Working Memory (SWM), Stop Reaction Time (SRT), and Stop Signal Task (SST).</w:t>
      </w:r>
    </w:p>
    <w:p w14:paraId="036AD7D0" w14:textId="77777777" w:rsidR="00437525" w:rsidRPr="00FD68A1" w:rsidRDefault="00437525" w:rsidP="00437525">
      <w:pPr>
        <w:pStyle w:val="bodytext"/>
        <w:rPr>
          <w:strike/>
        </w:rPr>
      </w:pPr>
      <w:r w:rsidRPr="00FD68A1">
        <w:t xml:space="preserve">At the start of our work these were the CANTAB tests of choice at that time. </w:t>
      </w:r>
      <w:r>
        <w:t>O</w:t>
      </w:r>
      <w:r w:rsidRPr="00FD68A1">
        <w:t>n 20 January 2015 CANTAB launched their new academic product</w:t>
      </w:r>
      <w:r>
        <w:t>,</w:t>
      </w:r>
      <w:r w:rsidRPr="00FD68A1">
        <w:t xml:space="preserve"> “CANTAB Connect Research” and change</w:t>
      </w:r>
      <w:r>
        <w:t>d</w:t>
      </w:r>
      <w:r w:rsidRPr="00FD68A1">
        <w:t xml:space="preserve"> their recommended test based on recent research. In these new recommendations SOC was not recommended for ADHD but for ASD, </w:t>
      </w:r>
      <w:r>
        <w:t>e</w:t>
      </w:r>
      <w:r w:rsidRPr="00FD68A1">
        <w:t>pilepsy</w:t>
      </w:r>
      <w:r>
        <w:t>,</w:t>
      </w:r>
      <w:r w:rsidRPr="00FD68A1">
        <w:t xml:space="preserve"> and Huntington</w:t>
      </w:r>
      <w:r>
        <w:t>’</w:t>
      </w:r>
      <w:r w:rsidRPr="00FD68A1">
        <w:t>s disease.</w:t>
      </w:r>
    </w:p>
    <w:p w14:paraId="34E6013B" w14:textId="77777777" w:rsidR="00437525" w:rsidRPr="00FD68A1" w:rsidRDefault="00437525" w:rsidP="00437525">
      <w:pPr>
        <w:pStyle w:val="bodytext"/>
      </w:pPr>
      <w:r w:rsidRPr="00FD68A1">
        <w:rPr>
          <w:b/>
        </w:rPr>
        <w:t>IED</w:t>
      </w:r>
      <w:r w:rsidRPr="00FD68A1">
        <w:t xml:space="preserve">: Intra-Extra Dimensional Set Shift is a test of shifting and flexibility of attention. IED consists of </w:t>
      </w:r>
      <w:proofErr w:type="spellStart"/>
      <w:r w:rsidRPr="00FD68A1">
        <w:t>color</w:t>
      </w:r>
      <w:proofErr w:type="spellEnd"/>
      <w:r>
        <w:t>-</w:t>
      </w:r>
      <w:r w:rsidRPr="00FD68A1">
        <w:t xml:space="preserve">filled shapes and white lines. Simple stimuli are made up of just one of these dimensions, whereas compound stimuli are made up of both. The participant starts with only simple stimuli </w:t>
      </w:r>
      <w:r w:rsidRPr="00FD68A1">
        <w:lastRenderedPageBreak/>
        <w:t xml:space="preserve">and must learn which one is correct by touching it. Then the stimuli and/or rules are changed. Participants must first use feedback to learn a rule, and then reverse that rule when feedback implies that it has changed. These shifts are initially </w:t>
      </w:r>
      <w:proofErr w:type="spellStart"/>
      <w:r w:rsidRPr="00FD68A1">
        <w:t>intradimensional</w:t>
      </w:r>
      <w:proofErr w:type="spellEnd"/>
      <w:r w:rsidRPr="00FD68A1">
        <w:t xml:space="preserve"> (e.g.</w:t>
      </w:r>
      <w:r>
        <w:t>,</w:t>
      </w:r>
      <w:r w:rsidRPr="00FD68A1">
        <w:t xml:space="preserve"> </w:t>
      </w:r>
      <w:proofErr w:type="spellStart"/>
      <w:r w:rsidRPr="00FD68A1">
        <w:t>color</w:t>
      </w:r>
      <w:proofErr w:type="spellEnd"/>
      <w:r>
        <w:t>-</w:t>
      </w:r>
      <w:r w:rsidRPr="00FD68A1">
        <w:t xml:space="preserve">filled shapes remain the only relevant dimension), then later extradimensional (white lines become the only relevant dimension). The extradimensional shift stage of the task is sensitive to </w:t>
      </w:r>
      <w:proofErr w:type="spellStart"/>
      <w:r w:rsidRPr="00FD68A1">
        <w:t>frontostriatal</w:t>
      </w:r>
      <w:proofErr w:type="spellEnd"/>
      <w:r w:rsidRPr="00FD68A1">
        <w:t xml:space="preserve"> dysfunction, producing activations in prefrontal regions, including </w:t>
      </w:r>
      <w:r>
        <w:t xml:space="preserve">the </w:t>
      </w:r>
      <w:r w:rsidRPr="00FD68A1">
        <w:t>left anterior prefrontal cortex and right dorsolateral prefrontal cortex in healthy volunteers (Lee et al., 2000). We evaluated stages completed (IED.SC) and total errors (IED.TEA).</w:t>
      </w:r>
    </w:p>
    <w:p w14:paraId="76CA16E3" w14:textId="77777777" w:rsidR="00437525" w:rsidRDefault="00437525" w:rsidP="00437525">
      <w:pPr>
        <w:pStyle w:val="insertpicture"/>
        <w:rPr>
          <w:lang w:val="en-US"/>
        </w:rPr>
      </w:pPr>
      <w:r w:rsidRPr="00FD68A1">
        <w:rPr>
          <w:noProof/>
          <w:lang w:eastAsia="en-GB"/>
        </w:rPr>
        <w:drawing>
          <wp:inline distT="0" distB="0" distL="0" distR="0" wp14:anchorId="24DDEF42" wp14:editId="14F101C2">
            <wp:extent cx="3240000" cy="2426400"/>
            <wp:effectExtent l="0" t="0" r="0" b="0"/>
            <wp:docPr id="11" name="Picture 1" descr="../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known.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0000" cy="2426400"/>
                    </a:xfrm>
                    <a:prstGeom prst="rect">
                      <a:avLst/>
                    </a:prstGeom>
                    <a:noFill/>
                    <a:ln>
                      <a:noFill/>
                    </a:ln>
                  </pic:spPr>
                </pic:pic>
              </a:graphicData>
            </a:graphic>
          </wp:inline>
        </w:drawing>
      </w:r>
      <w:r w:rsidRPr="00FD68A1">
        <w:rPr>
          <w:lang w:val="en-US"/>
        </w:rPr>
        <w:t xml:space="preserve"> </w:t>
      </w:r>
    </w:p>
    <w:p w14:paraId="41DCF63B" w14:textId="77777777" w:rsidR="004F55E3" w:rsidRDefault="00437525" w:rsidP="004F55E3">
      <w:pPr>
        <w:pStyle w:val="picturetextheadline0"/>
        <w:rPr>
          <w:lang w:val="en-US"/>
        </w:rPr>
      </w:pPr>
      <w:r>
        <w:rPr>
          <w:lang w:val="en-US"/>
        </w:rPr>
        <w:t>Figure 3</w:t>
      </w:r>
      <w:commentRangeStart w:id="36"/>
      <w:r>
        <w:rPr>
          <w:lang w:val="en-US"/>
        </w:rPr>
        <w:t xml:space="preserve">. </w:t>
      </w:r>
      <w:commentRangeEnd w:id="36"/>
      <w:r>
        <w:rPr>
          <w:rStyle w:val="CommentReference"/>
          <w:rFonts w:asciiTheme="minorHAnsi" w:eastAsiaTheme="minorHAnsi" w:hAnsiTheme="minorHAnsi" w:cstheme="minorBidi"/>
          <w:lang w:val="en-US"/>
        </w:rPr>
        <w:commentReference w:id="36"/>
      </w:r>
    </w:p>
    <w:p w14:paraId="54DF0156" w14:textId="77777777" w:rsidR="00437525" w:rsidRPr="00DE224B" w:rsidRDefault="00437525" w:rsidP="004F55E3">
      <w:pPr>
        <w:pStyle w:val="picturetext"/>
      </w:pPr>
      <w:r w:rsidRPr="00F244F7">
        <w:t>IED</w:t>
      </w:r>
    </w:p>
    <w:p w14:paraId="0A431A29" w14:textId="6FB0DB3C" w:rsidR="00437525" w:rsidRPr="00FD68A1" w:rsidRDefault="00437525" w:rsidP="004F55E3">
      <w:pPr>
        <w:pStyle w:val="bodytext"/>
      </w:pPr>
      <w:r w:rsidRPr="00FD68A1">
        <w:rPr>
          <w:b/>
        </w:rPr>
        <w:t>SOC</w:t>
      </w:r>
      <w:r w:rsidRPr="00F244F7">
        <w:t>:</w:t>
      </w:r>
      <w:r w:rsidRPr="00FD68A1">
        <w:t xml:space="preserve"> Stocking</w:t>
      </w:r>
      <w:r>
        <w:t>s</w:t>
      </w:r>
      <w:r w:rsidRPr="00FD68A1">
        <w:t xml:space="preserve"> of Cambridge is a spatial planning test </w:t>
      </w:r>
      <w:r>
        <w:t>that</w:t>
      </w:r>
      <w:r w:rsidRPr="00FD68A1">
        <w:t xml:space="preserve"> gives a measure of frontal lobe function. SOC is a test of executive function, spatial planning</w:t>
      </w:r>
      <w:r>
        <w:t>,</w:t>
      </w:r>
      <w:r w:rsidRPr="00FD68A1">
        <w:t xml:space="preserve"> and working memory. SOC performance was found to activate a neural network of structures including the dorsolateral prefrontal cortex (Baker et al., 1996)</w:t>
      </w:r>
      <w:r>
        <w:t>,</w:t>
      </w:r>
      <w:r w:rsidRPr="00FD68A1">
        <w:t xml:space="preserve"> explaining why patients with frontal lobe damage </w:t>
      </w:r>
      <w:r>
        <w:t>have</w:t>
      </w:r>
      <w:r w:rsidRPr="00FD68A1">
        <w:t xml:space="preserve"> been shown to perform </w:t>
      </w:r>
      <w:r>
        <w:t>poorly</w:t>
      </w:r>
      <w:r w:rsidRPr="00FD68A1">
        <w:t xml:space="preserve"> on </w:t>
      </w:r>
      <w:r>
        <w:t xml:space="preserve">the </w:t>
      </w:r>
      <w:r w:rsidRPr="00FD68A1">
        <w:t xml:space="preserve">SOC test (Owen et al., 1990). In SOC the participant must use the balls in the lower display to copy the pattern shown in the upper display. The time taken to complete the pattern and the number of moves required are taken as measures of the participants’ planning ability. </w:t>
      </w:r>
    </w:p>
    <w:p w14:paraId="4B4F492C" w14:textId="77777777" w:rsidR="00437525" w:rsidRPr="00437525" w:rsidRDefault="00437525" w:rsidP="004F55E3">
      <w:pPr>
        <w:pStyle w:val="bodytext"/>
      </w:pPr>
      <w:r w:rsidRPr="00437525">
        <w:t xml:space="preserve">We evaluated problem solved in minimum moves. </w:t>
      </w:r>
    </w:p>
    <w:p w14:paraId="3BB6F241" w14:textId="77777777" w:rsidR="00437525" w:rsidRDefault="00437525" w:rsidP="004F55E3">
      <w:pPr>
        <w:pStyle w:val="insertpicture"/>
        <w:rPr>
          <w:lang w:val="en-US"/>
        </w:rPr>
      </w:pPr>
      <w:commentRangeStart w:id="37"/>
      <w:r w:rsidRPr="00FD68A1">
        <w:rPr>
          <w:noProof/>
          <w:lang w:eastAsia="en-GB"/>
        </w:rPr>
        <w:lastRenderedPageBreak/>
        <w:drawing>
          <wp:inline distT="0" distB="0" distL="0" distR="0" wp14:anchorId="6B22C248" wp14:editId="107934F3">
            <wp:extent cx="3240000" cy="2426400"/>
            <wp:effectExtent l="0" t="0" r="0" b="0"/>
            <wp:docPr id="12" name="Picture 2" descr="../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know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0000" cy="2426400"/>
                    </a:xfrm>
                    <a:prstGeom prst="rect">
                      <a:avLst/>
                    </a:prstGeom>
                    <a:noFill/>
                    <a:ln>
                      <a:noFill/>
                    </a:ln>
                  </pic:spPr>
                </pic:pic>
              </a:graphicData>
            </a:graphic>
          </wp:inline>
        </w:drawing>
      </w:r>
      <w:r w:rsidRPr="00FD68A1">
        <w:rPr>
          <w:lang w:val="en-US"/>
        </w:rPr>
        <w:t xml:space="preserve"> </w:t>
      </w:r>
    </w:p>
    <w:p w14:paraId="74787636" w14:textId="77777777" w:rsidR="004F55E3" w:rsidRDefault="00437525" w:rsidP="004F55E3">
      <w:pPr>
        <w:pStyle w:val="picturetextheadline0"/>
        <w:rPr>
          <w:lang w:val="en-US"/>
        </w:rPr>
      </w:pPr>
      <w:r>
        <w:rPr>
          <w:lang w:val="en-US"/>
        </w:rPr>
        <w:t xml:space="preserve">Figure 4. </w:t>
      </w:r>
    </w:p>
    <w:p w14:paraId="4C5BE436" w14:textId="77777777" w:rsidR="00437525" w:rsidRPr="00F244F7" w:rsidRDefault="00437525" w:rsidP="004F55E3">
      <w:pPr>
        <w:pStyle w:val="picturetext"/>
      </w:pPr>
      <w:r w:rsidRPr="00F244F7">
        <w:t>SOC</w:t>
      </w:r>
    </w:p>
    <w:p w14:paraId="620FD9D7" w14:textId="77777777" w:rsidR="00AA5A29" w:rsidRDefault="00437525" w:rsidP="004F55E3">
      <w:pPr>
        <w:pStyle w:val="bodytext"/>
      </w:pPr>
      <w:r w:rsidRPr="00FD68A1">
        <w:rPr>
          <w:b/>
        </w:rPr>
        <w:t>SWM</w:t>
      </w:r>
      <w:r w:rsidRPr="00FD68A1">
        <w:t xml:space="preserve">: </w:t>
      </w:r>
      <w:r>
        <w:t xml:space="preserve">The </w:t>
      </w:r>
      <w:r w:rsidRPr="00FD68A1">
        <w:t xml:space="preserve">Spatial </w:t>
      </w:r>
      <w:r>
        <w:t>W</w:t>
      </w:r>
      <w:r w:rsidRPr="00FD68A1">
        <w:t xml:space="preserve">orking </w:t>
      </w:r>
      <w:r>
        <w:t>M</w:t>
      </w:r>
      <w:r w:rsidRPr="00FD68A1">
        <w:t xml:space="preserve">emory </w:t>
      </w:r>
      <w:r>
        <w:t xml:space="preserve">test </w:t>
      </w:r>
      <w:r w:rsidRPr="00FD68A1">
        <w:t xml:space="preserve">evaluates working memory and executive functioning. The test requires executive functions and manipulation of visuospatial information. SWM begins with a number of </w:t>
      </w:r>
      <w:proofErr w:type="spellStart"/>
      <w:r w:rsidRPr="00FD68A1">
        <w:t>colored</w:t>
      </w:r>
      <w:proofErr w:type="spellEnd"/>
      <w:r w:rsidRPr="00FD68A1">
        <w:t xml:space="preserve"> boxes that are shown on the screen. By touching the boxes and using the process of elimination, the participant should find one blue </w:t>
      </w:r>
      <w:r>
        <w:t>“</w:t>
      </w:r>
      <w:r w:rsidRPr="00FD68A1">
        <w:t>token</w:t>
      </w:r>
      <w:r>
        <w:t>”</w:t>
      </w:r>
      <w:r w:rsidRPr="00FD68A1">
        <w:t xml:space="preserve"> in each of a number of boxes and use them to fill up an empty column on the right-hand side of the screen. During the test, the number of boxes is gradually increased. We evaluated between</w:t>
      </w:r>
      <w:r>
        <w:t>-</w:t>
      </w:r>
      <w:r w:rsidRPr="00FD68A1">
        <w:t xml:space="preserve">search errors (SWM.BE) and strategy (SWM.STRAT). </w:t>
      </w:r>
      <w:r w:rsidR="00AA5A29">
        <w:t xml:space="preserve"> </w:t>
      </w:r>
    </w:p>
    <w:p w14:paraId="190D7934" w14:textId="55BA2AFC" w:rsidR="00437525" w:rsidRDefault="00437525" w:rsidP="009069F1">
      <w:pPr>
        <w:pStyle w:val="insertpicture"/>
      </w:pPr>
      <w:r w:rsidRPr="00FD68A1">
        <w:rPr>
          <w:noProof/>
          <w:lang w:eastAsia="en-GB"/>
        </w:rPr>
        <w:lastRenderedPageBreak/>
        <w:drawing>
          <wp:inline distT="0" distB="0" distL="0" distR="0" wp14:anchorId="7EEC1E6D" wp14:editId="4819EFF6">
            <wp:extent cx="3240000" cy="2430000"/>
            <wp:effectExtent l="0" t="0" r="0" b="8890"/>
            <wp:docPr id="3" name="Picture 3" descr="../Unknow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known-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p w14:paraId="34EF893F" w14:textId="77777777" w:rsidR="004F55E3" w:rsidRDefault="00437525" w:rsidP="004F55E3">
      <w:pPr>
        <w:pStyle w:val="picturetextheadline0"/>
        <w:rPr>
          <w:lang w:val="en-US"/>
        </w:rPr>
      </w:pPr>
      <w:r w:rsidRPr="00437525">
        <w:rPr>
          <w:lang w:val="en-US"/>
        </w:rPr>
        <w:t xml:space="preserve">Figure 5. </w:t>
      </w:r>
    </w:p>
    <w:p w14:paraId="6471090E" w14:textId="77777777" w:rsidR="00437525" w:rsidRPr="00437525" w:rsidRDefault="00437525" w:rsidP="004F55E3">
      <w:pPr>
        <w:pStyle w:val="picturetext"/>
      </w:pPr>
      <w:r w:rsidRPr="00437525">
        <w:t>SWM</w:t>
      </w:r>
    </w:p>
    <w:p w14:paraId="5F754FC0" w14:textId="77777777" w:rsidR="00437525" w:rsidRPr="00437525" w:rsidRDefault="00437525" w:rsidP="004F55E3">
      <w:pPr>
        <w:pStyle w:val="bodytext"/>
      </w:pPr>
      <w:r w:rsidRPr="00437525">
        <w:rPr>
          <w:b/>
        </w:rPr>
        <w:t>SRT</w:t>
      </w:r>
      <w:r w:rsidRPr="00437525">
        <w:t>: Simple Reaction Time. This test assesses psychomotor processing speed. A square is shown on the screen, and the participant is instructed to press the button as soon as they see the square. The interval is variable between the trial response and the onset of the stimulus for the next trial. We evaluated median correct latency (SRT.MCL) and percentage of correct answers (SRT.PCT).</w:t>
      </w:r>
      <w:commentRangeEnd w:id="37"/>
      <w:r w:rsidRPr="00FD68A1">
        <w:rPr>
          <w:rStyle w:val="CommentReference"/>
          <w:sz w:val="28"/>
          <w:szCs w:val="28"/>
        </w:rPr>
        <w:commentReference w:id="37"/>
      </w:r>
    </w:p>
    <w:p w14:paraId="328167A5" w14:textId="77777777" w:rsidR="00437525" w:rsidRDefault="00437525" w:rsidP="004F55E3">
      <w:pPr>
        <w:pStyle w:val="insertpicture"/>
        <w:rPr>
          <w:b/>
        </w:rPr>
      </w:pPr>
      <w:r w:rsidRPr="00FD68A1">
        <w:rPr>
          <w:noProof/>
          <w:lang w:eastAsia="en-GB"/>
        </w:rPr>
        <w:drawing>
          <wp:inline distT="0" distB="0" distL="0" distR="0" wp14:anchorId="2A17E35D" wp14:editId="2617942C">
            <wp:extent cx="3240000" cy="2426400"/>
            <wp:effectExtent l="0" t="0" r="0" b="0"/>
            <wp:docPr id="4" name="Picture 4" descr="../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known-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0000" cy="2426400"/>
                    </a:xfrm>
                    <a:prstGeom prst="rect">
                      <a:avLst/>
                    </a:prstGeom>
                    <a:noFill/>
                    <a:ln>
                      <a:noFill/>
                    </a:ln>
                  </pic:spPr>
                </pic:pic>
              </a:graphicData>
            </a:graphic>
          </wp:inline>
        </w:drawing>
      </w:r>
    </w:p>
    <w:p w14:paraId="2971F830" w14:textId="77777777" w:rsidR="004F55E3" w:rsidRDefault="00437525" w:rsidP="004F55E3">
      <w:pPr>
        <w:pStyle w:val="picturetextheadline0"/>
        <w:rPr>
          <w:lang w:val="en-US"/>
        </w:rPr>
      </w:pPr>
      <w:r w:rsidRPr="00437525">
        <w:rPr>
          <w:lang w:val="en-US"/>
        </w:rPr>
        <w:t xml:space="preserve">Figure 6. </w:t>
      </w:r>
    </w:p>
    <w:p w14:paraId="144B1BB6" w14:textId="77777777" w:rsidR="00437525" w:rsidRPr="00437525" w:rsidRDefault="00437525" w:rsidP="004F55E3">
      <w:pPr>
        <w:pStyle w:val="picturetext"/>
      </w:pPr>
      <w:r w:rsidRPr="00437525">
        <w:t>SRT</w:t>
      </w:r>
    </w:p>
    <w:p w14:paraId="2072D987" w14:textId="1F80C2F8" w:rsidR="00437525" w:rsidRPr="00FD68A1" w:rsidRDefault="00437525" w:rsidP="004F55E3">
      <w:pPr>
        <w:pStyle w:val="bodytext"/>
      </w:pPr>
      <w:r w:rsidRPr="00FD68A1">
        <w:rPr>
          <w:b/>
          <w:color w:val="2A2E32"/>
        </w:rPr>
        <w:lastRenderedPageBreak/>
        <w:t>SST</w:t>
      </w:r>
      <w:r w:rsidRPr="00FD68A1">
        <w:rPr>
          <w:color w:val="2A2E32"/>
        </w:rPr>
        <w:t xml:space="preserve">: </w:t>
      </w:r>
      <w:r>
        <w:rPr>
          <w:color w:val="2A2E32"/>
        </w:rPr>
        <w:t xml:space="preserve">The </w:t>
      </w:r>
      <w:r w:rsidRPr="00FD68A1">
        <w:t>Stop Signal Test measures the ability to inhibit a response. SST performance is associated with integrity of the right inferior frontal gyrus (Aron et al., 2003), and SST reaction time has been shown to be significantly increased in children and adults with ADHD (Aron et al., 2003).</w:t>
      </w:r>
    </w:p>
    <w:p w14:paraId="710FE3A9" w14:textId="77777777" w:rsidR="00437525" w:rsidRPr="00FD68A1" w:rsidRDefault="00437525" w:rsidP="004F55E3">
      <w:pPr>
        <w:pStyle w:val="bodytext"/>
      </w:pPr>
      <w:r w:rsidRPr="00FD68A1">
        <w:t>The subject must respond to an arrow stimulus by touching either of two choices</w:t>
      </w:r>
      <w:r>
        <w:t>,</w:t>
      </w:r>
      <w:r w:rsidRPr="00FD68A1">
        <w:t xml:space="preserve"> depending on the direction in which the arrow points. If an audio tone is present, the subject is instructed to inhibit that response. At the end of every assessed block, a graphical representation of the subject’s performance is shown, and the subject is encouraged to go faster on the next block. </w:t>
      </w:r>
      <w:commentRangeStart w:id="38"/>
      <w:r w:rsidRPr="00FD68A1">
        <w:t>SST performance is associated with integrity of the right inferior frontal gyrus (Aron et al., 2003).</w:t>
      </w:r>
      <w:commentRangeEnd w:id="38"/>
      <w:r>
        <w:rPr>
          <w:rStyle w:val="CommentReference"/>
          <w:rFonts w:asciiTheme="minorHAnsi" w:eastAsiaTheme="minorHAnsi" w:hAnsiTheme="minorHAnsi" w:cstheme="minorBidi"/>
          <w:lang w:val="en-US"/>
        </w:rPr>
        <w:commentReference w:id="38"/>
      </w:r>
      <w:r w:rsidRPr="00FD68A1">
        <w:t xml:space="preserve"> We evaluated direction errors (SST.DEOAGT) and stop signal reaction time (SST.SSRT).</w:t>
      </w:r>
    </w:p>
    <w:p w14:paraId="099DBF83" w14:textId="77777777" w:rsidR="00437525" w:rsidRDefault="00437525" w:rsidP="004F55E3">
      <w:pPr>
        <w:pStyle w:val="insertpicture"/>
        <w:rPr>
          <w:b/>
        </w:rPr>
      </w:pPr>
      <w:r w:rsidRPr="00FD68A1">
        <w:rPr>
          <w:noProof/>
          <w:lang w:eastAsia="en-GB"/>
        </w:rPr>
        <w:drawing>
          <wp:inline distT="0" distB="0" distL="0" distR="0" wp14:anchorId="7708CE95" wp14:editId="719C33B9">
            <wp:extent cx="3240000" cy="2426400"/>
            <wp:effectExtent l="0" t="0" r="0" b="0"/>
            <wp:docPr id="5" name="Picture 5" descr="../Unknown-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known-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0000" cy="2426400"/>
                    </a:xfrm>
                    <a:prstGeom prst="rect">
                      <a:avLst/>
                    </a:prstGeom>
                    <a:noFill/>
                    <a:ln>
                      <a:noFill/>
                    </a:ln>
                  </pic:spPr>
                </pic:pic>
              </a:graphicData>
            </a:graphic>
          </wp:inline>
        </w:drawing>
      </w:r>
    </w:p>
    <w:p w14:paraId="03C8B479" w14:textId="77777777" w:rsidR="004F55E3" w:rsidRPr="00AA5A29" w:rsidRDefault="00437525" w:rsidP="004F55E3">
      <w:pPr>
        <w:pStyle w:val="picturetextheadline0"/>
        <w:rPr>
          <w:lang w:val="en-US"/>
        </w:rPr>
      </w:pPr>
      <w:r w:rsidRPr="00AA5A29">
        <w:rPr>
          <w:lang w:val="en-US"/>
        </w:rPr>
        <w:t xml:space="preserve">Figure 7. </w:t>
      </w:r>
    </w:p>
    <w:p w14:paraId="45C03C0E" w14:textId="77777777" w:rsidR="00437525" w:rsidRPr="00113324" w:rsidRDefault="00437525" w:rsidP="004F55E3">
      <w:pPr>
        <w:pStyle w:val="picturetext"/>
      </w:pPr>
      <w:r w:rsidRPr="00F244F7">
        <w:t>SST</w:t>
      </w:r>
    </w:p>
    <w:p w14:paraId="7ACCC477" w14:textId="77777777" w:rsidR="004F55E3" w:rsidRDefault="004F55E3">
      <w:pPr>
        <w:spacing w:after="160" w:line="259" w:lineRule="auto"/>
        <w:rPr>
          <w:rFonts w:eastAsia="Times New Roman"/>
          <w:sz w:val="22"/>
          <w:lang w:val="en-US"/>
        </w:rPr>
      </w:pPr>
      <w:r>
        <w:rPr>
          <w:lang w:val="en-US"/>
        </w:rPr>
        <w:br w:type="page"/>
      </w:r>
    </w:p>
    <w:p w14:paraId="1C9A1234" w14:textId="77777777" w:rsidR="004F55E3" w:rsidRPr="004F55E3" w:rsidRDefault="004F55E3" w:rsidP="004F55E3">
      <w:pPr>
        <w:pStyle w:val="Heading1"/>
      </w:pPr>
      <w:bookmarkStart w:id="39" w:name="_Toc492391043"/>
      <w:r w:rsidRPr="004F55E3">
        <w:lastRenderedPageBreak/>
        <w:t>Aims of the thesis</w:t>
      </w:r>
      <w:bookmarkEnd w:id="39"/>
    </w:p>
    <w:p w14:paraId="5DB909DD" w14:textId="6ED77159" w:rsidR="004F55E3" w:rsidRPr="00A84DF2" w:rsidRDefault="004F55E3" w:rsidP="004F55E3">
      <w:pPr>
        <w:pStyle w:val="bodytext"/>
        <w:rPr>
          <w:strike/>
          <w:lang w:val="en-US"/>
        </w:rPr>
      </w:pPr>
      <w:r w:rsidRPr="004F55E3">
        <w:rPr>
          <w:lang w:val="en-US"/>
        </w:rPr>
        <w:t>Diagnostics in child and adolescent psychiatry is based on symptom presentation, medical history, psychological testing and questionnaires. There are few objective diagnostic methods. We wanted to investigate whether ABR and/or CANTAB could play a supporting role</w:t>
      </w:r>
      <w:r w:rsidR="00A84DF2">
        <w:rPr>
          <w:lang w:val="en-US"/>
        </w:rPr>
        <w:t xml:space="preserve"> in diagnosing ADHD and ASD</w:t>
      </w:r>
      <w:r w:rsidRPr="004F55E3">
        <w:rPr>
          <w:lang w:val="en-US"/>
        </w:rPr>
        <w:t xml:space="preserve">, two of the most common diagnoses in child and adolescent psychiatry. Further, we wanted to, if possible, link the ABR and CANTAB results to the regions and neurological systems in the brain that are involved in ADHD and ASD. </w:t>
      </w:r>
    </w:p>
    <w:p w14:paraId="1EBC4D3C" w14:textId="77777777" w:rsidR="004F55E3" w:rsidRPr="004F55E3" w:rsidRDefault="004F55E3" w:rsidP="004F55E3">
      <w:pPr>
        <w:pStyle w:val="bodytext"/>
        <w:rPr>
          <w:lang w:val="en-US"/>
        </w:rPr>
      </w:pPr>
      <w:r w:rsidRPr="004F55E3">
        <w:rPr>
          <w:lang w:val="en-US"/>
        </w:rPr>
        <w:t xml:space="preserve">The main aim of this thesis was the evaluation of ABR and CANTAB, as supportive of diagnostics in child and adolescent psychiatry, especially ADHD and ASD. </w:t>
      </w:r>
    </w:p>
    <w:p w14:paraId="38EBCA7E" w14:textId="77777777" w:rsidR="004F55E3" w:rsidRPr="004F55E3" w:rsidRDefault="004F55E3" w:rsidP="004F55E3">
      <w:pPr>
        <w:pStyle w:val="Heading4"/>
        <w:rPr>
          <w:lang w:val="en-US"/>
        </w:rPr>
      </w:pPr>
      <w:r w:rsidRPr="004F55E3">
        <w:rPr>
          <w:lang w:val="en-US"/>
        </w:rPr>
        <w:t>The specific aims were</w:t>
      </w:r>
    </w:p>
    <w:p w14:paraId="48C4197E" w14:textId="77777777" w:rsidR="004F55E3" w:rsidRPr="004F55E3" w:rsidRDefault="004F55E3" w:rsidP="004F55E3">
      <w:pPr>
        <w:pStyle w:val="bodytext"/>
        <w:numPr>
          <w:ilvl w:val="0"/>
          <w:numId w:val="6"/>
        </w:numPr>
        <w:rPr>
          <w:lang w:val="en-US"/>
        </w:rPr>
      </w:pPr>
      <w:r w:rsidRPr="004F55E3">
        <w:rPr>
          <w:lang w:val="en-US"/>
        </w:rPr>
        <w:t>to evaluate ABR on a group level in patients with ADHD and ASD.</w:t>
      </w:r>
    </w:p>
    <w:p w14:paraId="2612C8D2" w14:textId="77777777" w:rsidR="004F55E3" w:rsidRPr="004F55E3" w:rsidRDefault="004F55E3" w:rsidP="004F55E3">
      <w:pPr>
        <w:pStyle w:val="bodytext"/>
        <w:numPr>
          <w:ilvl w:val="0"/>
          <w:numId w:val="6"/>
        </w:numPr>
        <w:rPr>
          <w:lang w:val="en-US"/>
        </w:rPr>
      </w:pPr>
      <w:r w:rsidRPr="004F55E3">
        <w:rPr>
          <w:lang w:val="en-US"/>
        </w:rPr>
        <w:t>to evaluate CANTAB on a group level in patients with ADHD.</w:t>
      </w:r>
    </w:p>
    <w:p w14:paraId="39AEF628" w14:textId="77777777" w:rsidR="004F55E3" w:rsidRDefault="004F55E3">
      <w:pPr>
        <w:spacing w:after="160" w:line="259" w:lineRule="auto"/>
        <w:rPr>
          <w:rFonts w:eastAsia="Times New Roman"/>
          <w:sz w:val="22"/>
          <w:lang w:val="en-US"/>
        </w:rPr>
      </w:pPr>
      <w:r>
        <w:rPr>
          <w:lang w:val="en-US"/>
        </w:rPr>
        <w:br w:type="page"/>
      </w:r>
    </w:p>
    <w:p w14:paraId="37561F22" w14:textId="77777777" w:rsidR="006C0E14" w:rsidRDefault="006C0E14">
      <w:pPr>
        <w:spacing w:after="160" w:line="259" w:lineRule="auto"/>
        <w:rPr>
          <w:rFonts w:eastAsia="Times New Roman"/>
          <w:sz w:val="48"/>
          <w:szCs w:val="48"/>
        </w:rPr>
      </w:pPr>
      <w:r w:rsidRPr="00860AAD">
        <w:lastRenderedPageBreak/>
        <w:br w:type="page"/>
      </w:r>
    </w:p>
    <w:p w14:paraId="08263C85" w14:textId="75E39849" w:rsidR="004F55E3" w:rsidRPr="004F55E3" w:rsidRDefault="004F55E3" w:rsidP="004F55E3">
      <w:pPr>
        <w:pStyle w:val="Heading1"/>
      </w:pPr>
      <w:bookmarkStart w:id="40" w:name="_Toc492391044"/>
      <w:r w:rsidRPr="004F55E3">
        <w:lastRenderedPageBreak/>
        <w:t>Ethical considerations</w:t>
      </w:r>
      <w:bookmarkEnd w:id="40"/>
    </w:p>
    <w:p w14:paraId="12A4C120" w14:textId="77777777" w:rsidR="000D225D" w:rsidRDefault="004F55E3" w:rsidP="004F55E3">
      <w:pPr>
        <w:pStyle w:val="bodytext"/>
        <w:rPr>
          <w:lang w:val="en-US"/>
        </w:rPr>
      </w:pPr>
      <w:r w:rsidRPr="004F55E3">
        <w:rPr>
          <w:lang w:val="en-US"/>
        </w:rPr>
        <w:t>Each of the four studies was approved by the regional ethics committee at Lund University (</w:t>
      </w:r>
      <w:proofErr w:type="spellStart"/>
      <w:r w:rsidRPr="004F55E3">
        <w:rPr>
          <w:lang w:val="en-US"/>
        </w:rPr>
        <w:t>Dnr</w:t>
      </w:r>
      <w:proofErr w:type="spellEnd"/>
      <w:r w:rsidRPr="004F55E3">
        <w:rPr>
          <w:lang w:val="en-US"/>
        </w:rPr>
        <w:t xml:space="preserve">: 2010/210, </w:t>
      </w:r>
      <w:proofErr w:type="spellStart"/>
      <w:r w:rsidRPr="004F55E3">
        <w:rPr>
          <w:lang w:val="en-US"/>
        </w:rPr>
        <w:t>Dnr</w:t>
      </w:r>
      <w:proofErr w:type="spellEnd"/>
      <w:r w:rsidRPr="004F55E3">
        <w:rPr>
          <w:lang w:val="en-US"/>
        </w:rPr>
        <w:t>: 2015/11). In all studies written informed consent was obtained from all participants and their parents/guardians. All participants were informed of their right to withdraw from the studies at any time without giving any reason</w:t>
      </w:r>
      <w:r w:rsidR="000D225D">
        <w:rPr>
          <w:lang w:val="en-US"/>
        </w:rPr>
        <w:t>.</w:t>
      </w:r>
    </w:p>
    <w:p w14:paraId="3DEC6194" w14:textId="39111254" w:rsidR="004F55E3" w:rsidRDefault="001D425A" w:rsidP="004F55E3">
      <w:pPr>
        <w:pStyle w:val="bodytext"/>
        <w:rPr>
          <w:lang w:val="en-US"/>
        </w:rPr>
      </w:pPr>
      <w:r>
        <w:t xml:space="preserve">The measuring system </w:t>
      </w:r>
      <w:r w:rsidR="000D225D" w:rsidRPr="004F55E3">
        <w:t>(brainstem-evoked response audiometry) A</w:t>
      </w:r>
      <w:proofErr w:type="gramStart"/>
      <w:r w:rsidR="000D225D" w:rsidRPr="004F55E3">
        <w:t>1000</w:t>
      </w:r>
      <w:r>
        <w:t xml:space="preserve">, </w:t>
      </w:r>
      <w:r w:rsidRPr="004F55E3">
        <w:t xml:space="preserve"> was</w:t>
      </w:r>
      <w:proofErr w:type="gramEnd"/>
      <w:r w:rsidRPr="004F55E3">
        <w:t xml:space="preserve"> borrowed from </w:t>
      </w:r>
      <w:proofErr w:type="spellStart"/>
      <w:r w:rsidRPr="004F55E3">
        <w:t>SensoDetect</w:t>
      </w:r>
      <w:proofErr w:type="spellEnd"/>
      <w:r w:rsidRPr="004F55E3">
        <w:t xml:space="preserve"> BERA</w:t>
      </w:r>
      <w:r w:rsidR="000D225D" w:rsidRPr="004F55E3">
        <w:t>.</w:t>
      </w:r>
      <w:r w:rsidR="000D225D">
        <w:rPr>
          <w:lang w:val="en-US"/>
        </w:rPr>
        <w:t xml:space="preserve"> </w:t>
      </w:r>
      <w:proofErr w:type="spellStart"/>
      <w:r w:rsidR="000D225D">
        <w:rPr>
          <w:lang w:val="en-US"/>
        </w:rPr>
        <w:t>SensoDetect</w:t>
      </w:r>
      <w:proofErr w:type="spellEnd"/>
      <w:r w:rsidR="000D225D">
        <w:rPr>
          <w:lang w:val="en-US"/>
        </w:rPr>
        <w:t xml:space="preserve"> did not sponsor the studies in any way. All studies were research driven.</w:t>
      </w:r>
    </w:p>
    <w:p w14:paraId="57B6876B" w14:textId="77777777" w:rsidR="00D673AC" w:rsidRDefault="00D673AC" w:rsidP="004F55E3">
      <w:pPr>
        <w:pStyle w:val="bodytext"/>
        <w:rPr>
          <w:lang w:val="en-US"/>
        </w:rPr>
      </w:pPr>
    </w:p>
    <w:p w14:paraId="30684B80" w14:textId="77777777" w:rsidR="004F55E3" w:rsidRDefault="004F55E3" w:rsidP="004F55E3">
      <w:pPr>
        <w:rPr>
          <w:rFonts w:eastAsia="Times New Roman"/>
          <w:sz w:val="22"/>
          <w:lang w:val="en-US"/>
        </w:rPr>
      </w:pPr>
      <w:r>
        <w:rPr>
          <w:lang w:val="en-US"/>
        </w:rPr>
        <w:br w:type="page"/>
      </w:r>
    </w:p>
    <w:p w14:paraId="2C253416" w14:textId="77777777" w:rsidR="004F55E3" w:rsidRDefault="004F55E3">
      <w:pPr>
        <w:spacing w:after="160" w:line="259" w:lineRule="auto"/>
        <w:rPr>
          <w:rFonts w:eastAsia="Times New Roman"/>
          <w:sz w:val="48"/>
          <w:szCs w:val="48"/>
        </w:rPr>
      </w:pPr>
      <w:r w:rsidRPr="00AA5A29">
        <w:rPr>
          <w:lang w:val="en-US"/>
        </w:rPr>
        <w:lastRenderedPageBreak/>
        <w:br w:type="page"/>
      </w:r>
    </w:p>
    <w:p w14:paraId="2A4BE784" w14:textId="77777777" w:rsidR="004F55E3" w:rsidRPr="004F55E3" w:rsidRDefault="004F55E3" w:rsidP="004F55E3">
      <w:pPr>
        <w:pStyle w:val="Heading1"/>
      </w:pPr>
      <w:bookmarkStart w:id="41" w:name="_Toc492391045"/>
      <w:r w:rsidRPr="004F55E3">
        <w:lastRenderedPageBreak/>
        <w:t>Methods</w:t>
      </w:r>
      <w:bookmarkEnd w:id="41"/>
    </w:p>
    <w:p w14:paraId="3CFD7D48" w14:textId="77777777" w:rsidR="004F55E3" w:rsidRPr="004F55E3" w:rsidRDefault="004F55E3" w:rsidP="004F55E3">
      <w:pPr>
        <w:pStyle w:val="Heading2"/>
        <w:rPr>
          <w:lang w:val="en-US"/>
        </w:rPr>
      </w:pPr>
      <w:bookmarkStart w:id="42" w:name="_Toc492391046"/>
      <w:r w:rsidRPr="004F55E3">
        <w:rPr>
          <w:lang w:val="en-US"/>
        </w:rPr>
        <w:t>Subjects</w:t>
      </w:r>
      <w:bookmarkEnd w:id="42"/>
    </w:p>
    <w:p w14:paraId="63BC1430" w14:textId="77777777" w:rsidR="004F55E3" w:rsidRPr="004F55E3" w:rsidRDefault="004F55E3" w:rsidP="004F55E3">
      <w:pPr>
        <w:pStyle w:val="bodytext"/>
      </w:pPr>
      <w:r w:rsidRPr="004F55E3">
        <w:t xml:space="preserve">Participants in all studies were recruited from the child and adolescent outpatient clinics (CAP clinics) and schools in </w:t>
      </w:r>
      <w:proofErr w:type="spellStart"/>
      <w:r w:rsidRPr="004F55E3">
        <w:t>Eslöv</w:t>
      </w:r>
      <w:proofErr w:type="spellEnd"/>
      <w:r w:rsidRPr="004F55E3">
        <w:t xml:space="preserve"> and Lund, two cities in the south of Sweden. All participants, both patients and controls, were drug free at the time of the testing. All patients were diagnosed according to the DSM-IV (Papers I, II, and IV) and DSM-5 (Paper III). Written informed consent was obtained from all the subjects and their parents/guardians.</w:t>
      </w:r>
    </w:p>
    <w:p w14:paraId="415F57E5" w14:textId="77777777" w:rsidR="004F55E3" w:rsidRPr="004F55E3" w:rsidRDefault="004F55E3" w:rsidP="004F55E3">
      <w:pPr>
        <w:pStyle w:val="Heading4"/>
        <w:rPr>
          <w:lang w:val="en-US"/>
        </w:rPr>
      </w:pPr>
      <w:r w:rsidRPr="004F55E3">
        <w:rPr>
          <w:lang w:val="en-US"/>
        </w:rPr>
        <w:t>Paper I</w:t>
      </w:r>
    </w:p>
    <w:p w14:paraId="01BBB999" w14:textId="3F2C06CD" w:rsidR="004F55E3" w:rsidRPr="004F55E3" w:rsidRDefault="004F55E3" w:rsidP="004F55E3">
      <w:pPr>
        <w:pStyle w:val="bodytext"/>
      </w:pPr>
      <w:r w:rsidRPr="004F55E3">
        <w:t xml:space="preserve">This study included a total of 43 females with ADHD (mean age 13.3 years, SD 3.0) and 21 female control subjects (mean age 13.6 years, SD 2.7). All patients were diagnosed according to agreed diagnostic procedures at the CAPs in </w:t>
      </w:r>
      <w:proofErr w:type="spellStart"/>
      <w:r w:rsidRPr="004F55E3">
        <w:t>Eslöv</w:t>
      </w:r>
      <w:proofErr w:type="spellEnd"/>
      <w:r w:rsidRPr="004F55E3">
        <w:t xml:space="preserve"> and Lund using </w:t>
      </w:r>
      <w:proofErr w:type="spellStart"/>
      <w:r w:rsidRPr="004F55E3">
        <w:t>semistructured</w:t>
      </w:r>
      <w:proofErr w:type="spellEnd"/>
      <w:r w:rsidRPr="004F55E3">
        <w:t xml:space="preserve"> diagnostic interview</w:t>
      </w:r>
      <w:r w:rsidR="005D4318">
        <w:t>s</w:t>
      </w:r>
      <w:r w:rsidRPr="004F55E3">
        <w:t>, neurological examination, psychologica</w:t>
      </w:r>
      <w:r w:rsidR="005D4318">
        <w:t>l evaluation, and self-report</w:t>
      </w:r>
      <w:r w:rsidRPr="004F55E3">
        <w:t xml:space="preserve"> questionnaires: Autism-Spectrum Quotient (AQ), </w:t>
      </w:r>
      <w:bookmarkStart w:id="43" w:name="OLE_LINK7"/>
      <w:bookmarkStart w:id="44" w:name="OLE_LINK8"/>
      <w:r w:rsidRPr="004F55E3">
        <w:rPr>
          <w:color w:val="000000" w:themeColor="text1"/>
        </w:rPr>
        <w:t>Swanson, Nolan and Pelham Teacher and Parent Rating Scale–IV</w:t>
      </w:r>
      <w:bookmarkEnd w:id="43"/>
      <w:bookmarkEnd w:id="44"/>
      <w:r w:rsidRPr="004F55E3">
        <w:rPr>
          <w:color w:val="000000" w:themeColor="text1"/>
        </w:rPr>
        <w:t xml:space="preserve"> </w:t>
      </w:r>
      <w:r w:rsidRPr="004F55E3">
        <w:t>(SNAP-IV), Five to Fifteen questionnaire (</w:t>
      </w:r>
      <w:commentRangeStart w:id="45"/>
      <w:r w:rsidRPr="004F55E3">
        <w:t>5–15</w:t>
      </w:r>
      <w:commentRangeEnd w:id="45"/>
      <w:r>
        <w:rPr>
          <w:rStyle w:val="CommentReference"/>
        </w:rPr>
        <w:commentReference w:id="45"/>
      </w:r>
      <w:r w:rsidRPr="004F55E3">
        <w:t xml:space="preserve">). All diagnoses were confirmed by a senior psychiatrist. Patients with other psychiatric diagnoses at the time of the testing were excluded to avoid comorbidity. All subjects with hearing impairment were excluded from the study. This was verified by interviews with parents, and </w:t>
      </w:r>
      <w:r w:rsidRPr="004F55E3">
        <w:rPr>
          <w:color w:val="000000"/>
        </w:rPr>
        <w:t>the subjects were not allowed to have a record at an ear, nose, and throat (ENT) clinic.</w:t>
      </w:r>
      <w:r w:rsidRPr="004F55E3">
        <w:t xml:space="preserve"> The control subjects were not allowed to have a previous record of any psychiatric disorder. None of the participants </w:t>
      </w:r>
      <w:r w:rsidRPr="004F55E3">
        <w:rPr>
          <w:color w:val="000000"/>
        </w:rPr>
        <w:t>had a known intellectual disability</w:t>
      </w:r>
      <w:r w:rsidRPr="004F55E3">
        <w:t>. All contacted families agreed to participate.</w:t>
      </w:r>
    </w:p>
    <w:p w14:paraId="39C6474F" w14:textId="77777777" w:rsidR="004F55E3" w:rsidRPr="004F55E3" w:rsidRDefault="004F55E3" w:rsidP="004F55E3">
      <w:pPr>
        <w:pStyle w:val="tabeltextheadline"/>
        <w:rPr>
          <w:lang w:val="en-US"/>
        </w:rPr>
      </w:pPr>
      <w:r w:rsidRPr="004F55E3">
        <w:rPr>
          <w:lang w:val="en-US"/>
        </w:rPr>
        <w:t xml:space="preserve">Table 1. </w:t>
      </w:r>
    </w:p>
    <w:p w14:paraId="06AA6F1B" w14:textId="77777777" w:rsidR="004F55E3" w:rsidRPr="00F244F7" w:rsidRDefault="004F55E3" w:rsidP="004F55E3">
      <w:pPr>
        <w:pStyle w:val="tabeltext"/>
      </w:pPr>
      <w:r w:rsidRPr="00F244F7">
        <w:t>Demographic characteristics and descriptive statistics for ADHD and control participants</w:t>
      </w:r>
      <w:r w:rsidRPr="00F244F7">
        <w:rPr>
          <w:b/>
        </w:rPr>
        <w:t>.</w:t>
      </w:r>
    </w:p>
    <w:tbl>
      <w:tblPr>
        <w:tblStyle w:val="TableGridLight"/>
        <w:tblW w:w="5000" w:type="pct"/>
        <w:tblLook w:val="04A0" w:firstRow="1" w:lastRow="0" w:firstColumn="1" w:lastColumn="0" w:noHBand="0" w:noVBand="1"/>
      </w:tblPr>
      <w:tblGrid>
        <w:gridCol w:w="2604"/>
        <w:gridCol w:w="1286"/>
        <w:gridCol w:w="1797"/>
        <w:gridCol w:w="1617"/>
      </w:tblGrid>
      <w:tr w:rsidR="004F55E3" w14:paraId="4B66494B" w14:textId="77777777" w:rsidTr="004F55E3">
        <w:trPr>
          <w:trHeight w:val="236"/>
        </w:trPr>
        <w:tc>
          <w:tcPr>
            <w:tcW w:w="1783" w:type="pct"/>
            <w:shd w:val="clear" w:color="auto" w:fill="D6D2C4" w:themeFill="accent4"/>
            <w:noWrap/>
          </w:tcPr>
          <w:p w14:paraId="53750446" w14:textId="77777777" w:rsidR="004F55E3" w:rsidRPr="004F55E3" w:rsidRDefault="004F55E3" w:rsidP="004F55E3">
            <w:pPr>
              <w:pStyle w:val="tabeltextintabel"/>
              <w:rPr>
                <w:b/>
              </w:rPr>
            </w:pPr>
            <w:r w:rsidRPr="004F55E3">
              <w:rPr>
                <w:b/>
              </w:rPr>
              <w:t>Sex</w:t>
            </w:r>
          </w:p>
        </w:tc>
        <w:tc>
          <w:tcPr>
            <w:tcW w:w="880" w:type="pct"/>
            <w:shd w:val="clear" w:color="auto" w:fill="D6D2C4" w:themeFill="accent4"/>
            <w:noWrap/>
          </w:tcPr>
          <w:p w14:paraId="4B31C460" w14:textId="77777777" w:rsidR="004F55E3" w:rsidRPr="004F55E3" w:rsidRDefault="004F55E3" w:rsidP="004F55E3">
            <w:pPr>
              <w:pStyle w:val="tabeltextintabel"/>
              <w:rPr>
                <w:b/>
              </w:rPr>
            </w:pPr>
            <w:r w:rsidRPr="004F55E3">
              <w:rPr>
                <w:b/>
              </w:rPr>
              <w:t>N</w:t>
            </w:r>
          </w:p>
        </w:tc>
        <w:tc>
          <w:tcPr>
            <w:tcW w:w="1230" w:type="pct"/>
            <w:shd w:val="clear" w:color="auto" w:fill="D6D2C4" w:themeFill="accent4"/>
            <w:noWrap/>
            <w:hideMark/>
          </w:tcPr>
          <w:p w14:paraId="4F4773A3" w14:textId="77777777" w:rsidR="004F55E3" w:rsidRPr="004F55E3" w:rsidRDefault="004F55E3" w:rsidP="004F55E3">
            <w:pPr>
              <w:pStyle w:val="tabeltextintabel"/>
              <w:rPr>
                <w:b/>
              </w:rPr>
            </w:pPr>
            <w:r w:rsidRPr="004F55E3">
              <w:rPr>
                <w:b/>
              </w:rPr>
              <w:t>Age(Mean)</w:t>
            </w:r>
          </w:p>
        </w:tc>
        <w:tc>
          <w:tcPr>
            <w:tcW w:w="1107" w:type="pct"/>
            <w:shd w:val="clear" w:color="auto" w:fill="D6D2C4" w:themeFill="accent4"/>
            <w:noWrap/>
            <w:hideMark/>
          </w:tcPr>
          <w:p w14:paraId="032C091D" w14:textId="77777777" w:rsidR="004F55E3" w:rsidRPr="004F55E3" w:rsidRDefault="004F55E3" w:rsidP="004F55E3">
            <w:pPr>
              <w:pStyle w:val="tabeltextintabel"/>
              <w:rPr>
                <w:b/>
              </w:rPr>
            </w:pPr>
            <w:r w:rsidRPr="004F55E3">
              <w:rPr>
                <w:b/>
              </w:rPr>
              <w:t>SD</w:t>
            </w:r>
          </w:p>
        </w:tc>
      </w:tr>
      <w:tr w:rsidR="004F55E3" w14:paraId="74FC6BAA" w14:textId="77777777" w:rsidTr="004F55E3">
        <w:trPr>
          <w:trHeight w:val="269"/>
        </w:trPr>
        <w:tc>
          <w:tcPr>
            <w:tcW w:w="1783" w:type="pct"/>
            <w:noWrap/>
          </w:tcPr>
          <w:p w14:paraId="2E169F16" w14:textId="77777777" w:rsidR="004F55E3" w:rsidRPr="00F244F7" w:rsidRDefault="004F55E3" w:rsidP="004F55E3">
            <w:pPr>
              <w:pStyle w:val="tabeltextintabel"/>
            </w:pPr>
            <w:r w:rsidRPr="00F244F7">
              <w:t>Female (ADHD)</w:t>
            </w:r>
          </w:p>
        </w:tc>
        <w:tc>
          <w:tcPr>
            <w:tcW w:w="880" w:type="pct"/>
            <w:noWrap/>
          </w:tcPr>
          <w:p w14:paraId="34E1DB7F" w14:textId="77777777" w:rsidR="004F55E3" w:rsidRPr="00F244F7" w:rsidRDefault="004F55E3" w:rsidP="004F55E3">
            <w:pPr>
              <w:pStyle w:val="tabeltextintabel"/>
            </w:pPr>
            <w:r w:rsidRPr="00F244F7">
              <w:t>43</w:t>
            </w:r>
          </w:p>
        </w:tc>
        <w:tc>
          <w:tcPr>
            <w:tcW w:w="1230" w:type="pct"/>
            <w:noWrap/>
            <w:hideMark/>
          </w:tcPr>
          <w:p w14:paraId="57AE5C12" w14:textId="77777777" w:rsidR="004F55E3" w:rsidRPr="00F244F7" w:rsidRDefault="004F55E3" w:rsidP="004F55E3">
            <w:pPr>
              <w:pStyle w:val="tabeltextintabel"/>
            </w:pPr>
            <w:r w:rsidRPr="00F244F7">
              <w:t>13.3</w:t>
            </w:r>
          </w:p>
        </w:tc>
        <w:tc>
          <w:tcPr>
            <w:tcW w:w="1107" w:type="pct"/>
            <w:noWrap/>
            <w:hideMark/>
          </w:tcPr>
          <w:p w14:paraId="570EFC93" w14:textId="77777777" w:rsidR="004F55E3" w:rsidRPr="00F244F7" w:rsidRDefault="004F55E3" w:rsidP="004F55E3">
            <w:pPr>
              <w:pStyle w:val="tabeltextintabel"/>
            </w:pPr>
            <w:r w:rsidRPr="00F244F7">
              <w:t>3.0</w:t>
            </w:r>
          </w:p>
        </w:tc>
      </w:tr>
      <w:tr w:rsidR="004F55E3" w14:paraId="1C537293" w14:textId="77777777" w:rsidTr="004F55E3">
        <w:trPr>
          <w:trHeight w:val="272"/>
        </w:trPr>
        <w:tc>
          <w:tcPr>
            <w:tcW w:w="1783" w:type="pct"/>
            <w:noWrap/>
          </w:tcPr>
          <w:p w14:paraId="12BB57EA" w14:textId="77777777" w:rsidR="004F55E3" w:rsidRPr="00F244F7" w:rsidRDefault="004F55E3" w:rsidP="004F55E3">
            <w:pPr>
              <w:pStyle w:val="tabeltextintabel"/>
            </w:pPr>
            <w:r w:rsidRPr="00F244F7">
              <w:t>Female (CONT)</w:t>
            </w:r>
          </w:p>
        </w:tc>
        <w:tc>
          <w:tcPr>
            <w:tcW w:w="880" w:type="pct"/>
            <w:noWrap/>
          </w:tcPr>
          <w:p w14:paraId="382868ED" w14:textId="77777777" w:rsidR="004F55E3" w:rsidRPr="00F244F7" w:rsidRDefault="004F55E3" w:rsidP="004F55E3">
            <w:pPr>
              <w:pStyle w:val="tabeltextintabel"/>
            </w:pPr>
            <w:r w:rsidRPr="00F244F7">
              <w:t>21</w:t>
            </w:r>
          </w:p>
        </w:tc>
        <w:tc>
          <w:tcPr>
            <w:tcW w:w="1230" w:type="pct"/>
            <w:noWrap/>
            <w:hideMark/>
          </w:tcPr>
          <w:p w14:paraId="014E196E" w14:textId="77777777" w:rsidR="004F55E3" w:rsidRPr="00F244F7" w:rsidRDefault="004F55E3" w:rsidP="004F55E3">
            <w:pPr>
              <w:pStyle w:val="tabeltextintabel"/>
            </w:pPr>
            <w:r w:rsidRPr="00F244F7">
              <w:t>13.6</w:t>
            </w:r>
          </w:p>
        </w:tc>
        <w:tc>
          <w:tcPr>
            <w:tcW w:w="1107" w:type="pct"/>
            <w:noWrap/>
            <w:hideMark/>
          </w:tcPr>
          <w:p w14:paraId="2C322F75" w14:textId="77777777" w:rsidR="004F55E3" w:rsidRPr="00F244F7" w:rsidRDefault="004F55E3" w:rsidP="004F55E3">
            <w:pPr>
              <w:pStyle w:val="tabeltextintabel"/>
            </w:pPr>
            <w:r w:rsidRPr="00F244F7">
              <w:t>2.7</w:t>
            </w:r>
          </w:p>
        </w:tc>
      </w:tr>
    </w:tbl>
    <w:p w14:paraId="06540C73" w14:textId="77777777" w:rsidR="009069F1" w:rsidRDefault="009069F1" w:rsidP="004F55E3">
      <w:pPr>
        <w:pStyle w:val="Heading4"/>
      </w:pPr>
    </w:p>
    <w:p w14:paraId="616E4422" w14:textId="77777777" w:rsidR="009069F1" w:rsidRDefault="009069F1" w:rsidP="004F55E3">
      <w:pPr>
        <w:pStyle w:val="Heading4"/>
      </w:pPr>
    </w:p>
    <w:p w14:paraId="0731952A" w14:textId="7CDD1AC8" w:rsidR="004F55E3" w:rsidRPr="00324280" w:rsidRDefault="004F55E3" w:rsidP="004F55E3">
      <w:pPr>
        <w:pStyle w:val="Heading4"/>
      </w:pPr>
      <w:r w:rsidRPr="00324280">
        <w:t>Paper II</w:t>
      </w:r>
    </w:p>
    <w:p w14:paraId="14342D00" w14:textId="5750C2B1" w:rsidR="004F55E3" w:rsidRPr="004F55E3" w:rsidRDefault="00963763" w:rsidP="004F55E3">
      <w:pPr>
        <w:pStyle w:val="bodytext"/>
      </w:pPr>
      <w:r w:rsidRPr="00963763">
        <w:t>O</w:t>
      </w:r>
      <w:r w:rsidR="004F55E3" w:rsidRPr="004F55E3">
        <w:t xml:space="preserve">ur first study (Paper </w:t>
      </w:r>
      <w:r>
        <w:t xml:space="preserve">I) was considered a pilot study. In a larger study </w:t>
      </w:r>
      <w:proofErr w:type="gramStart"/>
      <w:r>
        <w:t>we  added</w:t>
      </w:r>
      <w:proofErr w:type="gramEnd"/>
      <w:r>
        <w:t xml:space="preserve"> 20 female ADHD patients to the 43 patients from Study I. We also included male ADHS patients and their TD controls.</w:t>
      </w:r>
    </w:p>
    <w:p w14:paraId="30AF0A14" w14:textId="7F4A48C0" w:rsidR="004F55E3" w:rsidRPr="004F55E3" w:rsidRDefault="00963763" w:rsidP="004F55E3">
      <w:pPr>
        <w:pStyle w:val="bodytext"/>
      </w:pPr>
      <w:r>
        <w:t>The subjects in Study</w:t>
      </w:r>
      <w:r w:rsidR="004F55E3" w:rsidRPr="004F55E3">
        <w:t xml:space="preserve"> II were 63 young females with ADHD (mean age 13.8 years, SD 2.5) and </w:t>
      </w:r>
      <w:r w:rsidR="004F55E3" w:rsidRPr="004F55E3">
        <w:rPr>
          <w:color w:val="000000" w:themeColor="text1"/>
        </w:rPr>
        <w:t xml:space="preserve">48 young males with ADHD (mean age 13.1 years, SD 1.8). </w:t>
      </w:r>
      <w:r w:rsidR="004F55E3" w:rsidRPr="004F55E3">
        <w:t xml:space="preserve">The </w:t>
      </w:r>
      <w:r>
        <w:t xml:space="preserve">TD </w:t>
      </w:r>
      <w:r w:rsidR="004F55E3" w:rsidRPr="004F55E3">
        <w:t xml:space="preserve">control group consisted of 26 female subjects (mean age 13.8 years, SD </w:t>
      </w:r>
      <w:proofErr w:type="gramStart"/>
      <w:r w:rsidR="004F55E3" w:rsidRPr="004F55E3">
        <w:t>2.7)</w:t>
      </w:r>
      <w:r>
        <w:t>(</w:t>
      </w:r>
      <w:proofErr w:type="gramEnd"/>
      <w:r>
        <w:t xml:space="preserve">20 of these from Study I) </w:t>
      </w:r>
      <w:r w:rsidR="004F55E3" w:rsidRPr="004F55E3">
        <w:t xml:space="preserve"> </w:t>
      </w:r>
      <w:r w:rsidR="004F55E3" w:rsidRPr="004F55E3">
        <w:rPr>
          <w:color w:val="000000" w:themeColor="text1"/>
        </w:rPr>
        <w:t xml:space="preserve">and 20 male </w:t>
      </w:r>
      <w:r>
        <w:rPr>
          <w:color w:val="000000" w:themeColor="text1"/>
        </w:rPr>
        <w:t xml:space="preserve">TD </w:t>
      </w:r>
      <w:r w:rsidR="004F55E3" w:rsidRPr="004F55E3">
        <w:rPr>
          <w:color w:val="000000" w:themeColor="text1"/>
        </w:rPr>
        <w:t xml:space="preserve">control subjects (mean age 12.8 years, SD 1.7). </w:t>
      </w:r>
      <w:r w:rsidR="00CF60BA">
        <w:rPr>
          <w:color w:val="000000" w:themeColor="text1"/>
        </w:rPr>
        <w:t>The female ADHD and control group consisted of t</w:t>
      </w:r>
      <w:r w:rsidR="007C23C9">
        <w:rPr>
          <w:color w:val="000000" w:themeColor="text1"/>
        </w:rPr>
        <w:t xml:space="preserve">he </w:t>
      </w:r>
      <w:r w:rsidR="007C23C9" w:rsidRPr="00782E1C">
        <w:t>ADHD females and controls included in Paper I, but with an additional 20 female ADHD subjects and 5 additional female control subjects.</w:t>
      </w:r>
      <w:r w:rsidR="00CF60BA">
        <w:t xml:space="preserve"> </w:t>
      </w:r>
      <w:r w:rsidR="004F55E3" w:rsidRPr="004F55E3">
        <w:t xml:space="preserve">All patients were diagnosed according to agreed procedures at the CAPs in </w:t>
      </w:r>
      <w:proofErr w:type="spellStart"/>
      <w:r w:rsidR="004F55E3" w:rsidRPr="004F55E3">
        <w:t>Eslöv</w:t>
      </w:r>
      <w:proofErr w:type="spellEnd"/>
      <w:r w:rsidR="004F55E3" w:rsidRPr="004F55E3">
        <w:t xml:space="preserve"> and Lund (</w:t>
      </w:r>
      <w:proofErr w:type="spellStart"/>
      <w:r w:rsidR="004F55E3" w:rsidRPr="004F55E3">
        <w:t>semistructured</w:t>
      </w:r>
      <w:proofErr w:type="spellEnd"/>
      <w:r w:rsidR="004F55E3" w:rsidRPr="004F55E3">
        <w:t xml:space="preserve"> diagnostic interview, neurological examination, psychological evaluation, and questionnaires: AQ, SNAP IV, </w:t>
      </w:r>
      <w:commentRangeStart w:id="46"/>
      <w:r w:rsidR="004F55E3" w:rsidRPr="004F55E3">
        <w:t>5–15</w:t>
      </w:r>
      <w:commentRangeEnd w:id="46"/>
      <w:r w:rsidR="004F55E3">
        <w:rPr>
          <w:rStyle w:val="CommentReference"/>
        </w:rPr>
        <w:commentReference w:id="46"/>
      </w:r>
      <w:r w:rsidR="004F55E3" w:rsidRPr="004F55E3">
        <w:t xml:space="preserve">). Patients with other psychiatric diagnoses at the time of the testing were excluded to avoid </w:t>
      </w:r>
      <w:r>
        <w:t xml:space="preserve">known </w:t>
      </w:r>
      <w:r w:rsidR="004F55E3" w:rsidRPr="004F55E3">
        <w:t xml:space="preserve">comorbidity. </w:t>
      </w:r>
      <w:r w:rsidR="00576656" w:rsidRPr="004F55E3">
        <w:t>The control subjects were not allowed to have a previous record of any psychiatric disorder.</w:t>
      </w:r>
      <w:r w:rsidR="00576656">
        <w:t xml:space="preserve"> Excluded from all groups were </w:t>
      </w:r>
      <w:r w:rsidR="004F55E3" w:rsidRPr="004F55E3">
        <w:t xml:space="preserve">subjects with hearing impairment </w:t>
      </w:r>
      <w:r w:rsidR="00576656">
        <w:t>either</w:t>
      </w:r>
      <w:r w:rsidR="004F55E3" w:rsidRPr="004F55E3">
        <w:t xml:space="preserve"> verified by interviews with parents, </w:t>
      </w:r>
      <w:r w:rsidR="00576656">
        <w:t>or</w:t>
      </w:r>
      <w:r w:rsidR="004F55E3" w:rsidRPr="004F55E3">
        <w:rPr>
          <w:color w:val="000000"/>
        </w:rPr>
        <w:t xml:space="preserve"> a record at an ENT clinic.</w:t>
      </w:r>
      <w:r w:rsidR="004F55E3" w:rsidRPr="004F55E3">
        <w:t xml:space="preserve"> None of the participants </w:t>
      </w:r>
      <w:r w:rsidR="004F55E3" w:rsidRPr="004F55E3">
        <w:rPr>
          <w:color w:val="000000"/>
        </w:rPr>
        <w:t>had a known intellectual disability</w:t>
      </w:r>
      <w:r w:rsidR="004F55E3" w:rsidRPr="004F55E3">
        <w:t>. All contacted families agreed to participate.</w:t>
      </w:r>
    </w:p>
    <w:p w14:paraId="46227A21" w14:textId="77777777" w:rsidR="004F55E3" w:rsidRPr="00AA5A29" w:rsidRDefault="004F55E3" w:rsidP="004F55E3">
      <w:pPr>
        <w:pStyle w:val="tabeltextheadline"/>
        <w:rPr>
          <w:lang w:val="en-US"/>
        </w:rPr>
      </w:pPr>
      <w:r w:rsidRPr="00AA5A29">
        <w:rPr>
          <w:lang w:val="en-US"/>
        </w:rPr>
        <w:t xml:space="preserve">Table 2. </w:t>
      </w:r>
    </w:p>
    <w:p w14:paraId="33B42E2A" w14:textId="77777777" w:rsidR="004F55E3" w:rsidRPr="00F244F7" w:rsidRDefault="004F55E3" w:rsidP="004F55E3">
      <w:pPr>
        <w:pStyle w:val="tabeltext"/>
        <w:rPr>
          <w:b/>
        </w:rPr>
      </w:pPr>
      <w:r w:rsidRPr="00F244F7">
        <w:t>Demographic characteristics and descriptive statistics for ADHD and control participants</w:t>
      </w:r>
      <w:r w:rsidRPr="00F244F7">
        <w:rPr>
          <w:b/>
        </w:rPr>
        <w:t>.</w:t>
      </w:r>
    </w:p>
    <w:tbl>
      <w:tblPr>
        <w:tblW w:w="5000" w:type="pct"/>
        <w:tblCellMar>
          <w:top w:w="57" w:type="dxa"/>
          <w:left w:w="57" w:type="dxa"/>
          <w:bottom w:w="57" w:type="dxa"/>
          <w:right w:w="57" w:type="dxa"/>
        </w:tblCellMar>
        <w:tblLook w:val="04A0" w:firstRow="1" w:lastRow="0" w:firstColumn="1" w:lastColumn="0" w:noHBand="0" w:noVBand="1"/>
      </w:tblPr>
      <w:tblGrid>
        <w:gridCol w:w="2573"/>
        <w:gridCol w:w="1269"/>
        <w:gridCol w:w="1775"/>
        <w:gridCol w:w="1687"/>
      </w:tblGrid>
      <w:tr w:rsidR="004F55E3" w:rsidRPr="000A420F" w14:paraId="42303BE0" w14:textId="77777777" w:rsidTr="000A420F">
        <w:trPr>
          <w:trHeight w:val="89"/>
        </w:trPr>
        <w:tc>
          <w:tcPr>
            <w:tcW w:w="1761" w:type="pct"/>
            <w:tcBorders>
              <w:top w:val="single" w:sz="4" w:space="0" w:color="auto"/>
              <w:left w:val="single" w:sz="4" w:space="0" w:color="auto"/>
              <w:bottom w:val="single" w:sz="4" w:space="0" w:color="auto"/>
              <w:right w:val="single" w:sz="4" w:space="0" w:color="auto"/>
            </w:tcBorders>
            <w:shd w:val="clear" w:color="auto" w:fill="D6D2C4" w:themeFill="accent4"/>
            <w:noWrap/>
            <w:vAlign w:val="bottom"/>
          </w:tcPr>
          <w:p w14:paraId="225BC37F" w14:textId="77777777" w:rsidR="004F55E3" w:rsidRPr="000A420F" w:rsidRDefault="004F55E3" w:rsidP="000A420F">
            <w:pPr>
              <w:pStyle w:val="tabeltextintabel"/>
              <w:rPr>
                <w:b/>
              </w:rPr>
            </w:pPr>
            <w:r w:rsidRPr="000A420F">
              <w:rPr>
                <w:b/>
              </w:rPr>
              <w:t>Sex</w:t>
            </w:r>
          </w:p>
        </w:tc>
        <w:tc>
          <w:tcPr>
            <w:tcW w:w="869" w:type="pct"/>
            <w:tcBorders>
              <w:top w:val="single" w:sz="4" w:space="0" w:color="auto"/>
              <w:left w:val="single" w:sz="4" w:space="0" w:color="auto"/>
              <w:bottom w:val="single" w:sz="4" w:space="0" w:color="auto"/>
              <w:right w:val="single" w:sz="4" w:space="0" w:color="auto"/>
            </w:tcBorders>
            <w:shd w:val="clear" w:color="auto" w:fill="D6D2C4" w:themeFill="accent4"/>
            <w:noWrap/>
            <w:vAlign w:val="bottom"/>
          </w:tcPr>
          <w:p w14:paraId="3567A87E" w14:textId="77777777" w:rsidR="004F55E3" w:rsidRPr="000A420F" w:rsidRDefault="004F55E3" w:rsidP="000A420F">
            <w:pPr>
              <w:pStyle w:val="tabeltextintabel"/>
              <w:rPr>
                <w:b/>
              </w:rPr>
            </w:pPr>
            <w:r w:rsidRPr="000A420F">
              <w:rPr>
                <w:b/>
              </w:rPr>
              <w:t>N</w:t>
            </w:r>
          </w:p>
        </w:tc>
        <w:tc>
          <w:tcPr>
            <w:tcW w:w="1215" w:type="pct"/>
            <w:tcBorders>
              <w:top w:val="single" w:sz="4" w:space="0" w:color="auto"/>
              <w:left w:val="single" w:sz="4" w:space="0" w:color="auto"/>
              <w:bottom w:val="single" w:sz="4" w:space="0" w:color="auto"/>
              <w:right w:val="single" w:sz="4" w:space="0" w:color="auto"/>
            </w:tcBorders>
            <w:shd w:val="clear" w:color="auto" w:fill="D6D2C4" w:themeFill="accent4"/>
            <w:noWrap/>
            <w:vAlign w:val="bottom"/>
            <w:hideMark/>
          </w:tcPr>
          <w:p w14:paraId="64B7BCF1" w14:textId="77777777" w:rsidR="004F55E3" w:rsidRPr="000A420F" w:rsidRDefault="004F55E3" w:rsidP="000A420F">
            <w:pPr>
              <w:pStyle w:val="tabeltextintabel"/>
              <w:rPr>
                <w:b/>
              </w:rPr>
            </w:pPr>
            <w:r w:rsidRPr="000A420F">
              <w:rPr>
                <w:b/>
              </w:rPr>
              <w:t>Age(Mean)</w:t>
            </w:r>
          </w:p>
        </w:tc>
        <w:tc>
          <w:tcPr>
            <w:tcW w:w="1155" w:type="pct"/>
            <w:tcBorders>
              <w:top w:val="single" w:sz="4" w:space="0" w:color="auto"/>
              <w:left w:val="single" w:sz="4" w:space="0" w:color="auto"/>
              <w:bottom w:val="single" w:sz="4" w:space="0" w:color="auto"/>
              <w:right w:val="single" w:sz="4" w:space="0" w:color="auto"/>
            </w:tcBorders>
            <w:shd w:val="clear" w:color="auto" w:fill="D6D2C4" w:themeFill="accent4"/>
            <w:noWrap/>
            <w:vAlign w:val="bottom"/>
            <w:hideMark/>
          </w:tcPr>
          <w:p w14:paraId="77D85B37" w14:textId="77777777" w:rsidR="004F55E3" w:rsidRPr="000A420F" w:rsidRDefault="004F55E3" w:rsidP="000A420F">
            <w:pPr>
              <w:pStyle w:val="tabeltextintabel"/>
              <w:rPr>
                <w:b/>
              </w:rPr>
            </w:pPr>
            <w:r w:rsidRPr="000A420F">
              <w:rPr>
                <w:b/>
              </w:rPr>
              <w:t>SD</w:t>
            </w:r>
          </w:p>
        </w:tc>
      </w:tr>
      <w:tr w:rsidR="004F55E3" w:rsidRPr="000A420F" w14:paraId="2D706E00" w14:textId="77777777" w:rsidTr="000A420F">
        <w:trPr>
          <w:trHeight w:val="23"/>
        </w:trPr>
        <w:tc>
          <w:tcPr>
            <w:tcW w:w="176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75D39F" w14:textId="77777777" w:rsidR="004F55E3" w:rsidRPr="000A420F" w:rsidRDefault="004F55E3" w:rsidP="000A420F">
            <w:pPr>
              <w:pStyle w:val="tabeltextintabel"/>
            </w:pPr>
            <w:r w:rsidRPr="000A420F">
              <w:t>Female (ADHD)</w:t>
            </w:r>
          </w:p>
        </w:tc>
        <w:tc>
          <w:tcPr>
            <w:tcW w:w="86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444D08" w14:textId="77777777" w:rsidR="004F55E3" w:rsidRPr="000A420F" w:rsidRDefault="004F55E3" w:rsidP="000A420F">
            <w:pPr>
              <w:pStyle w:val="tabeltextintabel"/>
            </w:pPr>
            <w:r w:rsidRPr="000A420F">
              <w:t>63</w:t>
            </w:r>
          </w:p>
        </w:tc>
        <w:tc>
          <w:tcPr>
            <w:tcW w:w="12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C16AE" w14:textId="77777777" w:rsidR="004F55E3" w:rsidRPr="000A420F" w:rsidRDefault="004F55E3" w:rsidP="000A420F">
            <w:pPr>
              <w:pStyle w:val="tabeltextintabel"/>
            </w:pPr>
            <w:r w:rsidRPr="000A420F">
              <w:t>13.8</w:t>
            </w:r>
          </w:p>
        </w:tc>
        <w:tc>
          <w:tcPr>
            <w:tcW w:w="11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EE4E8" w14:textId="77777777" w:rsidR="004F55E3" w:rsidRPr="000A420F" w:rsidRDefault="004F55E3" w:rsidP="000A420F">
            <w:pPr>
              <w:pStyle w:val="tabeltextintabel"/>
            </w:pPr>
            <w:r w:rsidRPr="000A420F">
              <w:t>2.5</w:t>
            </w:r>
          </w:p>
        </w:tc>
      </w:tr>
      <w:tr w:rsidR="004F55E3" w:rsidRPr="000A420F" w14:paraId="645DFFD9" w14:textId="77777777" w:rsidTr="000A420F">
        <w:trPr>
          <w:trHeight w:val="23"/>
        </w:trPr>
        <w:tc>
          <w:tcPr>
            <w:tcW w:w="176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38C80C" w14:textId="77777777" w:rsidR="004F55E3" w:rsidRPr="000A420F" w:rsidRDefault="004F55E3" w:rsidP="000A420F">
            <w:pPr>
              <w:pStyle w:val="tabeltextintabel"/>
            </w:pPr>
            <w:r w:rsidRPr="000A420F">
              <w:t>Female (CONT)</w:t>
            </w:r>
          </w:p>
        </w:tc>
        <w:tc>
          <w:tcPr>
            <w:tcW w:w="86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5F4A3B" w14:textId="77777777" w:rsidR="004F55E3" w:rsidRPr="000A420F" w:rsidRDefault="004F55E3" w:rsidP="000A420F">
            <w:pPr>
              <w:pStyle w:val="tabeltextintabel"/>
            </w:pPr>
            <w:r w:rsidRPr="000A420F">
              <w:t>26</w:t>
            </w:r>
          </w:p>
        </w:tc>
        <w:tc>
          <w:tcPr>
            <w:tcW w:w="12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F730D" w14:textId="77777777" w:rsidR="004F55E3" w:rsidRPr="000A420F" w:rsidRDefault="004F55E3" w:rsidP="000A420F">
            <w:pPr>
              <w:pStyle w:val="tabeltextintabel"/>
            </w:pPr>
            <w:r w:rsidRPr="000A420F">
              <w:t>13.8</w:t>
            </w:r>
          </w:p>
        </w:tc>
        <w:tc>
          <w:tcPr>
            <w:tcW w:w="11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DADB6" w14:textId="77777777" w:rsidR="004F55E3" w:rsidRPr="000A420F" w:rsidRDefault="004F55E3" w:rsidP="000A420F">
            <w:pPr>
              <w:pStyle w:val="tabeltextintabel"/>
            </w:pPr>
            <w:r w:rsidRPr="000A420F">
              <w:t>2.7</w:t>
            </w:r>
          </w:p>
        </w:tc>
      </w:tr>
      <w:tr w:rsidR="004F55E3" w:rsidRPr="000A420F" w14:paraId="3B756737" w14:textId="77777777" w:rsidTr="000A420F">
        <w:trPr>
          <w:trHeight w:val="23"/>
        </w:trPr>
        <w:tc>
          <w:tcPr>
            <w:tcW w:w="176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2D14C8" w14:textId="77777777" w:rsidR="004F55E3" w:rsidRPr="000A420F" w:rsidRDefault="004F55E3" w:rsidP="000A420F">
            <w:pPr>
              <w:pStyle w:val="tabeltextintabel"/>
            </w:pPr>
            <w:r w:rsidRPr="000A420F">
              <w:t>Male (ADHD)</w:t>
            </w:r>
          </w:p>
        </w:tc>
        <w:tc>
          <w:tcPr>
            <w:tcW w:w="86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82F42E" w14:textId="77777777" w:rsidR="004F55E3" w:rsidRPr="000A420F" w:rsidRDefault="004F55E3" w:rsidP="000A420F">
            <w:pPr>
              <w:pStyle w:val="tabeltextintabel"/>
            </w:pPr>
            <w:r w:rsidRPr="000A420F">
              <w:t>48</w:t>
            </w:r>
          </w:p>
        </w:tc>
        <w:tc>
          <w:tcPr>
            <w:tcW w:w="12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E530B" w14:textId="77777777" w:rsidR="004F55E3" w:rsidRPr="000A420F" w:rsidRDefault="004F55E3" w:rsidP="000A420F">
            <w:pPr>
              <w:pStyle w:val="tabeltextintabel"/>
            </w:pPr>
            <w:r w:rsidRPr="000A420F">
              <w:t>13.1</w:t>
            </w:r>
          </w:p>
        </w:tc>
        <w:tc>
          <w:tcPr>
            <w:tcW w:w="11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487AA" w14:textId="77777777" w:rsidR="004F55E3" w:rsidRPr="000A420F" w:rsidRDefault="004F55E3" w:rsidP="000A420F">
            <w:pPr>
              <w:pStyle w:val="tabeltextintabel"/>
            </w:pPr>
            <w:r w:rsidRPr="000A420F">
              <w:t>1.8</w:t>
            </w:r>
          </w:p>
        </w:tc>
      </w:tr>
      <w:tr w:rsidR="004F55E3" w:rsidRPr="000A420F" w14:paraId="456AF2E4" w14:textId="77777777" w:rsidTr="000A420F">
        <w:trPr>
          <w:trHeight w:val="36"/>
        </w:trPr>
        <w:tc>
          <w:tcPr>
            <w:tcW w:w="176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057662" w14:textId="77777777" w:rsidR="004F55E3" w:rsidRPr="000A420F" w:rsidRDefault="004F55E3" w:rsidP="000A420F">
            <w:pPr>
              <w:pStyle w:val="tabeltextintabel"/>
            </w:pPr>
            <w:r w:rsidRPr="000A420F">
              <w:t>Male (CONT)</w:t>
            </w:r>
          </w:p>
        </w:tc>
        <w:tc>
          <w:tcPr>
            <w:tcW w:w="86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9B596E" w14:textId="77777777" w:rsidR="004F55E3" w:rsidRPr="000A420F" w:rsidRDefault="004F55E3" w:rsidP="000A420F">
            <w:pPr>
              <w:pStyle w:val="tabeltextintabel"/>
            </w:pPr>
            <w:r w:rsidRPr="000A420F">
              <w:t>20</w:t>
            </w:r>
          </w:p>
        </w:tc>
        <w:tc>
          <w:tcPr>
            <w:tcW w:w="12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2A3E8" w14:textId="77777777" w:rsidR="004F55E3" w:rsidRPr="000A420F" w:rsidRDefault="004F55E3" w:rsidP="000A420F">
            <w:pPr>
              <w:pStyle w:val="tabeltextintabel"/>
            </w:pPr>
            <w:r w:rsidRPr="000A420F">
              <w:t>12.8</w:t>
            </w:r>
          </w:p>
        </w:tc>
        <w:tc>
          <w:tcPr>
            <w:tcW w:w="11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6D80B" w14:textId="77777777" w:rsidR="004F55E3" w:rsidRPr="000A420F" w:rsidRDefault="004F55E3" w:rsidP="000A420F">
            <w:pPr>
              <w:pStyle w:val="tabeltextintabel"/>
            </w:pPr>
            <w:r w:rsidRPr="000A420F">
              <w:t>1.7</w:t>
            </w:r>
          </w:p>
        </w:tc>
      </w:tr>
    </w:tbl>
    <w:p w14:paraId="784CD51C" w14:textId="77777777" w:rsidR="004F55E3" w:rsidRPr="00324280" w:rsidRDefault="004F55E3" w:rsidP="000A420F">
      <w:pPr>
        <w:pStyle w:val="Heading4"/>
      </w:pPr>
      <w:r w:rsidRPr="00324280">
        <w:t>Paper III</w:t>
      </w:r>
    </w:p>
    <w:p w14:paraId="36989566" w14:textId="4EB36AC1" w:rsidR="004F55E3" w:rsidRPr="00BB02EF" w:rsidRDefault="004F55E3" w:rsidP="00BB02EF">
      <w:pPr>
        <w:widowControl w:val="0"/>
        <w:autoSpaceDE w:val="0"/>
        <w:autoSpaceDN w:val="0"/>
        <w:adjustRightInd w:val="0"/>
        <w:spacing w:after="240" w:line="360" w:lineRule="atLeast"/>
        <w:rPr>
          <w:rFonts w:ascii="Times" w:hAnsi="Times" w:cs="Times"/>
          <w:color w:val="000000"/>
          <w:lang w:eastAsia="en-US"/>
        </w:rPr>
      </w:pPr>
      <w:r w:rsidRPr="004F55E3">
        <w:t>Th</w:t>
      </w:r>
      <w:r w:rsidR="00576656">
        <w:t>e subjects in Study</w:t>
      </w:r>
      <w:r w:rsidRPr="004F55E3">
        <w:t xml:space="preserve"> III included 39 children with ASD and 34 TD children. Twenty-one females with ASD (mean age 12.71 years, SD 3.36), 18 males with ASD (mean age 11.50 years, SD 3.09). The control group consisted of 24 females (mean age 13.1 years, SD 3.5) and 23 males (mean </w:t>
      </w:r>
      <w:r w:rsidRPr="004F55E3">
        <w:lastRenderedPageBreak/>
        <w:t>age 13.2 years, SD 3.2), participated in this study</w:t>
      </w:r>
      <w:r w:rsidR="00BB02EF">
        <w:t>. Due to evoked potentials being of abnormal high voltage, typically triggered by patient movement, coughing or tension, 9 ASD males, 10 ASD females, 6 TD males and 7 TD females were excluded from the study</w:t>
      </w:r>
      <w:r w:rsidRPr="004F55E3">
        <w:t xml:space="preserve">. The children with ASD were assessed in clinical settings by trained psychologists using the </w:t>
      </w:r>
      <w:r w:rsidRPr="004F55E3">
        <w:rPr>
          <w:bCs/>
          <w:color w:val="000000" w:themeColor="text1"/>
        </w:rPr>
        <w:t>Autism Diagnostic Observation Schedule</w:t>
      </w:r>
      <w:r w:rsidRPr="004F55E3">
        <w:t xml:space="preserve"> (ADOS) and </w:t>
      </w:r>
      <w:hyperlink r:id="rId20" w:history="1">
        <w:r w:rsidRPr="004F55E3">
          <w:rPr>
            <w:color w:val="000000" w:themeColor="text1"/>
          </w:rPr>
          <w:t>Autism Diagnostic Interview–Revised</w:t>
        </w:r>
      </w:hyperlink>
      <w:r w:rsidRPr="004F55E3">
        <w:rPr>
          <w:color w:val="000000" w:themeColor="text1"/>
        </w:rPr>
        <w:t xml:space="preserve"> (</w:t>
      </w:r>
      <w:r w:rsidRPr="004F55E3">
        <w:t xml:space="preserve">ADI-R). To participate in the study, the ASD children were not allowed to have had any previous contact with the (ENT) clinic to exclude hearing impairment. All ASD patients had an IQ of 70 or above, as measured by either the Wechsler Intelligence Scale for Children–Fourth edition (WISC-IV) (Wechsler, 2003) or the Wechsler Adult Intelligence Scale–Fourth edition (WAIS-IV) (Wechsler, 2008). The ASD diagnoses were confirmed by a senior psychiatrist. To exclude TD participants with psychiatric diagnoses or </w:t>
      </w:r>
      <w:r w:rsidR="00DB135E">
        <w:t xml:space="preserve">hearing impairment, the controls </w:t>
      </w:r>
      <w:r w:rsidRPr="004F55E3">
        <w:t>were not allowed to have any previous record from a CAP nor a record at the ENT clinic.</w:t>
      </w:r>
      <w:r w:rsidR="00AA5A29">
        <w:t xml:space="preserve"> </w:t>
      </w:r>
      <w:r w:rsidRPr="004F55E3">
        <w:t>No TD had a known intellectual disability or other NDD (Table 3). All contacted families agreed to participate.</w:t>
      </w:r>
    </w:p>
    <w:p w14:paraId="16A83835" w14:textId="77777777" w:rsidR="000A420F" w:rsidRPr="00AA5A29" w:rsidRDefault="004F55E3" w:rsidP="000A420F">
      <w:pPr>
        <w:pStyle w:val="tabeltextheadline"/>
        <w:rPr>
          <w:lang w:val="en-US"/>
        </w:rPr>
      </w:pPr>
      <w:r w:rsidRPr="00AA5A29">
        <w:rPr>
          <w:lang w:val="en-US"/>
        </w:rPr>
        <w:t xml:space="preserve">Table 3. </w:t>
      </w:r>
    </w:p>
    <w:p w14:paraId="4E810E0A" w14:textId="77777777" w:rsidR="004F55E3" w:rsidRPr="00F244F7" w:rsidRDefault="004F55E3" w:rsidP="000A420F">
      <w:pPr>
        <w:pStyle w:val="tabeltext"/>
      </w:pPr>
      <w:r w:rsidRPr="00F244F7">
        <w:t>Demographic characteristics and descriptive statistics for ASD and control participants</w:t>
      </w:r>
    </w:p>
    <w:tbl>
      <w:tblPr>
        <w:tblW w:w="5000" w:type="pct"/>
        <w:tblLook w:val="04A0" w:firstRow="1" w:lastRow="0" w:firstColumn="1" w:lastColumn="0" w:noHBand="0" w:noVBand="1"/>
      </w:tblPr>
      <w:tblGrid>
        <w:gridCol w:w="1826"/>
        <w:gridCol w:w="1826"/>
        <w:gridCol w:w="1826"/>
        <w:gridCol w:w="1826"/>
      </w:tblGrid>
      <w:tr w:rsidR="004F55E3" w:rsidRPr="00EE25DA" w14:paraId="5AC28162" w14:textId="77777777" w:rsidTr="000A420F">
        <w:trPr>
          <w:trHeight w:val="320"/>
        </w:trPr>
        <w:tc>
          <w:tcPr>
            <w:tcW w:w="1250" w:type="pct"/>
            <w:tcBorders>
              <w:top w:val="single" w:sz="4" w:space="0" w:color="auto"/>
              <w:left w:val="single" w:sz="4" w:space="0" w:color="auto"/>
              <w:bottom w:val="single" w:sz="4" w:space="0" w:color="auto"/>
              <w:right w:val="single" w:sz="4" w:space="0" w:color="auto"/>
            </w:tcBorders>
            <w:shd w:val="clear" w:color="auto" w:fill="D6D2C4" w:themeFill="accent4"/>
            <w:noWrap/>
            <w:vAlign w:val="center"/>
            <w:hideMark/>
          </w:tcPr>
          <w:p w14:paraId="480465BB" w14:textId="77777777" w:rsidR="004F55E3" w:rsidRPr="000A420F" w:rsidRDefault="004F55E3" w:rsidP="000A420F">
            <w:pPr>
              <w:pStyle w:val="tabeltextintabel"/>
              <w:rPr>
                <w:b/>
              </w:rPr>
            </w:pPr>
            <w:r w:rsidRPr="000A420F">
              <w:rPr>
                <w:b/>
              </w:rPr>
              <w:t>Sex</w:t>
            </w:r>
          </w:p>
        </w:tc>
        <w:tc>
          <w:tcPr>
            <w:tcW w:w="1250" w:type="pct"/>
            <w:tcBorders>
              <w:top w:val="single" w:sz="4" w:space="0" w:color="auto"/>
              <w:left w:val="nil"/>
              <w:bottom w:val="single" w:sz="4" w:space="0" w:color="auto"/>
              <w:right w:val="single" w:sz="4" w:space="0" w:color="auto"/>
            </w:tcBorders>
            <w:shd w:val="clear" w:color="auto" w:fill="D6D2C4" w:themeFill="accent4"/>
            <w:noWrap/>
            <w:vAlign w:val="center"/>
            <w:hideMark/>
          </w:tcPr>
          <w:p w14:paraId="6BBF9770" w14:textId="77777777" w:rsidR="004F55E3" w:rsidRPr="000A420F" w:rsidRDefault="004F55E3" w:rsidP="000A420F">
            <w:pPr>
              <w:pStyle w:val="tabeltextintabel"/>
              <w:rPr>
                <w:b/>
              </w:rPr>
            </w:pPr>
            <w:r w:rsidRPr="000A420F">
              <w:rPr>
                <w:b/>
              </w:rPr>
              <w:t>N</w:t>
            </w:r>
          </w:p>
        </w:tc>
        <w:tc>
          <w:tcPr>
            <w:tcW w:w="1250" w:type="pct"/>
            <w:tcBorders>
              <w:top w:val="single" w:sz="4" w:space="0" w:color="auto"/>
              <w:left w:val="nil"/>
              <w:bottom w:val="single" w:sz="4" w:space="0" w:color="auto"/>
              <w:right w:val="single" w:sz="4" w:space="0" w:color="auto"/>
            </w:tcBorders>
            <w:shd w:val="clear" w:color="auto" w:fill="D6D2C4" w:themeFill="accent4"/>
            <w:noWrap/>
            <w:vAlign w:val="center"/>
            <w:hideMark/>
          </w:tcPr>
          <w:p w14:paraId="3021A218" w14:textId="77777777" w:rsidR="004F55E3" w:rsidRPr="000A420F" w:rsidRDefault="004F55E3" w:rsidP="000A420F">
            <w:pPr>
              <w:pStyle w:val="tabeltextintabel"/>
              <w:rPr>
                <w:b/>
              </w:rPr>
            </w:pPr>
            <w:r w:rsidRPr="000A420F">
              <w:rPr>
                <w:b/>
              </w:rPr>
              <w:t>Age(Mean)</w:t>
            </w:r>
          </w:p>
        </w:tc>
        <w:tc>
          <w:tcPr>
            <w:tcW w:w="1250" w:type="pct"/>
            <w:tcBorders>
              <w:top w:val="single" w:sz="4" w:space="0" w:color="auto"/>
              <w:left w:val="nil"/>
              <w:bottom w:val="single" w:sz="4" w:space="0" w:color="auto"/>
              <w:right w:val="single" w:sz="4" w:space="0" w:color="auto"/>
            </w:tcBorders>
            <w:shd w:val="clear" w:color="auto" w:fill="D6D2C4" w:themeFill="accent4"/>
            <w:noWrap/>
            <w:vAlign w:val="center"/>
            <w:hideMark/>
          </w:tcPr>
          <w:p w14:paraId="155436AF" w14:textId="77777777" w:rsidR="004F55E3" w:rsidRPr="000A420F" w:rsidRDefault="004F55E3" w:rsidP="000A420F">
            <w:pPr>
              <w:pStyle w:val="tabeltextintabel"/>
              <w:rPr>
                <w:b/>
              </w:rPr>
            </w:pPr>
            <w:r w:rsidRPr="000A420F">
              <w:rPr>
                <w:b/>
              </w:rPr>
              <w:t>SD</w:t>
            </w:r>
          </w:p>
        </w:tc>
      </w:tr>
      <w:tr w:rsidR="004F55E3" w:rsidRPr="00EE25DA" w14:paraId="15E2851D" w14:textId="77777777" w:rsidTr="000A420F">
        <w:trPr>
          <w:trHeight w:val="32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72EA7413" w14:textId="77777777" w:rsidR="004F55E3" w:rsidRPr="00F244F7" w:rsidRDefault="004F55E3" w:rsidP="000A420F">
            <w:pPr>
              <w:pStyle w:val="tabeltextintabel"/>
            </w:pPr>
            <w:r w:rsidRPr="00F244F7">
              <w:t>Female (ASD)</w:t>
            </w:r>
          </w:p>
        </w:tc>
        <w:tc>
          <w:tcPr>
            <w:tcW w:w="1250" w:type="pct"/>
            <w:tcBorders>
              <w:top w:val="nil"/>
              <w:left w:val="nil"/>
              <w:bottom w:val="single" w:sz="4" w:space="0" w:color="auto"/>
              <w:right w:val="single" w:sz="4" w:space="0" w:color="auto"/>
            </w:tcBorders>
            <w:shd w:val="clear" w:color="auto" w:fill="auto"/>
            <w:noWrap/>
            <w:vAlign w:val="center"/>
            <w:hideMark/>
          </w:tcPr>
          <w:p w14:paraId="2773F730" w14:textId="77777777" w:rsidR="004F55E3" w:rsidRPr="00F244F7" w:rsidRDefault="004F55E3" w:rsidP="000A420F">
            <w:pPr>
              <w:pStyle w:val="tabeltextintabel"/>
            </w:pPr>
            <w:r w:rsidRPr="00F244F7">
              <w:t>21</w:t>
            </w:r>
          </w:p>
        </w:tc>
        <w:tc>
          <w:tcPr>
            <w:tcW w:w="1250" w:type="pct"/>
            <w:tcBorders>
              <w:top w:val="nil"/>
              <w:left w:val="nil"/>
              <w:bottom w:val="single" w:sz="4" w:space="0" w:color="auto"/>
              <w:right w:val="single" w:sz="4" w:space="0" w:color="auto"/>
            </w:tcBorders>
            <w:shd w:val="clear" w:color="auto" w:fill="auto"/>
            <w:noWrap/>
            <w:vAlign w:val="center"/>
            <w:hideMark/>
          </w:tcPr>
          <w:p w14:paraId="26DEB0B3" w14:textId="77777777" w:rsidR="004F55E3" w:rsidRPr="00F244F7" w:rsidRDefault="004F55E3" w:rsidP="000A420F">
            <w:pPr>
              <w:pStyle w:val="tabeltextintabel"/>
            </w:pPr>
            <w:r w:rsidRPr="00F244F7">
              <w:t>12.71</w:t>
            </w:r>
          </w:p>
        </w:tc>
        <w:tc>
          <w:tcPr>
            <w:tcW w:w="1250" w:type="pct"/>
            <w:tcBorders>
              <w:top w:val="nil"/>
              <w:left w:val="nil"/>
              <w:bottom w:val="single" w:sz="4" w:space="0" w:color="auto"/>
              <w:right w:val="single" w:sz="4" w:space="0" w:color="auto"/>
            </w:tcBorders>
            <w:shd w:val="clear" w:color="auto" w:fill="auto"/>
            <w:noWrap/>
            <w:vAlign w:val="center"/>
            <w:hideMark/>
          </w:tcPr>
          <w:p w14:paraId="482D88B6" w14:textId="77777777" w:rsidR="004F55E3" w:rsidRPr="00F244F7" w:rsidRDefault="004F55E3" w:rsidP="000A420F">
            <w:pPr>
              <w:pStyle w:val="tabeltextintabel"/>
            </w:pPr>
            <w:r w:rsidRPr="00F244F7">
              <w:t>3.36</w:t>
            </w:r>
          </w:p>
        </w:tc>
      </w:tr>
      <w:tr w:rsidR="004F55E3" w:rsidRPr="00EE25DA" w14:paraId="5A43D060" w14:textId="77777777" w:rsidTr="000A420F">
        <w:trPr>
          <w:trHeight w:val="32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2E195897" w14:textId="77777777" w:rsidR="004F55E3" w:rsidRPr="00F244F7" w:rsidRDefault="004F55E3" w:rsidP="000A420F">
            <w:pPr>
              <w:pStyle w:val="tabeltextintabel"/>
            </w:pPr>
            <w:r w:rsidRPr="00F244F7">
              <w:t>Female (TD)</w:t>
            </w:r>
          </w:p>
        </w:tc>
        <w:tc>
          <w:tcPr>
            <w:tcW w:w="1250" w:type="pct"/>
            <w:tcBorders>
              <w:top w:val="nil"/>
              <w:left w:val="nil"/>
              <w:bottom w:val="single" w:sz="4" w:space="0" w:color="auto"/>
              <w:right w:val="single" w:sz="4" w:space="0" w:color="auto"/>
            </w:tcBorders>
            <w:shd w:val="clear" w:color="auto" w:fill="auto"/>
            <w:noWrap/>
            <w:vAlign w:val="center"/>
            <w:hideMark/>
          </w:tcPr>
          <w:p w14:paraId="1D687565" w14:textId="49E90F4E" w:rsidR="004F55E3" w:rsidRPr="00F244F7" w:rsidRDefault="004C1B79" w:rsidP="000A420F">
            <w:pPr>
              <w:pStyle w:val="tabeltextintabel"/>
            </w:pPr>
            <w:r>
              <w:t>24</w:t>
            </w:r>
          </w:p>
        </w:tc>
        <w:tc>
          <w:tcPr>
            <w:tcW w:w="1250" w:type="pct"/>
            <w:tcBorders>
              <w:top w:val="nil"/>
              <w:left w:val="nil"/>
              <w:bottom w:val="single" w:sz="4" w:space="0" w:color="auto"/>
              <w:right w:val="single" w:sz="4" w:space="0" w:color="auto"/>
            </w:tcBorders>
            <w:shd w:val="clear" w:color="auto" w:fill="auto"/>
            <w:noWrap/>
            <w:vAlign w:val="center"/>
            <w:hideMark/>
          </w:tcPr>
          <w:p w14:paraId="4B6C63AE" w14:textId="77777777" w:rsidR="004F55E3" w:rsidRPr="00F244F7" w:rsidRDefault="004F55E3" w:rsidP="000A420F">
            <w:pPr>
              <w:pStyle w:val="tabeltextintabel"/>
            </w:pPr>
            <w:r w:rsidRPr="00F244F7">
              <w:t>13.12</w:t>
            </w:r>
          </w:p>
        </w:tc>
        <w:tc>
          <w:tcPr>
            <w:tcW w:w="1250" w:type="pct"/>
            <w:tcBorders>
              <w:top w:val="nil"/>
              <w:left w:val="nil"/>
              <w:bottom w:val="single" w:sz="4" w:space="0" w:color="auto"/>
              <w:right w:val="single" w:sz="4" w:space="0" w:color="auto"/>
            </w:tcBorders>
            <w:shd w:val="clear" w:color="auto" w:fill="auto"/>
            <w:noWrap/>
            <w:vAlign w:val="center"/>
            <w:hideMark/>
          </w:tcPr>
          <w:p w14:paraId="1838E8B3" w14:textId="77777777" w:rsidR="004F55E3" w:rsidRPr="00F244F7" w:rsidRDefault="004F55E3" w:rsidP="000A420F">
            <w:pPr>
              <w:pStyle w:val="tabeltextintabel"/>
            </w:pPr>
            <w:r w:rsidRPr="00F244F7">
              <w:t>3.47</w:t>
            </w:r>
          </w:p>
        </w:tc>
      </w:tr>
      <w:tr w:rsidR="004F55E3" w:rsidRPr="00EE25DA" w14:paraId="45003ADF" w14:textId="77777777" w:rsidTr="000A420F">
        <w:trPr>
          <w:trHeight w:val="32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769DD94D" w14:textId="77777777" w:rsidR="004F55E3" w:rsidRPr="00F244F7" w:rsidRDefault="004F55E3" w:rsidP="000A420F">
            <w:pPr>
              <w:pStyle w:val="tabeltextintabel"/>
            </w:pPr>
            <w:r w:rsidRPr="00F244F7">
              <w:t>Male (ASD)</w:t>
            </w:r>
          </w:p>
        </w:tc>
        <w:tc>
          <w:tcPr>
            <w:tcW w:w="1250" w:type="pct"/>
            <w:tcBorders>
              <w:top w:val="nil"/>
              <w:left w:val="nil"/>
              <w:bottom w:val="single" w:sz="4" w:space="0" w:color="auto"/>
              <w:right w:val="single" w:sz="4" w:space="0" w:color="auto"/>
            </w:tcBorders>
            <w:shd w:val="clear" w:color="auto" w:fill="auto"/>
            <w:noWrap/>
            <w:vAlign w:val="center"/>
            <w:hideMark/>
          </w:tcPr>
          <w:p w14:paraId="20A6446E" w14:textId="77777777" w:rsidR="004F55E3" w:rsidRPr="00F244F7" w:rsidRDefault="004F55E3" w:rsidP="000A420F">
            <w:pPr>
              <w:pStyle w:val="tabeltextintabel"/>
            </w:pPr>
            <w:r w:rsidRPr="00F244F7">
              <w:t>18</w:t>
            </w:r>
          </w:p>
        </w:tc>
        <w:tc>
          <w:tcPr>
            <w:tcW w:w="1250" w:type="pct"/>
            <w:tcBorders>
              <w:top w:val="nil"/>
              <w:left w:val="nil"/>
              <w:bottom w:val="single" w:sz="4" w:space="0" w:color="auto"/>
              <w:right w:val="single" w:sz="4" w:space="0" w:color="auto"/>
            </w:tcBorders>
            <w:shd w:val="clear" w:color="auto" w:fill="auto"/>
            <w:noWrap/>
            <w:vAlign w:val="center"/>
            <w:hideMark/>
          </w:tcPr>
          <w:p w14:paraId="259BE157" w14:textId="77777777" w:rsidR="004F55E3" w:rsidRPr="00F244F7" w:rsidRDefault="004F55E3" w:rsidP="000A420F">
            <w:pPr>
              <w:pStyle w:val="tabeltextintabel"/>
            </w:pPr>
            <w:r w:rsidRPr="00F244F7">
              <w:t>11.50</w:t>
            </w:r>
          </w:p>
        </w:tc>
        <w:tc>
          <w:tcPr>
            <w:tcW w:w="1250" w:type="pct"/>
            <w:tcBorders>
              <w:top w:val="nil"/>
              <w:left w:val="nil"/>
              <w:bottom w:val="single" w:sz="4" w:space="0" w:color="auto"/>
              <w:right w:val="single" w:sz="4" w:space="0" w:color="auto"/>
            </w:tcBorders>
            <w:shd w:val="clear" w:color="auto" w:fill="auto"/>
            <w:noWrap/>
            <w:vAlign w:val="center"/>
            <w:hideMark/>
          </w:tcPr>
          <w:p w14:paraId="682094FA" w14:textId="77777777" w:rsidR="004F55E3" w:rsidRPr="00F244F7" w:rsidRDefault="004F55E3" w:rsidP="000A420F">
            <w:pPr>
              <w:pStyle w:val="tabeltextintabel"/>
            </w:pPr>
            <w:r w:rsidRPr="00F244F7">
              <w:t>3.09</w:t>
            </w:r>
          </w:p>
        </w:tc>
      </w:tr>
      <w:tr w:rsidR="004F55E3" w:rsidRPr="00EE25DA" w14:paraId="7D383B7C" w14:textId="77777777" w:rsidTr="000A420F">
        <w:trPr>
          <w:trHeight w:val="32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34DF671C" w14:textId="77777777" w:rsidR="004F55E3" w:rsidRPr="00F244F7" w:rsidRDefault="004F55E3" w:rsidP="000A420F">
            <w:pPr>
              <w:pStyle w:val="tabeltextintabel"/>
            </w:pPr>
            <w:r w:rsidRPr="00F244F7">
              <w:t>Male (TD)</w:t>
            </w:r>
          </w:p>
        </w:tc>
        <w:tc>
          <w:tcPr>
            <w:tcW w:w="1250" w:type="pct"/>
            <w:tcBorders>
              <w:top w:val="nil"/>
              <w:left w:val="nil"/>
              <w:bottom w:val="single" w:sz="4" w:space="0" w:color="auto"/>
              <w:right w:val="single" w:sz="4" w:space="0" w:color="auto"/>
            </w:tcBorders>
            <w:shd w:val="clear" w:color="auto" w:fill="auto"/>
            <w:noWrap/>
            <w:vAlign w:val="center"/>
            <w:hideMark/>
          </w:tcPr>
          <w:p w14:paraId="79837ECD" w14:textId="65F8EC7F" w:rsidR="004F55E3" w:rsidRPr="00F244F7" w:rsidRDefault="004C1B79" w:rsidP="000A420F">
            <w:pPr>
              <w:pStyle w:val="tabeltextintabel"/>
            </w:pPr>
            <w:r>
              <w:t>23</w:t>
            </w:r>
          </w:p>
        </w:tc>
        <w:tc>
          <w:tcPr>
            <w:tcW w:w="1250" w:type="pct"/>
            <w:tcBorders>
              <w:top w:val="nil"/>
              <w:left w:val="nil"/>
              <w:bottom w:val="single" w:sz="4" w:space="0" w:color="auto"/>
              <w:right w:val="single" w:sz="4" w:space="0" w:color="auto"/>
            </w:tcBorders>
            <w:shd w:val="clear" w:color="auto" w:fill="auto"/>
            <w:noWrap/>
            <w:vAlign w:val="center"/>
            <w:hideMark/>
          </w:tcPr>
          <w:p w14:paraId="44A47250" w14:textId="77777777" w:rsidR="004F55E3" w:rsidRPr="00F244F7" w:rsidRDefault="004F55E3" w:rsidP="000A420F">
            <w:pPr>
              <w:pStyle w:val="tabeltextintabel"/>
            </w:pPr>
            <w:r w:rsidRPr="00F244F7">
              <w:t>13.18</w:t>
            </w:r>
          </w:p>
        </w:tc>
        <w:tc>
          <w:tcPr>
            <w:tcW w:w="1250" w:type="pct"/>
            <w:tcBorders>
              <w:top w:val="nil"/>
              <w:left w:val="nil"/>
              <w:bottom w:val="single" w:sz="4" w:space="0" w:color="auto"/>
              <w:right w:val="single" w:sz="4" w:space="0" w:color="auto"/>
            </w:tcBorders>
            <w:shd w:val="clear" w:color="auto" w:fill="auto"/>
            <w:noWrap/>
            <w:vAlign w:val="center"/>
            <w:hideMark/>
          </w:tcPr>
          <w:p w14:paraId="73C23A01" w14:textId="77777777" w:rsidR="004F55E3" w:rsidRPr="00F244F7" w:rsidRDefault="004F55E3" w:rsidP="000A420F">
            <w:pPr>
              <w:pStyle w:val="tabeltextintabel"/>
            </w:pPr>
            <w:r w:rsidRPr="00F244F7">
              <w:t>3.22</w:t>
            </w:r>
          </w:p>
        </w:tc>
      </w:tr>
    </w:tbl>
    <w:p w14:paraId="7EAAE545" w14:textId="77777777" w:rsidR="004F55E3" w:rsidRPr="00324280" w:rsidRDefault="004F55E3" w:rsidP="000A420F">
      <w:pPr>
        <w:pStyle w:val="Heading4"/>
      </w:pPr>
      <w:r w:rsidRPr="00324280">
        <w:t>Paper IV</w:t>
      </w:r>
    </w:p>
    <w:p w14:paraId="45B96CB2" w14:textId="33C78D2C" w:rsidR="00AA5A29" w:rsidRDefault="004F55E3" w:rsidP="000A420F">
      <w:pPr>
        <w:pStyle w:val="bodytext"/>
      </w:pPr>
      <w:r w:rsidRPr="004F55E3">
        <w:t>The subjects in Paper IV were 112 children with ADHD (aged 7–18 years; mean age 12.8 years, SD 3.07) and 95</w:t>
      </w:r>
      <w:r w:rsidR="00DB135E">
        <w:t xml:space="preserve"> control subjects (aged 7–18 years</w:t>
      </w:r>
      <w:r w:rsidRPr="004F55E3">
        <w:t xml:space="preserve">; mean age 13.5years, SD 2.47, 72% males). When comparing the two groups, there was a non-significant tendency towards a younger age in the ADHD group (p = 0.063) and a significantly greater percentage of males in the ADHD group (p = 0.014). All patients were diagnosed according to agreed procedures at the CAPs in </w:t>
      </w:r>
      <w:proofErr w:type="spellStart"/>
      <w:r w:rsidRPr="004F55E3">
        <w:t>Eslöv</w:t>
      </w:r>
      <w:proofErr w:type="spellEnd"/>
      <w:r w:rsidRPr="004F55E3">
        <w:t xml:space="preserve"> and Lund in clinical settings by trained </w:t>
      </w:r>
      <w:r w:rsidRPr="004F55E3">
        <w:lastRenderedPageBreak/>
        <w:t>psychologists and a child and adolescent psychiatrist (</w:t>
      </w:r>
      <w:proofErr w:type="spellStart"/>
      <w:r w:rsidRPr="004F55E3">
        <w:t>semistructured</w:t>
      </w:r>
      <w:proofErr w:type="spellEnd"/>
      <w:r w:rsidRPr="004F55E3">
        <w:t xml:space="preserve"> diagnostic interview, neurological examination, psychological evaluation, and questionnaires: AQ, SNAP IV, </w:t>
      </w:r>
      <w:commentRangeStart w:id="47"/>
      <w:r w:rsidRPr="004F55E3">
        <w:t>5–15</w:t>
      </w:r>
      <w:commentRangeEnd w:id="47"/>
      <w:r>
        <w:rPr>
          <w:rStyle w:val="CommentReference"/>
        </w:rPr>
        <w:commentReference w:id="47"/>
      </w:r>
      <w:r w:rsidRPr="004F55E3">
        <w:t xml:space="preserve">). The ADHD diagnoses were confirmed by a senior psychiatrist. Exclusion criteria for the ADHD subjects were other psychiatric diagnoses other than ADHD at the time of testing. Exclusion criteria for the control group were </w:t>
      </w:r>
      <w:r w:rsidR="00DB135E">
        <w:t xml:space="preserve">NDD </w:t>
      </w:r>
      <w:r w:rsidRPr="004F55E3">
        <w:t xml:space="preserve">or other psychiatric disorders at the time of testing. </w:t>
      </w:r>
      <w:r w:rsidRPr="004F55E3">
        <w:rPr>
          <w:color w:val="000000"/>
        </w:rPr>
        <w:t>None of the participants had a known intellectual disability</w:t>
      </w:r>
      <w:r w:rsidRPr="004F55E3">
        <w:t>. All contacted families agreed to participate.</w:t>
      </w:r>
      <w:r w:rsidR="00AA5A29">
        <w:t xml:space="preserve"> </w:t>
      </w:r>
    </w:p>
    <w:p w14:paraId="4CC79B93" w14:textId="77777777" w:rsidR="000A420F" w:rsidRPr="00AA5A29" w:rsidRDefault="004F55E3" w:rsidP="000A420F">
      <w:pPr>
        <w:pStyle w:val="tabeltextheadline"/>
        <w:rPr>
          <w:lang w:val="en-US"/>
        </w:rPr>
      </w:pPr>
      <w:r w:rsidRPr="00AA5A29">
        <w:rPr>
          <w:lang w:val="en-US"/>
        </w:rPr>
        <w:t xml:space="preserve">Table 4. </w:t>
      </w:r>
    </w:p>
    <w:p w14:paraId="20A83CFB" w14:textId="77777777" w:rsidR="004F55E3" w:rsidRPr="00F244F7" w:rsidRDefault="004F55E3" w:rsidP="000A420F">
      <w:pPr>
        <w:pStyle w:val="tabeltext"/>
      </w:pPr>
      <w:r w:rsidRPr="00F244F7">
        <w:t>Demographic characteristics and descriptive statistics for ADHD and control participants</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
        <w:gridCol w:w="1044"/>
        <w:gridCol w:w="1044"/>
        <w:gridCol w:w="1043"/>
        <w:gridCol w:w="1043"/>
        <w:gridCol w:w="1043"/>
        <w:gridCol w:w="1043"/>
      </w:tblGrid>
      <w:tr w:rsidR="004F55E3" w:rsidRPr="000A420F" w14:paraId="1E2A47F5" w14:textId="77777777" w:rsidTr="000A420F">
        <w:trPr>
          <w:trHeight w:val="320"/>
        </w:trPr>
        <w:tc>
          <w:tcPr>
            <w:tcW w:w="714" w:type="pct"/>
            <w:shd w:val="clear" w:color="auto" w:fill="D6D2C4" w:themeFill="accent4"/>
            <w:noWrap/>
            <w:vAlign w:val="center"/>
            <w:hideMark/>
          </w:tcPr>
          <w:p w14:paraId="71383635" w14:textId="77777777" w:rsidR="004F55E3" w:rsidRPr="00AA5A29" w:rsidRDefault="004F55E3" w:rsidP="000A420F">
            <w:pPr>
              <w:pStyle w:val="tabeltextintabel"/>
              <w:rPr>
                <w:b/>
                <w:lang w:val="en-US"/>
              </w:rPr>
            </w:pPr>
            <w:r w:rsidRPr="00AA5A29">
              <w:rPr>
                <w:b/>
                <w:lang w:val="en-US"/>
              </w:rPr>
              <w:t> </w:t>
            </w:r>
          </w:p>
        </w:tc>
        <w:tc>
          <w:tcPr>
            <w:tcW w:w="714" w:type="pct"/>
            <w:shd w:val="clear" w:color="auto" w:fill="D6D2C4" w:themeFill="accent4"/>
            <w:noWrap/>
            <w:vAlign w:val="center"/>
            <w:hideMark/>
          </w:tcPr>
          <w:p w14:paraId="148484F8" w14:textId="77777777" w:rsidR="004F55E3" w:rsidRPr="00AA5A29" w:rsidRDefault="004F55E3" w:rsidP="000A420F">
            <w:pPr>
              <w:pStyle w:val="tabeltextintabel"/>
              <w:rPr>
                <w:b/>
                <w:lang w:val="en-US"/>
              </w:rPr>
            </w:pPr>
            <w:r w:rsidRPr="00AA5A29">
              <w:rPr>
                <w:b/>
                <w:lang w:val="en-US"/>
              </w:rPr>
              <w:t> </w:t>
            </w:r>
          </w:p>
        </w:tc>
        <w:tc>
          <w:tcPr>
            <w:tcW w:w="714" w:type="pct"/>
            <w:shd w:val="clear" w:color="auto" w:fill="D6D2C4" w:themeFill="accent4"/>
            <w:noWrap/>
            <w:vAlign w:val="center"/>
            <w:hideMark/>
          </w:tcPr>
          <w:p w14:paraId="3AEDDF5B" w14:textId="77777777" w:rsidR="004F55E3" w:rsidRPr="000A420F" w:rsidRDefault="004F55E3" w:rsidP="000A420F">
            <w:pPr>
              <w:pStyle w:val="tabeltextintabel"/>
              <w:rPr>
                <w:b/>
              </w:rPr>
            </w:pPr>
            <w:r w:rsidRPr="000A420F">
              <w:rPr>
                <w:b/>
              </w:rPr>
              <w:t>ADHD</w:t>
            </w:r>
          </w:p>
        </w:tc>
        <w:tc>
          <w:tcPr>
            <w:tcW w:w="714" w:type="pct"/>
            <w:shd w:val="clear" w:color="auto" w:fill="D6D2C4" w:themeFill="accent4"/>
            <w:noWrap/>
            <w:vAlign w:val="center"/>
            <w:hideMark/>
          </w:tcPr>
          <w:p w14:paraId="529E87EA" w14:textId="77777777" w:rsidR="004F55E3" w:rsidRPr="000A420F" w:rsidRDefault="004F55E3" w:rsidP="000A420F">
            <w:pPr>
              <w:pStyle w:val="tabeltextintabel"/>
              <w:rPr>
                <w:b/>
              </w:rPr>
            </w:pPr>
            <w:r w:rsidRPr="000A420F">
              <w:rPr>
                <w:b/>
              </w:rPr>
              <w:t>SD</w:t>
            </w:r>
          </w:p>
        </w:tc>
        <w:tc>
          <w:tcPr>
            <w:tcW w:w="714" w:type="pct"/>
            <w:shd w:val="clear" w:color="auto" w:fill="D6D2C4" w:themeFill="accent4"/>
            <w:noWrap/>
            <w:vAlign w:val="center"/>
            <w:hideMark/>
          </w:tcPr>
          <w:p w14:paraId="26D0FE64" w14:textId="77777777" w:rsidR="004F55E3" w:rsidRPr="000A420F" w:rsidRDefault="004F55E3" w:rsidP="000A420F">
            <w:pPr>
              <w:pStyle w:val="tabeltextintabel"/>
              <w:rPr>
                <w:b/>
              </w:rPr>
            </w:pPr>
            <w:r w:rsidRPr="000A420F">
              <w:rPr>
                <w:b/>
              </w:rPr>
              <w:t>Control</w:t>
            </w:r>
          </w:p>
        </w:tc>
        <w:tc>
          <w:tcPr>
            <w:tcW w:w="714" w:type="pct"/>
            <w:shd w:val="clear" w:color="auto" w:fill="D6D2C4" w:themeFill="accent4"/>
            <w:noWrap/>
            <w:vAlign w:val="center"/>
            <w:hideMark/>
          </w:tcPr>
          <w:p w14:paraId="3ABC08C3" w14:textId="77777777" w:rsidR="004F55E3" w:rsidRPr="000A420F" w:rsidRDefault="004F55E3" w:rsidP="000A420F">
            <w:pPr>
              <w:pStyle w:val="tabeltextintabel"/>
              <w:rPr>
                <w:b/>
              </w:rPr>
            </w:pPr>
            <w:r w:rsidRPr="000A420F">
              <w:rPr>
                <w:b/>
              </w:rPr>
              <w:t>SD</w:t>
            </w:r>
          </w:p>
        </w:tc>
        <w:tc>
          <w:tcPr>
            <w:tcW w:w="714" w:type="pct"/>
            <w:shd w:val="clear" w:color="auto" w:fill="D6D2C4" w:themeFill="accent4"/>
            <w:noWrap/>
            <w:vAlign w:val="center"/>
            <w:hideMark/>
          </w:tcPr>
          <w:p w14:paraId="5AA8F0C9" w14:textId="77777777" w:rsidR="004F55E3" w:rsidRPr="000A420F" w:rsidRDefault="004F55E3" w:rsidP="000A420F">
            <w:pPr>
              <w:pStyle w:val="tabeltextintabel"/>
              <w:rPr>
                <w:b/>
              </w:rPr>
            </w:pPr>
            <w:r w:rsidRPr="000A420F">
              <w:rPr>
                <w:b/>
              </w:rPr>
              <w:t>P</w:t>
            </w:r>
          </w:p>
        </w:tc>
      </w:tr>
      <w:tr w:rsidR="004F55E3" w:rsidRPr="000A420F" w14:paraId="501C9CF5" w14:textId="77777777" w:rsidTr="000A420F">
        <w:trPr>
          <w:trHeight w:val="320"/>
        </w:trPr>
        <w:tc>
          <w:tcPr>
            <w:tcW w:w="714" w:type="pct"/>
            <w:shd w:val="clear" w:color="auto" w:fill="auto"/>
            <w:noWrap/>
            <w:vAlign w:val="center"/>
            <w:hideMark/>
          </w:tcPr>
          <w:p w14:paraId="57173BEC" w14:textId="77777777" w:rsidR="004F55E3" w:rsidRPr="000A420F" w:rsidRDefault="004F55E3" w:rsidP="000A420F">
            <w:pPr>
              <w:pStyle w:val="tabeltextintabel"/>
            </w:pPr>
            <w:r w:rsidRPr="000A420F">
              <w:t>N</w:t>
            </w:r>
          </w:p>
        </w:tc>
        <w:tc>
          <w:tcPr>
            <w:tcW w:w="714" w:type="pct"/>
            <w:shd w:val="clear" w:color="auto" w:fill="auto"/>
            <w:noWrap/>
            <w:vAlign w:val="center"/>
            <w:hideMark/>
          </w:tcPr>
          <w:p w14:paraId="3162B63C" w14:textId="77777777" w:rsidR="004F55E3" w:rsidRPr="000A420F" w:rsidRDefault="004F55E3" w:rsidP="000A420F">
            <w:pPr>
              <w:pStyle w:val="tabeltextintabel"/>
            </w:pPr>
            <w:r w:rsidRPr="000A420F">
              <w:t> </w:t>
            </w:r>
          </w:p>
        </w:tc>
        <w:tc>
          <w:tcPr>
            <w:tcW w:w="714" w:type="pct"/>
            <w:shd w:val="clear" w:color="auto" w:fill="auto"/>
            <w:noWrap/>
            <w:vAlign w:val="center"/>
            <w:hideMark/>
          </w:tcPr>
          <w:p w14:paraId="32F5EC0C" w14:textId="77777777" w:rsidR="004F55E3" w:rsidRPr="000A420F" w:rsidRDefault="004F55E3" w:rsidP="000A420F">
            <w:pPr>
              <w:pStyle w:val="tabeltextintabel"/>
            </w:pPr>
            <w:r w:rsidRPr="000A420F">
              <w:t>112</w:t>
            </w:r>
          </w:p>
        </w:tc>
        <w:tc>
          <w:tcPr>
            <w:tcW w:w="714" w:type="pct"/>
            <w:shd w:val="clear" w:color="auto" w:fill="auto"/>
            <w:noWrap/>
            <w:vAlign w:val="center"/>
            <w:hideMark/>
          </w:tcPr>
          <w:p w14:paraId="1F6D5071" w14:textId="77777777" w:rsidR="004F55E3" w:rsidRPr="000A420F" w:rsidRDefault="004F55E3" w:rsidP="000A420F">
            <w:pPr>
              <w:pStyle w:val="tabeltextintabel"/>
            </w:pPr>
            <w:r w:rsidRPr="000A420F">
              <w:t> </w:t>
            </w:r>
          </w:p>
        </w:tc>
        <w:tc>
          <w:tcPr>
            <w:tcW w:w="714" w:type="pct"/>
            <w:shd w:val="clear" w:color="auto" w:fill="auto"/>
            <w:noWrap/>
            <w:vAlign w:val="center"/>
            <w:hideMark/>
          </w:tcPr>
          <w:p w14:paraId="3FB3CEDA" w14:textId="77777777" w:rsidR="004F55E3" w:rsidRPr="000A420F" w:rsidRDefault="004F55E3" w:rsidP="000A420F">
            <w:pPr>
              <w:pStyle w:val="tabeltextintabel"/>
            </w:pPr>
            <w:r w:rsidRPr="000A420F">
              <w:t>95</w:t>
            </w:r>
          </w:p>
        </w:tc>
        <w:tc>
          <w:tcPr>
            <w:tcW w:w="714" w:type="pct"/>
            <w:shd w:val="clear" w:color="auto" w:fill="auto"/>
            <w:noWrap/>
            <w:vAlign w:val="center"/>
            <w:hideMark/>
          </w:tcPr>
          <w:p w14:paraId="701345D4" w14:textId="77777777" w:rsidR="004F55E3" w:rsidRPr="000A420F" w:rsidRDefault="004F55E3" w:rsidP="000A420F">
            <w:pPr>
              <w:pStyle w:val="tabeltextintabel"/>
            </w:pPr>
            <w:r w:rsidRPr="000A420F">
              <w:t> </w:t>
            </w:r>
          </w:p>
        </w:tc>
        <w:tc>
          <w:tcPr>
            <w:tcW w:w="714" w:type="pct"/>
            <w:shd w:val="clear" w:color="auto" w:fill="auto"/>
            <w:noWrap/>
            <w:vAlign w:val="center"/>
            <w:hideMark/>
          </w:tcPr>
          <w:p w14:paraId="2E6ABE8B" w14:textId="77777777" w:rsidR="004F55E3" w:rsidRPr="000A420F" w:rsidRDefault="004F55E3" w:rsidP="000A420F">
            <w:pPr>
              <w:pStyle w:val="tabeltextintabel"/>
            </w:pPr>
            <w:r w:rsidRPr="000A420F">
              <w:t> </w:t>
            </w:r>
          </w:p>
        </w:tc>
      </w:tr>
      <w:tr w:rsidR="004F55E3" w:rsidRPr="000A420F" w14:paraId="3B54F07F" w14:textId="77777777" w:rsidTr="000A420F">
        <w:trPr>
          <w:trHeight w:val="320"/>
        </w:trPr>
        <w:tc>
          <w:tcPr>
            <w:tcW w:w="714" w:type="pct"/>
            <w:shd w:val="clear" w:color="auto" w:fill="auto"/>
            <w:noWrap/>
            <w:vAlign w:val="center"/>
            <w:hideMark/>
          </w:tcPr>
          <w:p w14:paraId="74BE4143" w14:textId="77777777" w:rsidR="004F55E3" w:rsidRPr="000A420F" w:rsidRDefault="004F55E3" w:rsidP="000A420F">
            <w:pPr>
              <w:pStyle w:val="tabeltextintabel"/>
            </w:pPr>
            <w:r w:rsidRPr="000A420F">
              <w:t xml:space="preserve">Age </w:t>
            </w:r>
          </w:p>
        </w:tc>
        <w:tc>
          <w:tcPr>
            <w:tcW w:w="714" w:type="pct"/>
            <w:shd w:val="clear" w:color="auto" w:fill="auto"/>
            <w:noWrap/>
            <w:vAlign w:val="center"/>
            <w:hideMark/>
          </w:tcPr>
          <w:p w14:paraId="41DA9483" w14:textId="77777777" w:rsidR="004F55E3" w:rsidRPr="000A420F" w:rsidRDefault="004F55E3" w:rsidP="000A420F">
            <w:pPr>
              <w:pStyle w:val="tabeltextintabel"/>
            </w:pPr>
            <w:r w:rsidRPr="000A420F">
              <w:t> </w:t>
            </w:r>
          </w:p>
        </w:tc>
        <w:tc>
          <w:tcPr>
            <w:tcW w:w="714" w:type="pct"/>
            <w:shd w:val="clear" w:color="auto" w:fill="auto"/>
            <w:noWrap/>
            <w:vAlign w:val="center"/>
            <w:hideMark/>
          </w:tcPr>
          <w:p w14:paraId="79803217" w14:textId="77777777" w:rsidR="004F55E3" w:rsidRPr="000A420F" w:rsidRDefault="004F55E3" w:rsidP="000A420F">
            <w:pPr>
              <w:pStyle w:val="tabeltextintabel"/>
            </w:pPr>
            <w:r w:rsidRPr="000A420F">
              <w:t>12.8</w:t>
            </w:r>
          </w:p>
        </w:tc>
        <w:tc>
          <w:tcPr>
            <w:tcW w:w="714" w:type="pct"/>
            <w:shd w:val="clear" w:color="auto" w:fill="auto"/>
            <w:noWrap/>
            <w:vAlign w:val="center"/>
            <w:hideMark/>
          </w:tcPr>
          <w:p w14:paraId="460E87A7" w14:textId="77777777" w:rsidR="004F55E3" w:rsidRPr="000A420F" w:rsidRDefault="004F55E3" w:rsidP="000A420F">
            <w:pPr>
              <w:pStyle w:val="tabeltextintabel"/>
            </w:pPr>
            <w:r w:rsidRPr="000A420F">
              <w:t>(3.07)</w:t>
            </w:r>
          </w:p>
        </w:tc>
        <w:tc>
          <w:tcPr>
            <w:tcW w:w="714" w:type="pct"/>
            <w:shd w:val="clear" w:color="auto" w:fill="auto"/>
            <w:noWrap/>
            <w:vAlign w:val="center"/>
            <w:hideMark/>
          </w:tcPr>
          <w:p w14:paraId="3676EFB4" w14:textId="77777777" w:rsidR="004F55E3" w:rsidRPr="000A420F" w:rsidRDefault="004F55E3" w:rsidP="000A420F">
            <w:pPr>
              <w:pStyle w:val="tabeltextintabel"/>
            </w:pPr>
            <w:r w:rsidRPr="000A420F">
              <w:t>13.54</w:t>
            </w:r>
          </w:p>
        </w:tc>
        <w:tc>
          <w:tcPr>
            <w:tcW w:w="714" w:type="pct"/>
            <w:shd w:val="clear" w:color="auto" w:fill="auto"/>
            <w:noWrap/>
            <w:vAlign w:val="center"/>
            <w:hideMark/>
          </w:tcPr>
          <w:p w14:paraId="0BD6A4A9" w14:textId="77777777" w:rsidR="004F55E3" w:rsidRPr="000A420F" w:rsidRDefault="004F55E3" w:rsidP="000A420F">
            <w:pPr>
              <w:pStyle w:val="tabeltextintabel"/>
            </w:pPr>
            <w:r w:rsidRPr="000A420F">
              <w:t>(2.47)</w:t>
            </w:r>
          </w:p>
        </w:tc>
        <w:tc>
          <w:tcPr>
            <w:tcW w:w="714" w:type="pct"/>
            <w:shd w:val="clear" w:color="auto" w:fill="auto"/>
            <w:noWrap/>
            <w:vAlign w:val="center"/>
            <w:hideMark/>
          </w:tcPr>
          <w:p w14:paraId="447799D2" w14:textId="77777777" w:rsidR="004F55E3" w:rsidRPr="000A420F" w:rsidRDefault="004F55E3" w:rsidP="000A420F">
            <w:pPr>
              <w:pStyle w:val="tabeltextintabel"/>
            </w:pPr>
            <w:r w:rsidRPr="000A420F">
              <w:t>0.063</w:t>
            </w:r>
          </w:p>
        </w:tc>
      </w:tr>
      <w:tr w:rsidR="004F55E3" w:rsidRPr="000A420F" w14:paraId="23BE8527" w14:textId="77777777" w:rsidTr="000A420F">
        <w:trPr>
          <w:trHeight w:val="340"/>
        </w:trPr>
        <w:tc>
          <w:tcPr>
            <w:tcW w:w="714" w:type="pct"/>
            <w:shd w:val="clear" w:color="auto" w:fill="auto"/>
            <w:noWrap/>
            <w:vAlign w:val="center"/>
            <w:hideMark/>
          </w:tcPr>
          <w:p w14:paraId="449AFE7F" w14:textId="77777777" w:rsidR="004F55E3" w:rsidRPr="000A420F" w:rsidRDefault="004F55E3" w:rsidP="000A420F">
            <w:pPr>
              <w:pStyle w:val="tabeltextintabel"/>
            </w:pPr>
            <w:r w:rsidRPr="000A420F">
              <w:t>Gender</w:t>
            </w:r>
          </w:p>
        </w:tc>
        <w:tc>
          <w:tcPr>
            <w:tcW w:w="714" w:type="pct"/>
            <w:shd w:val="clear" w:color="auto" w:fill="auto"/>
            <w:noWrap/>
            <w:vAlign w:val="center"/>
            <w:hideMark/>
          </w:tcPr>
          <w:p w14:paraId="0922171F" w14:textId="77777777" w:rsidR="004F55E3" w:rsidRPr="000A420F" w:rsidRDefault="004F55E3" w:rsidP="000A420F">
            <w:pPr>
              <w:pStyle w:val="tabeltextintabel"/>
            </w:pPr>
            <w:r w:rsidRPr="000A420F">
              <w:t>% Male</w:t>
            </w:r>
          </w:p>
        </w:tc>
        <w:tc>
          <w:tcPr>
            <w:tcW w:w="714" w:type="pct"/>
            <w:shd w:val="clear" w:color="auto" w:fill="auto"/>
            <w:noWrap/>
            <w:vAlign w:val="center"/>
            <w:hideMark/>
          </w:tcPr>
          <w:p w14:paraId="7BDDB096" w14:textId="77777777" w:rsidR="004F55E3" w:rsidRPr="000A420F" w:rsidRDefault="004F55E3" w:rsidP="000A420F">
            <w:pPr>
              <w:pStyle w:val="tabeltextintabel"/>
            </w:pPr>
            <w:r w:rsidRPr="000A420F">
              <w:t>72</w:t>
            </w:r>
          </w:p>
        </w:tc>
        <w:tc>
          <w:tcPr>
            <w:tcW w:w="714" w:type="pct"/>
            <w:shd w:val="clear" w:color="auto" w:fill="auto"/>
            <w:noWrap/>
            <w:vAlign w:val="center"/>
            <w:hideMark/>
          </w:tcPr>
          <w:p w14:paraId="02CC70C5" w14:textId="77777777" w:rsidR="004F55E3" w:rsidRPr="000A420F" w:rsidRDefault="004F55E3" w:rsidP="000A420F">
            <w:pPr>
              <w:pStyle w:val="tabeltextintabel"/>
            </w:pPr>
            <w:r w:rsidRPr="000A420F">
              <w:t>(64.3)</w:t>
            </w:r>
          </w:p>
        </w:tc>
        <w:tc>
          <w:tcPr>
            <w:tcW w:w="714" w:type="pct"/>
            <w:shd w:val="clear" w:color="auto" w:fill="auto"/>
            <w:noWrap/>
            <w:vAlign w:val="center"/>
            <w:hideMark/>
          </w:tcPr>
          <w:p w14:paraId="780ED5DB" w14:textId="77777777" w:rsidR="004F55E3" w:rsidRPr="000A420F" w:rsidRDefault="004F55E3" w:rsidP="000A420F">
            <w:pPr>
              <w:pStyle w:val="tabeltextintabel"/>
            </w:pPr>
            <w:r w:rsidRPr="000A420F">
              <w:t>44</w:t>
            </w:r>
          </w:p>
        </w:tc>
        <w:tc>
          <w:tcPr>
            <w:tcW w:w="714" w:type="pct"/>
            <w:shd w:val="clear" w:color="auto" w:fill="auto"/>
            <w:noWrap/>
            <w:vAlign w:val="center"/>
            <w:hideMark/>
          </w:tcPr>
          <w:p w14:paraId="6C2F3DC6" w14:textId="77777777" w:rsidR="004F55E3" w:rsidRPr="000A420F" w:rsidRDefault="004F55E3" w:rsidP="000A420F">
            <w:pPr>
              <w:pStyle w:val="tabeltextintabel"/>
            </w:pPr>
            <w:r w:rsidRPr="000A420F">
              <w:t>(46.3)</w:t>
            </w:r>
          </w:p>
        </w:tc>
        <w:tc>
          <w:tcPr>
            <w:tcW w:w="714" w:type="pct"/>
            <w:shd w:val="clear" w:color="auto" w:fill="auto"/>
            <w:noWrap/>
            <w:vAlign w:val="center"/>
            <w:hideMark/>
          </w:tcPr>
          <w:p w14:paraId="6B61D894" w14:textId="77777777" w:rsidR="004F55E3" w:rsidRPr="000A420F" w:rsidRDefault="004F55E3" w:rsidP="000A420F">
            <w:pPr>
              <w:pStyle w:val="tabeltextintabel"/>
            </w:pPr>
            <w:r w:rsidRPr="000A420F">
              <w:rPr>
                <w:color w:val="C00000"/>
              </w:rPr>
              <w:t>0.014</w:t>
            </w:r>
          </w:p>
        </w:tc>
      </w:tr>
    </w:tbl>
    <w:p w14:paraId="415A544C" w14:textId="77777777" w:rsidR="009069F1" w:rsidRDefault="009069F1" w:rsidP="000A420F">
      <w:pPr>
        <w:pStyle w:val="Heading2"/>
        <w:rPr>
          <w:lang w:val="en-US"/>
        </w:rPr>
      </w:pPr>
      <w:bookmarkStart w:id="48" w:name="_Toc492391047"/>
    </w:p>
    <w:p w14:paraId="3696F9B6" w14:textId="77777777" w:rsidR="009069F1" w:rsidRDefault="009069F1">
      <w:pPr>
        <w:spacing w:after="160" w:line="259" w:lineRule="auto"/>
        <w:rPr>
          <w:rFonts w:ascii="Adobe Garamond Pro" w:eastAsia="Times New Roman" w:hAnsi="Adobe Garamond Pro"/>
          <w:sz w:val="32"/>
          <w:lang w:val="en-US"/>
        </w:rPr>
      </w:pPr>
      <w:r>
        <w:rPr>
          <w:lang w:val="en-US"/>
        </w:rPr>
        <w:br w:type="page"/>
      </w:r>
    </w:p>
    <w:p w14:paraId="5F06E57C" w14:textId="4160B89B" w:rsidR="004F55E3" w:rsidRPr="004F55E3" w:rsidRDefault="004F55E3" w:rsidP="000A420F">
      <w:pPr>
        <w:pStyle w:val="Heading2"/>
        <w:rPr>
          <w:lang w:val="en-US"/>
        </w:rPr>
      </w:pPr>
      <w:r w:rsidRPr="004F55E3">
        <w:rPr>
          <w:lang w:val="en-US"/>
        </w:rPr>
        <w:lastRenderedPageBreak/>
        <w:t>Procedures</w:t>
      </w:r>
      <w:bookmarkEnd w:id="48"/>
    </w:p>
    <w:p w14:paraId="269EA85B" w14:textId="77777777" w:rsidR="004F55E3" w:rsidRPr="004F55E3" w:rsidRDefault="004F55E3" w:rsidP="000A420F">
      <w:pPr>
        <w:pStyle w:val="Heading4"/>
        <w:rPr>
          <w:lang w:val="en-US"/>
        </w:rPr>
      </w:pPr>
      <w:r w:rsidRPr="004F55E3">
        <w:rPr>
          <w:lang w:val="en-US"/>
        </w:rPr>
        <w:t>ABR</w:t>
      </w:r>
    </w:p>
    <w:p w14:paraId="2FAD6A86" w14:textId="77777777" w:rsidR="004F55E3" w:rsidRPr="004F55E3" w:rsidRDefault="004F55E3" w:rsidP="000A420F">
      <w:pPr>
        <w:pStyle w:val="bodytext"/>
      </w:pPr>
      <w:r w:rsidRPr="004F55E3">
        <w:t xml:space="preserve">All ABR tests were performed in a soundproof, slightly darkened room. Participants were comfortably seated in an armchair with a neck brace to make sure the neck was relaxed during the testing. Five surface electrodes were applied: two reference electrodes on the mastoid bone behind the left and right ear, respectively; two active electrodes; and one ground electrode placed on the forehead. To assure good transmission, the sites were washed with disinfectant, and abrasive paste was used to attach the electrodes. Absolute impedances and </w:t>
      </w:r>
      <w:proofErr w:type="spellStart"/>
      <w:r w:rsidRPr="004F55E3">
        <w:t>interelectrode</w:t>
      </w:r>
      <w:proofErr w:type="spellEnd"/>
      <w:r w:rsidRPr="004F55E3">
        <w:t xml:space="preserve"> impedances were measured before and after the experiments to verify that electrode contact was maintained. Earphones were fitted to cover both ears. The subjects were instructed to turn off their cellular phones and relax with their eyes closed and were permitted to fall asleep. The test required no active participation. Before the testing, written information had been sent home to the subjects’ parents or guardians as well as to the subjects. On site of the test session, subjects were again verbally informed of the nature of the experiments. The subjects were tested one at a time, and the duration of the testing procedure was approximately 30 minutes.</w:t>
      </w:r>
    </w:p>
    <w:p w14:paraId="2ADC6AC0" w14:textId="77777777" w:rsidR="004F55E3" w:rsidRPr="00AA5A29" w:rsidRDefault="004F55E3" w:rsidP="000A420F">
      <w:pPr>
        <w:pStyle w:val="Heading4"/>
        <w:rPr>
          <w:lang w:val="en-US"/>
        </w:rPr>
      </w:pPr>
      <w:r w:rsidRPr="00AA5A29">
        <w:rPr>
          <w:lang w:val="en-US"/>
        </w:rPr>
        <w:t>ABR apparatus and stimulus</w:t>
      </w:r>
    </w:p>
    <w:p w14:paraId="64F819F2" w14:textId="77777777" w:rsidR="004F55E3" w:rsidRPr="004F55E3" w:rsidRDefault="004F55E3" w:rsidP="000A420F">
      <w:pPr>
        <w:pStyle w:val="bodytext"/>
      </w:pPr>
      <w:r w:rsidRPr="004F55E3">
        <w:t xml:space="preserve">The measuring system used was borrowed from </w:t>
      </w:r>
      <w:proofErr w:type="spellStart"/>
      <w:r w:rsidRPr="004F55E3">
        <w:t>SensoDetect</w:t>
      </w:r>
      <w:proofErr w:type="spellEnd"/>
      <w:r w:rsidRPr="004F55E3">
        <w:t xml:space="preserve"> BERA (brainstem-evoked response audiometry) A1000. The stimuli were presented via TDH-50P headphones with Model 51 cushions (</w:t>
      </w:r>
      <w:proofErr w:type="spellStart"/>
      <w:r w:rsidRPr="004F55E3">
        <w:t>Telephonics</w:t>
      </w:r>
      <w:proofErr w:type="spellEnd"/>
      <w:r w:rsidRPr="004F55E3">
        <w:t xml:space="preserve">, Farmingdale, NY, USA). Presentations were made binaurally with the stimuli in phase over headphones. </w:t>
      </w:r>
    </w:p>
    <w:p w14:paraId="1D083CB9" w14:textId="1B89ABE0" w:rsidR="004F55E3" w:rsidRPr="004F55E3" w:rsidRDefault="004F55E3" w:rsidP="000A420F">
      <w:pPr>
        <w:pStyle w:val="bodytext"/>
      </w:pPr>
      <w:r w:rsidRPr="004F55E3">
        <w:t xml:space="preserve">The click pulses were repeated until a total of 1024 accepted evoked potentials had been collected for each sound stimulus. Thus, each ABR waveform represents an average of the responses to 1024 stimulus presentations. Transistor–transistor logic (TTL) trigger pulses coordinated the sweeps with the auditory stimuli. A TTL pulse is the signal that tells the ABR system to measure. With a correctly timed TTL pulse, all ABR representations will be synchronized. Aberrant activity, such as extremely high amplitudes due to extraordinary movements, was rejected. Sound levels were calibrated using a </w:t>
      </w:r>
      <w:proofErr w:type="spellStart"/>
      <w:r w:rsidRPr="004F55E3">
        <w:t>Bruel</w:t>
      </w:r>
      <w:proofErr w:type="spellEnd"/>
      <w:r w:rsidRPr="004F55E3">
        <w:t xml:space="preserve"> &amp; </w:t>
      </w:r>
      <w:proofErr w:type="spellStart"/>
      <w:r w:rsidRPr="004F55E3">
        <w:t>Kjaer</w:t>
      </w:r>
      <w:proofErr w:type="spellEnd"/>
      <w:r w:rsidRPr="004F55E3">
        <w:t xml:space="preserve"> 2203 sound level meter and Type 4152 artificial ear (</w:t>
      </w:r>
      <w:proofErr w:type="spellStart"/>
      <w:r w:rsidRPr="004F55E3">
        <w:t>Bruel</w:t>
      </w:r>
      <w:proofErr w:type="spellEnd"/>
      <w:r w:rsidRPr="004F55E3">
        <w:t xml:space="preserve"> &amp; </w:t>
      </w:r>
      <w:proofErr w:type="spellStart"/>
      <w:r w:rsidRPr="004F55E3">
        <w:t>Kjaer</w:t>
      </w:r>
      <w:proofErr w:type="spellEnd"/>
      <w:r w:rsidRPr="004F55E3">
        <w:t xml:space="preserve"> S&amp;V Measurement, </w:t>
      </w:r>
      <w:proofErr w:type="spellStart"/>
      <w:r w:rsidRPr="004F55E3">
        <w:t>Naerum</w:t>
      </w:r>
      <w:proofErr w:type="spellEnd"/>
      <w:r w:rsidRPr="004F55E3">
        <w:t>, Denmark). The acoustic output from the earphones corresponded to Sound pressure level (</w:t>
      </w:r>
      <w:commentRangeStart w:id="49"/>
      <w:r w:rsidRPr="004F55E3">
        <w:t>SPL</w:t>
      </w:r>
      <w:commentRangeEnd w:id="49"/>
      <w:r w:rsidRPr="004F55E3">
        <w:t>)</w:t>
      </w:r>
      <w:r>
        <w:rPr>
          <w:rStyle w:val="CommentReference"/>
        </w:rPr>
        <w:commentReference w:id="49"/>
      </w:r>
      <w:r w:rsidRPr="004F55E3">
        <w:t xml:space="preserve">: 80 dB HL or 109 </w:t>
      </w:r>
      <w:proofErr w:type="spellStart"/>
      <w:r w:rsidRPr="004F55E3">
        <w:t>peSPL</w:t>
      </w:r>
      <w:proofErr w:type="spellEnd"/>
      <w:r w:rsidRPr="004F55E3">
        <w:t xml:space="preserve"> (peak equivalence</w:t>
      </w:r>
      <w:r w:rsidR="00CF60BA">
        <w:t xml:space="preserve"> </w:t>
      </w:r>
      <w:r w:rsidR="00CF60BA" w:rsidRPr="004F55E3">
        <w:t>Sound pressure level</w:t>
      </w:r>
      <w:r w:rsidRPr="004F55E3">
        <w:t xml:space="preserve">). A square-shaped click pulse was used as a probe in </w:t>
      </w:r>
      <w:r w:rsidRPr="004F55E3">
        <w:lastRenderedPageBreak/>
        <w:t xml:space="preserve">the auditory masking stimuli. The sound stimuli included square-shaped click pulses (0.136 Ms duration, including 0.023 mms rise and fall; 192 Ms </w:t>
      </w:r>
      <w:proofErr w:type="spellStart"/>
      <w:r w:rsidRPr="004F55E3">
        <w:t>interstimulus</w:t>
      </w:r>
      <w:proofErr w:type="spellEnd"/>
      <w:r w:rsidRPr="004F55E3">
        <w:t xml:space="preserve"> interval), high-pass filtered pulses (a Butterworth high-pass filtered square-shaped click pulse with a </w:t>
      </w:r>
      <w:proofErr w:type="spellStart"/>
      <w:r w:rsidRPr="004F55E3">
        <w:t>cutoff</w:t>
      </w:r>
      <w:proofErr w:type="spellEnd"/>
      <w:r w:rsidRPr="004F55E3">
        <w:t xml:space="preserve"> of 3000 Hz), forward masking (12.3 Ms gap from masker to click pulse), and backward masking (12.3 Ms from click pulse to the masker) stimuli, as previously described. A 1500 Hz Butterworth low-pass filtered white noise, with 15 Ms duration (including 0.4 Ms rise and fall times) was used as masker for both forward and backward masking stimuli. All stimuli were constructed using MATLAB Signal Processing Toolbox (The Math Works, Inc., Natick, MA, USA).</w:t>
      </w:r>
    </w:p>
    <w:p w14:paraId="600E3695" w14:textId="77777777" w:rsidR="004F55E3" w:rsidRPr="004F55E3" w:rsidRDefault="004F55E3" w:rsidP="000A420F">
      <w:pPr>
        <w:pStyle w:val="bodytext"/>
      </w:pPr>
      <w:r w:rsidRPr="004F55E3">
        <w:rPr>
          <w:shd w:val="clear" w:color="auto" w:fill="FFFFFF"/>
        </w:rPr>
        <w:t>In Papers I and II, three types of</w:t>
      </w:r>
      <w:r w:rsidRPr="004F55E3">
        <w:rPr>
          <w:rFonts w:hint="eastAsia"/>
          <w:shd w:val="clear" w:color="auto" w:fill="FFFFFF"/>
        </w:rPr>
        <w:t> </w:t>
      </w:r>
      <w:r w:rsidRPr="004F55E3">
        <w:rPr>
          <w:shd w:val="clear" w:color="auto" w:fill="FFFFFF"/>
        </w:rPr>
        <w:t>sound stimuli were used: a</w:t>
      </w:r>
      <w:r w:rsidRPr="004F55E3">
        <w:rPr>
          <w:rFonts w:hint="eastAsia"/>
          <w:shd w:val="clear" w:color="auto" w:fill="FFFFFF"/>
        </w:rPr>
        <w:t> </w:t>
      </w:r>
      <w:r w:rsidRPr="004F55E3">
        <w:rPr>
          <w:shd w:val="clear" w:color="auto" w:fill="FFFFFF"/>
        </w:rPr>
        <w:t>high pass filtered pulse in</w:t>
      </w:r>
      <w:r w:rsidRPr="004F55E3">
        <w:rPr>
          <w:rFonts w:hint="eastAsia"/>
          <w:shd w:val="clear" w:color="auto" w:fill="FFFFFF"/>
        </w:rPr>
        <w:t> </w:t>
      </w:r>
      <w:r w:rsidRPr="004F55E3">
        <w:rPr>
          <w:shd w:val="clear" w:color="auto" w:fill="FFFFFF"/>
        </w:rPr>
        <w:t>TR4, a</w:t>
      </w:r>
      <w:r w:rsidRPr="004F55E3">
        <w:rPr>
          <w:rFonts w:hint="eastAsia"/>
          <w:shd w:val="clear" w:color="auto" w:fill="FFFFFF"/>
        </w:rPr>
        <w:t> </w:t>
      </w:r>
      <w:r w:rsidRPr="004F55E3">
        <w:rPr>
          <w:shd w:val="clear" w:color="auto" w:fill="FFFFFF"/>
        </w:rPr>
        <w:t>backward masked standard click pulse in</w:t>
      </w:r>
      <w:r w:rsidRPr="004F55E3">
        <w:rPr>
          <w:rFonts w:hint="eastAsia"/>
          <w:shd w:val="clear" w:color="auto" w:fill="FFFFFF"/>
        </w:rPr>
        <w:t> </w:t>
      </w:r>
      <w:r w:rsidRPr="004F55E3">
        <w:rPr>
          <w:shd w:val="clear" w:color="auto" w:fill="FFFFFF"/>
        </w:rPr>
        <w:t>TR5, TR6 and TR14</w:t>
      </w:r>
      <w:r w:rsidRPr="004F55E3">
        <w:rPr>
          <w:rFonts w:hint="eastAsia"/>
          <w:shd w:val="clear" w:color="auto" w:fill="FFFFFF"/>
        </w:rPr>
        <w:t> </w:t>
      </w:r>
      <w:r w:rsidRPr="004F55E3">
        <w:rPr>
          <w:shd w:val="clear" w:color="auto" w:fill="FFFFFF"/>
        </w:rPr>
        <w:t>and</w:t>
      </w:r>
      <w:r w:rsidRPr="004F55E3">
        <w:rPr>
          <w:rFonts w:hint="eastAsia"/>
          <w:shd w:val="clear" w:color="auto" w:fill="FFFFFF"/>
        </w:rPr>
        <w:t> </w:t>
      </w:r>
      <w:r w:rsidRPr="004F55E3">
        <w:rPr>
          <w:shd w:val="clear" w:color="auto" w:fill="FFFFFF"/>
        </w:rPr>
        <w:t>a combination of four</w:t>
      </w:r>
      <w:r w:rsidRPr="004F55E3">
        <w:rPr>
          <w:rFonts w:hint="eastAsia"/>
          <w:shd w:val="clear" w:color="auto" w:fill="FFFFFF"/>
        </w:rPr>
        <w:t> </w:t>
      </w:r>
      <w:r w:rsidRPr="004F55E3">
        <w:rPr>
          <w:shd w:val="clear" w:color="auto" w:fill="FFFFFF"/>
        </w:rPr>
        <w:t>stimuli in TR15</w:t>
      </w:r>
      <w:r w:rsidRPr="004F55E3">
        <w:rPr>
          <w:rFonts w:hint="eastAsia"/>
          <w:shd w:val="clear" w:color="auto" w:fill="FFFFFF"/>
        </w:rPr>
        <w:t> </w:t>
      </w:r>
      <w:r w:rsidRPr="004F55E3">
        <w:rPr>
          <w:shd w:val="clear" w:color="auto" w:fill="FFFFFF"/>
        </w:rPr>
        <w:t>(standard click, high pass filtered pulse,</w:t>
      </w:r>
      <w:r w:rsidRPr="004F55E3">
        <w:rPr>
          <w:rFonts w:hint="eastAsia"/>
          <w:shd w:val="clear" w:color="auto" w:fill="FFFFFF"/>
        </w:rPr>
        <w:t> </w:t>
      </w:r>
      <w:r w:rsidRPr="004F55E3">
        <w:rPr>
          <w:shd w:val="clear" w:color="auto" w:fill="FFFFFF"/>
        </w:rPr>
        <w:t>forward masked standard click pulse, and backward masked standard click pulse combined).</w:t>
      </w:r>
    </w:p>
    <w:p w14:paraId="1C50E6DF" w14:textId="77777777" w:rsidR="004F55E3" w:rsidRPr="004F55E3" w:rsidRDefault="004F55E3" w:rsidP="000A420F">
      <w:pPr>
        <w:pStyle w:val="bodytext"/>
      </w:pPr>
      <w:r w:rsidRPr="004F55E3">
        <w:t xml:space="preserve">In Paper III the first test was using the forward masked standard click pulse as stimulus. The second test was using ABR curves from four stimuli, namely the standard square-shaped click, the high pass filtered pulse, the forward masking stimulus and the backward masking stimulus. </w:t>
      </w:r>
    </w:p>
    <w:p w14:paraId="66B5AC56" w14:textId="77777777" w:rsidR="004F55E3" w:rsidRPr="004F55E3" w:rsidRDefault="004F55E3" w:rsidP="000A420F">
      <w:pPr>
        <w:pStyle w:val="bodytext"/>
      </w:pPr>
      <w:r w:rsidRPr="004F55E3">
        <w:t>Based on previous studies (</w:t>
      </w:r>
      <w:proofErr w:type="spellStart"/>
      <w:r w:rsidRPr="004F55E3">
        <w:t>Källstrand</w:t>
      </w:r>
      <w:proofErr w:type="spellEnd"/>
      <w:r w:rsidRPr="004F55E3">
        <w:t xml:space="preserve"> et al., 2002, 2010), we were interested in five time windows: 2.5–4.0 Ms, 3.3–4.3 Ms, 3.5–7.5 Ms, 4.0–7.5 Ms, and 6.0–7.0 Ms.</w:t>
      </w:r>
    </w:p>
    <w:p w14:paraId="0D8C4238" w14:textId="77777777" w:rsidR="00AA5A29" w:rsidRDefault="004F55E3" w:rsidP="000A420F">
      <w:pPr>
        <w:pStyle w:val="bodytext"/>
        <w:rPr>
          <w:color w:val="000000"/>
          <w:shd w:val="clear" w:color="auto" w:fill="FFFFFF"/>
        </w:rPr>
      </w:pPr>
      <w:r w:rsidRPr="004F55E3">
        <w:t>We used a normed curve or a 3500 Hz curve as comparison; see Results.</w:t>
      </w:r>
      <w:r w:rsidR="00AA5A29">
        <w:rPr>
          <w:color w:val="000000"/>
          <w:shd w:val="clear" w:color="auto" w:fill="FFFFFF"/>
        </w:rPr>
        <w:t xml:space="preserve"> </w:t>
      </w:r>
    </w:p>
    <w:p w14:paraId="46E9A1A3" w14:textId="758BC187" w:rsidR="004F55E3" w:rsidRPr="00324280" w:rsidRDefault="004F55E3" w:rsidP="000A420F">
      <w:pPr>
        <w:pStyle w:val="insertpicture"/>
        <w:rPr>
          <w:u w:color="262626"/>
        </w:rPr>
      </w:pPr>
      <w:r w:rsidRPr="00324280">
        <w:rPr>
          <w:noProof/>
          <w:u w:color="262626"/>
          <w:lang w:eastAsia="en-GB"/>
        </w:rPr>
        <w:drawing>
          <wp:inline distT="0" distB="0" distL="0" distR="0" wp14:anchorId="5CC01820" wp14:editId="54CBD797">
            <wp:extent cx="3951027" cy="2212575"/>
            <wp:effectExtent l="0" t="0" r="0" b="0"/>
            <wp:docPr id="16" name="Picture 3" descr="BILDER/4_liggande_ensam_tj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4_liggande_ensam_tjej.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5683"/>
                    <a:stretch/>
                  </pic:blipFill>
                  <pic:spPr bwMode="auto">
                    <a:xfrm>
                      <a:off x="0" y="0"/>
                      <a:ext cx="3973019" cy="2224890"/>
                    </a:xfrm>
                    <a:prstGeom prst="rect">
                      <a:avLst/>
                    </a:prstGeom>
                    <a:noFill/>
                    <a:ln>
                      <a:noFill/>
                    </a:ln>
                    <a:extLst>
                      <a:ext uri="{53640926-AAD7-44D8-BBD7-CCE9431645EC}">
                        <a14:shadowObscured xmlns:a14="http://schemas.microsoft.com/office/drawing/2010/main"/>
                      </a:ext>
                    </a:extLst>
                  </pic:spPr>
                </pic:pic>
              </a:graphicData>
            </a:graphic>
          </wp:inline>
        </w:drawing>
      </w:r>
    </w:p>
    <w:p w14:paraId="0BEABD04" w14:textId="77777777" w:rsidR="000A420F" w:rsidRDefault="004F55E3" w:rsidP="000A420F">
      <w:pPr>
        <w:pStyle w:val="picturetextheadline0"/>
        <w:rPr>
          <w:lang w:val="en-US"/>
        </w:rPr>
      </w:pPr>
      <w:r w:rsidRPr="004F55E3">
        <w:rPr>
          <w:lang w:val="en-US"/>
        </w:rPr>
        <w:t xml:space="preserve">Figure 8. </w:t>
      </w:r>
    </w:p>
    <w:p w14:paraId="4761EAEA" w14:textId="77777777" w:rsidR="004F55E3" w:rsidRPr="004F55E3" w:rsidRDefault="004F55E3" w:rsidP="000A420F">
      <w:pPr>
        <w:pStyle w:val="picturetext"/>
      </w:pPr>
      <w:r w:rsidRPr="004F55E3">
        <w:lastRenderedPageBreak/>
        <w:t>ABR testing. With permission from SensoDetect</w:t>
      </w:r>
    </w:p>
    <w:p w14:paraId="127DF026" w14:textId="77777777" w:rsidR="004F55E3" w:rsidRPr="004F55E3" w:rsidRDefault="004F55E3" w:rsidP="000A420F">
      <w:pPr>
        <w:pStyle w:val="Heading4"/>
        <w:rPr>
          <w:lang w:val="en-US"/>
        </w:rPr>
      </w:pPr>
      <w:r w:rsidRPr="004F55E3">
        <w:rPr>
          <w:lang w:val="en-US"/>
        </w:rPr>
        <w:t>CANTAB</w:t>
      </w:r>
    </w:p>
    <w:p w14:paraId="04728CD1" w14:textId="05F38A9A" w:rsidR="004F55E3" w:rsidRPr="004F55E3" w:rsidRDefault="004F55E3" w:rsidP="000A420F">
      <w:pPr>
        <w:pStyle w:val="bodytext"/>
      </w:pPr>
      <w:commentRangeStart w:id="50"/>
      <w:r w:rsidRPr="004F55E3">
        <w:t xml:space="preserve">We used </w:t>
      </w:r>
      <w:commentRangeEnd w:id="50"/>
      <w:r w:rsidRPr="00324280">
        <w:rPr>
          <w:rStyle w:val="CommentReference"/>
          <w:color w:val="000000" w:themeColor="text1"/>
        </w:rPr>
        <w:commentReference w:id="50"/>
      </w:r>
      <w:r w:rsidRPr="004F55E3">
        <w:t>5 CANTAB tests: IED, SOC, SWM, SRT, and SST.</w:t>
      </w:r>
      <w:r w:rsidR="000A420F" w:rsidRPr="004F55E3">
        <w:t xml:space="preserve"> </w:t>
      </w:r>
      <w:r w:rsidRPr="004F55E3">
        <w:t>When testing, we used a computer with a touchscreen. In 2016 CANTAB launched iPad testing. The subjects were verbally instructed before each of the tests. Before the testing procedure started, the instructor showed a sample test on the screen. The CANTAB testing took approximately 45 minutes to perform. The tests were performed by eit</w:t>
      </w:r>
      <w:r w:rsidR="005D4318">
        <w:t xml:space="preserve">her Emma </w:t>
      </w:r>
      <w:proofErr w:type="spellStart"/>
      <w:r w:rsidR="005D4318">
        <w:t>Claesdotter</w:t>
      </w:r>
      <w:proofErr w:type="spellEnd"/>
      <w:r w:rsidRPr="004F55E3">
        <w:t xml:space="preserve"> (MD) or Magnus </w:t>
      </w:r>
      <w:proofErr w:type="spellStart"/>
      <w:r w:rsidRPr="004F55E3">
        <w:t>Lindvall</w:t>
      </w:r>
      <w:proofErr w:type="spellEnd"/>
      <w:r w:rsidRPr="004F55E3">
        <w:t xml:space="preserve"> (MD, PhD). </w:t>
      </w:r>
    </w:p>
    <w:p w14:paraId="3990EB71" w14:textId="77777777" w:rsidR="004F55E3" w:rsidRPr="00324280" w:rsidRDefault="004F55E3" w:rsidP="000A420F">
      <w:pPr>
        <w:pStyle w:val="insertpicture"/>
      </w:pPr>
      <w:r w:rsidRPr="00324280">
        <w:rPr>
          <w:noProof/>
          <w:lang w:eastAsia="en-GB"/>
        </w:rPr>
        <w:drawing>
          <wp:inline distT="0" distB="0" distL="0" distR="0" wp14:anchorId="1DDDB565" wp14:editId="0FF3AFD1">
            <wp:extent cx="3467200" cy="2889250"/>
            <wp:effectExtent l="0" t="0" r="0" b="6350"/>
            <wp:docPr id="17" name="Picture 1" descr="../Figure-2-Screen-shots-of-three-of-the-CANTAB-tests-of-fronto-executive-function-the.p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2-Screen-shots-of-three-of-the-CANTAB-tests-of-fronto-executive-function-the.png.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0815" cy="2892263"/>
                    </a:xfrm>
                    <a:prstGeom prst="rect">
                      <a:avLst/>
                    </a:prstGeom>
                    <a:noFill/>
                    <a:ln>
                      <a:noFill/>
                    </a:ln>
                  </pic:spPr>
                </pic:pic>
              </a:graphicData>
            </a:graphic>
          </wp:inline>
        </w:drawing>
      </w:r>
    </w:p>
    <w:p w14:paraId="07A52CC4" w14:textId="77777777" w:rsidR="000A420F" w:rsidRDefault="004F55E3" w:rsidP="000A420F">
      <w:pPr>
        <w:pStyle w:val="picturetextheadline0"/>
        <w:rPr>
          <w:lang w:val="en-US"/>
        </w:rPr>
      </w:pPr>
      <w:r w:rsidRPr="004F55E3">
        <w:rPr>
          <w:lang w:val="en-US"/>
        </w:rPr>
        <w:t xml:space="preserve">Figure 9. </w:t>
      </w:r>
    </w:p>
    <w:p w14:paraId="66B2FF17" w14:textId="77777777" w:rsidR="004F55E3" w:rsidRPr="004F55E3" w:rsidRDefault="004F55E3" w:rsidP="000A420F">
      <w:pPr>
        <w:pStyle w:val="picturetext"/>
      </w:pPr>
      <w:r w:rsidRPr="004F55E3">
        <w:t xml:space="preserve">CANTAB tests. The figure shows screens from three different CANTAB tests: Stockings of Cambridge, </w:t>
      </w:r>
      <w:r w:rsidRPr="004F55E3">
        <w:rPr>
          <w:color w:val="000000" w:themeColor="text1"/>
        </w:rPr>
        <w:t>Intra-Extra Dimensional Set Shift,</w:t>
      </w:r>
      <w:r w:rsidRPr="004F55E3">
        <w:t xml:space="preserve"> and </w:t>
      </w:r>
      <w:r w:rsidRPr="004F55E3">
        <w:rPr>
          <w:color w:val="000000" w:themeColor="text1"/>
        </w:rPr>
        <w:t>Spatial Working Memory.</w:t>
      </w:r>
    </w:p>
    <w:p w14:paraId="7BF115C7" w14:textId="77777777" w:rsidR="004F55E3" w:rsidRPr="00AA5A29" w:rsidRDefault="004F55E3" w:rsidP="000A420F">
      <w:pPr>
        <w:pStyle w:val="Heading2"/>
        <w:rPr>
          <w:lang w:val="en-US"/>
        </w:rPr>
      </w:pPr>
      <w:bookmarkStart w:id="51" w:name="_Toc492391048"/>
      <w:r w:rsidRPr="00AA5A29">
        <w:rPr>
          <w:lang w:val="en-US"/>
        </w:rPr>
        <w:t>Measures</w:t>
      </w:r>
      <w:bookmarkEnd w:id="51"/>
    </w:p>
    <w:p w14:paraId="6ADD803B" w14:textId="77777777" w:rsidR="004F55E3" w:rsidRPr="000A420F" w:rsidRDefault="004F55E3" w:rsidP="000A420F">
      <w:pPr>
        <w:pStyle w:val="bodytext"/>
      </w:pPr>
      <w:r w:rsidRPr="000A420F">
        <w:t>Diagnostic evaluation at the CAP clinic</w:t>
      </w:r>
    </w:p>
    <w:p w14:paraId="4E8D4AE6" w14:textId="77777777" w:rsidR="004F55E3" w:rsidRPr="000A420F" w:rsidRDefault="004F55E3" w:rsidP="000A420F">
      <w:pPr>
        <w:pStyle w:val="Heading4"/>
        <w:rPr>
          <w:lang w:val="en-US"/>
        </w:rPr>
      </w:pPr>
      <w:r w:rsidRPr="000A420F">
        <w:rPr>
          <w:lang w:val="en-US"/>
        </w:rPr>
        <w:t>Papers I–II and IV</w:t>
      </w:r>
    </w:p>
    <w:p w14:paraId="1D7F2FF3" w14:textId="77777777" w:rsidR="004F55E3" w:rsidRPr="004F55E3" w:rsidRDefault="004F55E3" w:rsidP="000A420F">
      <w:pPr>
        <w:pStyle w:val="bodytext"/>
      </w:pPr>
      <w:r w:rsidRPr="004F55E3">
        <w:t xml:space="preserve">All patients were assessed at the CAP clinic according to our standard procedures regarding ADHD; this included both neuropsychiatric and </w:t>
      </w:r>
      <w:r w:rsidRPr="004F55E3">
        <w:lastRenderedPageBreak/>
        <w:t xml:space="preserve">neuropsychological assessment (more fully described in the Subjects section). </w:t>
      </w:r>
      <w:r w:rsidRPr="004F55E3">
        <w:rPr>
          <w:color w:val="000000"/>
        </w:rPr>
        <w:t>The ADHD diagnosis was confirmed by a senior psychiatrist. ADHD was referred to as described in DSM-IV.</w:t>
      </w:r>
    </w:p>
    <w:p w14:paraId="335F4150" w14:textId="77777777" w:rsidR="004F55E3" w:rsidRPr="00AA5A29" w:rsidRDefault="004F55E3" w:rsidP="000A420F">
      <w:pPr>
        <w:pStyle w:val="Heading4"/>
        <w:rPr>
          <w:lang w:val="en-US"/>
        </w:rPr>
      </w:pPr>
      <w:r w:rsidRPr="00AA5A29">
        <w:rPr>
          <w:lang w:val="en-US"/>
        </w:rPr>
        <w:t>Paper III</w:t>
      </w:r>
    </w:p>
    <w:p w14:paraId="68597134" w14:textId="77777777" w:rsidR="004F55E3" w:rsidRPr="00324280" w:rsidRDefault="004F55E3" w:rsidP="000A420F">
      <w:pPr>
        <w:pStyle w:val="bodytext"/>
      </w:pPr>
      <w:r w:rsidRPr="004F55E3">
        <w:t xml:space="preserve">All patients were assessed at the CAP clinic according to standard procedures regarding ASD: ADOS and ADI. We used either WISC-IV (Wechsler, 2003) or WAIS-IV (Wechsler, 2008), depending on the age of the patient, to measure the patients’ IQ. All patients in our study had an IQ over 70. The ASD diagnoses were confirmed by a senior psychiatrist. </w:t>
      </w:r>
      <w:r w:rsidRPr="00324280">
        <w:t>ASD was referred to as described in DSM-5.</w:t>
      </w:r>
    </w:p>
    <w:p w14:paraId="1AB66E16" w14:textId="77777777" w:rsidR="000B415A" w:rsidRDefault="000B415A">
      <w:pPr>
        <w:spacing w:after="160" w:line="259" w:lineRule="auto"/>
        <w:rPr>
          <w:rFonts w:ascii="Adobe Garamond Pro" w:eastAsia="Times New Roman" w:hAnsi="Adobe Garamond Pro"/>
          <w:bCs/>
          <w:i/>
          <w:sz w:val="22"/>
          <w:szCs w:val="28"/>
          <w:lang w:val="en-US"/>
        </w:rPr>
      </w:pPr>
      <w:r>
        <w:rPr>
          <w:lang w:val="en-US"/>
        </w:rPr>
        <w:br w:type="page"/>
      </w:r>
    </w:p>
    <w:p w14:paraId="4A58BB3F" w14:textId="1833EA76" w:rsidR="004F55E3" w:rsidRPr="00AA5A29" w:rsidRDefault="004F55E3" w:rsidP="000A420F">
      <w:pPr>
        <w:pStyle w:val="Heading4"/>
        <w:rPr>
          <w:lang w:val="en-US"/>
        </w:rPr>
      </w:pPr>
      <w:r w:rsidRPr="00AA5A29">
        <w:rPr>
          <w:lang w:val="en-US"/>
        </w:rPr>
        <w:lastRenderedPageBreak/>
        <w:t>ADOS</w:t>
      </w:r>
    </w:p>
    <w:p w14:paraId="4914342E" w14:textId="77777777" w:rsidR="004F55E3" w:rsidRPr="004F55E3" w:rsidRDefault="004F55E3" w:rsidP="000A420F">
      <w:pPr>
        <w:pStyle w:val="bodytext"/>
      </w:pPr>
      <w:r w:rsidRPr="004F55E3">
        <w:t>(Paper III)</w:t>
      </w:r>
    </w:p>
    <w:p w14:paraId="2722AFD0" w14:textId="5E644DD3" w:rsidR="004F55E3" w:rsidRPr="004F55E3" w:rsidRDefault="004F55E3" w:rsidP="000A420F">
      <w:pPr>
        <w:pStyle w:val="bodytext"/>
      </w:pPr>
      <w:r w:rsidRPr="004F55E3">
        <w:rPr>
          <w:bCs/>
        </w:rPr>
        <w:t>The Autism Diagnostic Observation Schedule</w:t>
      </w:r>
      <w:r w:rsidRPr="004F55E3">
        <w:t xml:space="preserve"> was created in 1989 (</w:t>
      </w:r>
      <w:proofErr w:type="spellStart"/>
      <w:r w:rsidRPr="004F55E3">
        <w:t>Reaven</w:t>
      </w:r>
      <w:proofErr w:type="spellEnd"/>
      <w:r w:rsidRPr="004F55E3">
        <w:t xml:space="preserve"> et al., 2008). ADOS is an instrument for diagnosing and assessing ASD. The protocol is a </w:t>
      </w:r>
      <w:proofErr w:type="spellStart"/>
      <w:r w:rsidRPr="004F55E3">
        <w:t>semistructured</w:t>
      </w:r>
      <w:proofErr w:type="spellEnd"/>
      <w:r w:rsidRPr="004F55E3">
        <w:t xml:space="preserve">, play-based observational interview of children or adults suspected of presenting with an autism spectrum disorder. ADOS consists of a series of structured and </w:t>
      </w:r>
      <w:proofErr w:type="spellStart"/>
      <w:r w:rsidRPr="004F55E3">
        <w:t>semistructured</w:t>
      </w:r>
      <w:proofErr w:type="spellEnd"/>
      <w:r w:rsidRPr="004F55E3">
        <w:t xml:space="preserve"> tasks. ADOS takes 45 minutes to administer and involve social interaction between the examiner and the subject. The examiner observes the subject’s </w:t>
      </w:r>
      <w:proofErr w:type="spellStart"/>
      <w:r w:rsidRPr="004F55E3">
        <w:t>behaviors</w:t>
      </w:r>
      <w:proofErr w:type="spellEnd"/>
      <w:r w:rsidRPr="004F55E3">
        <w:t xml:space="preserve"> and assigns these to observational categories. Categorized observations are combined to produce quantitative scores for analysis. Research-determined cut-offs identify the potential diagnosis ASD, allowing a standardized assessment of autistic symptoms. ADOS requires a well-trained and ADOS-experienced tester to administer and score correctly. Sensitivities of the tool have been reported from 86% to 100%, and specificity with other developmental disabilities is 73% to 100%. </w:t>
      </w:r>
    </w:p>
    <w:p w14:paraId="78BF9600" w14:textId="77777777" w:rsidR="004F55E3" w:rsidRPr="004F55E3" w:rsidRDefault="004F55E3" w:rsidP="000A420F">
      <w:pPr>
        <w:pStyle w:val="Heading4"/>
        <w:rPr>
          <w:lang w:val="en-US"/>
        </w:rPr>
      </w:pPr>
      <w:r w:rsidRPr="004F55E3">
        <w:rPr>
          <w:lang w:val="en-US"/>
        </w:rPr>
        <w:t>ADI-R</w:t>
      </w:r>
    </w:p>
    <w:p w14:paraId="68EA7D3A" w14:textId="77777777" w:rsidR="004F55E3" w:rsidRPr="004F55E3" w:rsidRDefault="004F55E3" w:rsidP="000A420F">
      <w:pPr>
        <w:pStyle w:val="bodytext"/>
        <w:rPr>
          <w:b/>
        </w:rPr>
      </w:pPr>
      <w:r w:rsidRPr="004F55E3">
        <w:t>(Paper III)</w:t>
      </w:r>
    </w:p>
    <w:p w14:paraId="06D30466" w14:textId="202F3615" w:rsidR="004F55E3" w:rsidRPr="004F55E3" w:rsidRDefault="004F55E3" w:rsidP="000A420F">
      <w:pPr>
        <w:pStyle w:val="bodytext"/>
      </w:pPr>
      <w:r w:rsidRPr="004F55E3">
        <w:t xml:space="preserve">The </w:t>
      </w:r>
      <w:hyperlink r:id="rId23" w:history="1">
        <w:r w:rsidRPr="004F55E3">
          <w:t>Autism Diagnostic Interview–Revised</w:t>
        </w:r>
      </w:hyperlink>
      <w:r w:rsidRPr="004F55E3">
        <w:t xml:space="preserve"> is a paired instrument with ADOS (Rutter et al., 2003). ADI-R is a </w:t>
      </w:r>
      <w:proofErr w:type="spellStart"/>
      <w:r w:rsidRPr="004F55E3">
        <w:t>semistructured</w:t>
      </w:r>
      <w:proofErr w:type="spellEnd"/>
      <w:r w:rsidRPr="004F55E3">
        <w:t xml:space="preserve"> interview conducted with the caregiver. It covers the developmental history of the subject over the age of 5 years: social reciprocity, communication, and repetitive </w:t>
      </w:r>
      <w:proofErr w:type="spellStart"/>
      <w:r w:rsidRPr="004F55E3">
        <w:t>behaviors</w:t>
      </w:r>
      <w:proofErr w:type="spellEnd"/>
      <w:r w:rsidRPr="004F55E3">
        <w:t xml:space="preserve">, as well as onset. The usefulness of the ADOS and ADI-R has been well demonstrated in distinguishing between autism and delays of development. ADOS and ADI </w:t>
      </w:r>
      <w:r w:rsidRPr="004F55E3">
        <w:rPr>
          <w:u w:color="243778"/>
        </w:rPr>
        <w:t xml:space="preserve">are considered to be the “gold standard” in diagnostic evaluations for </w:t>
      </w:r>
      <w:r w:rsidRPr="004F55E3">
        <w:t>ASD (</w:t>
      </w:r>
      <w:proofErr w:type="spellStart"/>
      <w:r w:rsidRPr="004F55E3">
        <w:rPr>
          <w:color w:val="1C1C1C"/>
        </w:rPr>
        <w:t>Akshoomoff</w:t>
      </w:r>
      <w:proofErr w:type="spellEnd"/>
      <w:r w:rsidRPr="004F55E3">
        <w:rPr>
          <w:color w:val="1C1C1C"/>
        </w:rPr>
        <w:t xml:space="preserve"> et al., 2006; </w:t>
      </w:r>
      <w:r w:rsidRPr="004F55E3">
        <w:t xml:space="preserve">de </w:t>
      </w:r>
      <w:proofErr w:type="spellStart"/>
      <w:r w:rsidRPr="004F55E3">
        <w:t>Bildt</w:t>
      </w:r>
      <w:proofErr w:type="spellEnd"/>
      <w:r w:rsidRPr="004F55E3">
        <w:t xml:space="preserve"> et al., 2004).</w:t>
      </w:r>
    </w:p>
    <w:p w14:paraId="685C66DD" w14:textId="77777777" w:rsidR="004F55E3" w:rsidRPr="00AA5A29" w:rsidRDefault="004F55E3" w:rsidP="000A420F">
      <w:pPr>
        <w:pStyle w:val="Heading4"/>
        <w:rPr>
          <w:lang w:val="en-US"/>
        </w:rPr>
      </w:pPr>
      <w:r w:rsidRPr="00AA5A29">
        <w:rPr>
          <w:lang w:val="en-US"/>
        </w:rPr>
        <w:t>WISC/WAIS</w:t>
      </w:r>
    </w:p>
    <w:p w14:paraId="3BE313C3" w14:textId="7FE927EB" w:rsidR="004F55E3" w:rsidRPr="00324280" w:rsidRDefault="004F55E3" w:rsidP="000A420F">
      <w:pPr>
        <w:pStyle w:val="bodytext"/>
        <w:rPr>
          <w:color w:val="000000" w:themeColor="text1"/>
        </w:rPr>
      </w:pPr>
      <w:r w:rsidRPr="00324280">
        <w:t>(Paper I</w:t>
      </w:r>
      <w:r>
        <w:t>II</w:t>
      </w:r>
      <w:r w:rsidRPr="00324280">
        <w:t>)</w:t>
      </w:r>
    </w:p>
    <w:p w14:paraId="1179F3C3" w14:textId="2CFFDAB8" w:rsidR="004F55E3" w:rsidRPr="004F55E3" w:rsidRDefault="004F55E3" w:rsidP="000A420F">
      <w:pPr>
        <w:pStyle w:val="bodytext"/>
        <w:rPr>
          <w:color w:val="191919"/>
        </w:rPr>
      </w:pPr>
      <w:r w:rsidRPr="004F55E3">
        <w:rPr>
          <w:color w:val="191919"/>
        </w:rPr>
        <w:t xml:space="preserve">The Wechsler </w:t>
      </w:r>
      <w:r w:rsidRPr="004F55E3">
        <w:rPr>
          <w:color w:val="000000" w:themeColor="text1"/>
        </w:rPr>
        <w:t xml:space="preserve">Intelligence Scale for Children and </w:t>
      </w:r>
      <w:hyperlink r:id="rId24" w:history="1">
        <w:r w:rsidRPr="004F55E3">
          <w:rPr>
            <w:color w:val="000000" w:themeColor="text1"/>
          </w:rPr>
          <w:t>Wechsler Adult Intelligence Scale</w:t>
        </w:r>
      </w:hyperlink>
      <w:r w:rsidRPr="004F55E3">
        <w:rPr>
          <w:color w:val="000000" w:themeColor="text1"/>
        </w:rPr>
        <w:t xml:space="preserve"> (WAIS) are i</w:t>
      </w:r>
      <w:r w:rsidRPr="004F55E3">
        <w:rPr>
          <w:color w:val="191919"/>
        </w:rPr>
        <w:t>ndividually administered intelligence tests for children aged 6–17 years (WISC) and adults over 17 years (WAIS). The tests were developed by David Wechsler in 1938 (WAIS) and 1949 (WISC)</w:t>
      </w:r>
      <w:r w:rsidR="001A551F">
        <w:rPr>
          <w:color w:val="191919"/>
        </w:rPr>
        <w:t xml:space="preserve"> (Wechsler, 2003</w:t>
      </w:r>
      <w:r w:rsidR="008611C2">
        <w:rPr>
          <w:color w:val="191919"/>
        </w:rPr>
        <w:t>,</w:t>
      </w:r>
      <w:r w:rsidR="009D2D19">
        <w:rPr>
          <w:color w:val="191919"/>
        </w:rPr>
        <w:t xml:space="preserve"> 2008)</w:t>
      </w:r>
      <w:r w:rsidRPr="004F55E3">
        <w:rPr>
          <w:color w:val="191919"/>
        </w:rPr>
        <w:t xml:space="preserve">. Both tests can be used without the subject having reading and writing skills and take about 60 minutes to complete. WISC/WAIS are the most widely used intelligence tests. </w:t>
      </w:r>
      <w:r w:rsidRPr="004F55E3">
        <w:t xml:space="preserve">WISC/WAIS have been translated into or adapted to over 25 languages. </w:t>
      </w:r>
      <w:r w:rsidRPr="004F55E3">
        <w:rPr>
          <w:color w:val="191919"/>
        </w:rPr>
        <w:t xml:space="preserve">WISC/WAIS have gone through several editions. In our studies, we used WISC/WAIS </w:t>
      </w:r>
      <w:r w:rsidRPr="004F55E3">
        <w:rPr>
          <w:color w:val="191919"/>
        </w:rPr>
        <w:lastRenderedPageBreak/>
        <w:t>IV. The latest edition, WISC/WAIS V, came out in 2014, but was not introduced at our CAP clinic until late 2015.</w:t>
      </w:r>
      <w:r w:rsidR="00AA5A29">
        <w:rPr>
          <w:color w:val="191919"/>
        </w:rPr>
        <w:t xml:space="preserve"> </w:t>
      </w:r>
      <w:r w:rsidRPr="004F55E3">
        <w:rPr>
          <w:color w:val="191919"/>
        </w:rPr>
        <w:t xml:space="preserve">WISC tests are divided into four groups, “verbal function,” “perceptual function,” “working memory,” and “speed.” The verbal function subtests measure aspects of vocabulary, linguistic analogies, and verbal reasoning. The perceptual function subtests examine domains like abstract logical ability. Working memory is tested with tasks whereby the subject is asked to repeat sequences of numbers and letters. Speed ​function is tested with subtests where the subject is asked to solve tasks as fast and accurate as possible. </w:t>
      </w:r>
    </w:p>
    <w:p w14:paraId="0E89441A" w14:textId="77777777" w:rsidR="004F55E3" w:rsidRPr="000A420F" w:rsidRDefault="004F55E3" w:rsidP="000A420F">
      <w:pPr>
        <w:pStyle w:val="Heading4"/>
        <w:rPr>
          <w:lang w:val="en-US"/>
        </w:rPr>
      </w:pPr>
      <w:r w:rsidRPr="000A420F">
        <w:rPr>
          <w:lang w:val="en-US"/>
        </w:rPr>
        <w:t>AQ</w:t>
      </w:r>
    </w:p>
    <w:p w14:paraId="43065F21" w14:textId="4C411802" w:rsidR="000A420F" w:rsidRDefault="004F55E3" w:rsidP="000A420F">
      <w:pPr>
        <w:pStyle w:val="bodytext"/>
        <w:rPr>
          <w:b/>
        </w:rPr>
      </w:pPr>
      <w:r w:rsidRPr="004F55E3">
        <w:t>(</w:t>
      </w:r>
      <w:r w:rsidR="00DB135E">
        <w:t>Paper</w:t>
      </w:r>
      <w:r w:rsidRPr="004F55E3">
        <w:t xml:space="preserve"> I, II, and IV.)</w:t>
      </w:r>
    </w:p>
    <w:p w14:paraId="667C4BFA" w14:textId="3A413CC0" w:rsidR="004F55E3" w:rsidRPr="004F55E3" w:rsidRDefault="004F55E3" w:rsidP="000A420F">
      <w:pPr>
        <w:pStyle w:val="bodytext"/>
      </w:pPr>
      <w:r w:rsidRPr="004F55E3">
        <w:t xml:space="preserve">The </w:t>
      </w:r>
      <w:r w:rsidRPr="004F55E3">
        <w:rPr>
          <w:shd w:val="clear" w:color="auto" w:fill="FFFFFF"/>
        </w:rPr>
        <w:t>AQ is a 50</w:t>
      </w:r>
      <w:r w:rsidRPr="004F55E3">
        <w:rPr>
          <w:rFonts w:ascii="Calibri" w:eastAsia="Calibri" w:hAnsi="Calibri" w:cs="Calibri"/>
          <w:shd w:val="clear" w:color="auto" w:fill="FFFFFF"/>
        </w:rPr>
        <w:t>‐</w:t>
      </w:r>
      <w:r w:rsidRPr="004F55E3">
        <w:rPr>
          <w:shd w:val="clear" w:color="auto" w:fill="FFFFFF"/>
        </w:rPr>
        <w:t>item questionnaire for measuring autistic traits in individuals with average IQ or above (Baron</w:t>
      </w:r>
      <w:r w:rsidRPr="004F55E3">
        <w:rPr>
          <w:rFonts w:ascii="Calibri" w:eastAsia="Calibri" w:hAnsi="Calibri" w:cs="Calibri"/>
          <w:shd w:val="clear" w:color="auto" w:fill="FFFFFF"/>
        </w:rPr>
        <w:t>‐</w:t>
      </w:r>
      <w:r w:rsidRPr="004F55E3">
        <w:rPr>
          <w:shd w:val="clear" w:color="auto" w:fill="FFFFFF"/>
        </w:rPr>
        <w:t>Cohen et al., 2001). The cut-off is 26 for use in a clinical setting and 32 for use in a general population (Baron-Cohen et al., 2001; Woodbury-Smith et al., 2005). There are three different versions of AQ: AQ (adult self</w:t>
      </w:r>
      <w:r w:rsidRPr="004F55E3">
        <w:rPr>
          <w:rFonts w:ascii="Calibri" w:eastAsia="Calibri" w:hAnsi="Calibri" w:cs="Calibri"/>
          <w:shd w:val="clear" w:color="auto" w:fill="FFFFFF"/>
        </w:rPr>
        <w:t>‐</w:t>
      </w:r>
      <w:r w:rsidRPr="004F55E3">
        <w:rPr>
          <w:shd w:val="clear" w:color="auto" w:fill="FFFFFF"/>
        </w:rPr>
        <w:t>report), AQ</w:t>
      </w:r>
      <w:r w:rsidRPr="004F55E3">
        <w:rPr>
          <w:rFonts w:ascii="Calibri" w:eastAsia="Calibri" w:hAnsi="Calibri" w:cs="Calibri"/>
          <w:shd w:val="clear" w:color="auto" w:fill="FFFFFF"/>
        </w:rPr>
        <w:t>‐</w:t>
      </w:r>
      <w:r w:rsidRPr="004F55E3">
        <w:rPr>
          <w:shd w:val="clear" w:color="auto" w:fill="FFFFFF"/>
        </w:rPr>
        <w:t>Adolescent (parent-report), and AQ</w:t>
      </w:r>
      <w:r w:rsidRPr="004F55E3">
        <w:rPr>
          <w:rFonts w:ascii="Calibri" w:eastAsia="Calibri" w:hAnsi="Calibri" w:cs="Calibri"/>
          <w:shd w:val="clear" w:color="auto" w:fill="FFFFFF"/>
        </w:rPr>
        <w:t>‐</w:t>
      </w:r>
      <w:r w:rsidRPr="004F55E3">
        <w:rPr>
          <w:shd w:val="clear" w:color="auto" w:fill="FFFFFF"/>
        </w:rPr>
        <w:t>Child (parent</w:t>
      </w:r>
      <w:r w:rsidRPr="004F55E3">
        <w:rPr>
          <w:rFonts w:ascii="Calibri" w:eastAsia="Calibri" w:hAnsi="Calibri" w:cs="Calibri"/>
          <w:shd w:val="clear" w:color="auto" w:fill="FFFFFF"/>
        </w:rPr>
        <w:t xml:space="preserve"> </w:t>
      </w:r>
      <w:r w:rsidRPr="004F55E3">
        <w:rPr>
          <w:shd w:val="clear" w:color="auto" w:fill="FFFFFF"/>
        </w:rPr>
        <w:t>report). The AQ items are divided into five subscales consisting of 10 items each. AQ assesses domains of cognitive strengths and difficulties related to ASD: communication, social skills, imagination, attention to detail, and attention switching. Each of the 50 questions is answered with one of four responses: “definitely agree,” “</w:t>
      </w:r>
      <w:commentRangeStart w:id="52"/>
      <w:r w:rsidRPr="004F55E3">
        <w:rPr>
          <w:shd w:val="clear" w:color="auto" w:fill="FFFFFF"/>
        </w:rPr>
        <w:t xml:space="preserve">slightly </w:t>
      </w:r>
      <w:commentRangeEnd w:id="52"/>
      <w:r>
        <w:rPr>
          <w:rStyle w:val="CommentReference"/>
        </w:rPr>
        <w:commentReference w:id="52"/>
      </w:r>
      <w:r w:rsidRPr="004F55E3">
        <w:rPr>
          <w:shd w:val="clear" w:color="auto" w:fill="FFFFFF"/>
        </w:rPr>
        <w:t>agree,” “slightly disagree,” and “definitely disagree.”</w:t>
      </w:r>
      <w:r w:rsidRPr="004F55E3">
        <w:t xml:space="preserve"> We used AQ-Adolescent (Baron-Cohen et al., 2006) or AQ-Child (Auyeung et al., 2008), depending on the subject’s age. </w:t>
      </w:r>
      <w:r w:rsidR="00DB135E">
        <w:t>The</w:t>
      </w:r>
      <w:r w:rsidRPr="004F55E3">
        <w:t xml:space="preserve"> AQ-Child was employed when the child was younger than 11 years.</w:t>
      </w:r>
    </w:p>
    <w:p w14:paraId="497BB19A" w14:textId="77777777" w:rsidR="004F55E3" w:rsidRPr="004F55E3" w:rsidRDefault="004F55E3" w:rsidP="000A420F">
      <w:pPr>
        <w:pStyle w:val="Heading4"/>
        <w:rPr>
          <w:lang w:val="en-US"/>
        </w:rPr>
      </w:pPr>
      <w:bookmarkStart w:id="53" w:name="OLE_LINK5"/>
      <w:bookmarkStart w:id="54" w:name="OLE_LINK6"/>
      <w:r w:rsidRPr="004F55E3">
        <w:rPr>
          <w:lang w:val="en-US"/>
        </w:rPr>
        <w:t>SNAP-IV</w:t>
      </w:r>
    </w:p>
    <w:bookmarkEnd w:id="53"/>
    <w:bookmarkEnd w:id="54"/>
    <w:p w14:paraId="29593D7C" w14:textId="2A4B4297" w:rsidR="004F55E3" w:rsidRPr="004F55E3" w:rsidRDefault="004F55E3" w:rsidP="000A420F">
      <w:pPr>
        <w:pStyle w:val="bodytext"/>
      </w:pPr>
      <w:r w:rsidRPr="004F55E3">
        <w:t>(</w:t>
      </w:r>
      <w:r w:rsidR="00DB135E">
        <w:t>Paper</w:t>
      </w:r>
      <w:r w:rsidRPr="004F55E3">
        <w:t xml:space="preserve"> I, II, and IV.)</w:t>
      </w:r>
    </w:p>
    <w:p w14:paraId="5F987E09" w14:textId="115B56FD" w:rsidR="004F55E3" w:rsidRPr="003B6BE9" w:rsidRDefault="00DB135E" w:rsidP="000A420F">
      <w:pPr>
        <w:pStyle w:val="bodytext"/>
        <w:rPr>
          <w:color w:val="000000" w:themeColor="text1"/>
        </w:rPr>
      </w:pPr>
      <w:r>
        <w:rPr>
          <w:color w:val="000000" w:themeColor="text1"/>
        </w:rPr>
        <w:t xml:space="preserve">SNAP </w:t>
      </w:r>
      <w:r w:rsidR="004F55E3" w:rsidRPr="003B6BE9">
        <w:rPr>
          <w:color w:val="000000" w:themeColor="text1"/>
        </w:rPr>
        <w:t>originally developed to evaluate ADHD symptoms accordi</w:t>
      </w:r>
      <w:r>
        <w:rPr>
          <w:color w:val="000000" w:themeColor="text1"/>
        </w:rPr>
        <w:t xml:space="preserve">ng to DSM-III (APA, 1980) </w:t>
      </w:r>
      <w:r w:rsidR="004F55E3" w:rsidRPr="003B6BE9">
        <w:rPr>
          <w:color w:val="000000" w:themeColor="text1"/>
        </w:rPr>
        <w:t>has been updated with every subsequent edition of DSM (Swanson, 1981; Swanson et al., 2012). SNAP-IV is a well-known and widely used test of ADHD in most CAPs in Sweden (</w:t>
      </w:r>
      <w:proofErr w:type="spellStart"/>
      <w:r w:rsidR="004F55E3" w:rsidRPr="003B6BE9">
        <w:rPr>
          <w:color w:val="000000" w:themeColor="text1"/>
        </w:rPr>
        <w:t>Dunerfeldt</w:t>
      </w:r>
      <w:proofErr w:type="spellEnd"/>
      <w:r w:rsidR="004F55E3" w:rsidRPr="003B6BE9">
        <w:rPr>
          <w:color w:val="000000" w:themeColor="text1"/>
        </w:rPr>
        <w:t xml:space="preserve"> et al., 2010). There are two forms of SNAP-IV; a long form of 9</w:t>
      </w:r>
      <w:commentRangeStart w:id="55"/>
      <w:r w:rsidR="004F55E3" w:rsidRPr="003B6BE9">
        <w:rPr>
          <w:color w:val="000000" w:themeColor="text1"/>
        </w:rPr>
        <w:t>0</w:t>
      </w:r>
      <w:commentRangeEnd w:id="55"/>
      <w:r w:rsidR="004F55E3" w:rsidRPr="003B6BE9">
        <w:rPr>
          <w:rStyle w:val="CommentReference"/>
          <w:color w:val="000000" w:themeColor="text1"/>
        </w:rPr>
        <w:commentReference w:id="55"/>
      </w:r>
      <w:r w:rsidR="004F55E3" w:rsidRPr="003B6BE9">
        <w:rPr>
          <w:color w:val="000000" w:themeColor="text1"/>
        </w:rPr>
        <w:t xml:space="preserve"> questions that assesses not only ADHD but also ODD and all other forms of childhood disorders listed in DSM-IV and a short form of SNAP-IV, which we have used. This </w:t>
      </w:r>
      <w:r>
        <w:rPr>
          <w:color w:val="000000" w:themeColor="text1"/>
        </w:rPr>
        <w:t>version</w:t>
      </w:r>
      <w:r w:rsidR="004F55E3" w:rsidRPr="003B6BE9">
        <w:rPr>
          <w:color w:val="000000" w:themeColor="text1"/>
        </w:rPr>
        <w:t xml:space="preserve">, with 20 of the 90 questions, assesses core symptoms of ADHD and symptoms of ODD. </w:t>
      </w:r>
      <w:r w:rsidR="004F55E3" w:rsidRPr="003B6BE9">
        <w:rPr>
          <w:color w:val="000000" w:themeColor="text1"/>
          <w:shd w:val="clear" w:color="auto" w:fill="FFFFFF"/>
        </w:rPr>
        <w:t>Questions are answered (translated from Swedish to English): “Not at all”, “Just a little”, “Quite a bit” and “Very much” (</w:t>
      </w:r>
      <w:proofErr w:type="spellStart"/>
      <w:r w:rsidR="004F55E3" w:rsidRPr="003B6BE9">
        <w:rPr>
          <w:color w:val="000000" w:themeColor="text1"/>
          <w:shd w:val="clear" w:color="auto" w:fill="FFFFFF"/>
        </w:rPr>
        <w:t>Inte</w:t>
      </w:r>
      <w:proofErr w:type="spellEnd"/>
      <w:r w:rsidR="004F55E3" w:rsidRPr="003B6BE9">
        <w:rPr>
          <w:color w:val="000000" w:themeColor="text1"/>
          <w:shd w:val="clear" w:color="auto" w:fill="FFFFFF"/>
        </w:rPr>
        <w:t xml:space="preserve"> </w:t>
      </w:r>
      <w:proofErr w:type="spellStart"/>
      <w:r w:rsidR="004F55E3" w:rsidRPr="003B6BE9">
        <w:rPr>
          <w:color w:val="000000" w:themeColor="text1"/>
          <w:shd w:val="clear" w:color="auto" w:fill="FFFFFF"/>
        </w:rPr>
        <w:t>alls</w:t>
      </w:r>
      <w:proofErr w:type="spellEnd"/>
      <w:r w:rsidR="004F55E3" w:rsidRPr="003B6BE9">
        <w:rPr>
          <w:color w:val="000000" w:themeColor="text1"/>
          <w:shd w:val="clear" w:color="auto" w:fill="FFFFFF"/>
        </w:rPr>
        <w:t xml:space="preserve">; Bara </w:t>
      </w:r>
      <w:proofErr w:type="spellStart"/>
      <w:r w:rsidR="004F55E3" w:rsidRPr="003B6BE9">
        <w:rPr>
          <w:color w:val="000000" w:themeColor="text1"/>
          <w:shd w:val="clear" w:color="auto" w:fill="FFFFFF"/>
        </w:rPr>
        <w:t>lite</w:t>
      </w:r>
      <w:proofErr w:type="spellEnd"/>
      <w:r w:rsidR="004F55E3" w:rsidRPr="003B6BE9">
        <w:rPr>
          <w:color w:val="000000" w:themeColor="text1"/>
          <w:shd w:val="clear" w:color="auto" w:fill="FFFFFF"/>
        </w:rPr>
        <w:t xml:space="preserve">; </w:t>
      </w:r>
      <w:proofErr w:type="spellStart"/>
      <w:r w:rsidR="004F55E3" w:rsidRPr="003B6BE9">
        <w:rPr>
          <w:color w:val="000000" w:themeColor="text1"/>
          <w:shd w:val="clear" w:color="auto" w:fill="FFFFFF"/>
        </w:rPr>
        <w:t>En</w:t>
      </w:r>
      <w:proofErr w:type="spellEnd"/>
      <w:r w:rsidR="004F55E3" w:rsidRPr="003B6BE9">
        <w:rPr>
          <w:color w:val="000000" w:themeColor="text1"/>
          <w:shd w:val="clear" w:color="auto" w:fill="FFFFFF"/>
        </w:rPr>
        <w:t xml:space="preserve"> </w:t>
      </w:r>
      <w:proofErr w:type="spellStart"/>
      <w:r w:rsidR="004F55E3" w:rsidRPr="003B6BE9">
        <w:rPr>
          <w:color w:val="000000" w:themeColor="text1"/>
          <w:shd w:val="clear" w:color="auto" w:fill="FFFFFF"/>
        </w:rPr>
        <w:t>heldel</w:t>
      </w:r>
      <w:proofErr w:type="spellEnd"/>
      <w:r w:rsidR="004F55E3" w:rsidRPr="003B6BE9">
        <w:rPr>
          <w:color w:val="000000" w:themeColor="text1"/>
          <w:shd w:val="clear" w:color="auto" w:fill="FFFFFF"/>
        </w:rPr>
        <w:t xml:space="preserve"> and </w:t>
      </w:r>
      <w:proofErr w:type="spellStart"/>
      <w:r w:rsidR="004F55E3" w:rsidRPr="003B6BE9">
        <w:rPr>
          <w:color w:val="000000" w:themeColor="text1"/>
          <w:shd w:val="clear" w:color="auto" w:fill="FFFFFF"/>
        </w:rPr>
        <w:t>Väldigt</w:t>
      </w:r>
      <w:proofErr w:type="spellEnd"/>
      <w:r w:rsidR="004F55E3" w:rsidRPr="003B6BE9">
        <w:rPr>
          <w:color w:val="000000" w:themeColor="text1"/>
          <w:shd w:val="clear" w:color="auto" w:fill="FFFFFF"/>
        </w:rPr>
        <w:t xml:space="preserve"> </w:t>
      </w:r>
      <w:proofErr w:type="spellStart"/>
      <w:r w:rsidR="004F55E3" w:rsidRPr="003B6BE9">
        <w:rPr>
          <w:color w:val="000000" w:themeColor="text1"/>
          <w:shd w:val="clear" w:color="auto" w:fill="FFFFFF"/>
        </w:rPr>
        <w:t>mycket</w:t>
      </w:r>
      <w:proofErr w:type="spellEnd"/>
      <w:r w:rsidR="004F55E3" w:rsidRPr="003B6BE9">
        <w:rPr>
          <w:color w:val="000000" w:themeColor="text1"/>
          <w:shd w:val="clear" w:color="auto" w:fill="FFFFFF"/>
        </w:rPr>
        <w:t>)</w:t>
      </w:r>
      <w:r w:rsidR="004F55E3" w:rsidRPr="003B6BE9">
        <w:rPr>
          <w:color w:val="000000" w:themeColor="text1"/>
        </w:rPr>
        <w:t xml:space="preserve">. SNAP-IV has </w:t>
      </w:r>
      <w:r w:rsidR="004F55E3" w:rsidRPr="003B6BE9">
        <w:rPr>
          <w:color w:val="000000" w:themeColor="text1"/>
        </w:rPr>
        <w:lastRenderedPageBreak/>
        <w:t xml:space="preserve">normative data for ages 5–11 years, but in Sweden it is used up to age 18 years (Bussing et al., 2008; </w:t>
      </w:r>
      <w:proofErr w:type="spellStart"/>
      <w:r w:rsidR="004F55E3" w:rsidRPr="003B6BE9">
        <w:rPr>
          <w:color w:val="000000" w:themeColor="text1"/>
        </w:rPr>
        <w:t>Collett</w:t>
      </w:r>
      <w:proofErr w:type="spellEnd"/>
      <w:r w:rsidR="004F55E3" w:rsidRPr="003B6BE9">
        <w:rPr>
          <w:color w:val="000000" w:themeColor="text1"/>
        </w:rPr>
        <w:t xml:space="preserve"> et al., 2003). SNAP-IV is not gender-normed. Bussing et al. have found small to medium-size differences in gender discrepancies in parent and teacher ratings</w:t>
      </w:r>
      <w:r>
        <w:rPr>
          <w:color w:val="000000" w:themeColor="text1"/>
        </w:rPr>
        <w:t xml:space="preserve"> of boys and girls</w:t>
      </w:r>
      <w:r w:rsidR="004F55E3" w:rsidRPr="003B6BE9">
        <w:rPr>
          <w:color w:val="000000" w:themeColor="text1"/>
        </w:rPr>
        <w:t>, where the ratings were higher for boys than girls (Bussing et al., 2008), but the differences have been too small to support the use of gender-specific norms for SNAP</w:t>
      </w:r>
      <w:r w:rsidR="008611C2">
        <w:rPr>
          <w:color w:val="000000" w:themeColor="text1"/>
        </w:rPr>
        <w:t>-IV</w:t>
      </w:r>
      <w:r w:rsidR="004F55E3" w:rsidRPr="003B6BE9">
        <w:rPr>
          <w:color w:val="000000" w:themeColor="text1"/>
        </w:rPr>
        <w:t>. There is one parental SNAP-IV version and one teacher SNAP-IV version, which are to be used with the same patient (</w:t>
      </w:r>
      <w:proofErr w:type="spellStart"/>
      <w:r w:rsidR="004F55E3" w:rsidRPr="003B6BE9">
        <w:rPr>
          <w:color w:val="000000" w:themeColor="text1"/>
        </w:rPr>
        <w:t>Dunerfeldt</w:t>
      </w:r>
      <w:proofErr w:type="spellEnd"/>
      <w:r w:rsidR="004F55E3" w:rsidRPr="003B6BE9">
        <w:rPr>
          <w:color w:val="000000" w:themeColor="text1"/>
        </w:rPr>
        <w:t xml:space="preserve"> et al., 2010).</w:t>
      </w:r>
    </w:p>
    <w:p w14:paraId="7827FDC0" w14:textId="77777777" w:rsidR="004F55E3" w:rsidRPr="003B6BE9" w:rsidRDefault="004F55E3" w:rsidP="000A420F">
      <w:pPr>
        <w:pStyle w:val="Heading4"/>
        <w:rPr>
          <w:color w:val="000000" w:themeColor="text1"/>
          <w:lang w:val="en-US"/>
        </w:rPr>
      </w:pPr>
      <w:r w:rsidRPr="003B6BE9">
        <w:rPr>
          <w:color w:val="000000" w:themeColor="text1"/>
          <w:lang w:val="en-US"/>
        </w:rPr>
        <w:t>5–15</w:t>
      </w:r>
    </w:p>
    <w:p w14:paraId="313EB0D4" w14:textId="03F1398E" w:rsidR="004F55E3" w:rsidRPr="003B6BE9" w:rsidRDefault="004F55E3" w:rsidP="000A420F">
      <w:pPr>
        <w:pStyle w:val="bodytext"/>
        <w:rPr>
          <w:color w:val="000000" w:themeColor="text1"/>
        </w:rPr>
      </w:pPr>
      <w:r w:rsidRPr="003B6BE9">
        <w:rPr>
          <w:color w:val="000000" w:themeColor="text1"/>
        </w:rPr>
        <w:t>(</w:t>
      </w:r>
      <w:r w:rsidR="00DB135E">
        <w:rPr>
          <w:color w:val="000000" w:themeColor="text1"/>
        </w:rPr>
        <w:t>Paper</w:t>
      </w:r>
      <w:r w:rsidRPr="003B6BE9">
        <w:rPr>
          <w:color w:val="000000" w:themeColor="text1"/>
        </w:rPr>
        <w:t xml:space="preserve"> I, II, and IV)</w:t>
      </w:r>
    </w:p>
    <w:p w14:paraId="4D127514" w14:textId="77777777" w:rsidR="004F55E3" w:rsidRPr="003B6BE9" w:rsidRDefault="004F55E3" w:rsidP="000A420F">
      <w:pPr>
        <w:pStyle w:val="bodytext"/>
        <w:rPr>
          <w:color w:val="000000" w:themeColor="text1"/>
        </w:rPr>
      </w:pPr>
      <w:r w:rsidRPr="003B6BE9">
        <w:rPr>
          <w:color w:val="000000" w:themeColor="text1"/>
        </w:rPr>
        <w:t>5-15 is a parental questionnaire developed with the purpose of visualizing difficulties in children and adolescents aged 5 to 15 years (</w:t>
      </w:r>
      <w:proofErr w:type="spellStart"/>
      <w:r w:rsidRPr="003B6BE9">
        <w:rPr>
          <w:color w:val="000000" w:themeColor="text1"/>
        </w:rPr>
        <w:t>Kadesjö</w:t>
      </w:r>
      <w:proofErr w:type="spellEnd"/>
      <w:r w:rsidRPr="003B6BE9">
        <w:rPr>
          <w:color w:val="000000" w:themeColor="text1"/>
        </w:rPr>
        <w:t xml:space="preserve"> et al., 2004). The questionnaire has been tested in several clinical settings, showing great reliability and user satisfaction (</w:t>
      </w:r>
      <w:proofErr w:type="spellStart"/>
      <w:r w:rsidRPr="003B6BE9">
        <w:rPr>
          <w:color w:val="000000" w:themeColor="text1"/>
        </w:rPr>
        <w:t>Airaksinen</w:t>
      </w:r>
      <w:proofErr w:type="spellEnd"/>
      <w:r w:rsidRPr="003B6BE9">
        <w:rPr>
          <w:color w:val="000000" w:themeColor="text1"/>
        </w:rPr>
        <w:t xml:space="preserve"> et al., 2004; </w:t>
      </w:r>
      <w:proofErr w:type="spellStart"/>
      <w:r w:rsidRPr="003B6BE9">
        <w:rPr>
          <w:color w:val="000000" w:themeColor="text1"/>
        </w:rPr>
        <w:t>Bohlin</w:t>
      </w:r>
      <w:proofErr w:type="spellEnd"/>
      <w:r w:rsidRPr="003B6BE9">
        <w:rPr>
          <w:color w:val="000000" w:themeColor="text1"/>
        </w:rPr>
        <w:t xml:space="preserve"> &amp; </w:t>
      </w:r>
      <w:proofErr w:type="spellStart"/>
      <w:r w:rsidRPr="003B6BE9">
        <w:rPr>
          <w:color w:val="000000" w:themeColor="text1"/>
        </w:rPr>
        <w:t>Janols</w:t>
      </w:r>
      <w:proofErr w:type="spellEnd"/>
      <w:r w:rsidRPr="003B6BE9">
        <w:rPr>
          <w:color w:val="000000" w:themeColor="text1"/>
        </w:rPr>
        <w:t xml:space="preserve">, 2004; Bruce et al., 2006). 5-15 consists of 181 statements regarding the child’s skills and </w:t>
      </w:r>
      <w:proofErr w:type="spellStart"/>
      <w:r w:rsidRPr="003B6BE9">
        <w:rPr>
          <w:color w:val="000000" w:themeColor="text1"/>
        </w:rPr>
        <w:t>behaviors</w:t>
      </w:r>
      <w:proofErr w:type="spellEnd"/>
      <w:r w:rsidRPr="003B6BE9">
        <w:rPr>
          <w:color w:val="000000" w:themeColor="text1"/>
        </w:rPr>
        <w:t xml:space="preserve">, followed by boxes marked </w:t>
      </w:r>
      <w:r w:rsidRPr="003B6BE9">
        <w:rPr>
          <w:bCs/>
          <w:color w:val="000000" w:themeColor="text1"/>
        </w:rPr>
        <w:t>“Does not apply,” “Applies sometimes/to some extent,” and “Applies.”</w:t>
      </w:r>
      <w:r w:rsidRPr="003B6BE9">
        <w:rPr>
          <w:color w:val="000000" w:themeColor="text1"/>
        </w:rPr>
        <w:t xml:space="preserve"> The areas covered include motor function, attention/executive function, language, memory, learning, social skills, and internalizing and externalizing </w:t>
      </w:r>
      <w:proofErr w:type="spellStart"/>
      <w:r w:rsidRPr="003B6BE9">
        <w:rPr>
          <w:color w:val="000000" w:themeColor="text1"/>
        </w:rPr>
        <w:t>behavior</w:t>
      </w:r>
      <w:proofErr w:type="spellEnd"/>
      <w:r w:rsidRPr="003B6BE9">
        <w:rPr>
          <w:color w:val="000000" w:themeColor="text1"/>
        </w:rPr>
        <w:t xml:space="preserve"> problems (</w:t>
      </w:r>
      <w:proofErr w:type="spellStart"/>
      <w:r w:rsidRPr="003B6BE9">
        <w:rPr>
          <w:color w:val="000000" w:themeColor="text1"/>
        </w:rPr>
        <w:t>Korkman</w:t>
      </w:r>
      <w:proofErr w:type="spellEnd"/>
      <w:r w:rsidRPr="003B6BE9">
        <w:rPr>
          <w:color w:val="000000" w:themeColor="text1"/>
        </w:rPr>
        <w:t xml:space="preserve"> et al., 2004; </w:t>
      </w:r>
      <w:proofErr w:type="spellStart"/>
      <w:r w:rsidRPr="003B6BE9">
        <w:rPr>
          <w:color w:val="000000" w:themeColor="text1"/>
        </w:rPr>
        <w:t>Trillingsgaard</w:t>
      </w:r>
      <w:proofErr w:type="spellEnd"/>
      <w:r w:rsidRPr="003B6BE9">
        <w:rPr>
          <w:color w:val="000000" w:themeColor="text1"/>
        </w:rPr>
        <w:t>, 2004).</w:t>
      </w:r>
    </w:p>
    <w:p w14:paraId="582265B8" w14:textId="77777777" w:rsidR="004F55E3" w:rsidRPr="003B6BE9" w:rsidRDefault="004F55E3" w:rsidP="000A420F">
      <w:pPr>
        <w:pStyle w:val="Heading2"/>
        <w:rPr>
          <w:color w:val="000000" w:themeColor="text1"/>
          <w:lang w:val="en-US"/>
        </w:rPr>
      </w:pPr>
      <w:bookmarkStart w:id="56" w:name="_Toc492391049"/>
      <w:r w:rsidRPr="003B6BE9">
        <w:rPr>
          <w:color w:val="000000" w:themeColor="text1"/>
          <w:lang w:val="en-US"/>
        </w:rPr>
        <w:t>Statistics</w:t>
      </w:r>
      <w:bookmarkEnd w:id="56"/>
    </w:p>
    <w:p w14:paraId="3AA51B70" w14:textId="48162F1F" w:rsidR="004F55E3" w:rsidRPr="003B6BE9" w:rsidRDefault="004F55E3" w:rsidP="000A420F">
      <w:pPr>
        <w:pStyle w:val="bodytext"/>
        <w:rPr>
          <w:color w:val="000000" w:themeColor="text1"/>
        </w:rPr>
      </w:pPr>
      <w:r w:rsidRPr="003B6BE9">
        <w:rPr>
          <w:color w:val="000000" w:themeColor="text1"/>
        </w:rPr>
        <w:t xml:space="preserve">The anonymous audiograms were </w:t>
      </w:r>
      <w:proofErr w:type="spellStart"/>
      <w:r w:rsidRPr="003B6BE9">
        <w:rPr>
          <w:color w:val="000000" w:themeColor="text1"/>
        </w:rPr>
        <w:t>analyzed</w:t>
      </w:r>
      <w:proofErr w:type="spellEnd"/>
      <w:r w:rsidRPr="003B6BE9">
        <w:rPr>
          <w:color w:val="000000" w:themeColor="text1"/>
        </w:rPr>
        <w:t xml:space="preserve"> by SENSODETECT, and the raw data files were handed over to us for </w:t>
      </w:r>
      <w:proofErr w:type="spellStart"/>
      <w:r w:rsidRPr="003B6BE9">
        <w:rPr>
          <w:color w:val="000000" w:themeColor="text1"/>
        </w:rPr>
        <w:t>statistic</w:t>
      </w:r>
      <w:proofErr w:type="spellEnd"/>
      <w:r w:rsidRPr="003B6BE9">
        <w:rPr>
          <w:color w:val="000000" w:themeColor="text1"/>
        </w:rPr>
        <w:t xml:space="preserve"> analysis. The statistical analyses were undertaken using IBM SPSS Statistics (IBM Corporation, NY, USA)</w:t>
      </w:r>
      <w:r w:rsidR="008611C2">
        <w:rPr>
          <w:color w:val="000000" w:themeColor="text1"/>
        </w:rPr>
        <w:t xml:space="preserve"> and</w:t>
      </w:r>
      <w:r w:rsidR="002A015B">
        <w:rPr>
          <w:color w:val="000000" w:themeColor="text1"/>
        </w:rPr>
        <w:t xml:space="preserve"> R</w:t>
      </w:r>
      <w:r w:rsidR="00020EB3">
        <w:rPr>
          <w:color w:val="000000" w:themeColor="text1"/>
        </w:rPr>
        <w:t xml:space="preserve"> (www.r-project.org)</w:t>
      </w:r>
      <w:r w:rsidRPr="003B6BE9">
        <w:rPr>
          <w:color w:val="000000" w:themeColor="text1"/>
        </w:rPr>
        <w:t xml:space="preserve">. The level of statistical significance was set </w:t>
      </w:r>
      <w:proofErr w:type="spellStart"/>
      <w:r w:rsidRPr="003B6BE9">
        <w:rPr>
          <w:color w:val="000000" w:themeColor="text1"/>
        </w:rPr>
        <w:t>to p</w:t>
      </w:r>
      <w:proofErr w:type="spellEnd"/>
      <w:r w:rsidRPr="003B6BE9">
        <w:rPr>
          <w:color w:val="000000" w:themeColor="text1"/>
        </w:rPr>
        <w:t xml:space="preserve"> = 0.05. </w:t>
      </w:r>
    </w:p>
    <w:p w14:paraId="6B1A5820" w14:textId="77777777" w:rsidR="004F55E3" w:rsidRPr="003B6BE9" w:rsidRDefault="004F55E3" w:rsidP="000A420F">
      <w:pPr>
        <w:pStyle w:val="Heading4"/>
        <w:rPr>
          <w:color w:val="000000" w:themeColor="text1"/>
          <w:lang w:val="en-US"/>
        </w:rPr>
      </w:pPr>
      <w:r w:rsidRPr="003B6BE9">
        <w:rPr>
          <w:color w:val="000000" w:themeColor="text1"/>
          <w:lang w:val="en-US"/>
        </w:rPr>
        <w:t>Comparison of means between two or more groups (Papers I, II, III, and IV)</w:t>
      </w:r>
    </w:p>
    <w:p w14:paraId="6CB3A58E" w14:textId="77777777" w:rsidR="004F55E3" w:rsidRPr="003B6BE9" w:rsidRDefault="004F55E3" w:rsidP="000A420F">
      <w:pPr>
        <w:pStyle w:val="bodytext"/>
        <w:rPr>
          <w:color w:val="000000" w:themeColor="text1"/>
        </w:rPr>
      </w:pPr>
      <w:r w:rsidRPr="003B6BE9">
        <w:rPr>
          <w:color w:val="000000" w:themeColor="text1"/>
        </w:rPr>
        <w:t>Independent sample t-test</w:t>
      </w:r>
    </w:p>
    <w:p w14:paraId="42E32203" w14:textId="77777777" w:rsidR="004F55E3" w:rsidRPr="003B6BE9" w:rsidRDefault="004F55E3" w:rsidP="000A420F">
      <w:pPr>
        <w:pStyle w:val="bodytext"/>
        <w:rPr>
          <w:color w:val="000000" w:themeColor="text1"/>
        </w:rPr>
      </w:pPr>
      <w:r w:rsidRPr="003B6BE9">
        <w:rPr>
          <w:color w:val="000000" w:themeColor="text1"/>
        </w:rPr>
        <w:t>When groups of variables are normally distributed and have equal variance, one can use the t-test to compare mean scores of two independent groups. In Paper IV we used this method to compare the ADHD group to the control group. When using the t-test, the variables have to be continuous.</w:t>
      </w:r>
    </w:p>
    <w:p w14:paraId="1E9C9672" w14:textId="77777777" w:rsidR="004F55E3" w:rsidRPr="003B6BE9" w:rsidRDefault="004F55E3" w:rsidP="000A420F">
      <w:pPr>
        <w:pStyle w:val="bodytext"/>
        <w:rPr>
          <w:color w:val="000000" w:themeColor="text1"/>
        </w:rPr>
      </w:pPr>
      <w:r w:rsidRPr="003B6BE9">
        <w:rPr>
          <w:color w:val="000000" w:themeColor="text1"/>
        </w:rPr>
        <w:lastRenderedPageBreak/>
        <w:t xml:space="preserve">Mann-Whitney U-test or Wilcoxon rank sum test </w:t>
      </w:r>
    </w:p>
    <w:p w14:paraId="78446695" w14:textId="77777777" w:rsidR="004F55E3" w:rsidRPr="003B6BE9" w:rsidRDefault="004F55E3" w:rsidP="000A420F">
      <w:pPr>
        <w:pStyle w:val="bodytext"/>
        <w:rPr>
          <w:color w:val="000000" w:themeColor="text1"/>
        </w:rPr>
      </w:pPr>
      <w:r w:rsidRPr="003B6BE9">
        <w:rPr>
          <w:color w:val="000000" w:themeColor="text1"/>
        </w:rPr>
        <w:t xml:space="preserve">This test is used when the two groups are not normally distributed. The test does, however, demand that compared data come from distributions of equal variance. Mann-Whitney U-test compares median instead of mean. </w:t>
      </w:r>
    </w:p>
    <w:p w14:paraId="732053CB" w14:textId="77777777" w:rsidR="004F55E3" w:rsidRPr="003B6BE9" w:rsidRDefault="004F55E3" w:rsidP="000A420F">
      <w:pPr>
        <w:pStyle w:val="bodytext"/>
        <w:rPr>
          <w:color w:val="000000" w:themeColor="text1"/>
        </w:rPr>
      </w:pPr>
      <w:r w:rsidRPr="003B6BE9">
        <w:rPr>
          <w:color w:val="000000" w:themeColor="text1"/>
        </w:rPr>
        <w:t xml:space="preserve">When using Mann-Whitney U-test, the variables have to be continuous. In Papers I, II, and III the variables were </w:t>
      </w:r>
      <w:r w:rsidRPr="003B6BE9">
        <w:rPr>
          <w:i/>
          <w:color w:val="000000" w:themeColor="text1"/>
        </w:rPr>
        <w:t>not</w:t>
      </w:r>
      <w:r w:rsidRPr="003B6BE9">
        <w:rPr>
          <w:color w:val="000000" w:themeColor="text1"/>
        </w:rPr>
        <w:t xml:space="preserve"> normally distributed; therefore, this test was used to compare the ADHD and the ASD groups with the control group.</w:t>
      </w:r>
    </w:p>
    <w:p w14:paraId="3A3B81B7" w14:textId="77777777" w:rsidR="004F55E3" w:rsidRPr="003B6BE9" w:rsidRDefault="004F55E3" w:rsidP="000A420F">
      <w:pPr>
        <w:pStyle w:val="bodytext"/>
        <w:rPr>
          <w:color w:val="000000" w:themeColor="text1"/>
        </w:rPr>
      </w:pPr>
      <w:r w:rsidRPr="003B6BE9">
        <w:rPr>
          <w:color w:val="000000" w:themeColor="text1"/>
        </w:rPr>
        <w:t>Analysis of variances (ANOVA)</w:t>
      </w:r>
    </w:p>
    <w:p w14:paraId="17EC23C6" w14:textId="669A8E07" w:rsidR="004F55E3" w:rsidRPr="003B6BE9" w:rsidRDefault="004F55E3" w:rsidP="000A420F">
      <w:pPr>
        <w:pStyle w:val="bodytext"/>
        <w:rPr>
          <w:color w:val="000000" w:themeColor="text1"/>
        </w:rPr>
      </w:pPr>
      <w:r w:rsidRPr="003B6BE9">
        <w:rPr>
          <w:color w:val="000000" w:themeColor="text1"/>
        </w:rPr>
        <w:t xml:space="preserve">When comparing the means between more than two groups, ANOVA can be used. </w:t>
      </w:r>
      <w:r w:rsidR="00AB2DCF">
        <w:rPr>
          <w:color w:val="000000" w:themeColor="text1"/>
        </w:rPr>
        <w:t xml:space="preserve">ANOVA </w:t>
      </w:r>
      <w:r w:rsidR="00632690">
        <w:rPr>
          <w:color w:val="000000" w:themeColor="text1"/>
        </w:rPr>
        <w:t xml:space="preserve">can be used when the groups </w:t>
      </w:r>
      <w:r w:rsidR="00632690" w:rsidRPr="003B6BE9">
        <w:rPr>
          <w:color w:val="000000" w:themeColor="text1"/>
        </w:rPr>
        <w:t>are normally distributed</w:t>
      </w:r>
      <w:r w:rsidR="00632690">
        <w:rPr>
          <w:color w:val="000000" w:themeColor="text1"/>
        </w:rPr>
        <w:t xml:space="preserve">. If the groups are not normally distributed one shall use </w:t>
      </w:r>
      <w:proofErr w:type="spellStart"/>
      <w:r w:rsidR="00632690">
        <w:rPr>
          <w:color w:val="000000" w:themeColor="text1"/>
        </w:rPr>
        <w:t>Kruskal</w:t>
      </w:r>
      <w:proofErr w:type="spellEnd"/>
      <w:r w:rsidR="00632690">
        <w:rPr>
          <w:color w:val="000000" w:themeColor="text1"/>
        </w:rPr>
        <w:t>-Wallis test instead.</w:t>
      </w:r>
      <w:r w:rsidR="00632690" w:rsidRPr="003B6BE9">
        <w:rPr>
          <w:color w:val="000000" w:themeColor="text1"/>
        </w:rPr>
        <w:t xml:space="preserve"> </w:t>
      </w:r>
      <w:r w:rsidRPr="003B6BE9">
        <w:rPr>
          <w:color w:val="000000" w:themeColor="text1"/>
        </w:rPr>
        <w:t>ANOVA tests the hypothesis that all means are the same. An ANOVA test compares the variance within the groups with the variances between the groups (F value). The greater the variances between the groups and the less the variances within the groups, the greater is (F). In Paper IV we compared model fit using an ANOVA, to assess whether the inclusion of polynomial terms improved the model fit. Once the best fitting model had been selected for each cognitive variable, we tested whether including diagnostic group, or an interaction term of group, improved the model fit.</w:t>
      </w:r>
      <w:r w:rsidR="00AA5A29" w:rsidRPr="003B6BE9">
        <w:rPr>
          <w:color w:val="000000" w:themeColor="text1"/>
        </w:rPr>
        <w:t xml:space="preserve"> </w:t>
      </w:r>
    </w:p>
    <w:p w14:paraId="592511AF" w14:textId="77777777" w:rsidR="004F55E3" w:rsidRPr="003B6BE9" w:rsidRDefault="004F55E3" w:rsidP="000A420F">
      <w:pPr>
        <w:pStyle w:val="Heading4"/>
        <w:rPr>
          <w:color w:val="000000" w:themeColor="text1"/>
          <w:lang w:val="en-US"/>
        </w:rPr>
      </w:pPr>
      <w:r w:rsidRPr="003B6BE9">
        <w:rPr>
          <w:color w:val="000000" w:themeColor="text1"/>
          <w:lang w:val="en-US"/>
        </w:rPr>
        <w:t>Correlation analyses (Papers I, II, and III)</w:t>
      </w:r>
    </w:p>
    <w:p w14:paraId="7E244D99" w14:textId="77777777" w:rsidR="004F55E3" w:rsidRPr="003B6BE9" w:rsidRDefault="004F55E3" w:rsidP="000A420F">
      <w:pPr>
        <w:pStyle w:val="bodytext"/>
        <w:rPr>
          <w:color w:val="000000" w:themeColor="text1"/>
        </w:rPr>
      </w:pPr>
      <w:r w:rsidRPr="003B6BE9">
        <w:rPr>
          <w:color w:val="000000" w:themeColor="text1"/>
        </w:rPr>
        <w:t>Spearman’s non-parametric rank correlation (Spearman’s rho) is a test that calculates the relationship between two variables. The ranking stands for the strength of the relationship. This test was used in Papers I, II, and III to identify pathologies in the ABR related to a normative ABR.</w:t>
      </w:r>
      <w:r w:rsidR="000A420F" w:rsidRPr="003B6BE9">
        <w:rPr>
          <w:color w:val="000000" w:themeColor="text1"/>
        </w:rPr>
        <w:t xml:space="preserve"> </w:t>
      </w:r>
      <w:r w:rsidRPr="003B6BE9">
        <w:rPr>
          <w:color w:val="000000" w:themeColor="text1"/>
        </w:rPr>
        <w:t xml:space="preserve">Values ranging from -1 to +1 were obtained using Spearman’s rho. High, positive values indicate similarity between the tested ABR and the normative ABR, that is, no pathology. Values around zero indicate no relation, and low values close to -1 indicate an inverse relationship. Then, all these values were ranked. Thus, the test subject’s most aberrant ABR region, when compared with the norm curve, got a high number, and vice versa. </w:t>
      </w:r>
    </w:p>
    <w:p w14:paraId="51C1DD6B" w14:textId="77777777" w:rsidR="004F55E3" w:rsidRPr="003B6BE9" w:rsidRDefault="004F55E3" w:rsidP="000A420F">
      <w:pPr>
        <w:pStyle w:val="Heading4"/>
        <w:rPr>
          <w:color w:val="000000" w:themeColor="text1"/>
          <w:lang w:val="en-US"/>
        </w:rPr>
      </w:pPr>
      <w:r w:rsidRPr="003B6BE9">
        <w:rPr>
          <w:color w:val="000000" w:themeColor="text1"/>
          <w:lang w:val="en-US"/>
        </w:rPr>
        <w:t>Model fitting (Paper IV)</w:t>
      </w:r>
    </w:p>
    <w:p w14:paraId="15582F03" w14:textId="77777777" w:rsidR="004F55E3" w:rsidRPr="003B6BE9" w:rsidRDefault="004F55E3" w:rsidP="000A420F">
      <w:pPr>
        <w:pStyle w:val="bodytext"/>
        <w:rPr>
          <w:color w:val="000000" w:themeColor="text1"/>
        </w:rPr>
      </w:pPr>
      <w:r w:rsidRPr="003B6BE9">
        <w:rPr>
          <w:color w:val="000000" w:themeColor="text1"/>
        </w:rPr>
        <w:t>Multiple hierarchical linear regression</w:t>
      </w:r>
    </w:p>
    <w:p w14:paraId="73103119" w14:textId="77777777" w:rsidR="004F55E3" w:rsidRPr="003B6BE9" w:rsidRDefault="004F55E3" w:rsidP="000A420F">
      <w:pPr>
        <w:pStyle w:val="bodytext"/>
        <w:rPr>
          <w:color w:val="000000" w:themeColor="text1"/>
        </w:rPr>
      </w:pPr>
      <w:r w:rsidRPr="003B6BE9">
        <w:rPr>
          <w:color w:val="000000" w:themeColor="text1"/>
        </w:rPr>
        <w:t xml:space="preserve">Linear regression is used to evaluate the relationship between a numerical outcome and a numerical exposure. The method for examining an outcome </w:t>
      </w:r>
      <w:r w:rsidRPr="003B6BE9">
        <w:rPr>
          <w:color w:val="000000" w:themeColor="text1"/>
        </w:rPr>
        <w:lastRenderedPageBreak/>
        <w:t xml:space="preserve">with several exposure variables is called a multiple linear regression. Adding these variables in steps results in a “multiple hierarchical linear regression.” This method also provides a correlation coefficient that tells us something about the strength (closeness) of the linear association. In Paper IV we used hierarchical linear regression to test, across all subjects, which model best fitted age-related changes in the cognitive variables. </w:t>
      </w:r>
    </w:p>
    <w:p w14:paraId="4F386FF6" w14:textId="77777777" w:rsidR="00782E1C" w:rsidRDefault="00782E1C">
      <w:pPr>
        <w:spacing w:after="160" w:line="259" w:lineRule="auto"/>
        <w:rPr>
          <w:rFonts w:eastAsia="Times New Roman"/>
          <w:sz w:val="22"/>
          <w:lang w:val="en-US"/>
        </w:rPr>
      </w:pPr>
      <w:r>
        <w:rPr>
          <w:lang w:val="en-US"/>
        </w:rPr>
        <w:br w:type="page"/>
      </w:r>
    </w:p>
    <w:p w14:paraId="0C4E1C65" w14:textId="77777777" w:rsidR="00782E1C" w:rsidRPr="00782E1C" w:rsidRDefault="00782E1C" w:rsidP="00782E1C">
      <w:pPr>
        <w:pStyle w:val="Heading1"/>
      </w:pPr>
      <w:bookmarkStart w:id="57" w:name="_Toc492391050"/>
      <w:r w:rsidRPr="00782E1C">
        <w:lastRenderedPageBreak/>
        <w:t>Results</w:t>
      </w:r>
      <w:bookmarkEnd w:id="57"/>
    </w:p>
    <w:p w14:paraId="2BA3FE46" w14:textId="77777777" w:rsidR="00782E1C" w:rsidRPr="00782E1C" w:rsidRDefault="00782E1C" w:rsidP="00782E1C">
      <w:pPr>
        <w:pStyle w:val="Heading2"/>
        <w:rPr>
          <w:lang w:val="en-US"/>
        </w:rPr>
      </w:pPr>
      <w:bookmarkStart w:id="58" w:name="_Toc492391051"/>
      <w:r w:rsidRPr="00782E1C">
        <w:rPr>
          <w:lang w:val="en-US"/>
        </w:rPr>
        <w:t>Paper I</w:t>
      </w:r>
      <w:bookmarkEnd w:id="58"/>
    </w:p>
    <w:p w14:paraId="4D5E8404" w14:textId="6C4C2B15" w:rsidR="00782E1C" w:rsidRPr="003B6BE9" w:rsidRDefault="00782E1C" w:rsidP="00782E1C">
      <w:pPr>
        <w:pStyle w:val="bodytext"/>
        <w:rPr>
          <w:color w:val="000000" w:themeColor="text1"/>
        </w:rPr>
      </w:pPr>
      <w:r w:rsidRPr="003B6BE9">
        <w:rPr>
          <w:color w:val="000000" w:themeColor="text1"/>
        </w:rPr>
        <w:t xml:space="preserve">We started our research by setting up a pilot study focusing on young females. </w:t>
      </w:r>
      <w:r w:rsidR="00DC69CE">
        <w:rPr>
          <w:color w:val="000000" w:themeColor="text1"/>
        </w:rPr>
        <w:t>Since we in our clinical work,</w:t>
      </w:r>
      <w:r w:rsidRPr="003B6BE9">
        <w:rPr>
          <w:color w:val="000000" w:themeColor="text1"/>
        </w:rPr>
        <w:t xml:space="preserve"> had noticed a relative increase of young female ADHD patients. This tendency has also been noted in research; ADHD is considered to have a male to female ratio approaching 1:1 (Froehlich et al., 2007), contrasting previous studies showing a gender ratio (</w:t>
      </w:r>
      <w:proofErr w:type="spellStart"/>
      <w:proofErr w:type="gramStart"/>
      <w:r w:rsidRPr="003B6BE9">
        <w:rPr>
          <w:color w:val="000000" w:themeColor="text1"/>
        </w:rPr>
        <w:t>girl:boy</w:t>
      </w:r>
      <w:proofErr w:type="spellEnd"/>
      <w:proofErr w:type="gramEnd"/>
      <w:r w:rsidRPr="003B6BE9">
        <w:rPr>
          <w:color w:val="000000" w:themeColor="text1"/>
        </w:rPr>
        <w:t>) ranging from 1:3 to 1:16 (</w:t>
      </w:r>
      <w:proofErr w:type="spellStart"/>
      <w:r w:rsidRPr="003B6BE9">
        <w:rPr>
          <w:color w:val="000000" w:themeColor="text1"/>
        </w:rPr>
        <w:t>Nøvik</w:t>
      </w:r>
      <w:proofErr w:type="spellEnd"/>
      <w:r w:rsidRPr="003B6BE9">
        <w:rPr>
          <w:color w:val="000000" w:themeColor="text1"/>
        </w:rPr>
        <w:t xml:space="preserve"> et al., 2006). </w:t>
      </w:r>
    </w:p>
    <w:p w14:paraId="3DFB7D52" w14:textId="77777777" w:rsidR="00782E1C" w:rsidRPr="003B6BE9" w:rsidRDefault="00782E1C" w:rsidP="00782E1C">
      <w:pPr>
        <w:pStyle w:val="Heading4"/>
        <w:rPr>
          <w:color w:val="000000" w:themeColor="text1"/>
          <w:lang w:val="en-US"/>
        </w:rPr>
      </w:pPr>
      <w:r w:rsidRPr="003B6BE9">
        <w:rPr>
          <w:color w:val="000000" w:themeColor="text1"/>
          <w:lang w:val="en-US"/>
        </w:rPr>
        <w:t>Results</w:t>
      </w:r>
    </w:p>
    <w:p w14:paraId="740393E5" w14:textId="76FB17D3" w:rsidR="00782E1C" w:rsidRPr="003B6BE9" w:rsidRDefault="00782E1C" w:rsidP="00782E1C">
      <w:pPr>
        <w:pStyle w:val="bodytext"/>
        <w:rPr>
          <w:color w:val="000000" w:themeColor="text1"/>
        </w:rPr>
      </w:pPr>
      <w:r w:rsidRPr="003B6BE9">
        <w:rPr>
          <w:color w:val="000000" w:themeColor="text1"/>
        </w:rPr>
        <w:t xml:space="preserve">We compared the ABR of 43 girls with ADHD to 21 age-matched </w:t>
      </w:r>
      <w:r w:rsidR="00DB135E">
        <w:rPr>
          <w:color w:val="000000" w:themeColor="text1"/>
        </w:rPr>
        <w:t xml:space="preserve">TD </w:t>
      </w:r>
      <w:r w:rsidRPr="003B6BE9">
        <w:rPr>
          <w:color w:val="000000" w:themeColor="text1"/>
        </w:rPr>
        <w:t xml:space="preserve">controls. ABR </w:t>
      </w:r>
      <w:r w:rsidR="00DB135E">
        <w:rPr>
          <w:color w:val="000000" w:themeColor="text1"/>
        </w:rPr>
        <w:t xml:space="preserve">data </w:t>
      </w:r>
      <w:r w:rsidRPr="003B6BE9">
        <w:rPr>
          <w:color w:val="000000" w:themeColor="text1"/>
        </w:rPr>
        <w:t xml:space="preserve">of the two groups </w:t>
      </w:r>
      <w:r w:rsidR="00DB135E">
        <w:rPr>
          <w:color w:val="000000" w:themeColor="text1"/>
        </w:rPr>
        <w:t>were compared</w:t>
      </w:r>
      <w:r w:rsidRPr="003B6BE9">
        <w:rPr>
          <w:color w:val="000000" w:themeColor="text1"/>
        </w:rPr>
        <w:t xml:space="preserve"> to a normed curve and to a 3500 Hz curve. Based on previous studies (</w:t>
      </w:r>
      <w:proofErr w:type="spellStart"/>
      <w:r w:rsidRPr="003B6BE9">
        <w:rPr>
          <w:color w:val="000000" w:themeColor="text1"/>
        </w:rPr>
        <w:t>Källstrand</w:t>
      </w:r>
      <w:proofErr w:type="spellEnd"/>
      <w:r w:rsidRPr="003B6BE9">
        <w:rPr>
          <w:color w:val="000000" w:themeColor="text1"/>
        </w:rPr>
        <w:t xml:space="preserve"> et al., 2002, 2010), we were interested in five time windows: 2.5–4.0 Ms, 3.3–4.3 Ms, 3.5–7.5 Ms, 4.0–7.5 Ms and 6.0–7.0 Ms. We used ranked and non-ranked correlation. </w:t>
      </w:r>
    </w:p>
    <w:p w14:paraId="484DA19E" w14:textId="0BBB11F8" w:rsidR="00782E1C" w:rsidRPr="003B6BE9" w:rsidRDefault="00782E1C" w:rsidP="00782E1C">
      <w:pPr>
        <w:pStyle w:val="bodytext"/>
        <w:rPr>
          <w:color w:val="000000" w:themeColor="text1"/>
        </w:rPr>
      </w:pPr>
      <w:r w:rsidRPr="003B6BE9">
        <w:rPr>
          <w:color w:val="000000" w:themeColor="text1"/>
        </w:rPr>
        <w:t xml:space="preserve">The ABR of the ADHD group </w:t>
      </w:r>
      <w:r w:rsidR="00DB135E">
        <w:rPr>
          <w:color w:val="000000" w:themeColor="text1"/>
        </w:rPr>
        <w:t>differed</w:t>
      </w:r>
      <w:r w:rsidRPr="003B6BE9">
        <w:rPr>
          <w:color w:val="000000" w:themeColor="text1"/>
        </w:rPr>
        <w:t xml:space="preserve"> from the control group in three locations, denominated Traits (TR). The trait numbers were not linked to the total numbers of traits but were used as identifiers.</w:t>
      </w:r>
    </w:p>
    <w:p w14:paraId="653DF3C0" w14:textId="6594DC86" w:rsidR="00782E1C" w:rsidRPr="00F244F7" w:rsidRDefault="00782E1C" w:rsidP="00782E1C">
      <w:pPr>
        <w:pStyle w:val="bodytext"/>
      </w:pPr>
      <w:r w:rsidRPr="003B6BE9">
        <w:rPr>
          <w:color w:val="000000" w:themeColor="text1"/>
        </w:rPr>
        <w:t xml:space="preserve">In </w:t>
      </w:r>
      <w:proofErr w:type="gramStart"/>
      <w:r w:rsidRPr="003B6BE9">
        <w:rPr>
          <w:color w:val="000000" w:themeColor="text1"/>
        </w:rPr>
        <w:t>Study</w:t>
      </w:r>
      <w:proofErr w:type="gramEnd"/>
      <w:r w:rsidRPr="003B6BE9">
        <w:rPr>
          <w:color w:val="000000" w:themeColor="text1"/>
        </w:rPr>
        <w:t xml:space="preserve"> I we found an aberrant curve profile in the ABR region 6.0–7.0 Ms when compared to a normed curve, TR6 (p = 0.0004). This region is considered to correspond to the thalamus (Figure </w:t>
      </w:r>
      <w:commentRangeStart w:id="59"/>
      <w:r w:rsidRPr="003B6BE9">
        <w:rPr>
          <w:color w:val="000000" w:themeColor="text1"/>
        </w:rPr>
        <w:t>1</w:t>
      </w:r>
      <w:commentRangeEnd w:id="59"/>
      <w:r w:rsidRPr="003B6BE9">
        <w:rPr>
          <w:rStyle w:val="CommentReference"/>
          <w:color w:val="000000" w:themeColor="text1"/>
        </w:rPr>
        <w:commentReference w:id="59"/>
      </w:r>
      <w:r w:rsidRPr="003B6BE9">
        <w:rPr>
          <w:color w:val="000000" w:themeColor="text1"/>
        </w:rPr>
        <w:t xml:space="preserve">). We also found a higher presence of 3500 Hz frequencies in the region 4.0–7.5 Ms (TR 14) (p = 0.0026), corresponding anatomically to an area ranging from the superior </w:t>
      </w:r>
      <w:proofErr w:type="spellStart"/>
      <w:r w:rsidRPr="003B6BE9">
        <w:rPr>
          <w:color w:val="000000" w:themeColor="text1"/>
        </w:rPr>
        <w:t>olivary</w:t>
      </w:r>
      <w:proofErr w:type="spellEnd"/>
      <w:r w:rsidRPr="003B6BE9">
        <w:rPr>
          <w:color w:val="000000" w:themeColor="text1"/>
        </w:rPr>
        <w:t xml:space="preserve"> complex to the thalamus. In the ABR reg</w:t>
      </w:r>
      <w:r w:rsidR="00DB135E">
        <w:rPr>
          <w:color w:val="000000" w:themeColor="text1"/>
        </w:rPr>
        <w:t xml:space="preserve">ion 3.3–4.3 Ms, we found an </w:t>
      </w:r>
      <w:r w:rsidRPr="003B6BE9">
        <w:rPr>
          <w:color w:val="000000" w:themeColor="text1"/>
        </w:rPr>
        <w:t>aberrant curve profile</w:t>
      </w:r>
      <w:r w:rsidR="00DF35D8">
        <w:rPr>
          <w:color w:val="000000" w:themeColor="text1"/>
        </w:rPr>
        <w:t xml:space="preserve"> (TR15) (p = 0.001), corresponding</w:t>
      </w:r>
      <w:r w:rsidRPr="003B6BE9">
        <w:rPr>
          <w:color w:val="000000" w:themeColor="text1"/>
        </w:rPr>
        <w:t xml:space="preserve"> anatomically to the lateral </w:t>
      </w:r>
      <w:proofErr w:type="spellStart"/>
      <w:r w:rsidRPr="003B6BE9">
        <w:rPr>
          <w:color w:val="000000" w:themeColor="text1"/>
        </w:rPr>
        <w:t>leminiscus</w:t>
      </w:r>
      <w:proofErr w:type="spellEnd"/>
      <w:r w:rsidRPr="003B6BE9">
        <w:rPr>
          <w:color w:val="000000" w:themeColor="text1"/>
        </w:rPr>
        <w:t>/pons area (Table 5) (Figure 10a-c</w:t>
      </w:r>
      <w:r w:rsidRPr="00782E1C">
        <w:t>)</w:t>
      </w:r>
      <w:r w:rsidRPr="00F244F7">
        <w:t xml:space="preserve"> </w:t>
      </w:r>
    </w:p>
    <w:p w14:paraId="14BD0649" w14:textId="77777777" w:rsidR="00782E1C" w:rsidRDefault="00782E1C">
      <w:pPr>
        <w:spacing w:after="160" w:line="259" w:lineRule="auto"/>
        <w:rPr>
          <w:rFonts w:ascii="Arial" w:hAnsi="Arial" w:cs="Arial"/>
          <w:sz w:val="28"/>
          <w:szCs w:val="28"/>
          <w:lang w:val="en-US"/>
        </w:rPr>
        <w:sectPr w:rsidR="00782E1C" w:rsidSect="000C2DFE">
          <w:footerReference w:type="even" r:id="rId25"/>
          <w:footerReference w:type="default" r:id="rId26"/>
          <w:pgSz w:w="9582" w:h="13551" w:code="149"/>
          <w:pgMar w:top="1134" w:right="1134" w:bottom="1418" w:left="1134" w:header="709" w:footer="709" w:gutter="0"/>
          <w:cols w:space="708"/>
          <w:docGrid w:linePitch="360"/>
        </w:sectPr>
      </w:pPr>
    </w:p>
    <w:p w14:paraId="32A6E9D3" w14:textId="77777777" w:rsidR="00782E1C" w:rsidRDefault="00782E1C" w:rsidP="00782E1C">
      <w:pPr>
        <w:pStyle w:val="tabeltextheadline"/>
        <w:rPr>
          <w:lang w:val="en-US"/>
        </w:rPr>
      </w:pPr>
      <w:r w:rsidRPr="00782E1C">
        <w:rPr>
          <w:lang w:val="en-US"/>
        </w:rPr>
        <w:lastRenderedPageBreak/>
        <w:t xml:space="preserve">Table 5. </w:t>
      </w:r>
    </w:p>
    <w:p w14:paraId="48650C2F" w14:textId="77777777" w:rsidR="00782E1C" w:rsidRPr="00782E1C" w:rsidRDefault="00782E1C" w:rsidP="00782E1C">
      <w:pPr>
        <w:pStyle w:val="tabeltext"/>
        <w:rPr>
          <w:sz w:val="28"/>
          <w:szCs w:val="28"/>
        </w:rPr>
      </w:pPr>
      <w:r w:rsidRPr="00782E1C">
        <w:t>ABR results for young females with ADHD compared to controls. Mann-Whitney U-test was used.</w:t>
      </w:r>
    </w:p>
    <w:tbl>
      <w:tblPr>
        <w:tblStyle w:val="TableGridLight"/>
        <w:tblW w:w="5000" w:type="pct"/>
        <w:tblLayout w:type="fixed"/>
        <w:tblLook w:val="04A0" w:firstRow="1" w:lastRow="0" w:firstColumn="1" w:lastColumn="0" w:noHBand="0" w:noVBand="1"/>
      </w:tblPr>
      <w:tblGrid>
        <w:gridCol w:w="703"/>
        <w:gridCol w:w="901"/>
        <w:gridCol w:w="943"/>
        <w:gridCol w:w="1275"/>
        <w:gridCol w:w="1275"/>
        <w:gridCol w:w="710"/>
        <w:gridCol w:w="1134"/>
        <w:gridCol w:w="1134"/>
        <w:gridCol w:w="1134"/>
        <w:gridCol w:w="710"/>
        <w:gridCol w:w="1070"/>
      </w:tblGrid>
      <w:tr w:rsidR="00782E1C" w:rsidRPr="009D5573" w14:paraId="1DC5FF41" w14:textId="77777777" w:rsidTr="00782E1C">
        <w:trPr>
          <w:trHeight w:val="320"/>
        </w:trPr>
        <w:tc>
          <w:tcPr>
            <w:tcW w:w="320" w:type="pct"/>
            <w:shd w:val="clear" w:color="auto" w:fill="D6D2C4" w:themeFill="accent4"/>
            <w:noWrap/>
            <w:hideMark/>
          </w:tcPr>
          <w:p w14:paraId="67913A51" w14:textId="77777777" w:rsidR="00782E1C" w:rsidRPr="00782E1C" w:rsidRDefault="00782E1C" w:rsidP="00782E1C">
            <w:pPr>
              <w:pStyle w:val="tabeltextintabel"/>
              <w:rPr>
                <w:b/>
              </w:rPr>
            </w:pPr>
            <w:r w:rsidRPr="00782E1C">
              <w:rPr>
                <w:b/>
              </w:rPr>
              <w:t>Trait</w:t>
            </w:r>
          </w:p>
        </w:tc>
        <w:tc>
          <w:tcPr>
            <w:tcW w:w="410" w:type="pct"/>
            <w:shd w:val="clear" w:color="auto" w:fill="D6D2C4" w:themeFill="accent4"/>
            <w:noWrap/>
            <w:hideMark/>
          </w:tcPr>
          <w:p w14:paraId="49772E0F" w14:textId="77777777" w:rsidR="00782E1C" w:rsidRPr="00782E1C" w:rsidRDefault="00782E1C" w:rsidP="00782E1C">
            <w:pPr>
              <w:pStyle w:val="tabeltextintabel"/>
              <w:rPr>
                <w:b/>
              </w:rPr>
            </w:pPr>
            <w:r w:rsidRPr="00782E1C">
              <w:rPr>
                <w:b/>
              </w:rPr>
              <w:t>ADHD group(N)</w:t>
            </w:r>
          </w:p>
        </w:tc>
        <w:tc>
          <w:tcPr>
            <w:tcW w:w="429" w:type="pct"/>
            <w:shd w:val="clear" w:color="auto" w:fill="D6D2C4" w:themeFill="accent4"/>
            <w:noWrap/>
            <w:hideMark/>
          </w:tcPr>
          <w:p w14:paraId="7C2EE038" w14:textId="77777777" w:rsidR="00782E1C" w:rsidRPr="00782E1C" w:rsidRDefault="00782E1C" w:rsidP="00782E1C">
            <w:pPr>
              <w:pStyle w:val="tabeltextintabel"/>
              <w:rPr>
                <w:b/>
              </w:rPr>
            </w:pPr>
            <w:r w:rsidRPr="00782E1C">
              <w:rPr>
                <w:b/>
              </w:rPr>
              <w:t>Control group(N)</w:t>
            </w:r>
          </w:p>
        </w:tc>
        <w:tc>
          <w:tcPr>
            <w:tcW w:w="580" w:type="pct"/>
            <w:shd w:val="clear" w:color="auto" w:fill="D6D2C4" w:themeFill="accent4"/>
            <w:noWrap/>
            <w:hideMark/>
          </w:tcPr>
          <w:p w14:paraId="2D5CBE54" w14:textId="77777777" w:rsidR="00782E1C" w:rsidRPr="00782E1C" w:rsidRDefault="00782E1C" w:rsidP="00782E1C">
            <w:pPr>
              <w:pStyle w:val="tabeltextintabel"/>
              <w:rPr>
                <w:rFonts w:ascii="Calibri" w:hAnsi="Calibri"/>
                <w:b/>
              </w:rPr>
            </w:pPr>
            <w:r w:rsidRPr="00782E1C">
              <w:rPr>
                <w:rFonts w:ascii="Calibri" w:hAnsi="Calibri"/>
                <w:b/>
              </w:rPr>
              <w:t xml:space="preserve">ADHD mean(SD) </w:t>
            </w:r>
          </w:p>
        </w:tc>
        <w:tc>
          <w:tcPr>
            <w:tcW w:w="580" w:type="pct"/>
            <w:shd w:val="clear" w:color="auto" w:fill="D6D2C4" w:themeFill="accent4"/>
            <w:noWrap/>
            <w:hideMark/>
          </w:tcPr>
          <w:p w14:paraId="59FE6B44" w14:textId="77777777" w:rsidR="00782E1C" w:rsidRPr="00782E1C" w:rsidRDefault="00782E1C" w:rsidP="00782E1C">
            <w:pPr>
              <w:pStyle w:val="tabeltextintabel"/>
              <w:rPr>
                <w:rFonts w:ascii="Calibri" w:hAnsi="Calibri"/>
                <w:b/>
              </w:rPr>
            </w:pPr>
            <w:r w:rsidRPr="00782E1C">
              <w:rPr>
                <w:rFonts w:ascii="Calibri" w:hAnsi="Calibri"/>
                <w:b/>
              </w:rPr>
              <w:t xml:space="preserve">Control mean(SD) </w:t>
            </w:r>
          </w:p>
        </w:tc>
        <w:tc>
          <w:tcPr>
            <w:tcW w:w="323" w:type="pct"/>
            <w:shd w:val="clear" w:color="auto" w:fill="D6D2C4" w:themeFill="accent4"/>
            <w:noWrap/>
            <w:hideMark/>
          </w:tcPr>
          <w:p w14:paraId="1065E5E0" w14:textId="77777777" w:rsidR="00782E1C" w:rsidRPr="00782E1C" w:rsidRDefault="00782E1C" w:rsidP="00782E1C">
            <w:pPr>
              <w:pStyle w:val="tabeltextintabel"/>
              <w:rPr>
                <w:b/>
              </w:rPr>
            </w:pPr>
            <w:r w:rsidRPr="00782E1C">
              <w:rPr>
                <w:b/>
              </w:rPr>
              <w:t>p value</w:t>
            </w:r>
          </w:p>
        </w:tc>
        <w:tc>
          <w:tcPr>
            <w:tcW w:w="516" w:type="pct"/>
            <w:shd w:val="clear" w:color="auto" w:fill="D6D2C4" w:themeFill="accent4"/>
            <w:noWrap/>
            <w:hideMark/>
          </w:tcPr>
          <w:p w14:paraId="30307182" w14:textId="77777777" w:rsidR="00782E1C" w:rsidRPr="00782E1C" w:rsidRDefault="00782E1C" w:rsidP="00782E1C">
            <w:pPr>
              <w:pStyle w:val="tabeltextintabel"/>
              <w:rPr>
                <w:b/>
              </w:rPr>
            </w:pPr>
            <w:r w:rsidRPr="00782E1C">
              <w:rPr>
                <w:b/>
              </w:rPr>
              <w:t>Starting point (Ms)</w:t>
            </w:r>
          </w:p>
        </w:tc>
        <w:tc>
          <w:tcPr>
            <w:tcW w:w="516" w:type="pct"/>
            <w:shd w:val="clear" w:color="auto" w:fill="D6D2C4" w:themeFill="accent4"/>
            <w:noWrap/>
            <w:hideMark/>
          </w:tcPr>
          <w:p w14:paraId="4D7F455E" w14:textId="77777777" w:rsidR="00782E1C" w:rsidRPr="00782E1C" w:rsidRDefault="00782E1C" w:rsidP="00782E1C">
            <w:pPr>
              <w:pStyle w:val="tabeltextintabel"/>
              <w:rPr>
                <w:b/>
              </w:rPr>
            </w:pPr>
            <w:r w:rsidRPr="00782E1C">
              <w:rPr>
                <w:b/>
              </w:rPr>
              <w:t>Window size (Ms)</w:t>
            </w:r>
          </w:p>
        </w:tc>
        <w:tc>
          <w:tcPr>
            <w:tcW w:w="516" w:type="pct"/>
            <w:shd w:val="clear" w:color="auto" w:fill="D6D2C4" w:themeFill="accent4"/>
            <w:noWrap/>
            <w:hideMark/>
          </w:tcPr>
          <w:p w14:paraId="26950962" w14:textId="77777777" w:rsidR="00782E1C" w:rsidRPr="00782E1C" w:rsidRDefault="00782E1C" w:rsidP="00782E1C">
            <w:pPr>
              <w:pStyle w:val="tabeltextintabel"/>
              <w:rPr>
                <w:b/>
              </w:rPr>
            </w:pPr>
            <w:r w:rsidRPr="00782E1C">
              <w:rPr>
                <w:b/>
              </w:rPr>
              <w:t>Type of norm</w:t>
            </w:r>
          </w:p>
        </w:tc>
        <w:tc>
          <w:tcPr>
            <w:tcW w:w="323" w:type="pct"/>
            <w:shd w:val="clear" w:color="auto" w:fill="D6D2C4" w:themeFill="accent4"/>
            <w:noWrap/>
            <w:hideMark/>
          </w:tcPr>
          <w:p w14:paraId="3E95AD19" w14:textId="77777777" w:rsidR="00782E1C" w:rsidRPr="00782E1C" w:rsidRDefault="00782E1C" w:rsidP="00782E1C">
            <w:pPr>
              <w:pStyle w:val="tabeltextintabel"/>
              <w:rPr>
                <w:b/>
              </w:rPr>
            </w:pPr>
            <w:r w:rsidRPr="00782E1C">
              <w:rPr>
                <w:b/>
              </w:rPr>
              <w:t>Stimuli</w:t>
            </w:r>
          </w:p>
        </w:tc>
        <w:tc>
          <w:tcPr>
            <w:tcW w:w="487" w:type="pct"/>
            <w:shd w:val="clear" w:color="auto" w:fill="D6D2C4" w:themeFill="accent4"/>
            <w:noWrap/>
            <w:hideMark/>
          </w:tcPr>
          <w:p w14:paraId="0F1E7047" w14:textId="77777777" w:rsidR="00782E1C" w:rsidRPr="00782E1C" w:rsidRDefault="00782E1C" w:rsidP="00782E1C">
            <w:pPr>
              <w:pStyle w:val="tabeltextintabel"/>
              <w:rPr>
                <w:b/>
              </w:rPr>
            </w:pPr>
            <w:r w:rsidRPr="00782E1C">
              <w:rPr>
                <w:b/>
              </w:rPr>
              <w:t>Ranked/Non-ranked</w:t>
            </w:r>
          </w:p>
        </w:tc>
      </w:tr>
      <w:tr w:rsidR="00782E1C" w:rsidRPr="009D5573" w14:paraId="00E1768C" w14:textId="77777777" w:rsidTr="00782E1C">
        <w:trPr>
          <w:trHeight w:val="320"/>
        </w:trPr>
        <w:tc>
          <w:tcPr>
            <w:tcW w:w="320" w:type="pct"/>
            <w:noWrap/>
            <w:hideMark/>
          </w:tcPr>
          <w:p w14:paraId="4FDE2193" w14:textId="77777777" w:rsidR="00782E1C" w:rsidRPr="009D5573" w:rsidRDefault="00782E1C" w:rsidP="00782E1C">
            <w:pPr>
              <w:pStyle w:val="tabeltextintabel"/>
            </w:pPr>
            <w:r w:rsidRPr="009D5573">
              <w:t>TR6</w:t>
            </w:r>
          </w:p>
        </w:tc>
        <w:tc>
          <w:tcPr>
            <w:tcW w:w="410" w:type="pct"/>
            <w:noWrap/>
            <w:hideMark/>
          </w:tcPr>
          <w:p w14:paraId="17BAF0C0" w14:textId="77777777" w:rsidR="00782E1C" w:rsidRPr="009D5573" w:rsidRDefault="00782E1C" w:rsidP="00782E1C">
            <w:pPr>
              <w:pStyle w:val="tabeltextintabel"/>
            </w:pPr>
            <w:r w:rsidRPr="009D5573">
              <w:t>43</w:t>
            </w:r>
          </w:p>
        </w:tc>
        <w:tc>
          <w:tcPr>
            <w:tcW w:w="429" w:type="pct"/>
            <w:noWrap/>
            <w:hideMark/>
          </w:tcPr>
          <w:p w14:paraId="79B2C240" w14:textId="77777777" w:rsidR="00782E1C" w:rsidRPr="009D5573" w:rsidRDefault="00782E1C" w:rsidP="00782E1C">
            <w:pPr>
              <w:pStyle w:val="tabeltextintabel"/>
            </w:pPr>
            <w:r w:rsidRPr="009D5573">
              <w:t>21</w:t>
            </w:r>
          </w:p>
        </w:tc>
        <w:tc>
          <w:tcPr>
            <w:tcW w:w="580" w:type="pct"/>
            <w:noWrap/>
            <w:hideMark/>
          </w:tcPr>
          <w:p w14:paraId="59D2FC8C" w14:textId="77777777" w:rsidR="00782E1C" w:rsidRPr="009D5573" w:rsidRDefault="00782E1C" w:rsidP="00782E1C">
            <w:pPr>
              <w:pStyle w:val="tabeltextintabel"/>
            </w:pPr>
            <w:r w:rsidRPr="009D5573">
              <w:t>164.14 (61.91)</w:t>
            </w:r>
          </w:p>
        </w:tc>
        <w:tc>
          <w:tcPr>
            <w:tcW w:w="580" w:type="pct"/>
            <w:noWrap/>
            <w:hideMark/>
          </w:tcPr>
          <w:p w14:paraId="0E2F64E6" w14:textId="77777777" w:rsidR="00782E1C" w:rsidRPr="009D5573" w:rsidRDefault="00782E1C" w:rsidP="00782E1C">
            <w:pPr>
              <w:pStyle w:val="tabeltextintabel"/>
            </w:pPr>
            <w:r w:rsidRPr="009D5573">
              <w:t>112.43 (38.83)</w:t>
            </w:r>
          </w:p>
        </w:tc>
        <w:tc>
          <w:tcPr>
            <w:tcW w:w="323" w:type="pct"/>
            <w:noWrap/>
            <w:hideMark/>
          </w:tcPr>
          <w:p w14:paraId="4B3E7D75" w14:textId="77777777" w:rsidR="00782E1C" w:rsidRPr="009D5573" w:rsidRDefault="00782E1C" w:rsidP="00782E1C">
            <w:pPr>
              <w:pStyle w:val="tabeltextintabel"/>
              <w:rPr>
                <w:color w:val="FF0000"/>
              </w:rPr>
            </w:pPr>
            <w:r w:rsidRPr="009D5573">
              <w:rPr>
                <w:color w:val="FF0000"/>
              </w:rPr>
              <w:t>0.0004</w:t>
            </w:r>
          </w:p>
        </w:tc>
        <w:tc>
          <w:tcPr>
            <w:tcW w:w="516" w:type="pct"/>
            <w:noWrap/>
            <w:hideMark/>
          </w:tcPr>
          <w:p w14:paraId="375FCA4B" w14:textId="77777777" w:rsidR="00782E1C" w:rsidRPr="009D5573" w:rsidRDefault="00782E1C" w:rsidP="00782E1C">
            <w:pPr>
              <w:pStyle w:val="tabeltextintabel"/>
            </w:pPr>
            <w:r w:rsidRPr="009D5573">
              <w:t>6.0</w:t>
            </w:r>
          </w:p>
        </w:tc>
        <w:tc>
          <w:tcPr>
            <w:tcW w:w="516" w:type="pct"/>
            <w:noWrap/>
            <w:hideMark/>
          </w:tcPr>
          <w:p w14:paraId="70E08273" w14:textId="77777777" w:rsidR="00782E1C" w:rsidRPr="009D5573" w:rsidRDefault="00782E1C" w:rsidP="00782E1C">
            <w:pPr>
              <w:pStyle w:val="tabeltextintabel"/>
            </w:pPr>
            <w:r w:rsidRPr="009D5573">
              <w:t>1.0</w:t>
            </w:r>
          </w:p>
        </w:tc>
        <w:tc>
          <w:tcPr>
            <w:tcW w:w="516" w:type="pct"/>
            <w:noWrap/>
            <w:hideMark/>
          </w:tcPr>
          <w:p w14:paraId="6FF9627F" w14:textId="77777777" w:rsidR="00782E1C" w:rsidRPr="009D5573" w:rsidRDefault="00782E1C" w:rsidP="00782E1C">
            <w:pPr>
              <w:pStyle w:val="tabeltextintabel"/>
            </w:pPr>
            <w:r w:rsidRPr="009D5573">
              <w:t>Norm curve</w:t>
            </w:r>
          </w:p>
        </w:tc>
        <w:tc>
          <w:tcPr>
            <w:tcW w:w="323" w:type="pct"/>
            <w:noWrap/>
            <w:hideMark/>
          </w:tcPr>
          <w:p w14:paraId="4D44918E" w14:textId="77777777" w:rsidR="00782E1C" w:rsidRPr="009D5573" w:rsidRDefault="00782E1C" w:rsidP="00782E1C">
            <w:pPr>
              <w:pStyle w:val="tabeltextintabel"/>
            </w:pPr>
            <w:r w:rsidRPr="009D5573">
              <w:t>BM</w:t>
            </w:r>
          </w:p>
        </w:tc>
        <w:tc>
          <w:tcPr>
            <w:tcW w:w="487" w:type="pct"/>
            <w:noWrap/>
            <w:hideMark/>
          </w:tcPr>
          <w:p w14:paraId="5A90D252" w14:textId="77777777" w:rsidR="00782E1C" w:rsidRPr="009D5573" w:rsidRDefault="00782E1C" w:rsidP="00782E1C">
            <w:pPr>
              <w:pStyle w:val="tabeltextintabel"/>
            </w:pPr>
            <w:r w:rsidRPr="009D5573">
              <w:t>Ranked</w:t>
            </w:r>
          </w:p>
        </w:tc>
      </w:tr>
      <w:tr w:rsidR="00782E1C" w:rsidRPr="009D5573" w14:paraId="345B51E5" w14:textId="77777777" w:rsidTr="00782E1C">
        <w:trPr>
          <w:trHeight w:val="320"/>
        </w:trPr>
        <w:tc>
          <w:tcPr>
            <w:tcW w:w="320" w:type="pct"/>
            <w:noWrap/>
            <w:hideMark/>
          </w:tcPr>
          <w:p w14:paraId="648D9BC5" w14:textId="77777777" w:rsidR="00782E1C" w:rsidRPr="009D5573" w:rsidRDefault="00782E1C" w:rsidP="00782E1C">
            <w:pPr>
              <w:pStyle w:val="tabeltextintabel"/>
            </w:pPr>
            <w:r w:rsidRPr="009D5573">
              <w:t>TR14</w:t>
            </w:r>
          </w:p>
        </w:tc>
        <w:tc>
          <w:tcPr>
            <w:tcW w:w="410" w:type="pct"/>
            <w:noWrap/>
            <w:hideMark/>
          </w:tcPr>
          <w:p w14:paraId="279DB647" w14:textId="77777777" w:rsidR="00782E1C" w:rsidRPr="009D5573" w:rsidRDefault="00782E1C" w:rsidP="00782E1C">
            <w:pPr>
              <w:pStyle w:val="tabeltextintabel"/>
            </w:pPr>
            <w:r w:rsidRPr="009D5573">
              <w:t>43</w:t>
            </w:r>
          </w:p>
        </w:tc>
        <w:tc>
          <w:tcPr>
            <w:tcW w:w="429" w:type="pct"/>
            <w:noWrap/>
            <w:hideMark/>
          </w:tcPr>
          <w:p w14:paraId="68667B56" w14:textId="77777777" w:rsidR="00782E1C" w:rsidRPr="009D5573" w:rsidRDefault="00782E1C" w:rsidP="00782E1C">
            <w:pPr>
              <w:pStyle w:val="tabeltextintabel"/>
            </w:pPr>
            <w:r w:rsidRPr="009D5573">
              <w:t>21</w:t>
            </w:r>
          </w:p>
        </w:tc>
        <w:tc>
          <w:tcPr>
            <w:tcW w:w="580" w:type="pct"/>
            <w:noWrap/>
            <w:hideMark/>
          </w:tcPr>
          <w:p w14:paraId="3E967F43" w14:textId="77777777" w:rsidR="00782E1C" w:rsidRPr="009D5573" w:rsidRDefault="00782E1C" w:rsidP="00782E1C">
            <w:pPr>
              <w:pStyle w:val="tabeltextintabel"/>
            </w:pPr>
            <w:r w:rsidRPr="009D5573">
              <w:t>3.73 (1.98)</w:t>
            </w:r>
          </w:p>
        </w:tc>
        <w:tc>
          <w:tcPr>
            <w:tcW w:w="580" w:type="pct"/>
            <w:noWrap/>
            <w:hideMark/>
          </w:tcPr>
          <w:p w14:paraId="2E9D1232" w14:textId="77777777" w:rsidR="00782E1C" w:rsidRPr="009D5573" w:rsidRDefault="00782E1C" w:rsidP="00782E1C">
            <w:pPr>
              <w:pStyle w:val="tabeltextintabel"/>
            </w:pPr>
            <w:r w:rsidRPr="009D5573">
              <w:t>2.05 (1.94)</w:t>
            </w:r>
          </w:p>
        </w:tc>
        <w:tc>
          <w:tcPr>
            <w:tcW w:w="323" w:type="pct"/>
            <w:noWrap/>
            <w:hideMark/>
          </w:tcPr>
          <w:p w14:paraId="5ACFCE5F" w14:textId="77777777" w:rsidR="00782E1C" w:rsidRPr="009D5573" w:rsidRDefault="00782E1C" w:rsidP="00782E1C">
            <w:pPr>
              <w:pStyle w:val="tabeltextintabel"/>
              <w:rPr>
                <w:color w:val="FF0000"/>
              </w:rPr>
            </w:pPr>
            <w:r w:rsidRPr="009D5573">
              <w:rPr>
                <w:color w:val="FF0000"/>
              </w:rPr>
              <w:t>0.0026</w:t>
            </w:r>
          </w:p>
        </w:tc>
        <w:tc>
          <w:tcPr>
            <w:tcW w:w="516" w:type="pct"/>
            <w:noWrap/>
            <w:hideMark/>
          </w:tcPr>
          <w:p w14:paraId="712CF3EA" w14:textId="77777777" w:rsidR="00782E1C" w:rsidRPr="009D5573" w:rsidRDefault="00782E1C" w:rsidP="00782E1C">
            <w:pPr>
              <w:pStyle w:val="tabeltextintabel"/>
            </w:pPr>
            <w:r w:rsidRPr="009D5573">
              <w:t>4.0</w:t>
            </w:r>
          </w:p>
        </w:tc>
        <w:tc>
          <w:tcPr>
            <w:tcW w:w="516" w:type="pct"/>
            <w:noWrap/>
            <w:hideMark/>
          </w:tcPr>
          <w:p w14:paraId="64965D4E" w14:textId="77777777" w:rsidR="00782E1C" w:rsidRPr="009D5573" w:rsidRDefault="00782E1C" w:rsidP="00782E1C">
            <w:pPr>
              <w:pStyle w:val="tabeltextintabel"/>
            </w:pPr>
            <w:r w:rsidRPr="009D5573">
              <w:t>3.5</w:t>
            </w:r>
          </w:p>
        </w:tc>
        <w:tc>
          <w:tcPr>
            <w:tcW w:w="516" w:type="pct"/>
            <w:noWrap/>
            <w:hideMark/>
          </w:tcPr>
          <w:p w14:paraId="77865891" w14:textId="77777777" w:rsidR="00782E1C" w:rsidRPr="009D5573" w:rsidRDefault="00782E1C" w:rsidP="00782E1C">
            <w:pPr>
              <w:pStyle w:val="tabeltextintabel"/>
            </w:pPr>
            <w:r w:rsidRPr="009D5573">
              <w:t>3500HZ</w:t>
            </w:r>
          </w:p>
        </w:tc>
        <w:tc>
          <w:tcPr>
            <w:tcW w:w="323" w:type="pct"/>
            <w:noWrap/>
            <w:hideMark/>
          </w:tcPr>
          <w:p w14:paraId="7800ADB4" w14:textId="77777777" w:rsidR="00782E1C" w:rsidRPr="009D5573" w:rsidRDefault="00782E1C" w:rsidP="00782E1C">
            <w:pPr>
              <w:pStyle w:val="tabeltextintabel"/>
            </w:pPr>
            <w:r w:rsidRPr="009D5573">
              <w:t>BM</w:t>
            </w:r>
          </w:p>
        </w:tc>
        <w:tc>
          <w:tcPr>
            <w:tcW w:w="487" w:type="pct"/>
            <w:noWrap/>
            <w:hideMark/>
          </w:tcPr>
          <w:p w14:paraId="4D14DC7C" w14:textId="77777777" w:rsidR="00782E1C" w:rsidRPr="009D5573" w:rsidRDefault="00782E1C" w:rsidP="00782E1C">
            <w:pPr>
              <w:pStyle w:val="tabeltextintabel"/>
            </w:pPr>
            <w:r w:rsidRPr="009D5573">
              <w:t>Ranked</w:t>
            </w:r>
          </w:p>
        </w:tc>
      </w:tr>
      <w:tr w:rsidR="00782E1C" w:rsidRPr="009D5573" w14:paraId="70E65E1F" w14:textId="77777777" w:rsidTr="00782E1C">
        <w:trPr>
          <w:trHeight w:val="340"/>
        </w:trPr>
        <w:tc>
          <w:tcPr>
            <w:tcW w:w="320" w:type="pct"/>
            <w:noWrap/>
            <w:hideMark/>
          </w:tcPr>
          <w:p w14:paraId="2E6197A8" w14:textId="77777777" w:rsidR="00782E1C" w:rsidRPr="009D5573" w:rsidRDefault="00782E1C" w:rsidP="00782E1C">
            <w:pPr>
              <w:pStyle w:val="tabeltextintabel"/>
            </w:pPr>
            <w:r w:rsidRPr="009D5573">
              <w:t>TR15</w:t>
            </w:r>
          </w:p>
        </w:tc>
        <w:tc>
          <w:tcPr>
            <w:tcW w:w="410" w:type="pct"/>
            <w:noWrap/>
            <w:hideMark/>
          </w:tcPr>
          <w:p w14:paraId="7103DD39" w14:textId="77777777" w:rsidR="00782E1C" w:rsidRPr="009D5573" w:rsidRDefault="00782E1C" w:rsidP="00782E1C">
            <w:pPr>
              <w:pStyle w:val="tabeltextintabel"/>
            </w:pPr>
            <w:r w:rsidRPr="009D5573">
              <w:t>43</w:t>
            </w:r>
          </w:p>
        </w:tc>
        <w:tc>
          <w:tcPr>
            <w:tcW w:w="429" w:type="pct"/>
            <w:noWrap/>
            <w:hideMark/>
          </w:tcPr>
          <w:p w14:paraId="3C4AC1B4" w14:textId="77777777" w:rsidR="00782E1C" w:rsidRPr="009D5573" w:rsidRDefault="00782E1C" w:rsidP="00782E1C">
            <w:pPr>
              <w:pStyle w:val="tabeltextintabel"/>
            </w:pPr>
            <w:r w:rsidRPr="009D5573">
              <w:t>21</w:t>
            </w:r>
          </w:p>
        </w:tc>
        <w:tc>
          <w:tcPr>
            <w:tcW w:w="580" w:type="pct"/>
            <w:noWrap/>
            <w:hideMark/>
          </w:tcPr>
          <w:p w14:paraId="1AF5E2BF" w14:textId="77777777" w:rsidR="00782E1C" w:rsidRPr="009D5573" w:rsidRDefault="00782E1C" w:rsidP="00782E1C">
            <w:pPr>
              <w:pStyle w:val="tabeltextintabel"/>
            </w:pPr>
            <w:r w:rsidRPr="009D5573">
              <w:t>67.16 (49.74)</w:t>
            </w:r>
          </w:p>
        </w:tc>
        <w:tc>
          <w:tcPr>
            <w:tcW w:w="580" w:type="pct"/>
            <w:noWrap/>
            <w:hideMark/>
          </w:tcPr>
          <w:p w14:paraId="66087062" w14:textId="77777777" w:rsidR="00782E1C" w:rsidRPr="009D5573" w:rsidRDefault="00782E1C" w:rsidP="00782E1C">
            <w:pPr>
              <w:pStyle w:val="tabeltextintabel"/>
            </w:pPr>
            <w:r w:rsidRPr="009D5573">
              <w:t>27.95 (23.76)</w:t>
            </w:r>
          </w:p>
        </w:tc>
        <w:tc>
          <w:tcPr>
            <w:tcW w:w="323" w:type="pct"/>
            <w:noWrap/>
            <w:hideMark/>
          </w:tcPr>
          <w:p w14:paraId="6CCC45E0" w14:textId="77777777" w:rsidR="00782E1C" w:rsidRPr="009D5573" w:rsidRDefault="00782E1C" w:rsidP="00782E1C">
            <w:pPr>
              <w:pStyle w:val="tabeltextintabel"/>
              <w:rPr>
                <w:color w:val="FF0000"/>
              </w:rPr>
            </w:pPr>
            <w:r w:rsidRPr="009D5573">
              <w:rPr>
                <w:color w:val="FF0000"/>
              </w:rPr>
              <w:t>0.001</w:t>
            </w:r>
          </w:p>
        </w:tc>
        <w:tc>
          <w:tcPr>
            <w:tcW w:w="516" w:type="pct"/>
            <w:noWrap/>
            <w:hideMark/>
          </w:tcPr>
          <w:p w14:paraId="73A1A040" w14:textId="77777777" w:rsidR="00782E1C" w:rsidRPr="009D5573" w:rsidRDefault="00782E1C" w:rsidP="00782E1C">
            <w:pPr>
              <w:pStyle w:val="tabeltextintabel"/>
            </w:pPr>
            <w:r w:rsidRPr="009D5573">
              <w:t>3.3</w:t>
            </w:r>
          </w:p>
        </w:tc>
        <w:tc>
          <w:tcPr>
            <w:tcW w:w="516" w:type="pct"/>
            <w:noWrap/>
            <w:hideMark/>
          </w:tcPr>
          <w:p w14:paraId="1A8DBD73" w14:textId="77777777" w:rsidR="00782E1C" w:rsidRPr="009D5573" w:rsidRDefault="00782E1C" w:rsidP="00782E1C">
            <w:pPr>
              <w:pStyle w:val="tabeltextintabel"/>
            </w:pPr>
            <w:r w:rsidRPr="009D5573">
              <w:t>1.0</w:t>
            </w:r>
          </w:p>
        </w:tc>
        <w:tc>
          <w:tcPr>
            <w:tcW w:w="516" w:type="pct"/>
            <w:noWrap/>
            <w:hideMark/>
          </w:tcPr>
          <w:p w14:paraId="4AA9A48A" w14:textId="77777777" w:rsidR="00782E1C" w:rsidRPr="009D5573" w:rsidRDefault="00782E1C" w:rsidP="00782E1C">
            <w:pPr>
              <w:pStyle w:val="tabeltextintabel"/>
            </w:pPr>
            <w:r w:rsidRPr="009D5573">
              <w:t>Norm curve</w:t>
            </w:r>
          </w:p>
        </w:tc>
        <w:tc>
          <w:tcPr>
            <w:tcW w:w="323" w:type="pct"/>
            <w:noWrap/>
            <w:hideMark/>
          </w:tcPr>
          <w:p w14:paraId="691A3213" w14:textId="77777777" w:rsidR="00782E1C" w:rsidRPr="009D5573" w:rsidRDefault="00782E1C" w:rsidP="00782E1C">
            <w:pPr>
              <w:pStyle w:val="tabeltextintabel"/>
            </w:pPr>
            <w:r w:rsidRPr="009D5573">
              <w:t>Standard</w:t>
            </w:r>
          </w:p>
        </w:tc>
        <w:tc>
          <w:tcPr>
            <w:tcW w:w="487" w:type="pct"/>
            <w:noWrap/>
            <w:hideMark/>
          </w:tcPr>
          <w:p w14:paraId="2CFFEAFB" w14:textId="77777777" w:rsidR="00782E1C" w:rsidRPr="009D5573" w:rsidRDefault="00782E1C" w:rsidP="00782E1C">
            <w:pPr>
              <w:pStyle w:val="tabeltextintabel"/>
            </w:pPr>
            <w:r w:rsidRPr="009D5573">
              <w:t>Ranked</w:t>
            </w:r>
          </w:p>
        </w:tc>
      </w:tr>
    </w:tbl>
    <w:p w14:paraId="50B5BB47" w14:textId="77777777" w:rsidR="00782E1C" w:rsidRDefault="00782E1C" w:rsidP="00782E1C">
      <w:pPr>
        <w:spacing w:after="200"/>
        <w:rPr>
          <w:rFonts w:ascii="Arial" w:hAnsi="Arial" w:cs="Arial"/>
          <w:sz w:val="28"/>
          <w:szCs w:val="28"/>
        </w:rPr>
      </w:pPr>
    </w:p>
    <w:p w14:paraId="66DE81E9" w14:textId="77777777" w:rsidR="00782E1C" w:rsidRDefault="00782E1C" w:rsidP="00782E1C">
      <w:pPr>
        <w:sectPr w:rsidR="00782E1C" w:rsidSect="00782E1C">
          <w:pgSz w:w="13551" w:h="9582" w:orient="landscape" w:code="149"/>
          <w:pgMar w:top="1134" w:right="1134" w:bottom="1134" w:left="1418" w:header="709" w:footer="709" w:gutter="0"/>
          <w:cols w:space="708"/>
          <w:docGrid w:linePitch="360"/>
        </w:sectPr>
      </w:pPr>
    </w:p>
    <w:p w14:paraId="012AAFCD" w14:textId="4A296F2B" w:rsidR="00782E1C" w:rsidRDefault="00782E1C" w:rsidP="00782E1C">
      <w:pPr>
        <w:pStyle w:val="insertpicture"/>
        <w:rPr>
          <w:rFonts w:ascii="Arial" w:hAnsi="Arial" w:cs="Arial"/>
          <w:sz w:val="28"/>
          <w:szCs w:val="28"/>
        </w:rPr>
      </w:pPr>
      <w:r w:rsidRPr="00F244F7">
        <w:rPr>
          <w:noProof/>
          <w:lang w:eastAsia="en-GB"/>
        </w:rPr>
        <w:lastRenderedPageBreak/>
        <w:drawing>
          <wp:inline distT="0" distB="0" distL="0" distR="0" wp14:anchorId="2322F40B" wp14:editId="329A94B8">
            <wp:extent cx="2880000" cy="2088000"/>
            <wp:effectExtent l="0" t="0" r="0" b="7620"/>
            <wp:docPr id="18" name="Picture 2">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63B3BB69-23CF-44E3-9099-C40C66FF867C}">
                          <a14:compatExt xmlns:a14="http://schemas.microsoft.com/office/drawing/2010/main" spid="_x0000_s1025"/>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2088000"/>
                    </a:xfrm>
                    <a:prstGeom prst="rect">
                      <a:avLst/>
                    </a:prstGeom>
                  </pic:spPr>
                </pic:pic>
              </a:graphicData>
            </a:graphic>
          </wp:inline>
        </w:drawing>
      </w:r>
    </w:p>
    <w:p w14:paraId="5DA6EB04" w14:textId="77777777" w:rsidR="00782E1C" w:rsidRDefault="00782E1C" w:rsidP="00782E1C">
      <w:pPr>
        <w:pStyle w:val="insertpicture"/>
      </w:pPr>
      <w:r w:rsidRPr="00F244F7">
        <w:rPr>
          <w:noProof/>
          <w:szCs w:val="20"/>
          <w:lang w:eastAsia="en-GB"/>
        </w:rPr>
        <w:drawing>
          <wp:inline distT="0" distB="0" distL="0" distR="0" wp14:anchorId="358C0E94" wp14:editId="3A0F6FBF">
            <wp:extent cx="2880000" cy="1738800"/>
            <wp:effectExtent l="0" t="0" r="0" b="0"/>
            <wp:docPr id="27" name="Picture 3"/>
            <wp:cNvGraphicFramePr/>
            <a:graphic xmlns:a="http://schemas.openxmlformats.org/drawingml/2006/main">
              <a:graphicData uri="http://schemas.openxmlformats.org/drawingml/2006/picture">
                <pic:pic xmlns:pic="http://schemas.openxmlformats.org/drawingml/2006/picture">
                  <pic:nvPicPr>
                    <pic:cNvPr id="2" name="Object 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1738800"/>
                    </a:xfrm>
                    <a:prstGeom prst="rect">
                      <a:avLst/>
                    </a:prstGeom>
                  </pic:spPr>
                </pic:pic>
              </a:graphicData>
            </a:graphic>
          </wp:inline>
        </w:drawing>
      </w:r>
    </w:p>
    <w:p w14:paraId="6792E459" w14:textId="257A91D6" w:rsidR="00782E1C" w:rsidRDefault="00782E1C" w:rsidP="00D30BCF">
      <w:pPr>
        <w:pStyle w:val="insertpicture"/>
      </w:pPr>
    </w:p>
    <w:p w14:paraId="03529D5C" w14:textId="77777777" w:rsidR="00AA5A29" w:rsidRDefault="00D30BCF" w:rsidP="00D30BCF">
      <w:pPr>
        <w:pStyle w:val="picturetextheadline0"/>
        <w:rPr>
          <w:lang w:val="en-GB"/>
        </w:rPr>
      </w:pPr>
      <w:r w:rsidRPr="00782E1C">
        <w:rPr>
          <w:lang w:val="en-US"/>
        </w:rPr>
        <w:t xml:space="preserve">Figure 10 a-c. </w:t>
      </w:r>
      <w:r w:rsidRPr="00524AFC">
        <w:rPr>
          <w:lang w:val="en-GB"/>
        </w:rPr>
        <w:t xml:space="preserve">Trait 6, 14 and 15 and their p values. </w:t>
      </w:r>
      <w:r w:rsidR="00AA5A29">
        <w:rPr>
          <w:lang w:val="en-GB"/>
        </w:rPr>
        <w:t xml:space="preserve"> </w:t>
      </w:r>
    </w:p>
    <w:p w14:paraId="6B13B933" w14:textId="58D520A7" w:rsidR="00782E1C" w:rsidRPr="00782E1C" w:rsidRDefault="00782E1C" w:rsidP="00D30BCF">
      <w:pPr>
        <w:pStyle w:val="Heading2"/>
        <w:rPr>
          <w:lang w:val="en-US"/>
        </w:rPr>
      </w:pPr>
      <w:bookmarkStart w:id="60" w:name="_Toc492391052"/>
      <w:r w:rsidRPr="00782E1C">
        <w:rPr>
          <w:lang w:val="en-US"/>
        </w:rPr>
        <w:t>Paper II</w:t>
      </w:r>
      <w:bookmarkEnd w:id="60"/>
    </w:p>
    <w:p w14:paraId="6EB4D9E1" w14:textId="2EC934B3" w:rsidR="00782E1C" w:rsidRPr="00782E1C" w:rsidRDefault="00782E1C" w:rsidP="00D30BCF">
      <w:pPr>
        <w:pStyle w:val="bodytext"/>
      </w:pPr>
      <w:r w:rsidRPr="00782E1C">
        <w:t xml:space="preserve">In study II, we compared the ABR of 63 young females with ADHD to 26 age-and gender-matched control subjects. The clinical group consisted partly of the same group of ADHD females and controls included in Paper I, but with an additional 20 female ADHD subjects and 5 additional female control subjects. </w:t>
      </w:r>
      <w:r w:rsidR="003D7C54">
        <w:t>The enhanced ADHD group also included 48 males with ADHD and their age-matched 20 male TD.</w:t>
      </w:r>
      <w:r w:rsidRPr="00782E1C">
        <w:t xml:space="preserve"> We used the same technique in this study as in Study I. </w:t>
      </w:r>
    </w:p>
    <w:p w14:paraId="2B176C6C" w14:textId="77777777" w:rsidR="00782E1C" w:rsidRPr="00782E1C" w:rsidRDefault="00782E1C" w:rsidP="00D30BCF">
      <w:pPr>
        <w:pStyle w:val="Heading4"/>
        <w:rPr>
          <w:lang w:val="en-US"/>
        </w:rPr>
      </w:pPr>
      <w:r w:rsidRPr="00782E1C">
        <w:rPr>
          <w:lang w:val="en-US"/>
        </w:rPr>
        <w:lastRenderedPageBreak/>
        <w:t>Results</w:t>
      </w:r>
    </w:p>
    <w:p w14:paraId="3CA7436D" w14:textId="77777777" w:rsidR="00782E1C" w:rsidRPr="00782E1C" w:rsidRDefault="00782E1C" w:rsidP="00D30BCF">
      <w:pPr>
        <w:pStyle w:val="bodytext"/>
      </w:pPr>
      <w:r w:rsidRPr="00782E1C">
        <w:t xml:space="preserve">After the inclusion of more female ADHD and control subjects, all three significant traits from Study I remained significant, with substantial reductions in the p-values for the different traits.TR6 (p = 0.000064), TR14 (p = 0.00059), and TR15 (p = 0.00035) to be compared with results from study I, TR6 (p = 0.0004), TR14 (p = 0.0026), and TR15 (p = 0.001). </w:t>
      </w:r>
    </w:p>
    <w:p w14:paraId="77D27E6B" w14:textId="77777777" w:rsidR="00782E1C" w:rsidRPr="00782E1C" w:rsidRDefault="00782E1C" w:rsidP="00D30BCF">
      <w:pPr>
        <w:pStyle w:val="bodytext"/>
      </w:pPr>
      <w:r w:rsidRPr="00782E1C">
        <w:t>When the ABR from the 48 young males with ADHD were compared to the control subjects, we found three significant traits: TR4, TR5, and TR14.</w:t>
      </w:r>
      <w:r w:rsidRPr="00782E1C">
        <w:rPr>
          <w:rFonts w:ascii="MS Mincho" w:eastAsia="MS Mincho" w:hAnsi="MS Mincho" w:cs="MS Mincho"/>
        </w:rPr>
        <w:t> </w:t>
      </w:r>
      <w:r w:rsidRPr="00782E1C">
        <w:t xml:space="preserve">TR 4 is described as a lower correlation to a norm curve (p = 0.00105) in area 3.5–7.5 Ms, corresponding anatomically to the inferior colliculus and thalamic area. TR5 identifies aberrant curve profiles 2.5–4.0 Ms, corresponding anatomically to the nucleus cochlea (p = 0.00027). TR14 (p = 0.00013) shows, as mentioned in Paper I, a higher presence of 3500 Hz frequencies in the region 4.0–7.5 Ms, corresponding to the superior </w:t>
      </w:r>
      <w:proofErr w:type="spellStart"/>
      <w:r w:rsidRPr="00782E1C">
        <w:t>olivary</w:t>
      </w:r>
      <w:proofErr w:type="spellEnd"/>
      <w:r w:rsidRPr="00782E1C">
        <w:t xml:space="preserve"> complex and thalamus. One trait occurred in both the female and male groups. TR14 (Table 6) (Figure 11a-f). </w:t>
      </w:r>
    </w:p>
    <w:p w14:paraId="6148B632" w14:textId="77777777" w:rsidR="00D30BCF" w:rsidRDefault="00D30BCF" w:rsidP="00D30BCF">
      <w:pPr>
        <w:pStyle w:val="tabeltextheadline"/>
        <w:rPr>
          <w:lang w:val="en-US"/>
        </w:rPr>
        <w:sectPr w:rsidR="00D30BCF" w:rsidSect="00782E1C">
          <w:pgSz w:w="9582" w:h="13551" w:code="149"/>
          <w:pgMar w:top="1134" w:right="1134" w:bottom="1418" w:left="1134" w:header="709" w:footer="709" w:gutter="0"/>
          <w:cols w:space="708"/>
          <w:docGrid w:linePitch="360"/>
        </w:sectPr>
      </w:pPr>
    </w:p>
    <w:p w14:paraId="3D828896" w14:textId="77777777" w:rsidR="00D30BCF" w:rsidRDefault="00782E1C" w:rsidP="00D30BCF">
      <w:pPr>
        <w:pStyle w:val="tabeltextheadline"/>
        <w:rPr>
          <w:lang w:val="en-US"/>
        </w:rPr>
      </w:pPr>
      <w:r w:rsidRPr="00782E1C">
        <w:rPr>
          <w:lang w:val="en-US"/>
        </w:rPr>
        <w:lastRenderedPageBreak/>
        <w:t xml:space="preserve">Table 6 </w:t>
      </w:r>
    </w:p>
    <w:p w14:paraId="53BEB5F6" w14:textId="77777777" w:rsidR="00782E1C" w:rsidRPr="00D30BCF" w:rsidRDefault="00782E1C" w:rsidP="00D30BCF">
      <w:pPr>
        <w:pStyle w:val="tabeltext"/>
        <w:rPr>
          <w:b/>
        </w:rPr>
      </w:pPr>
      <w:r w:rsidRPr="00782E1C">
        <w:t xml:space="preserve">ABR results for young patients with ADHD compared to controls. </w:t>
      </w:r>
      <w:r w:rsidRPr="00D30BCF">
        <w:t>Mann-Whitney U-test was used.</w:t>
      </w:r>
      <w:r w:rsidRPr="00D30BCF">
        <w:rPr>
          <w:b/>
        </w:rPr>
        <w:t xml:space="preserve"> </w:t>
      </w:r>
    </w:p>
    <w:tbl>
      <w:tblPr>
        <w:tblStyle w:val="TableGridLight"/>
        <w:tblW w:w="5000" w:type="pct"/>
        <w:tblLayout w:type="fixed"/>
        <w:tblLook w:val="04A0" w:firstRow="1" w:lastRow="0" w:firstColumn="1" w:lastColumn="0" w:noHBand="0" w:noVBand="1"/>
      </w:tblPr>
      <w:tblGrid>
        <w:gridCol w:w="562"/>
        <w:gridCol w:w="1275"/>
        <w:gridCol w:w="1277"/>
        <w:gridCol w:w="851"/>
        <w:gridCol w:w="1136"/>
        <w:gridCol w:w="1277"/>
        <w:gridCol w:w="708"/>
        <w:gridCol w:w="848"/>
        <w:gridCol w:w="853"/>
        <w:gridCol w:w="712"/>
        <w:gridCol w:w="587"/>
        <w:gridCol w:w="903"/>
      </w:tblGrid>
      <w:tr w:rsidR="00D30BCF" w:rsidRPr="00D30BCF" w14:paraId="1CD0D4C3" w14:textId="77777777" w:rsidTr="00D30BCF">
        <w:trPr>
          <w:trHeight w:val="320"/>
        </w:trPr>
        <w:tc>
          <w:tcPr>
            <w:tcW w:w="256" w:type="pct"/>
            <w:shd w:val="clear" w:color="auto" w:fill="D6D2C4" w:themeFill="accent4"/>
            <w:noWrap/>
            <w:hideMark/>
          </w:tcPr>
          <w:p w14:paraId="5657858B" w14:textId="77777777" w:rsidR="00782E1C" w:rsidRPr="00D30BCF" w:rsidRDefault="00782E1C" w:rsidP="00D30BCF">
            <w:pPr>
              <w:pStyle w:val="tabeltextintabel"/>
              <w:rPr>
                <w:b/>
              </w:rPr>
            </w:pPr>
            <w:r w:rsidRPr="00D30BCF">
              <w:rPr>
                <w:b/>
              </w:rPr>
              <w:t>Trait</w:t>
            </w:r>
          </w:p>
        </w:tc>
        <w:tc>
          <w:tcPr>
            <w:tcW w:w="580" w:type="pct"/>
            <w:shd w:val="clear" w:color="auto" w:fill="D6D2C4" w:themeFill="accent4"/>
            <w:noWrap/>
            <w:hideMark/>
          </w:tcPr>
          <w:p w14:paraId="76AB03E7" w14:textId="77777777" w:rsidR="00782E1C" w:rsidRPr="009D2D19" w:rsidRDefault="00782E1C" w:rsidP="00D30BCF">
            <w:pPr>
              <w:pStyle w:val="tabeltextintabel"/>
              <w:rPr>
                <w:b/>
                <w:lang w:val="en-GB"/>
              </w:rPr>
            </w:pPr>
            <w:r w:rsidRPr="009D2D19">
              <w:rPr>
                <w:b/>
                <w:lang w:val="en-GB"/>
              </w:rPr>
              <w:t>Female ADHD mean(SD) median</w:t>
            </w:r>
          </w:p>
        </w:tc>
        <w:tc>
          <w:tcPr>
            <w:tcW w:w="581" w:type="pct"/>
            <w:shd w:val="clear" w:color="auto" w:fill="D6D2C4" w:themeFill="accent4"/>
            <w:noWrap/>
            <w:hideMark/>
          </w:tcPr>
          <w:p w14:paraId="19C1B007" w14:textId="77777777" w:rsidR="00782E1C" w:rsidRPr="009D2D19" w:rsidRDefault="00782E1C" w:rsidP="00D30BCF">
            <w:pPr>
              <w:pStyle w:val="tabeltextintabel"/>
              <w:rPr>
                <w:b/>
                <w:lang w:val="en-GB"/>
              </w:rPr>
            </w:pPr>
            <w:r w:rsidRPr="009D2D19">
              <w:rPr>
                <w:b/>
                <w:lang w:val="en-GB"/>
              </w:rPr>
              <w:t>Female control mean(SD) median</w:t>
            </w:r>
          </w:p>
        </w:tc>
        <w:tc>
          <w:tcPr>
            <w:tcW w:w="387" w:type="pct"/>
            <w:shd w:val="clear" w:color="auto" w:fill="D6D2C4" w:themeFill="accent4"/>
            <w:noWrap/>
            <w:hideMark/>
          </w:tcPr>
          <w:p w14:paraId="368AC0CE" w14:textId="77777777" w:rsidR="00782E1C" w:rsidRPr="00D30BCF" w:rsidRDefault="00782E1C" w:rsidP="00D30BCF">
            <w:pPr>
              <w:pStyle w:val="tabeltextintabel"/>
              <w:rPr>
                <w:b/>
              </w:rPr>
            </w:pPr>
            <w:r w:rsidRPr="00D30BCF">
              <w:rPr>
                <w:b/>
              </w:rPr>
              <w:t>Female p-values</w:t>
            </w:r>
          </w:p>
        </w:tc>
        <w:tc>
          <w:tcPr>
            <w:tcW w:w="517" w:type="pct"/>
            <w:shd w:val="clear" w:color="auto" w:fill="D6D2C4" w:themeFill="accent4"/>
            <w:noWrap/>
            <w:hideMark/>
          </w:tcPr>
          <w:p w14:paraId="04136486" w14:textId="77777777" w:rsidR="00782E1C" w:rsidRPr="009D2D19" w:rsidRDefault="00782E1C" w:rsidP="00D30BCF">
            <w:pPr>
              <w:pStyle w:val="tabeltextintabel"/>
              <w:rPr>
                <w:b/>
                <w:lang w:val="en-GB"/>
              </w:rPr>
            </w:pPr>
            <w:r w:rsidRPr="009D2D19">
              <w:rPr>
                <w:b/>
                <w:lang w:val="en-GB"/>
              </w:rPr>
              <w:t>Male ADHD mean(SD) median</w:t>
            </w:r>
          </w:p>
        </w:tc>
        <w:tc>
          <w:tcPr>
            <w:tcW w:w="581" w:type="pct"/>
            <w:shd w:val="clear" w:color="auto" w:fill="D6D2C4" w:themeFill="accent4"/>
            <w:noWrap/>
            <w:hideMark/>
          </w:tcPr>
          <w:p w14:paraId="7704194E" w14:textId="77777777" w:rsidR="00782E1C" w:rsidRPr="009D2D19" w:rsidRDefault="00782E1C" w:rsidP="00D30BCF">
            <w:pPr>
              <w:pStyle w:val="tabeltextintabel"/>
              <w:rPr>
                <w:b/>
                <w:lang w:val="en-GB"/>
              </w:rPr>
            </w:pPr>
            <w:r w:rsidRPr="009D2D19">
              <w:rPr>
                <w:b/>
                <w:lang w:val="en-GB"/>
              </w:rPr>
              <w:t>Male control mean(SD) median</w:t>
            </w:r>
          </w:p>
        </w:tc>
        <w:tc>
          <w:tcPr>
            <w:tcW w:w="322" w:type="pct"/>
            <w:shd w:val="clear" w:color="auto" w:fill="D6D2C4" w:themeFill="accent4"/>
            <w:noWrap/>
            <w:hideMark/>
          </w:tcPr>
          <w:p w14:paraId="734BC11D" w14:textId="77777777" w:rsidR="00782E1C" w:rsidRPr="00D30BCF" w:rsidRDefault="00782E1C" w:rsidP="00D30BCF">
            <w:pPr>
              <w:pStyle w:val="tabeltextintabel"/>
              <w:rPr>
                <w:b/>
              </w:rPr>
            </w:pPr>
            <w:r w:rsidRPr="00D30BCF">
              <w:rPr>
                <w:b/>
              </w:rPr>
              <w:t>Male p-values</w:t>
            </w:r>
          </w:p>
        </w:tc>
        <w:tc>
          <w:tcPr>
            <w:tcW w:w="386" w:type="pct"/>
            <w:shd w:val="clear" w:color="auto" w:fill="D6D2C4" w:themeFill="accent4"/>
            <w:noWrap/>
            <w:hideMark/>
          </w:tcPr>
          <w:p w14:paraId="3C3C786F" w14:textId="77777777" w:rsidR="00782E1C" w:rsidRPr="00D30BCF" w:rsidRDefault="00782E1C" w:rsidP="00D30BCF">
            <w:pPr>
              <w:pStyle w:val="tabeltextintabel"/>
              <w:rPr>
                <w:b/>
              </w:rPr>
            </w:pPr>
            <w:r w:rsidRPr="00D30BCF">
              <w:rPr>
                <w:b/>
              </w:rPr>
              <w:t>Starting point (Ms)</w:t>
            </w:r>
          </w:p>
        </w:tc>
        <w:tc>
          <w:tcPr>
            <w:tcW w:w="388" w:type="pct"/>
            <w:shd w:val="clear" w:color="auto" w:fill="D6D2C4" w:themeFill="accent4"/>
            <w:noWrap/>
            <w:hideMark/>
          </w:tcPr>
          <w:p w14:paraId="76E520C0" w14:textId="77777777" w:rsidR="00782E1C" w:rsidRPr="00D30BCF" w:rsidRDefault="00782E1C" w:rsidP="00D30BCF">
            <w:pPr>
              <w:pStyle w:val="tabeltextintabel"/>
              <w:rPr>
                <w:b/>
              </w:rPr>
            </w:pPr>
            <w:r w:rsidRPr="00D30BCF">
              <w:rPr>
                <w:b/>
              </w:rPr>
              <w:t>Window size (Ms)</w:t>
            </w:r>
          </w:p>
        </w:tc>
        <w:tc>
          <w:tcPr>
            <w:tcW w:w="324" w:type="pct"/>
            <w:shd w:val="clear" w:color="auto" w:fill="D6D2C4" w:themeFill="accent4"/>
            <w:noWrap/>
            <w:hideMark/>
          </w:tcPr>
          <w:p w14:paraId="4F264B34" w14:textId="77777777" w:rsidR="00782E1C" w:rsidRPr="00D30BCF" w:rsidRDefault="00782E1C" w:rsidP="00D30BCF">
            <w:pPr>
              <w:pStyle w:val="tabeltextintabel"/>
              <w:rPr>
                <w:b/>
              </w:rPr>
            </w:pPr>
            <w:r w:rsidRPr="00D30BCF">
              <w:rPr>
                <w:b/>
              </w:rPr>
              <w:t>Type of norm</w:t>
            </w:r>
          </w:p>
        </w:tc>
        <w:tc>
          <w:tcPr>
            <w:tcW w:w="267" w:type="pct"/>
            <w:shd w:val="clear" w:color="auto" w:fill="D6D2C4" w:themeFill="accent4"/>
            <w:noWrap/>
            <w:hideMark/>
          </w:tcPr>
          <w:p w14:paraId="0B1FE1A3" w14:textId="77777777" w:rsidR="00782E1C" w:rsidRPr="00D30BCF" w:rsidRDefault="00782E1C" w:rsidP="00D30BCF">
            <w:pPr>
              <w:pStyle w:val="tabeltextintabel"/>
              <w:rPr>
                <w:b/>
              </w:rPr>
            </w:pPr>
            <w:r w:rsidRPr="00D30BCF">
              <w:rPr>
                <w:b/>
              </w:rPr>
              <w:t>Stimuli</w:t>
            </w:r>
          </w:p>
        </w:tc>
        <w:tc>
          <w:tcPr>
            <w:tcW w:w="411" w:type="pct"/>
            <w:shd w:val="clear" w:color="auto" w:fill="D6D2C4" w:themeFill="accent4"/>
            <w:noWrap/>
            <w:hideMark/>
          </w:tcPr>
          <w:p w14:paraId="611FD23A" w14:textId="77777777" w:rsidR="00782E1C" w:rsidRPr="00D30BCF" w:rsidRDefault="00782E1C" w:rsidP="00D30BCF">
            <w:pPr>
              <w:pStyle w:val="tabeltextintabel"/>
              <w:rPr>
                <w:b/>
              </w:rPr>
            </w:pPr>
            <w:r w:rsidRPr="00D30BCF">
              <w:rPr>
                <w:b/>
              </w:rPr>
              <w:t>Ranked/Non-ranked</w:t>
            </w:r>
          </w:p>
        </w:tc>
      </w:tr>
      <w:tr w:rsidR="00D30BCF" w:rsidRPr="00D30BCF" w14:paraId="481A4D03" w14:textId="77777777" w:rsidTr="00D30BCF">
        <w:trPr>
          <w:trHeight w:val="320"/>
        </w:trPr>
        <w:tc>
          <w:tcPr>
            <w:tcW w:w="256" w:type="pct"/>
            <w:noWrap/>
            <w:hideMark/>
          </w:tcPr>
          <w:p w14:paraId="127F0094" w14:textId="77777777" w:rsidR="00782E1C" w:rsidRPr="00D30BCF" w:rsidRDefault="00782E1C" w:rsidP="00D30BCF">
            <w:pPr>
              <w:pStyle w:val="tabeltextintabel"/>
            </w:pPr>
            <w:r w:rsidRPr="00D30BCF">
              <w:t xml:space="preserve">TR4 </w:t>
            </w:r>
          </w:p>
        </w:tc>
        <w:tc>
          <w:tcPr>
            <w:tcW w:w="580" w:type="pct"/>
            <w:noWrap/>
            <w:hideMark/>
          </w:tcPr>
          <w:p w14:paraId="2D45E909" w14:textId="77777777" w:rsidR="00782E1C" w:rsidRPr="00D30BCF" w:rsidRDefault="00782E1C" w:rsidP="00D30BCF">
            <w:pPr>
              <w:pStyle w:val="tabeltextintabel"/>
            </w:pPr>
            <w:r w:rsidRPr="00D30BCF">
              <w:t>0.62 (0.29); 071</w:t>
            </w:r>
          </w:p>
        </w:tc>
        <w:tc>
          <w:tcPr>
            <w:tcW w:w="581" w:type="pct"/>
            <w:noWrap/>
            <w:hideMark/>
          </w:tcPr>
          <w:p w14:paraId="6E09CBBE" w14:textId="77777777" w:rsidR="00782E1C" w:rsidRPr="00D30BCF" w:rsidRDefault="00782E1C" w:rsidP="00D30BCF">
            <w:pPr>
              <w:pStyle w:val="tabeltextintabel"/>
            </w:pPr>
            <w:r w:rsidRPr="00D30BCF">
              <w:t xml:space="preserve">0.73 (0.19); 0,81 </w:t>
            </w:r>
          </w:p>
        </w:tc>
        <w:tc>
          <w:tcPr>
            <w:tcW w:w="387" w:type="pct"/>
            <w:noWrap/>
            <w:hideMark/>
          </w:tcPr>
          <w:p w14:paraId="08DA3130" w14:textId="5096CAF3" w:rsidR="00782E1C" w:rsidRPr="00D30BCF" w:rsidRDefault="003D7C54" w:rsidP="00D30BCF">
            <w:pPr>
              <w:pStyle w:val="tabeltextintabel"/>
            </w:pPr>
            <w:r>
              <w:t>0.</w:t>
            </w:r>
            <w:r w:rsidR="00782E1C" w:rsidRPr="00D30BCF">
              <w:t>084</w:t>
            </w:r>
          </w:p>
        </w:tc>
        <w:tc>
          <w:tcPr>
            <w:tcW w:w="517" w:type="pct"/>
            <w:noWrap/>
            <w:hideMark/>
          </w:tcPr>
          <w:p w14:paraId="359DA6FA" w14:textId="6B126018" w:rsidR="00782E1C" w:rsidRPr="00D30BCF" w:rsidRDefault="00782E1C" w:rsidP="00D30BCF">
            <w:pPr>
              <w:pStyle w:val="tabeltextintabel"/>
            </w:pPr>
            <w:r w:rsidRPr="00D30BCF">
              <w:t>0.57(0.26</w:t>
            </w:r>
            <w:r w:rsidR="00B0373B">
              <w:t>); 0.</w:t>
            </w:r>
            <w:r w:rsidRPr="00D30BCF">
              <w:t xml:space="preserve">62 </w:t>
            </w:r>
          </w:p>
        </w:tc>
        <w:tc>
          <w:tcPr>
            <w:tcW w:w="581" w:type="pct"/>
            <w:noWrap/>
            <w:hideMark/>
          </w:tcPr>
          <w:p w14:paraId="7C1B828F" w14:textId="77777777" w:rsidR="00782E1C" w:rsidRPr="00D30BCF" w:rsidRDefault="00782E1C" w:rsidP="00D30BCF">
            <w:pPr>
              <w:pStyle w:val="tabeltextintabel"/>
            </w:pPr>
            <w:r w:rsidRPr="00D30BCF">
              <w:t xml:space="preserve">0.77 (0,18); 0.80 </w:t>
            </w:r>
          </w:p>
        </w:tc>
        <w:tc>
          <w:tcPr>
            <w:tcW w:w="322" w:type="pct"/>
            <w:noWrap/>
            <w:hideMark/>
          </w:tcPr>
          <w:p w14:paraId="466C9B90" w14:textId="1EEB2A23" w:rsidR="00782E1C" w:rsidRPr="00D30BCF" w:rsidRDefault="003D7C54" w:rsidP="00D30BCF">
            <w:pPr>
              <w:pStyle w:val="tabeltextintabel"/>
              <w:rPr>
                <w:color w:val="FF0000"/>
              </w:rPr>
            </w:pPr>
            <w:r>
              <w:rPr>
                <w:color w:val="FF0000"/>
              </w:rPr>
              <w:t>0.</w:t>
            </w:r>
            <w:r w:rsidR="00782E1C" w:rsidRPr="00D30BCF">
              <w:rPr>
                <w:color w:val="FF0000"/>
              </w:rPr>
              <w:t>00105</w:t>
            </w:r>
          </w:p>
        </w:tc>
        <w:tc>
          <w:tcPr>
            <w:tcW w:w="386" w:type="pct"/>
            <w:noWrap/>
            <w:hideMark/>
          </w:tcPr>
          <w:p w14:paraId="4F98C7A4" w14:textId="77777777" w:rsidR="00782E1C" w:rsidRPr="00D30BCF" w:rsidRDefault="00782E1C" w:rsidP="00D30BCF">
            <w:pPr>
              <w:pStyle w:val="tabeltextintabel"/>
            </w:pPr>
            <w:r w:rsidRPr="00D30BCF">
              <w:t>3.5</w:t>
            </w:r>
          </w:p>
        </w:tc>
        <w:tc>
          <w:tcPr>
            <w:tcW w:w="388" w:type="pct"/>
            <w:noWrap/>
            <w:hideMark/>
          </w:tcPr>
          <w:p w14:paraId="332FC0BC" w14:textId="77777777" w:rsidR="00782E1C" w:rsidRPr="00D30BCF" w:rsidRDefault="00782E1C" w:rsidP="00D30BCF">
            <w:pPr>
              <w:pStyle w:val="tabeltextintabel"/>
            </w:pPr>
            <w:r w:rsidRPr="00D30BCF">
              <w:t>2.0</w:t>
            </w:r>
          </w:p>
        </w:tc>
        <w:tc>
          <w:tcPr>
            <w:tcW w:w="324" w:type="pct"/>
            <w:noWrap/>
            <w:hideMark/>
          </w:tcPr>
          <w:p w14:paraId="4A01C430" w14:textId="77777777" w:rsidR="00782E1C" w:rsidRPr="00D30BCF" w:rsidRDefault="00782E1C" w:rsidP="00D30BCF">
            <w:pPr>
              <w:pStyle w:val="tabeltextintabel"/>
            </w:pPr>
            <w:r w:rsidRPr="00D30BCF">
              <w:t>Norm curve</w:t>
            </w:r>
          </w:p>
        </w:tc>
        <w:tc>
          <w:tcPr>
            <w:tcW w:w="267" w:type="pct"/>
            <w:noWrap/>
            <w:hideMark/>
          </w:tcPr>
          <w:p w14:paraId="40D041C0" w14:textId="77777777" w:rsidR="00782E1C" w:rsidRPr="00D30BCF" w:rsidRDefault="00782E1C" w:rsidP="00D30BCF">
            <w:pPr>
              <w:pStyle w:val="tabeltextintabel"/>
            </w:pPr>
            <w:r w:rsidRPr="00D30BCF">
              <w:t>HP</w:t>
            </w:r>
          </w:p>
        </w:tc>
        <w:tc>
          <w:tcPr>
            <w:tcW w:w="411" w:type="pct"/>
            <w:noWrap/>
            <w:hideMark/>
          </w:tcPr>
          <w:p w14:paraId="10773433" w14:textId="77777777" w:rsidR="00782E1C" w:rsidRPr="00D30BCF" w:rsidRDefault="00782E1C" w:rsidP="00D30BCF">
            <w:pPr>
              <w:pStyle w:val="tabeltextintabel"/>
            </w:pPr>
            <w:r w:rsidRPr="00D30BCF">
              <w:t>Non-ranked</w:t>
            </w:r>
          </w:p>
        </w:tc>
      </w:tr>
      <w:tr w:rsidR="00D30BCF" w:rsidRPr="00D30BCF" w14:paraId="63EA3806" w14:textId="77777777" w:rsidTr="00D30BCF">
        <w:trPr>
          <w:trHeight w:val="320"/>
        </w:trPr>
        <w:tc>
          <w:tcPr>
            <w:tcW w:w="256" w:type="pct"/>
            <w:noWrap/>
            <w:hideMark/>
          </w:tcPr>
          <w:p w14:paraId="340946AE" w14:textId="77777777" w:rsidR="00782E1C" w:rsidRPr="00D30BCF" w:rsidRDefault="00782E1C" w:rsidP="00D30BCF">
            <w:pPr>
              <w:pStyle w:val="tabeltextintabel"/>
            </w:pPr>
            <w:r w:rsidRPr="00D30BCF">
              <w:t>TR5</w:t>
            </w:r>
          </w:p>
        </w:tc>
        <w:tc>
          <w:tcPr>
            <w:tcW w:w="580" w:type="pct"/>
            <w:noWrap/>
            <w:hideMark/>
          </w:tcPr>
          <w:p w14:paraId="62E94BD6" w14:textId="77777777" w:rsidR="00782E1C" w:rsidRPr="00D30BCF" w:rsidRDefault="00782E1C" w:rsidP="00D30BCF">
            <w:pPr>
              <w:pStyle w:val="tabeltextintabel"/>
            </w:pPr>
            <w:r w:rsidRPr="00D30BCF">
              <w:t xml:space="preserve">0.85 (0.14); 0.90 </w:t>
            </w:r>
          </w:p>
        </w:tc>
        <w:tc>
          <w:tcPr>
            <w:tcW w:w="581" w:type="pct"/>
            <w:noWrap/>
            <w:hideMark/>
          </w:tcPr>
          <w:p w14:paraId="2B0F4DA6" w14:textId="77777777" w:rsidR="00782E1C" w:rsidRPr="00D30BCF" w:rsidRDefault="00782E1C" w:rsidP="00D30BCF">
            <w:pPr>
              <w:pStyle w:val="tabeltextintabel"/>
            </w:pPr>
            <w:r w:rsidRPr="00D30BCF">
              <w:t xml:space="preserve">0.85 (0.22); 0.94 </w:t>
            </w:r>
          </w:p>
        </w:tc>
        <w:tc>
          <w:tcPr>
            <w:tcW w:w="387" w:type="pct"/>
            <w:noWrap/>
            <w:hideMark/>
          </w:tcPr>
          <w:p w14:paraId="0522AB48" w14:textId="1CC0911F" w:rsidR="00782E1C" w:rsidRPr="00D30BCF" w:rsidRDefault="003D7C54" w:rsidP="00D30BCF">
            <w:pPr>
              <w:pStyle w:val="tabeltextintabel"/>
            </w:pPr>
            <w:r>
              <w:t>0.</w:t>
            </w:r>
            <w:r w:rsidR="00782E1C" w:rsidRPr="00D30BCF">
              <w:t>321</w:t>
            </w:r>
          </w:p>
        </w:tc>
        <w:tc>
          <w:tcPr>
            <w:tcW w:w="517" w:type="pct"/>
            <w:noWrap/>
            <w:hideMark/>
          </w:tcPr>
          <w:p w14:paraId="1E1191B2" w14:textId="77777777" w:rsidR="00782E1C" w:rsidRPr="00D30BCF" w:rsidRDefault="00782E1C" w:rsidP="00D30BCF">
            <w:pPr>
              <w:pStyle w:val="tabeltextintabel"/>
            </w:pPr>
            <w:r w:rsidRPr="00D30BCF">
              <w:t xml:space="preserve">0.80 (0.18); 0.87 </w:t>
            </w:r>
          </w:p>
        </w:tc>
        <w:tc>
          <w:tcPr>
            <w:tcW w:w="581" w:type="pct"/>
            <w:noWrap/>
            <w:hideMark/>
          </w:tcPr>
          <w:p w14:paraId="230F1768" w14:textId="77777777" w:rsidR="00782E1C" w:rsidRPr="00D30BCF" w:rsidRDefault="00782E1C" w:rsidP="00D30BCF">
            <w:pPr>
              <w:pStyle w:val="tabeltextintabel"/>
            </w:pPr>
            <w:r w:rsidRPr="00D30BCF">
              <w:t xml:space="preserve">0.93 (0,06); 0.95 </w:t>
            </w:r>
          </w:p>
        </w:tc>
        <w:tc>
          <w:tcPr>
            <w:tcW w:w="322" w:type="pct"/>
            <w:noWrap/>
            <w:hideMark/>
          </w:tcPr>
          <w:p w14:paraId="1501BE09" w14:textId="59BCF8D6" w:rsidR="00782E1C" w:rsidRPr="00D30BCF" w:rsidRDefault="003D7C54" w:rsidP="00D30BCF">
            <w:pPr>
              <w:pStyle w:val="tabeltextintabel"/>
              <w:rPr>
                <w:color w:val="FF0000"/>
              </w:rPr>
            </w:pPr>
            <w:r>
              <w:rPr>
                <w:color w:val="FF0000"/>
              </w:rPr>
              <w:t>0.</w:t>
            </w:r>
            <w:r w:rsidR="00782E1C" w:rsidRPr="00D30BCF">
              <w:rPr>
                <w:color w:val="FF0000"/>
              </w:rPr>
              <w:t>00027</w:t>
            </w:r>
          </w:p>
        </w:tc>
        <w:tc>
          <w:tcPr>
            <w:tcW w:w="386" w:type="pct"/>
            <w:noWrap/>
            <w:hideMark/>
          </w:tcPr>
          <w:p w14:paraId="7EE41D28" w14:textId="77777777" w:rsidR="00782E1C" w:rsidRPr="00D30BCF" w:rsidRDefault="00782E1C" w:rsidP="00D30BCF">
            <w:pPr>
              <w:pStyle w:val="tabeltextintabel"/>
            </w:pPr>
            <w:r w:rsidRPr="00D30BCF">
              <w:t>2.5</w:t>
            </w:r>
          </w:p>
        </w:tc>
        <w:tc>
          <w:tcPr>
            <w:tcW w:w="388" w:type="pct"/>
            <w:noWrap/>
            <w:hideMark/>
          </w:tcPr>
          <w:p w14:paraId="103F8916" w14:textId="77777777" w:rsidR="00782E1C" w:rsidRPr="00D30BCF" w:rsidRDefault="00782E1C" w:rsidP="00D30BCF">
            <w:pPr>
              <w:pStyle w:val="tabeltextintabel"/>
            </w:pPr>
            <w:r w:rsidRPr="00D30BCF">
              <w:t>1.5</w:t>
            </w:r>
          </w:p>
        </w:tc>
        <w:tc>
          <w:tcPr>
            <w:tcW w:w="324" w:type="pct"/>
            <w:noWrap/>
            <w:hideMark/>
          </w:tcPr>
          <w:p w14:paraId="707AC6B7" w14:textId="77777777" w:rsidR="00782E1C" w:rsidRPr="00D30BCF" w:rsidRDefault="00782E1C" w:rsidP="00D30BCF">
            <w:pPr>
              <w:pStyle w:val="tabeltextintabel"/>
            </w:pPr>
            <w:r w:rsidRPr="00D30BCF">
              <w:t>Norm curve</w:t>
            </w:r>
          </w:p>
        </w:tc>
        <w:tc>
          <w:tcPr>
            <w:tcW w:w="267" w:type="pct"/>
            <w:noWrap/>
            <w:hideMark/>
          </w:tcPr>
          <w:p w14:paraId="31263D63" w14:textId="77777777" w:rsidR="00782E1C" w:rsidRPr="00D30BCF" w:rsidRDefault="00782E1C" w:rsidP="00D30BCF">
            <w:pPr>
              <w:pStyle w:val="tabeltextintabel"/>
            </w:pPr>
            <w:r w:rsidRPr="00D30BCF">
              <w:t>BM</w:t>
            </w:r>
          </w:p>
        </w:tc>
        <w:tc>
          <w:tcPr>
            <w:tcW w:w="411" w:type="pct"/>
            <w:noWrap/>
            <w:hideMark/>
          </w:tcPr>
          <w:p w14:paraId="230DCFD1" w14:textId="77777777" w:rsidR="00782E1C" w:rsidRPr="00D30BCF" w:rsidRDefault="00782E1C" w:rsidP="00D30BCF">
            <w:pPr>
              <w:pStyle w:val="tabeltextintabel"/>
            </w:pPr>
            <w:r w:rsidRPr="00D30BCF">
              <w:t>Non-ranked</w:t>
            </w:r>
          </w:p>
        </w:tc>
      </w:tr>
      <w:tr w:rsidR="00D30BCF" w:rsidRPr="00D30BCF" w14:paraId="7094B4D8" w14:textId="77777777" w:rsidTr="00D30BCF">
        <w:trPr>
          <w:trHeight w:val="320"/>
        </w:trPr>
        <w:tc>
          <w:tcPr>
            <w:tcW w:w="256" w:type="pct"/>
            <w:noWrap/>
            <w:hideMark/>
          </w:tcPr>
          <w:p w14:paraId="2B7439BD" w14:textId="77777777" w:rsidR="00782E1C" w:rsidRPr="00D30BCF" w:rsidRDefault="00782E1C" w:rsidP="00D30BCF">
            <w:pPr>
              <w:pStyle w:val="tabeltextintabel"/>
            </w:pPr>
            <w:r w:rsidRPr="00D30BCF">
              <w:t>TR6</w:t>
            </w:r>
          </w:p>
        </w:tc>
        <w:tc>
          <w:tcPr>
            <w:tcW w:w="580" w:type="pct"/>
            <w:noWrap/>
            <w:hideMark/>
          </w:tcPr>
          <w:p w14:paraId="24D7CF4B" w14:textId="77777777" w:rsidR="00782E1C" w:rsidRPr="00D30BCF" w:rsidRDefault="00782E1C" w:rsidP="00D30BCF">
            <w:pPr>
              <w:pStyle w:val="tabeltextintabel"/>
            </w:pPr>
            <w:r w:rsidRPr="00D30BCF">
              <w:t xml:space="preserve">172 (56); 174 </w:t>
            </w:r>
          </w:p>
        </w:tc>
        <w:tc>
          <w:tcPr>
            <w:tcW w:w="581" w:type="pct"/>
            <w:noWrap/>
            <w:hideMark/>
          </w:tcPr>
          <w:p w14:paraId="06383C9A" w14:textId="77777777" w:rsidR="00782E1C" w:rsidRPr="00D30BCF" w:rsidRDefault="00782E1C" w:rsidP="00D30BCF">
            <w:pPr>
              <w:pStyle w:val="tabeltextintabel"/>
            </w:pPr>
            <w:r w:rsidRPr="00D30BCF">
              <w:t xml:space="preserve">116 (49); 123 </w:t>
            </w:r>
          </w:p>
        </w:tc>
        <w:tc>
          <w:tcPr>
            <w:tcW w:w="387" w:type="pct"/>
            <w:noWrap/>
            <w:hideMark/>
          </w:tcPr>
          <w:p w14:paraId="367996F2" w14:textId="75767F45" w:rsidR="00782E1C" w:rsidRPr="00D30BCF" w:rsidRDefault="003D7C54" w:rsidP="00D30BCF">
            <w:pPr>
              <w:pStyle w:val="tabeltextintabel"/>
              <w:rPr>
                <w:color w:val="FF0000"/>
              </w:rPr>
            </w:pPr>
            <w:r>
              <w:rPr>
                <w:color w:val="FF0000"/>
              </w:rPr>
              <w:t>0.</w:t>
            </w:r>
            <w:r w:rsidR="00782E1C" w:rsidRPr="00D30BCF">
              <w:rPr>
                <w:color w:val="FF0000"/>
              </w:rPr>
              <w:t>000064</w:t>
            </w:r>
          </w:p>
        </w:tc>
        <w:tc>
          <w:tcPr>
            <w:tcW w:w="517" w:type="pct"/>
            <w:noWrap/>
            <w:hideMark/>
          </w:tcPr>
          <w:p w14:paraId="71A081D3" w14:textId="77777777" w:rsidR="00782E1C" w:rsidRPr="00D30BCF" w:rsidRDefault="00782E1C" w:rsidP="00D30BCF">
            <w:pPr>
              <w:pStyle w:val="tabeltextintabel"/>
            </w:pPr>
            <w:r w:rsidRPr="00D30BCF">
              <w:t xml:space="preserve">157 (63); 156 </w:t>
            </w:r>
          </w:p>
        </w:tc>
        <w:tc>
          <w:tcPr>
            <w:tcW w:w="581" w:type="pct"/>
            <w:noWrap/>
            <w:hideMark/>
          </w:tcPr>
          <w:p w14:paraId="35A17988" w14:textId="77777777" w:rsidR="00782E1C" w:rsidRPr="00D30BCF" w:rsidRDefault="00782E1C" w:rsidP="00D30BCF">
            <w:pPr>
              <w:pStyle w:val="tabeltextintabel"/>
            </w:pPr>
            <w:r w:rsidRPr="00D30BCF">
              <w:t xml:space="preserve">139 (64); 122 </w:t>
            </w:r>
          </w:p>
        </w:tc>
        <w:tc>
          <w:tcPr>
            <w:tcW w:w="322" w:type="pct"/>
            <w:noWrap/>
            <w:hideMark/>
          </w:tcPr>
          <w:p w14:paraId="0EC0363E" w14:textId="27570B16" w:rsidR="00782E1C" w:rsidRPr="00D30BCF" w:rsidRDefault="003D7C54" w:rsidP="00D30BCF">
            <w:pPr>
              <w:pStyle w:val="tabeltextintabel"/>
            </w:pPr>
            <w:r>
              <w:t>0.</w:t>
            </w:r>
            <w:r w:rsidR="00782E1C" w:rsidRPr="00D30BCF">
              <w:t>208</w:t>
            </w:r>
          </w:p>
        </w:tc>
        <w:tc>
          <w:tcPr>
            <w:tcW w:w="386" w:type="pct"/>
            <w:noWrap/>
            <w:hideMark/>
          </w:tcPr>
          <w:p w14:paraId="7EEDA835" w14:textId="77777777" w:rsidR="00782E1C" w:rsidRPr="00D30BCF" w:rsidRDefault="00782E1C" w:rsidP="00D30BCF">
            <w:pPr>
              <w:pStyle w:val="tabeltextintabel"/>
            </w:pPr>
            <w:r w:rsidRPr="00D30BCF">
              <w:t>6.0</w:t>
            </w:r>
          </w:p>
        </w:tc>
        <w:tc>
          <w:tcPr>
            <w:tcW w:w="388" w:type="pct"/>
            <w:noWrap/>
            <w:hideMark/>
          </w:tcPr>
          <w:p w14:paraId="7E5B0897" w14:textId="77777777" w:rsidR="00782E1C" w:rsidRPr="00D30BCF" w:rsidRDefault="00782E1C" w:rsidP="00D30BCF">
            <w:pPr>
              <w:pStyle w:val="tabeltextintabel"/>
            </w:pPr>
            <w:r w:rsidRPr="00D30BCF">
              <w:t>1.0</w:t>
            </w:r>
          </w:p>
        </w:tc>
        <w:tc>
          <w:tcPr>
            <w:tcW w:w="324" w:type="pct"/>
            <w:noWrap/>
            <w:hideMark/>
          </w:tcPr>
          <w:p w14:paraId="05657521" w14:textId="77777777" w:rsidR="00782E1C" w:rsidRPr="00D30BCF" w:rsidRDefault="00782E1C" w:rsidP="00D30BCF">
            <w:pPr>
              <w:pStyle w:val="tabeltextintabel"/>
            </w:pPr>
            <w:r w:rsidRPr="00D30BCF">
              <w:t>Norm curve</w:t>
            </w:r>
          </w:p>
        </w:tc>
        <w:tc>
          <w:tcPr>
            <w:tcW w:w="267" w:type="pct"/>
            <w:noWrap/>
            <w:hideMark/>
          </w:tcPr>
          <w:p w14:paraId="204B3899" w14:textId="77777777" w:rsidR="00782E1C" w:rsidRPr="00D30BCF" w:rsidRDefault="00782E1C" w:rsidP="00D30BCF">
            <w:pPr>
              <w:pStyle w:val="tabeltextintabel"/>
            </w:pPr>
            <w:r w:rsidRPr="00D30BCF">
              <w:t>BM</w:t>
            </w:r>
          </w:p>
        </w:tc>
        <w:tc>
          <w:tcPr>
            <w:tcW w:w="411" w:type="pct"/>
            <w:noWrap/>
            <w:hideMark/>
          </w:tcPr>
          <w:p w14:paraId="00C7159C" w14:textId="77777777" w:rsidR="00782E1C" w:rsidRPr="00D30BCF" w:rsidRDefault="00782E1C" w:rsidP="00D30BCF">
            <w:pPr>
              <w:pStyle w:val="tabeltextintabel"/>
            </w:pPr>
            <w:r w:rsidRPr="00D30BCF">
              <w:t>Ranked</w:t>
            </w:r>
          </w:p>
        </w:tc>
      </w:tr>
      <w:tr w:rsidR="00D30BCF" w:rsidRPr="00D30BCF" w14:paraId="07FC0CC4" w14:textId="77777777" w:rsidTr="00D30BCF">
        <w:trPr>
          <w:trHeight w:val="320"/>
        </w:trPr>
        <w:tc>
          <w:tcPr>
            <w:tcW w:w="256" w:type="pct"/>
            <w:noWrap/>
            <w:hideMark/>
          </w:tcPr>
          <w:p w14:paraId="13EAC4FF" w14:textId="77777777" w:rsidR="00782E1C" w:rsidRPr="00D30BCF" w:rsidRDefault="00782E1C" w:rsidP="00D30BCF">
            <w:pPr>
              <w:pStyle w:val="tabeltextintabel"/>
            </w:pPr>
            <w:r w:rsidRPr="00D30BCF">
              <w:t xml:space="preserve">TR14 </w:t>
            </w:r>
          </w:p>
        </w:tc>
        <w:tc>
          <w:tcPr>
            <w:tcW w:w="580" w:type="pct"/>
            <w:noWrap/>
            <w:hideMark/>
          </w:tcPr>
          <w:p w14:paraId="309439B0" w14:textId="77777777" w:rsidR="00782E1C" w:rsidRPr="00D30BCF" w:rsidRDefault="00782E1C" w:rsidP="00D30BCF">
            <w:pPr>
              <w:pStyle w:val="tabeltextintabel"/>
            </w:pPr>
            <w:r w:rsidRPr="00D30BCF">
              <w:t xml:space="preserve">3.8 (1.8); 4 </w:t>
            </w:r>
          </w:p>
        </w:tc>
        <w:tc>
          <w:tcPr>
            <w:tcW w:w="581" w:type="pct"/>
            <w:noWrap/>
            <w:hideMark/>
          </w:tcPr>
          <w:p w14:paraId="4175E09E" w14:textId="77777777" w:rsidR="00782E1C" w:rsidRPr="00D30BCF" w:rsidRDefault="00782E1C" w:rsidP="00D30BCF">
            <w:pPr>
              <w:pStyle w:val="tabeltextintabel"/>
            </w:pPr>
            <w:r w:rsidRPr="00D30BCF">
              <w:t xml:space="preserve">2.2 (1.9); 2 </w:t>
            </w:r>
          </w:p>
        </w:tc>
        <w:tc>
          <w:tcPr>
            <w:tcW w:w="387" w:type="pct"/>
            <w:noWrap/>
            <w:hideMark/>
          </w:tcPr>
          <w:p w14:paraId="6236D268" w14:textId="60C6F51F" w:rsidR="00782E1C" w:rsidRPr="00D30BCF" w:rsidRDefault="003D7C54" w:rsidP="00D30BCF">
            <w:pPr>
              <w:pStyle w:val="tabeltextintabel"/>
              <w:rPr>
                <w:color w:val="FF0000"/>
              </w:rPr>
            </w:pPr>
            <w:r>
              <w:rPr>
                <w:color w:val="FF0000"/>
              </w:rPr>
              <w:t>0.</w:t>
            </w:r>
            <w:r w:rsidR="00782E1C" w:rsidRPr="00D30BCF">
              <w:rPr>
                <w:color w:val="FF0000"/>
              </w:rPr>
              <w:t>00059</w:t>
            </w:r>
          </w:p>
        </w:tc>
        <w:tc>
          <w:tcPr>
            <w:tcW w:w="517" w:type="pct"/>
            <w:noWrap/>
            <w:hideMark/>
          </w:tcPr>
          <w:p w14:paraId="6C32C4C8" w14:textId="77777777" w:rsidR="00782E1C" w:rsidRPr="00D30BCF" w:rsidRDefault="00782E1C" w:rsidP="00D30BCF">
            <w:pPr>
              <w:pStyle w:val="tabeltextintabel"/>
            </w:pPr>
            <w:r w:rsidRPr="00D30BCF">
              <w:t xml:space="preserve">4.5 (1.8); 5 </w:t>
            </w:r>
          </w:p>
        </w:tc>
        <w:tc>
          <w:tcPr>
            <w:tcW w:w="581" w:type="pct"/>
            <w:noWrap/>
            <w:hideMark/>
          </w:tcPr>
          <w:p w14:paraId="72B42729" w14:textId="77777777" w:rsidR="00782E1C" w:rsidRPr="00D30BCF" w:rsidRDefault="00782E1C" w:rsidP="00D30BCF">
            <w:pPr>
              <w:pStyle w:val="tabeltextintabel"/>
            </w:pPr>
            <w:r w:rsidRPr="00D30BCF">
              <w:t xml:space="preserve">2.3 (1.8); 2 </w:t>
            </w:r>
          </w:p>
        </w:tc>
        <w:tc>
          <w:tcPr>
            <w:tcW w:w="322" w:type="pct"/>
            <w:noWrap/>
            <w:hideMark/>
          </w:tcPr>
          <w:p w14:paraId="044F4F80" w14:textId="2CCEA14A" w:rsidR="00782E1C" w:rsidRPr="00D30BCF" w:rsidRDefault="003D7C54" w:rsidP="00D30BCF">
            <w:pPr>
              <w:pStyle w:val="tabeltextintabel"/>
              <w:rPr>
                <w:color w:val="FF0000"/>
              </w:rPr>
            </w:pPr>
            <w:r>
              <w:rPr>
                <w:color w:val="FF0000"/>
              </w:rPr>
              <w:t>0.</w:t>
            </w:r>
            <w:r w:rsidR="00782E1C" w:rsidRPr="00D30BCF">
              <w:rPr>
                <w:color w:val="FF0000"/>
              </w:rPr>
              <w:t>00013</w:t>
            </w:r>
          </w:p>
        </w:tc>
        <w:tc>
          <w:tcPr>
            <w:tcW w:w="386" w:type="pct"/>
            <w:noWrap/>
            <w:hideMark/>
          </w:tcPr>
          <w:p w14:paraId="71A9A1DC" w14:textId="77777777" w:rsidR="00782E1C" w:rsidRPr="00D30BCF" w:rsidRDefault="00782E1C" w:rsidP="00D30BCF">
            <w:pPr>
              <w:pStyle w:val="tabeltextintabel"/>
            </w:pPr>
            <w:r w:rsidRPr="00D30BCF">
              <w:t>4.0</w:t>
            </w:r>
          </w:p>
        </w:tc>
        <w:tc>
          <w:tcPr>
            <w:tcW w:w="388" w:type="pct"/>
            <w:noWrap/>
            <w:hideMark/>
          </w:tcPr>
          <w:p w14:paraId="13B37640" w14:textId="77777777" w:rsidR="00782E1C" w:rsidRPr="00D30BCF" w:rsidRDefault="00782E1C" w:rsidP="00D30BCF">
            <w:pPr>
              <w:pStyle w:val="tabeltextintabel"/>
            </w:pPr>
            <w:r w:rsidRPr="00D30BCF">
              <w:t>3.5</w:t>
            </w:r>
          </w:p>
        </w:tc>
        <w:tc>
          <w:tcPr>
            <w:tcW w:w="324" w:type="pct"/>
            <w:noWrap/>
            <w:hideMark/>
          </w:tcPr>
          <w:p w14:paraId="66CC3C81" w14:textId="77777777" w:rsidR="00782E1C" w:rsidRPr="00D30BCF" w:rsidRDefault="00782E1C" w:rsidP="00D30BCF">
            <w:pPr>
              <w:pStyle w:val="tabeltextintabel"/>
            </w:pPr>
            <w:r w:rsidRPr="00D30BCF">
              <w:t>3500HZ</w:t>
            </w:r>
          </w:p>
        </w:tc>
        <w:tc>
          <w:tcPr>
            <w:tcW w:w="267" w:type="pct"/>
            <w:noWrap/>
            <w:hideMark/>
          </w:tcPr>
          <w:p w14:paraId="443A171A" w14:textId="77777777" w:rsidR="00782E1C" w:rsidRPr="00D30BCF" w:rsidRDefault="00782E1C" w:rsidP="00D30BCF">
            <w:pPr>
              <w:pStyle w:val="tabeltextintabel"/>
            </w:pPr>
            <w:r w:rsidRPr="00D30BCF">
              <w:t>BM</w:t>
            </w:r>
          </w:p>
        </w:tc>
        <w:tc>
          <w:tcPr>
            <w:tcW w:w="411" w:type="pct"/>
            <w:noWrap/>
            <w:hideMark/>
          </w:tcPr>
          <w:p w14:paraId="03950C0D" w14:textId="77777777" w:rsidR="00782E1C" w:rsidRPr="00D30BCF" w:rsidRDefault="00782E1C" w:rsidP="00D30BCF">
            <w:pPr>
              <w:pStyle w:val="tabeltextintabel"/>
            </w:pPr>
            <w:r w:rsidRPr="00D30BCF">
              <w:t>Ranked</w:t>
            </w:r>
          </w:p>
        </w:tc>
      </w:tr>
      <w:tr w:rsidR="00D30BCF" w:rsidRPr="00D30BCF" w14:paraId="56B6B69E" w14:textId="77777777" w:rsidTr="00D30BCF">
        <w:trPr>
          <w:trHeight w:val="340"/>
        </w:trPr>
        <w:tc>
          <w:tcPr>
            <w:tcW w:w="256" w:type="pct"/>
            <w:noWrap/>
            <w:hideMark/>
          </w:tcPr>
          <w:p w14:paraId="6B827DF6" w14:textId="77777777" w:rsidR="00782E1C" w:rsidRPr="00D30BCF" w:rsidRDefault="00782E1C" w:rsidP="00D30BCF">
            <w:pPr>
              <w:pStyle w:val="tabeltextintabel"/>
            </w:pPr>
            <w:r w:rsidRPr="00D30BCF">
              <w:t>TR15</w:t>
            </w:r>
          </w:p>
        </w:tc>
        <w:tc>
          <w:tcPr>
            <w:tcW w:w="580" w:type="pct"/>
            <w:noWrap/>
            <w:hideMark/>
          </w:tcPr>
          <w:p w14:paraId="08274081" w14:textId="77777777" w:rsidR="00782E1C" w:rsidRPr="00D30BCF" w:rsidRDefault="00782E1C" w:rsidP="00D30BCF">
            <w:pPr>
              <w:pStyle w:val="tabeltextintabel"/>
            </w:pPr>
            <w:r w:rsidRPr="00D30BCF">
              <w:t xml:space="preserve">66 (47); 61 </w:t>
            </w:r>
          </w:p>
        </w:tc>
        <w:tc>
          <w:tcPr>
            <w:tcW w:w="581" w:type="pct"/>
            <w:noWrap/>
            <w:hideMark/>
          </w:tcPr>
          <w:p w14:paraId="64E24B56" w14:textId="77777777" w:rsidR="00782E1C" w:rsidRPr="00D30BCF" w:rsidRDefault="00782E1C" w:rsidP="00D30BCF">
            <w:pPr>
              <w:pStyle w:val="tabeltextintabel"/>
            </w:pPr>
            <w:r w:rsidRPr="00D30BCF">
              <w:t xml:space="preserve">31 (24); 27 </w:t>
            </w:r>
          </w:p>
        </w:tc>
        <w:tc>
          <w:tcPr>
            <w:tcW w:w="387" w:type="pct"/>
            <w:noWrap/>
            <w:hideMark/>
          </w:tcPr>
          <w:p w14:paraId="5870FE1A" w14:textId="35E9B9C3" w:rsidR="00782E1C" w:rsidRPr="00D30BCF" w:rsidRDefault="003D7C54" w:rsidP="00D30BCF">
            <w:pPr>
              <w:pStyle w:val="tabeltextintabel"/>
              <w:rPr>
                <w:color w:val="FF0000"/>
              </w:rPr>
            </w:pPr>
            <w:r>
              <w:rPr>
                <w:color w:val="FF0000"/>
              </w:rPr>
              <w:t>0.</w:t>
            </w:r>
            <w:r w:rsidR="00782E1C" w:rsidRPr="00D30BCF">
              <w:rPr>
                <w:color w:val="FF0000"/>
              </w:rPr>
              <w:t>00035</w:t>
            </w:r>
          </w:p>
        </w:tc>
        <w:tc>
          <w:tcPr>
            <w:tcW w:w="517" w:type="pct"/>
            <w:noWrap/>
            <w:hideMark/>
          </w:tcPr>
          <w:p w14:paraId="01D11FD0" w14:textId="77777777" w:rsidR="00782E1C" w:rsidRPr="00D30BCF" w:rsidRDefault="00782E1C" w:rsidP="00D30BCF">
            <w:pPr>
              <w:pStyle w:val="tabeltextintabel"/>
            </w:pPr>
            <w:r w:rsidRPr="00D30BCF">
              <w:t xml:space="preserve">57 (42); 52 </w:t>
            </w:r>
          </w:p>
        </w:tc>
        <w:tc>
          <w:tcPr>
            <w:tcW w:w="581" w:type="pct"/>
            <w:noWrap/>
            <w:hideMark/>
          </w:tcPr>
          <w:p w14:paraId="4EBE2569" w14:textId="77777777" w:rsidR="00782E1C" w:rsidRPr="00D30BCF" w:rsidRDefault="00782E1C" w:rsidP="00D30BCF">
            <w:pPr>
              <w:pStyle w:val="tabeltextintabel"/>
            </w:pPr>
            <w:r w:rsidRPr="00D30BCF">
              <w:t xml:space="preserve">47 (34); 39 </w:t>
            </w:r>
          </w:p>
        </w:tc>
        <w:tc>
          <w:tcPr>
            <w:tcW w:w="322" w:type="pct"/>
            <w:noWrap/>
            <w:hideMark/>
          </w:tcPr>
          <w:p w14:paraId="6FAE057C" w14:textId="5AE78021" w:rsidR="00782E1C" w:rsidRPr="00D30BCF" w:rsidRDefault="003D7C54" w:rsidP="00D30BCF">
            <w:pPr>
              <w:pStyle w:val="tabeltextintabel"/>
            </w:pPr>
            <w:r>
              <w:t>0.</w:t>
            </w:r>
            <w:r w:rsidR="00782E1C" w:rsidRPr="00D30BCF">
              <w:t>518</w:t>
            </w:r>
          </w:p>
        </w:tc>
        <w:tc>
          <w:tcPr>
            <w:tcW w:w="386" w:type="pct"/>
            <w:noWrap/>
            <w:hideMark/>
          </w:tcPr>
          <w:p w14:paraId="02155CD0" w14:textId="77777777" w:rsidR="00782E1C" w:rsidRPr="00D30BCF" w:rsidRDefault="00782E1C" w:rsidP="00D30BCF">
            <w:pPr>
              <w:pStyle w:val="tabeltextintabel"/>
            </w:pPr>
            <w:r w:rsidRPr="00D30BCF">
              <w:t>3.3</w:t>
            </w:r>
          </w:p>
        </w:tc>
        <w:tc>
          <w:tcPr>
            <w:tcW w:w="388" w:type="pct"/>
            <w:noWrap/>
            <w:hideMark/>
          </w:tcPr>
          <w:p w14:paraId="0896474C" w14:textId="77777777" w:rsidR="00782E1C" w:rsidRPr="00D30BCF" w:rsidRDefault="00782E1C" w:rsidP="00D30BCF">
            <w:pPr>
              <w:pStyle w:val="tabeltextintabel"/>
            </w:pPr>
            <w:r w:rsidRPr="00D30BCF">
              <w:t>1.0</w:t>
            </w:r>
          </w:p>
        </w:tc>
        <w:tc>
          <w:tcPr>
            <w:tcW w:w="324" w:type="pct"/>
            <w:noWrap/>
            <w:hideMark/>
          </w:tcPr>
          <w:p w14:paraId="0839D6C7" w14:textId="77777777" w:rsidR="00782E1C" w:rsidRPr="00D30BCF" w:rsidRDefault="00782E1C" w:rsidP="00D30BCF">
            <w:pPr>
              <w:pStyle w:val="tabeltextintabel"/>
            </w:pPr>
            <w:r w:rsidRPr="00D30BCF">
              <w:t>Norm curve</w:t>
            </w:r>
          </w:p>
        </w:tc>
        <w:tc>
          <w:tcPr>
            <w:tcW w:w="267" w:type="pct"/>
            <w:noWrap/>
            <w:hideMark/>
          </w:tcPr>
          <w:p w14:paraId="2DF14230" w14:textId="77777777" w:rsidR="00782E1C" w:rsidRPr="00D30BCF" w:rsidRDefault="00782E1C" w:rsidP="00D30BCF">
            <w:pPr>
              <w:pStyle w:val="tabeltextintabel"/>
            </w:pPr>
            <w:r w:rsidRPr="00D30BCF">
              <w:t>Standard</w:t>
            </w:r>
          </w:p>
        </w:tc>
        <w:tc>
          <w:tcPr>
            <w:tcW w:w="411" w:type="pct"/>
            <w:noWrap/>
            <w:hideMark/>
          </w:tcPr>
          <w:p w14:paraId="1B84F4F9" w14:textId="77777777" w:rsidR="00782E1C" w:rsidRPr="00D30BCF" w:rsidRDefault="00782E1C" w:rsidP="00D30BCF">
            <w:pPr>
              <w:pStyle w:val="tabeltextintabel"/>
            </w:pPr>
            <w:r w:rsidRPr="00D30BCF">
              <w:t>Ranked</w:t>
            </w:r>
          </w:p>
        </w:tc>
      </w:tr>
    </w:tbl>
    <w:p w14:paraId="3A88B426" w14:textId="77777777" w:rsidR="00D30BCF" w:rsidRDefault="00D30BCF" w:rsidP="00782E1C">
      <w:pPr>
        <w:spacing w:after="200"/>
      </w:pPr>
    </w:p>
    <w:p w14:paraId="2973ED19" w14:textId="77777777" w:rsidR="00D30BCF" w:rsidRDefault="00D30BCF" w:rsidP="00D30BCF">
      <w:pPr>
        <w:sectPr w:rsidR="00D30BCF" w:rsidSect="00D30BCF">
          <w:pgSz w:w="13551" w:h="9582" w:orient="landscape" w:code="149"/>
          <w:pgMar w:top="1134" w:right="1134" w:bottom="1134" w:left="1418" w:header="709" w:footer="709" w:gutter="0"/>
          <w:cols w:space="708"/>
          <w:docGrid w:linePitch="360"/>
        </w:sectPr>
      </w:pPr>
    </w:p>
    <w:p w14:paraId="5F5BA302" w14:textId="7D1C08F8" w:rsidR="00782E1C" w:rsidRDefault="00915A05" w:rsidP="006C0E14">
      <w:pPr>
        <w:pStyle w:val="insertpicture"/>
      </w:pPr>
      <w:r>
        <w:rPr>
          <w:noProof/>
          <w:lang w:val="sv-SE"/>
        </w:rPr>
        <w:lastRenderedPageBreak/>
        <w:object w:dxaOrig="1440" w:dyaOrig="1440" w14:anchorId="700005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2.8pt;margin-top:4.35pt;width:160.85pt;height:158.15pt;z-index:251670528;mso-wrap-edited:f;mso-position-horizontal-relative:text;mso-position-vertical-relative:text" wrapcoords="7707 1102 5536 1984 4993 2424 5210 3967 7381 4629 10746 4629 2171 5290 868 5510 868 20498 977 20498 1520 20498 1628 20278 1628 19065 19104 18624 19212 18073 3799 16971 7815 16751 8466 15429 15522 14988 15413 13555 3799 13445 15413 12894 15522 11792 12917 11682 17258 10910 17150 9918 18018 9588 17910 8155 15956 8155 13568 6392 1411 6392 10746 4629 14870 4629 17475 3967 17692 2535 14219 1102 7707 1102">
            <v:imagedata r:id="rId29" o:title=""/>
            <w10:wrap type="through" side="right"/>
          </v:shape>
          <o:OLEObject Type="Embed" ProgID="Prism6.Document" ShapeID="_x0000_s1029" DrawAspect="Content" ObjectID="_1566895971" r:id="rId30"/>
        </w:object>
      </w:r>
      <w:r w:rsidR="00AA5A29" w:rsidRPr="006C0E14">
        <w:t xml:space="preserve">  </w:t>
      </w:r>
      <w:r w:rsidR="00AA5A29">
        <w:t xml:space="preserve"> </w:t>
      </w:r>
      <w:r w:rsidR="009069F1">
        <w:object w:dxaOrig="7697" w:dyaOrig="5530" w14:anchorId="4BE2F766">
          <v:shape id="_x0000_i1025" type="#_x0000_t75" style="width:184.65pt;height:147.55pt" o:ole="">
            <v:imagedata r:id="rId31" o:title=""/>
          </v:shape>
          <o:OLEObject Type="Embed" ProgID="Prism6.Document" ShapeID="_x0000_i1025" DrawAspect="Content" ObjectID="_1566895963" r:id="rId32"/>
        </w:object>
      </w:r>
    </w:p>
    <w:p w14:paraId="1D5EACDB" w14:textId="77777777" w:rsidR="00AA5A29" w:rsidRDefault="00782E1C" w:rsidP="000B415A">
      <w:pPr>
        <w:pStyle w:val="tabeltextheadline"/>
      </w:pPr>
      <w:r w:rsidRPr="00F244F7">
        <w:t xml:space="preserve">Figure </w:t>
      </w:r>
      <w:r>
        <w:t xml:space="preserve">11 </w:t>
      </w:r>
      <w:r w:rsidRPr="00F244F7">
        <w:t>a</w:t>
      </w:r>
      <w:r w:rsidR="00AA5A29">
        <w:t xml:space="preserve"> </w:t>
      </w:r>
    </w:p>
    <w:p w14:paraId="7EB3E679" w14:textId="2F342567" w:rsidR="000B415A" w:rsidRPr="000B415A" w:rsidRDefault="000B415A" w:rsidP="000B415A">
      <w:pPr>
        <w:pStyle w:val="tabeltext"/>
        <w:rPr>
          <w:lang w:val="sv-SE"/>
        </w:rPr>
      </w:pPr>
    </w:p>
    <w:p w14:paraId="0B3F19F1" w14:textId="263A5ADB" w:rsidR="00782E1C" w:rsidRDefault="00915A05" w:rsidP="009069F1">
      <w:pPr>
        <w:pStyle w:val="insertpicture"/>
        <w:rPr>
          <w:sz w:val="28"/>
          <w:szCs w:val="28"/>
        </w:rPr>
      </w:pPr>
      <w:r>
        <w:rPr>
          <w:lang w:val="sv-SE"/>
        </w:rPr>
        <w:object w:dxaOrig="1440" w:dyaOrig="1440" w14:anchorId="5D39EEFA">
          <v:shape id="_x0000_s1030" type="#_x0000_t75" style="position:absolute;left:0;text-align:left;margin-left:-12.8pt;margin-top:17.9pt;width:160.85pt;height:148.55pt;z-index:251673600;mso-wrap-edited:f;mso-position-horizontal-relative:text;mso-position-vertical-relative:text" wrapcoords="7560 1168 1836 2218 1404 2569 1620 3036 864 4787 756 19849 972 20432 1512 20432 10800 19849 11664 19849 19224 18214 19224 17981 15768 17981 15120 17630 3672 16112 10044 16112 15552 15295 15444 14244 16308 13661 16416 13077 15768 12376 16848 12376 17820 11442 17928 9924 14688 9574 3672 8640 3672 6772 6372 6772 12852 5488 13068 4904 20844 3036 20520 2452 14040 1168 7560 1168">
            <v:imagedata r:id="rId33" o:title=""/>
            <w10:wrap type="through" side="right"/>
          </v:shape>
          <o:OLEObject Type="Embed" ProgID="Prism6.Document" ShapeID="_x0000_s1030" DrawAspect="Content" ObjectID="_1566895972" r:id="rId34"/>
        </w:object>
      </w:r>
      <w:r w:rsidR="000B415A">
        <w:t xml:space="preserve">   </w:t>
      </w:r>
      <w:r w:rsidR="009069F1">
        <w:object w:dxaOrig="6005" w:dyaOrig="5530" w14:anchorId="1291CE61">
          <v:shape id="_x0000_i1026" type="#_x0000_t75" style="width:177.5pt;height:161.8pt" o:ole="">
            <v:imagedata r:id="rId35" o:title=""/>
          </v:shape>
          <o:OLEObject Type="Embed" ProgID="Prism6.Document" ShapeID="_x0000_i1026" DrawAspect="Content" ObjectID="_1566895964" r:id="rId36"/>
        </w:object>
      </w:r>
    </w:p>
    <w:p w14:paraId="04F9E432" w14:textId="77777777" w:rsidR="00AA5A29" w:rsidRPr="00860AAD" w:rsidRDefault="00782E1C" w:rsidP="000B415A">
      <w:pPr>
        <w:pStyle w:val="tabeltextheadline"/>
        <w:rPr>
          <w:lang w:val="en-GB"/>
        </w:rPr>
      </w:pPr>
      <w:r w:rsidRPr="00860AAD">
        <w:rPr>
          <w:lang w:val="en-GB"/>
        </w:rPr>
        <w:t>Figure 11b.</w:t>
      </w:r>
      <w:r w:rsidR="00AA5A29" w:rsidRPr="00860AAD">
        <w:rPr>
          <w:lang w:val="en-GB"/>
        </w:rPr>
        <w:t xml:space="preserve"> </w:t>
      </w:r>
    </w:p>
    <w:p w14:paraId="68AD5879" w14:textId="78E1E6E3" w:rsidR="00782E1C" w:rsidRDefault="009069F1" w:rsidP="009069F1">
      <w:pPr>
        <w:pStyle w:val="insertpicture"/>
        <w:jc w:val="left"/>
      </w:pPr>
      <w:r>
        <w:object w:dxaOrig="2975" w:dyaOrig="2607" w14:anchorId="7EA725BE">
          <v:shape id="_x0000_i1027" type="#_x0000_t75" style="width:168.25pt;height:128.3pt" o:ole="">
            <v:imagedata r:id="rId37" o:title="" cropbottom="8367f"/>
          </v:shape>
          <o:OLEObject Type="Embed" ProgID="Prism6.Document" ShapeID="_x0000_i1027" DrawAspect="Content" ObjectID="_1566895965" r:id="rId38"/>
        </w:object>
      </w:r>
      <w:r w:rsidR="000B415A">
        <w:t xml:space="preserve">   </w:t>
      </w:r>
      <w:r w:rsidRPr="009069F1">
        <w:object w:dxaOrig="3019" w:dyaOrig="2765" w14:anchorId="6D5FE74D">
          <v:shape id="_x0000_i1028" type="#_x0000_t75" style="width:161.1pt;height:132.6pt" o:ole="">
            <v:imagedata r:id="rId39" o:title="" cropbottom="6876f"/>
          </v:shape>
          <o:OLEObject Type="Embed" ProgID="Prism6.Document" ShapeID="_x0000_i1028" DrawAspect="Content" ObjectID="_1566895966" r:id="rId40"/>
        </w:object>
      </w:r>
    </w:p>
    <w:p w14:paraId="02E531B5" w14:textId="77777777" w:rsidR="00AA5A29" w:rsidRPr="00860AAD" w:rsidRDefault="00782E1C" w:rsidP="000B415A">
      <w:pPr>
        <w:pStyle w:val="tabeltextheadline"/>
        <w:rPr>
          <w:lang w:val="en-GB"/>
        </w:rPr>
      </w:pPr>
      <w:r w:rsidRPr="00860AAD">
        <w:rPr>
          <w:lang w:val="en-GB"/>
        </w:rPr>
        <w:t>Figure 11c.</w:t>
      </w:r>
      <w:r w:rsidR="00AA5A29" w:rsidRPr="00860AAD">
        <w:rPr>
          <w:lang w:val="en-GB"/>
        </w:rPr>
        <w:t xml:space="preserve"> </w:t>
      </w:r>
    </w:p>
    <w:p w14:paraId="5F030A91" w14:textId="57E47945" w:rsidR="00AA5A29" w:rsidRDefault="009069F1" w:rsidP="009069F1">
      <w:pPr>
        <w:pStyle w:val="insertpicture"/>
        <w:rPr>
          <w:rFonts w:ascii="Arial" w:hAnsi="Arial" w:cs="Arial"/>
          <w:sz w:val="15"/>
          <w:szCs w:val="15"/>
        </w:rPr>
      </w:pPr>
      <w:r>
        <w:object w:dxaOrig="2889" w:dyaOrig="2607" w14:anchorId="133969CA">
          <v:shape id="_x0000_i1029" type="#_x0000_t75" style="width:179.65pt;height:143.3pt" o:ole="">
            <v:imagedata r:id="rId41" o:title="" cropbottom="7550f"/>
          </v:shape>
          <o:OLEObject Type="Embed" ProgID="Prism6.Document" ShapeID="_x0000_i1029" DrawAspect="Content" ObjectID="_1566895967" r:id="rId42"/>
        </w:object>
      </w:r>
      <w:r w:rsidR="000B415A">
        <w:t xml:space="preserve">   </w:t>
      </w:r>
      <w:r w:rsidRPr="009069F1">
        <w:object w:dxaOrig="4683" w:dyaOrig="2830" w14:anchorId="1C9C24C1">
          <v:shape id="_x0000_i1030" type="#_x0000_t75" style="width:160.4pt;height:154pt" o:ole="">
            <v:imagedata r:id="rId43" o:title="" cropbottom="6904f" cropleft="13036f" cropright="11032f"/>
          </v:shape>
          <o:OLEObject Type="Embed" ProgID="Prism6.Document" ShapeID="_x0000_i1030" DrawAspect="Content" ObjectID="_1566895968" r:id="rId44"/>
        </w:object>
      </w:r>
      <w:r w:rsidR="00AA5A29">
        <w:rPr>
          <w:rFonts w:ascii="Arial" w:hAnsi="Arial" w:cs="Arial"/>
          <w:sz w:val="15"/>
          <w:szCs w:val="15"/>
        </w:rPr>
        <w:t xml:space="preserve"> </w:t>
      </w:r>
    </w:p>
    <w:p w14:paraId="678CAAB1" w14:textId="77777777" w:rsidR="00AA5A29" w:rsidRDefault="00782E1C" w:rsidP="000B415A">
      <w:pPr>
        <w:pStyle w:val="tabeltextheadline"/>
        <w:rPr>
          <w:lang w:val="en-GB"/>
        </w:rPr>
      </w:pPr>
      <w:r w:rsidRPr="00524AFC">
        <w:rPr>
          <w:lang w:val="en-GB"/>
        </w:rPr>
        <w:t>Figure 11</w:t>
      </w:r>
      <w:r>
        <w:rPr>
          <w:lang w:val="en-GB"/>
        </w:rPr>
        <w:t>d.</w:t>
      </w:r>
      <w:r w:rsidR="00AA5A29">
        <w:rPr>
          <w:lang w:val="en-GB"/>
        </w:rPr>
        <w:t xml:space="preserve"> </w:t>
      </w:r>
    </w:p>
    <w:p w14:paraId="5F845561" w14:textId="77AB06EE" w:rsidR="00782E1C" w:rsidRDefault="00782E1C" w:rsidP="00782E1C">
      <w:pPr>
        <w:rPr>
          <w:rFonts w:ascii="Arial" w:hAnsi="Arial" w:cs="Arial"/>
          <w:sz w:val="15"/>
          <w:szCs w:val="15"/>
        </w:rPr>
      </w:pPr>
    </w:p>
    <w:p w14:paraId="10867FDB" w14:textId="744DCCEF" w:rsidR="00AA5A29" w:rsidRDefault="00915A05" w:rsidP="009069F1">
      <w:pPr>
        <w:pStyle w:val="insertpicture"/>
        <w:rPr>
          <w:rFonts w:ascii="Arial" w:hAnsi="Arial" w:cs="Arial"/>
          <w:sz w:val="15"/>
          <w:szCs w:val="15"/>
        </w:rPr>
      </w:pPr>
      <w:r>
        <w:rPr>
          <w:rFonts w:ascii="Arial" w:hAnsi="Arial" w:cs="Arial"/>
          <w:noProof/>
          <w:sz w:val="15"/>
          <w:szCs w:val="15"/>
          <w:lang w:eastAsia="en-GB"/>
        </w:rPr>
        <w:object w:dxaOrig="1440" w:dyaOrig="1440" w14:anchorId="2D3AC6B2">
          <v:shape id="_x0000_s1028" type="#_x0000_t75" style="position:absolute;left:0;text-align:left;margin-left:.9pt;margin-top:10.1pt;width:161.1pt;height:154.3pt;z-index:251669504;mso-wrap-edited:f;mso-position-horizontal-relative:text;mso-position-vertical-relative:text" wrapcoords="7381 1241 1954 2483 1845 3228 2714 3228 1520 4221 868 4841 760 10800 1194 11172 760 11669 868 19241 1628 19241 1628 19117 18886 18000 19429 17876 17801 17131 17910 15890 17041 15145 16390 13531 15956 13034 8901 11172 8032 9186 8683 7821 8466 7324 7381 7200 14002 6579 13785 5710 1628 5214 8249 5214 20623 3972 20840 2607 20189 2359 14545 1241 7381 1241">
            <v:imagedata r:id="rId45" o:title=""/>
            <w10:wrap type="through" side="right"/>
          </v:shape>
          <o:OLEObject Type="Embed" ProgID="Prism6.Document" ShapeID="_x0000_s1028" DrawAspect="Content" ObjectID="_1566895973" r:id="rId46"/>
        </w:object>
      </w:r>
      <w:r w:rsidR="000B415A">
        <w:t xml:space="preserve">   </w:t>
      </w:r>
      <w:r w:rsidR="001E6B7D">
        <w:object w:dxaOrig="4683" w:dyaOrig="2794" w14:anchorId="42E5788D">
          <v:shape id="_x0000_i1031" type="#_x0000_t75" style="width:158.25pt;height:144.7pt" o:ole="">
            <v:imagedata r:id="rId47" o:title="" cropbottom="3292f" cropleft="15661f" cropright="6962f"/>
          </v:shape>
          <o:OLEObject Type="Embed" ProgID="Prism6.Document" ShapeID="_x0000_i1031" DrawAspect="Content" ObjectID="_1566895969" r:id="rId48"/>
        </w:object>
      </w:r>
      <w:r w:rsidR="00AA5A29">
        <w:rPr>
          <w:rFonts w:ascii="Arial" w:hAnsi="Arial" w:cs="Arial"/>
          <w:sz w:val="15"/>
          <w:szCs w:val="15"/>
        </w:rPr>
        <w:t xml:space="preserve"> </w:t>
      </w:r>
    </w:p>
    <w:p w14:paraId="45511D0E" w14:textId="77CD0D5C" w:rsidR="00782E1C" w:rsidRDefault="00782E1C" w:rsidP="00782E1C">
      <w:pPr>
        <w:rPr>
          <w:rFonts w:ascii="Arial" w:hAnsi="Arial" w:cs="Arial"/>
          <w:sz w:val="15"/>
          <w:szCs w:val="15"/>
        </w:rPr>
      </w:pPr>
    </w:p>
    <w:p w14:paraId="4319AE49" w14:textId="77777777" w:rsidR="00AA5A29" w:rsidRDefault="00782E1C" w:rsidP="001E6B7D">
      <w:pPr>
        <w:pStyle w:val="picturetextheadline0"/>
        <w:rPr>
          <w:lang w:val="en-GB"/>
        </w:rPr>
      </w:pPr>
      <w:r>
        <w:rPr>
          <w:lang w:val="en-GB"/>
        </w:rPr>
        <w:t>Figure 11e.</w:t>
      </w:r>
      <w:r w:rsidR="00AA5A29">
        <w:rPr>
          <w:lang w:val="en-GB"/>
        </w:rPr>
        <w:t xml:space="preserve"> </w:t>
      </w:r>
    </w:p>
    <w:p w14:paraId="4B400501" w14:textId="77777777" w:rsidR="00AA5A29" w:rsidRDefault="00AA5A29" w:rsidP="00782E1C">
      <w:pPr>
        <w:rPr>
          <w:rFonts w:ascii="Arial" w:hAnsi="Arial" w:cs="Arial"/>
          <w:sz w:val="15"/>
          <w:szCs w:val="15"/>
        </w:rPr>
      </w:pPr>
      <w:r>
        <w:rPr>
          <w:rFonts w:ascii="Arial" w:hAnsi="Arial" w:cs="Arial"/>
          <w:sz w:val="15"/>
          <w:szCs w:val="15"/>
        </w:rPr>
        <w:t xml:space="preserve"> </w:t>
      </w:r>
    </w:p>
    <w:p w14:paraId="37048A0B" w14:textId="51C6E4EA" w:rsidR="00AA5A29" w:rsidRDefault="00782E1C" w:rsidP="000B415A">
      <w:pPr>
        <w:pStyle w:val="picturetextheadline0"/>
        <w:rPr>
          <w:lang w:val="en-GB"/>
        </w:rPr>
      </w:pPr>
      <w:r>
        <w:rPr>
          <w:lang w:val="en-GB"/>
        </w:rPr>
        <w:t xml:space="preserve">Figure 11 </w:t>
      </w:r>
      <w:r w:rsidRPr="00F244F7">
        <w:rPr>
          <w:lang w:val="en-GB"/>
        </w:rPr>
        <w:t xml:space="preserve">a-e: Trait 4, 5, 6, 14 and 15 and their p values. Mean and </w:t>
      </w:r>
      <w:r>
        <w:rPr>
          <w:lang w:val="en-GB"/>
        </w:rPr>
        <w:t>Standard Deviation are</w:t>
      </w:r>
      <w:r w:rsidRPr="00F244F7">
        <w:rPr>
          <w:lang w:val="en-GB"/>
        </w:rPr>
        <w:t xml:space="preserve"> indicated in the figures.</w:t>
      </w:r>
      <w:r w:rsidR="00AA5A29">
        <w:rPr>
          <w:lang w:val="en-GB"/>
        </w:rPr>
        <w:t xml:space="preserve"> </w:t>
      </w:r>
    </w:p>
    <w:p w14:paraId="59A23F38" w14:textId="77777777" w:rsidR="000B415A" w:rsidRDefault="000B415A">
      <w:pPr>
        <w:spacing w:after="160" w:line="259" w:lineRule="auto"/>
        <w:rPr>
          <w:rFonts w:ascii="Adobe Garamond Pro" w:eastAsia="Times New Roman" w:hAnsi="Adobe Garamond Pro"/>
          <w:sz w:val="32"/>
          <w:lang w:val="en-US"/>
        </w:rPr>
      </w:pPr>
      <w:r>
        <w:rPr>
          <w:lang w:val="en-US"/>
        </w:rPr>
        <w:br w:type="page"/>
      </w:r>
    </w:p>
    <w:p w14:paraId="28A21119" w14:textId="0ABEED4C" w:rsidR="00782E1C" w:rsidRPr="00782E1C" w:rsidRDefault="00782E1C" w:rsidP="009B3C87">
      <w:pPr>
        <w:pStyle w:val="Heading2"/>
        <w:rPr>
          <w:lang w:val="en-US"/>
        </w:rPr>
      </w:pPr>
      <w:bookmarkStart w:id="61" w:name="_Toc492391053"/>
      <w:r w:rsidRPr="00782E1C">
        <w:rPr>
          <w:lang w:val="en-US"/>
        </w:rPr>
        <w:lastRenderedPageBreak/>
        <w:t>Paper III</w:t>
      </w:r>
      <w:bookmarkEnd w:id="61"/>
    </w:p>
    <w:p w14:paraId="29C80296" w14:textId="5D4DFE18" w:rsidR="00DB135E" w:rsidRPr="003B6BE9" w:rsidRDefault="00782E1C" w:rsidP="00DB135E">
      <w:pPr>
        <w:pStyle w:val="bodytext"/>
        <w:rPr>
          <w:color w:val="000000" w:themeColor="text1"/>
        </w:rPr>
      </w:pPr>
      <w:r w:rsidRPr="00782E1C">
        <w:t>Based on the altered sensory and auditory processing associated with ASD (</w:t>
      </w:r>
      <w:r w:rsidRPr="00782E1C">
        <w:rPr>
          <w:color w:val="000000"/>
        </w:rPr>
        <w:t>Baranek et al., 2006</w:t>
      </w:r>
      <w:r w:rsidRPr="00782E1C">
        <w:t>) and on the evidence that brainstem function might be abnormal in children with ASD (</w:t>
      </w:r>
      <w:r w:rsidRPr="00782E1C">
        <w:rPr>
          <w:color w:val="000000"/>
        </w:rPr>
        <w:t xml:space="preserve">Geva &amp; Feldman, 2008; </w:t>
      </w:r>
      <w:r w:rsidRPr="00782E1C">
        <w:t>Santos et al., 2017</w:t>
      </w:r>
      <w:r w:rsidRPr="00782E1C">
        <w:rPr>
          <w:color w:val="000000"/>
        </w:rPr>
        <w:t>)</w:t>
      </w:r>
      <w:r w:rsidR="003D7C54">
        <w:t>, we decided to</w:t>
      </w:r>
      <w:r w:rsidRPr="00782E1C">
        <w:t xml:space="preserve"> evaluate ABR in children with ASD.</w:t>
      </w:r>
      <w:r w:rsidR="00AA5A29">
        <w:t xml:space="preserve"> </w:t>
      </w:r>
      <w:r w:rsidRPr="00782E1C">
        <w:t xml:space="preserve">Further, </w:t>
      </w:r>
      <w:r w:rsidRPr="00782E1C">
        <w:rPr>
          <w:color w:val="141213"/>
        </w:rPr>
        <w:t xml:space="preserve">we studied the amplitude and interaural correlation in each of the seven ABR waves. </w:t>
      </w:r>
      <w:r w:rsidRPr="00782E1C">
        <w:rPr>
          <w:rFonts w:eastAsia="MS Mincho"/>
        </w:rPr>
        <w:t xml:space="preserve">We studied the </w:t>
      </w:r>
      <w:r w:rsidRPr="00782E1C">
        <w:t>region 2.5–4.0 Ms for amplitude and region 3.3–4.4 Ms for interaural differences.</w:t>
      </w:r>
      <w:r w:rsidR="00DB135E">
        <w:t xml:space="preserve"> </w:t>
      </w:r>
    </w:p>
    <w:p w14:paraId="6C76B06A" w14:textId="411DA822" w:rsidR="00782E1C" w:rsidRPr="00782E1C" w:rsidRDefault="00782E1C" w:rsidP="009B3C87">
      <w:pPr>
        <w:pStyle w:val="bodytext"/>
        <w:rPr>
          <w:color w:val="141213"/>
        </w:rPr>
      </w:pPr>
    </w:p>
    <w:p w14:paraId="205AC586" w14:textId="77777777" w:rsidR="00782E1C" w:rsidRPr="00782E1C" w:rsidRDefault="00782E1C" w:rsidP="009B3C87">
      <w:pPr>
        <w:pStyle w:val="Heading4"/>
        <w:rPr>
          <w:lang w:val="en-US"/>
        </w:rPr>
      </w:pPr>
      <w:r w:rsidRPr="00782E1C">
        <w:rPr>
          <w:lang w:val="en-US"/>
        </w:rPr>
        <w:t>Results</w:t>
      </w:r>
    </w:p>
    <w:p w14:paraId="19755824" w14:textId="658D844A" w:rsidR="00AA5A29" w:rsidRDefault="00782E1C" w:rsidP="009B3C87">
      <w:pPr>
        <w:pStyle w:val="bodytext"/>
      </w:pPr>
      <w:r w:rsidRPr="00782E1C">
        <w:t xml:space="preserve">The ABRs </w:t>
      </w:r>
      <w:r w:rsidRPr="00782E1C">
        <w:rPr>
          <w:color w:val="000000"/>
        </w:rPr>
        <w:t>in 39 children with ASD were compared with the ABRs of 34 TD children.</w:t>
      </w:r>
      <w:r w:rsidRPr="00782E1C">
        <w:t xml:space="preserve"> When male and female ASD subjects were grouped together, we found that the amplitude of wave III deviated in the ASD group compared to the TD group (ABR region 2.5–4.0 Ms) (denoted deviation 1 (DV 1)) (Table 7) (Figure 12), with the ASD group exhibiting a </w:t>
      </w:r>
      <w:r w:rsidRPr="00782E1C">
        <w:rPr>
          <w:color w:val="000000"/>
        </w:rPr>
        <w:t xml:space="preserve">higher wave </w:t>
      </w:r>
      <w:r w:rsidRPr="00782E1C">
        <w:t xml:space="preserve">amplitude than the control groups. From a neuroanatomical point of view, DV 1 corresponds to the pons </w:t>
      </w:r>
      <w:r w:rsidRPr="00782E1C">
        <w:rPr>
          <w:color w:val="000000"/>
        </w:rPr>
        <w:t xml:space="preserve">region. Males and females were also studied separately. </w:t>
      </w:r>
      <w:r w:rsidRPr="00782E1C">
        <w:t>No differences in interaural correlation could be seen within the ASD female group compared to the TD females. However, the TD males did show a significantly lower degree of correlation between left and right ear compared to the ASD groups and the TD females (denoted deviation 2 (DV 2)) (Table 7)</w:t>
      </w:r>
      <w:r w:rsidR="00B0373B" w:rsidRPr="00B0373B">
        <w:t xml:space="preserve"> </w:t>
      </w:r>
      <w:r w:rsidR="00B0373B">
        <w:t>(Figure 13)</w:t>
      </w:r>
      <w:r w:rsidRPr="00782E1C">
        <w:t>.</w:t>
      </w:r>
      <w:r w:rsidR="00AA5A29">
        <w:t xml:space="preserve"> </w:t>
      </w:r>
    </w:p>
    <w:p w14:paraId="45A61A10" w14:textId="77777777" w:rsidR="000B415A" w:rsidRDefault="000B415A" w:rsidP="00782E1C">
      <w:pPr>
        <w:rPr>
          <w:rFonts w:ascii="Arial" w:hAnsi="Arial" w:cs="Arial"/>
          <w:sz w:val="15"/>
          <w:szCs w:val="15"/>
          <w:lang w:val="en-US"/>
        </w:rPr>
        <w:sectPr w:rsidR="000B415A" w:rsidSect="00AA5A29">
          <w:pgSz w:w="9582" w:h="13551" w:code="149"/>
          <w:pgMar w:top="1134" w:right="1134" w:bottom="1418" w:left="1134" w:header="709" w:footer="709" w:gutter="0"/>
          <w:cols w:space="708"/>
          <w:docGrid w:linePitch="360"/>
        </w:sectPr>
      </w:pPr>
    </w:p>
    <w:p w14:paraId="1042A4FE" w14:textId="77777777" w:rsidR="000B415A" w:rsidRDefault="00782E1C" w:rsidP="000B415A">
      <w:pPr>
        <w:pStyle w:val="tabeltextheadline"/>
        <w:rPr>
          <w:lang w:val="en-US"/>
        </w:rPr>
      </w:pPr>
      <w:r w:rsidRPr="00782E1C">
        <w:rPr>
          <w:lang w:val="en-US"/>
        </w:rPr>
        <w:lastRenderedPageBreak/>
        <w:t xml:space="preserve">Table 7. </w:t>
      </w:r>
    </w:p>
    <w:p w14:paraId="1D47B436" w14:textId="4962211A" w:rsidR="000B415A" w:rsidRDefault="00782E1C" w:rsidP="000B415A">
      <w:pPr>
        <w:pStyle w:val="tabeltext"/>
      </w:pPr>
      <w:r w:rsidRPr="00782E1C">
        <w:t>Deviation (DV) 1 and 2. ABR results for young patients with ASD compared to TD.</w:t>
      </w:r>
      <w:r w:rsidR="00AA5A29">
        <w:t xml:space="preserve"> </w:t>
      </w:r>
    </w:p>
    <w:tbl>
      <w:tblPr>
        <w:tblStyle w:val="TableGridLight"/>
        <w:tblW w:w="5000" w:type="pct"/>
        <w:tblLook w:val="04A0" w:firstRow="1" w:lastRow="0" w:firstColumn="1" w:lastColumn="0" w:noHBand="0" w:noVBand="1"/>
      </w:tblPr>
      <w:tblGrid>
        <w:gridCol w:w="656"/>
        <w:gridCol w:w="505"/>
        <w:gridCol w:w="943"/>
        <w:gridCol w:w="360"/>
        <w:gridCol w:w="549"/>
        <w:gridCol w:w="666"/>
        <w:gridCol w:w="470"/>
        <w:gridCol w:w="798"/>
        <w:gridCol w:w="1367"/>
        <w:gridCol w:w="1301"/>
        <w:gridCol w:w="1042"/>
        <w:gridCol w:w="890"/>
        <w:gridCol w:w="1442"/>
      </w:tblGrid>
      <w:tr w:rsidR="000B415A" w:rsidRPr="000B415A" w14:paraId="345309BC" w14:textId="77777777" w:rsidTr="000B415A">
        <w:trPr>
          <w:trHeight w:val="315"/>
        </w:trPr>
        <w:tc>
          <w:tcPr>
            <w:tcW w:w="298" w:type="pct"/>
            <w:shd w:val="clear" w:color="auto" w:fill="D6D2C4" w:themeFill="accent4"/>
            <w:noWrap/>
            <w:hideMark/>
          </w:tcPr>
          <w:p w14:paraId="2A7EAEFD" w14:textId="77777777" w:rsidR="000B415A" w:rsidRPr="000B415A" w:rsidRDefault="000B415A" w:rsidP="000B415A">
            <w:pPr>
              <w:pStyle w:val="tabeltextintabel"/>
              <w:rPr>
                <w:b/>
              </w:rPr>
            </w:pPr>
            <w:r w:rsidRPr="000B415A">
              <w:rPr>
                <w:b/>
              </w:rPr>
              <w:t>Sex</w:t>
            </w:r>
          </w:p>
        </w:tc>
        <w:tc>
          <w:tcPr>
            <w:tcW w:w="230" w:type="pct"/>
            <w:shd w:val="clear" w:color="auto" w:fill="D6D2C4" w:themeFill="accent4"/>
            <w:noWrap/>
            <w:hideMark/>
          </w:tcPr>
          <w:p w14:paraId="590BF64D" w14:textId="77777777" w:rsidR="000B415A" w:rsidRPr="000B415A" w:rsidRDefault="000B415A" w:rsidP="000B415A">
            <w:pPr>
              <w:pStyle w:val="tabeltextintabel"/>
              <w:rPr>
                <w:b/>
              </w:rPr>
            </w:pPr>
            <w:r w:rsidRPr="000B415A">
              <w:rPr>
                <w:b/>
              </w:rPr>
              <w:t>DV</w:t>
            </w:r>
          </w:p>
        </w:tc>
        <w:tc>
          <w:tcPr>
            <w:tcW w:w="429" w:type="pct"/>
            <w:shd w:val="clear" w:color="auto" w:fill="D6D2C4" w:themeFill="accent4"/>
            <w:noWrap/>
            <w:hideMark/>
          </w:tcPr>
          <w:p w14:paraId="3AF4D25F" w14:textId="77777777" w:rsidR="000B415A" w:rsidRPr="000B415A" w:rsidRDefault="000B415A" w:rsidP="000B415A">
            <w:pPr>
              <w:pStyle w:val="tabeltextintabel"/>
              <w:rPr>
                <w:b/>
              </w:rPr>
            </w:pPr>
            <w:r w:rsidRPr="000B415A">
              <w:rPr>
                <w:b/>
              </w:rPr>
              <w:t>Diagnos/TD</w:t>
            </w:r>
          </w:p>
        </w:tc>
        <w:tc>
          <w:tcPr>
            <w:tcW w:w="164" w:type="pct"/>
            <w:shd w:val="clear" w:color="auto" w:fill="D6D2C4" w:themeFill="accent4"/>
            <w:noWrap/>
            <w:hideMark/>
          </w:tcPr>
          <w:p w14:paraId="5D375DA7" w14:textId="77777777" w:rsidR="000B415A" w:rsidRPr="000B415A" w:rsidRDefault="000B415A" w:rsidP="000B415A">
            <w:pPr>
              <w:pStyle w:val="tabeltextintabel"/>
              <w:rPr>
                <w:b/>
              </w:rPr>
            </w:pPr>
            <w:r w:rsidRPr="000B415A">
              <w:rPr>
                <w:b/>
              </w:rPr>
              <w:t>N</w:t>
            </w:r>
          </w:p>
        </w:tc>
        <w:tc>
          <w:tcPr>
            <w:tcW w:w="250" w:type="pct"/>
            <w:shd w:val="clear" w:color="auto" w:fill="D6D2C4" w:themeFill="accent4"/>
            <w:noWrap/>
            <w:hideMark/>
          </w:tcPr>
          <w:p w14:paraId="3010B306" w14:textId="77777777" w:rsidR="000B415A" w:rsidRPr="000B415A" w:rsidRDefault="000B415A" w:rsidP="000B415A">
            <w:pPr>
              <w:pStyle w:val="tabeltextintabel"/>
              <w:rPr>
                <w:b/>
              </w:rPr>
            </w:pPr>
            <w:r w:rsidRPr="000B415A">
              <w:rPr>
                <w:b/>
              </w:rPr>
              <w:t>Mean</w:t>
            </w:r>
          </w:p>
        </w:tc>
        <w:tc>
          <w:tcPr>
            <w:tcW w:w="303" w:type="pct"/>
            <w:shd w:val="clear" w:color="auto" w:fill="D6D2C4" w:themeFill="accent4"/>
            <w:noWrap/>
            <w:hideMark/>
          </w:tcPr>
          <w:p w14:paraId="0BB0C17A" w14:textId="77777777" w:rsidR="000B415A" w:rsidRPr="000B415A" w:rsidRDefault="000B415A" w:rsidP="000B415A">
            <w:pPr>
              <w:pStyle w:val="tabeltextintabel"/>
              <w:rPr>
                <w:b/>
              </w:rPr>
            </w:pPr>
            <w:r w:rsidRPr="000B415A">
              <w:rPr>
                <w:b/>
              </w:rPr>
              <w:t>Median</w:t>
            </w:r>
          </w:p>
        </w:tc>
        <w:tc>
          <w:tcPr>
            <w:tcW w:w="214" w:type="pct"/>
            <w:shd w:val="clear" w:color="auto" w:fill="D6D2C4" w:themeFill="accent4"/>
            <w:noWrap/>
            <w:hideMark/>
          </w:tcPr>
          <w:p w14:paraId="16FB2610" w14:textId="77777777" w:rsidR="000B415A" w:rsidRPr="000B415A" w:rsidRDefault="000B415A" w:rsidP="000B415A">
            <w:pPr>
              <w:pStyle w:val="tabeltextintabel"/>
              <w:rPr>
                <w:b/>
              </w:rPr>
            </w:pPr>
            <w:r w:rsidRPr="000B415A">
              <w:rPr>
                <w:b/>
              </w:rPr>
              <w:t xml:space="preserve">SD </w:t>
            </w:r>
          </w:p>
        </w:tc>
        <w:tc>
          <w:tcPr>
            <w:tcW w:w="363" w:type="pct"/>
            <w:shd w:val="clear" w:color="auto" w:fill="D6D2C4" w:themeFill="accent4"/>
            <w:noWrap/>
            <w:hideMark/>
          </w:tcPr>
          <w:p w14:paraId="3BEFE4E4" w14:textId="77777777" w:rsidR="000B415A" w:rsidRPr="000B415A" w:rsidRDefault="000B415A" w:rsidP="000B415A">
            <w:pPr>
              <w:pStyle w:val="tabeltextintabel"/>
              <w:rPr>
                <w:b/>
              </w:rPr>
            </w:pPr>
            <w:r w:rsidRPr="000B415A">
              <w:rPr>
                <w:b/>
              </w:rPr>
              <w:t>P-value</w:t>
            </w:r>
          </w:p>
        </w:tc>
        <w:tc>
          <w:tcPr>
            <w:tcW w:w="622" w:type="pct"/>
            <w:shd w:val="clear" w:color="auto" w:fill="D6D2C4" w:themeFill="accent4"/>
            <w:noWrap/>
            <w:hideMark/>
          </w:tcPr>
          <w:p w14:paraId="7D2CD7B1" w14:textId="77777777" w:rsidR="000B415A" w:rsidRPr="000B415A" w:rsidRDefault="000B415A" w:rsidP="000B415A">
            <w:pPr>
              <w:pStyle w:val="tabeltextintabel"/>
              <w:rPr>
                <w:b/>
              </w:rPr>
            </w:pPr>
            <w:r w:rsidRPr="000B415A">
              <w:rPr>
                <w:b/>
              </w:rPr>
              <w:t>Starting point (Ms)</w:t>
            </w:r>
          </w:p>
        </w:tc>
        <w:tc>
          <w:tcPr>
            <w:tcW w:w="592" w:type="pct"/>
            <w:shd w:val="clear" w:color="auto" w:fill="D6D2C4" w:themeFill="accent4"/>
            <w:noWrap/>
            <w:hideMark/>
          </w:tcPr>
          <w:p w14:paraId="3C5B8B7A" w14:textId="77777777" w:rsidR="000B415A" w:rsidRPr="000B415A" w:rsidRDefault="000B415A" w:rsidP="000B415A">
            <w:pPr>
              <w:pStyle w:val="tabeltextintabel"/>
              <w:rPr>
                <w:b/>
              </w:rPr>
            </w:pPr>
            <w:r w:rsidRPr="000B415A">
              <w:rPr>
                <w:b/>
              </w:rPr>
              <w:t>Window size (Ms)</w:t>
            </w:r>
          </w:p>
        </w:tc>
        <w:tc>
          <w:tcPr>
            <w:tcW w:w="474" w:type="pct"/>
            <w:shd w:val="clear" w:color="auto" w:fill="D6D2C4" w:themeFill="accent4"/>
            <w:noWrap/>
            <w:hideMark/>
          </w:tcPr>
          <w:p w14:paraId="1F0289A2" w14:textId="77777777" w:rsidR="000B415A" w:rsidRPr="000B415A" w:rsidRDefault="000B415A" w:rsidP="000B415A">
            <w:pPr>
              <w:pStyle w:val="tabeltextintabel"/>
              <w:rPr>
                <w:b/>
              </w:rPr>
            </w:pPr>
            <w:r w:rsidRPr="000B415A">
              <w:rPr>
                <w:b/>
              </w:rPr>
              <w:t>Type of norm</w:t>
            </w:r>
          </w:p>
        </w:tc>
        <w:tc>
          <w:tcPr>
            <w:tcW w:w="405" w:type="pct"/>
            <w:shd w:val="clear" w:color="auto" w:fill="D6D2C4" w:themeFill="accent4"/>
            <w:noWrap/>
            <w:hideMark/>
          </w:tcPr>
          <w:p w14:paraId="3F66DC2D" w14:textId="77777777" w:rsidR="000B415A" w:rsidRPr="000B415A" w:rsidRDefault="000B415A" w:rsidP="000B415A">
            <w:pPr>
              <w:pStyle w:val="tabeltextintabel"/>
              <w:rPr>
                <w:b/>
              </w:rPr>
            </w:pPr>
            <w:r w:rsidRPr="000B415A">
              <w:rPr>
                <w:b/>
              </w:rPr>
              <w:t>Stimuli</w:t>
            </w:r>
          </w:p>
        </w:tc>
        <w:tc>
          <w:tcPr>
            <w:tcW w:w="656" w:type="pct"/>
            <w:shd w:val="clear" w:color="auto" w:fill="D6D2C4" w:themeFill="accent4"/>
            <w:noWrap/>
            <w:hideMark/>
          </w:tcPr>
          <w:p w14:paraId="68197965" w14:textId="77777777" w:rsidR="000B415A" w:rsidRPr="000B415A" w:rsidRDefault="000B415A" w:rsidP="000B415A">
            <w:pPr>
              <w:pStyle w:val="tabeltextintabel"/>
              <w:rPr>
                <w:b/>
              </w:rPr>
            </w:pPr>
            <w:r w:rsidRPr="000B415A">
              <w:rPr>
                <w:b/>
              </w:rPr>
              <w:t>Ranked/Non-ranked</w:t>
            </w:r>
          </w:p>
        </w:tc>
      </w:tr>
      <w:tr w:rsidR="000B415A" w:rsidRPr="000B415A" w14:paraId="053EB097" w14:textId="77777777" w:rsidTr="000B415A">
        <w:trPr>
          <w:trHeight w:val="315"/>
        </w:trPr>
        <w:tc>
          <w:tcPr>
            <w:tcW w:w="298" w:type="pct"/>
            <w:noWrap/>
            <w:hideMark/>
          </w:tcPr>
          <w:p w14:paraId="1104748A" w14:textId="77777777" w:rsidR="000B415A" w:rsidRPr="000B415A" w:rsidRDefault="000B415A" w:rsidP="000B415A">
            <w:pPr>
              <w:pStyle w:val="tabeltextintabel"/>
            </w:pPr>
            <w:r w:rsidRPr="000B415A">
              <w:t>Female</w:t>
            </w:r>
          </w:p>
        </w:tc>
        <w:tc>
          <w:tcPr>
            <w:tcW w:w="230" w:type="pct"/>
            <w:noWrap/>
            <w:hideMark/>
          </w:tcPr>
          <w:p w14:paraId="72F78275" w14:textId="77777777" w:rsidR="000B415A" w:rsidRPr="000B415A" w:rsidRDefault="000B415A" w:rsidP="000B415A">
            <w:pPr>
              <w:pStyle w:val="tabeltextintabel"/>
            </w:pPr>
            <w:r w:rsidRPr="000B415A">
              <w:t>DV 1</w:t>
            </w:r>
          </w:p>
        </w:tc>
        <w:tc>
          <w:tcPr>
            <w:tcW w:w="429" w:type="pct"/>
            <w:noWrap/>
            <w:hideMark/>
          </w:tcPr>
          <w:p w14:paraId="1C54C8C7" w14:textId="77777777" w:rsidR="000B415A" w:rsidRPr="000B415A" w:rsidRDefault="000B415A" w:rsidP="000B415A">
            <w:pPr>
              <w:pStyle w:val="tabeltextintabel"/>
            </w:pPr>
            <w:r w:rsidRPr="000B415A">
              <w:t>ASD</w:t>
            </w:r>
          </w:p>
        </w:tc>
        <w:tc>
          <w:tcPr>
            <w:tcW w:w="164" w:type="pct"/>
            <w:noWrap/>
            <w:hideMark/>
          </w:tcPr>
          <w:p w14:paraId="7BA740F2" w14:textId="77777777" w:rsidR="000B415A" w:rsidRPr="000B415A" w:rsidRDefault="000B415A" w:rsidP="000B415A">
            <w:pPr>
              <w:pStyle w:val="tabeltextintabel"/>
            </w:pPr>
            <w:r w:rsidRPr="000B415A">
              <w:t>21</w:t>
            </w:r>
          </w:p>
        </w:tc>
        <w:tc>
          <w:tcPr>
            <w:tcW w:w="250" w:type="pct"/>
            <w:noWrap/>
            <w:hideMark/>
          </w:tcPr>
          <w:p w14:paraId="5A738F21" w14:textId="39A1D96F" w:rsidR="000B415A" w:rsidRPr="000B415A" w:rsidRDefault="003D7C54" w:rsidP="000B415A">
            <w:pPr>
              <w:pStyle w:val="tabeltextintabel"/>
            </w:pPr>
            <w:r>
              <w:t>0.</w:t>
            </w:r>
            <w:r w:rsidR="000B415A" w:rsidRPr="000B415A">
              <w:t>56</w:t>
            </w:r>
          </w:p>
        </w:tc>
        <w:tc>
          <w:tcPr>
            <w:tcW w:w="303" w:type="pct"/>
            <w:noWrap/>
            <w:hideMark/>
          </w:tcPr>
          <w:p w14:paraId="1E46D1B6" w14:textId="77777777" w:rsidR="000B415A" w:rsidRPr="000B415A" w:rsidRDefault="000B415A" w:rsidP="000B415A">
            <w:pPr>
              <w:pStyle w:val="tabeltextintabel"/>
            </w:pPr>
            <w:r w:rsidRPr="000B415A">
              <w:t>0,57</w:t>
            </w:r>
          </w:p>
        </w:tc>
        <w:tc>
          <w:tcPr>
            <w:tcW w:w="214" w:type="pct"/>
            <w:noWrap/>
            <w:hideMark/>
          </w:tcPr>
          <w:p w14:paraId="1DE7FC1A" w14:textId="5F9AFDE1" w:rsidR="000B415A" w:rsidRPr="000B415A" w:rsidRDefault="003D7C54" w:rsidP="000B415A">
            <w:pPr>
              <w:pStyle w:val="tabeltextintabel"/>
            </w:pPr>
            <w:r>
              <w:t>0.</w:t>
            </w:r>
            <w:r w:rsidR="000B415A" w:rsidRPr="000B415A">
              <w:t>09</w:t>
            </w:r>
          </w:p>
        </w:tc>
        <w:tc>
          <w:tcPr>
            <w:tcW w:w="363" w:type="pct"/>
            <w:noWrap/>
            <w:hideMark/>
          </w:tcPr>
          <w:p w14:paraId="67BF21C6" w14:textId="54818541" w:rsidR="000B415A" w:rsidRPr="000B415A" w:rsidRDefault="003D7C54" w:rsidP="000B415A">
            <w:pPr>
              <w:pStyle w:val="tabeltextintabel"/>
              <w:rPr>
                <w:rFonts w:ascii="Calibri" w:hAnsi="Calibri"/>
              </w:rPr>
            </w:pPr>
            <w:r>
              <w:rPr>
                <w:rFonts w:ascii="Calibri" w:hAnsi="Calibri"/>
              </w:rPr>
              <w:t>0.</w:t>
            </w:r>
            <w:r w:rsidR="000B415A" w:rsidRPr="000B415A">
              <w:rPr>
                <w:rFonts w:ascii="Calibri" w:hAnsi="Calibri"/>
              </w:rPr>
              <w:t>0002</w:t>
            </w:r>
          </w:p>
        </w:tc>
        <w:tc>
          <w:tcPr>
            <w:tcW w:w="622" w:type="pct"/>
            <w:noWrap/>
            <w:hideMark/>
          </w:tcPr>
          <w:p w14:paraId="2A7F88D7" w14:textId="77777777" w:rsidR="000B415A" w:rsidRPr="000B415A" w:rsidRDefault="000B415A" w:rsidP="000B415A">
            <w:pPr>
              <w:pStyle w:val="tabeltextintabel"/>
            </w:pPr>
            <w:r w:rsidRPr="000B415A">
              <w:t>2.5</w:t>
            </w:r>
          </w:p>
        </w:tc>
        <w:tc>
          <w:tcPr>
            <w:tcW w:w="592" w:type="pct"/>
            <w:noWrap/>
            <w:hideMark/>
          </w:tcPr>
          <w:p w14:paraId="79B166C2" w14:textId="77777777" w:rsidR="000B415A" w:rsidRPr="000B415A" w:rsidRDefault="000B415A" w:rsidP="000B415A">
            <w:pPr>
              <w:pStyle w:val="tabeltextintabel"/>
            </w:pPr>
            <w:r w:rsidRPr="000B415A">
              <w:t>1.5</w:t>
            </w:r>
          </w:p>
        </w:tc>
        <w:tc>
          <w:tcPr>
            <w:tcW w:w="474" w:type="pct"/>
            <w:noWrap/>
            <w:hideMark/>
          </w:tcPr>
          <w:p w14:paraId="25C02BB2" w14:textId="77777777" w:rsidR="000B415A" w:rsidRPr="000B415A" w:rsidRDefault="000B415A" w:rsidP="000B415A">
            <w:pPr>
              <w:pStyle w:val="tabeltextintabel"/>
            </w:pPr>
            <w:r w:rsidRPr="000B415A">
              <w:t>Norm curve</w:t>
            </w:r>
          </w:p>
        </w:tc>
        <w:tc>
          <w:tcPr>
            <w:tcW w:w="405" w:type="pct"/>
            <w:noWrap/>
            <w:hideMark/>
          </w:tcPr>
          <w:p w14:paraId="58591205" w14:textId="77777777" w:rsidR="000B415A" w:rsidRPr="000B415A" w:rsidRDefault="000B415A" w:rsidP="000B415A">
            <w:pPr>
              <w:pStyle w:val="tabeltextintabel"/>
            </w:pPr>
            <w:r w:rsidRPr="000B415A">
              <w:t>FM</w:t>
            </w:r>
          </w:p>
        </w:tc>
        <w:tc>
          <w:tcPr>
            <w:tcW w:w="656" w:type="pct"/>
            <w:noWrap/>
            <w:hideMark/>
          </w:tcPr>
          <w:p w14:paraId="6C153928" w14:textId="77777777" w:rsidR="000B415A" w:rsidRPr="000B415A" w:rsidRDefault="000B415A" w:rsidP="000B415A">
            <w:pPr>
              <w:pStyle w:val="tabeltextintabel"/>
            </w:pPr>
            <w:r w:rsidRPr="000B415A">
              <w:t>Non-ranked</w:t>
            </w:r>
          </w:p>
        </w:tc>
      </w:tr>
      <w:tr w:rsidR="000B415A" w:rsidRPr="000B415A" w14:paraId="4DB7060E" w14:textId="77777777" w:rsidTr="000B415A">
        <w:trPr>
          <w:trHeight w:val="315"/>
        </w:trPr>
        <w:tc>
          <w:tcPr>
            <w:tcW w:w="298" w:type="pct"/>
            <w:noWrap/>
            <w:hideMark/>
          </w:tcPr>
          <w:p w14:paraId="61EC477A" w14:textId="77777777" w:rsidR="000B415A" w:rsidRPr="000B415A" w:rsidRDefault="000B415A" w:rsidP="000B415A">
            <w:pPr>
              <w:pStyle w:val="tabeltextintabel"/>
            </w:pPr>
            <w:r w:rsidRPr="000B415A">
              <w:t>Female</w:t>
            </w:r>
          </w:p>
        </w:tc>
        <w:tc>
          <w:tcPr>
            <w:tcW w:w="230" w:type="pct"/>
            <w:noWrap/>
            <w:hideMark/>
          </w:tcPr>
          <w:p w14:paraId="407EF7A6" w14:textId="77777777" w:rsidR="000B415A" w:rsidRPr="000B415A" w:rsidRDefault="000B415A" w:rsidP="000B415A">
            <w:pPr>
              <w:pStyle w:val="tabeltextintabel"/>
            </w:pPr>
            <w:r w:rsidRPr="000B415A">
              <w:t>DV 1</w:t>
            </w:r>
          </w:p>
        </w:tc>
        <w:tc>
          <w:tcPr>
            <w:tcW w:w="429" w:type="pct"/>
            <w:noWrap/>
            <w:hideMark/>
          </w:tcPr>
          <w:p w14:paraId="61EF7D76" w14:textId="77777777" w:rsidR="000B415A" w:rsidRPr="000B415A" w:rsidRDefault="000B415A" w:rsidP="000B415A">
            <w:pPr>
              <w:pStyle w:val="tabeltextintabel"/>
            </w:pPr>
            <w:r w:rsidRPr="000B415A">
              <w:t>TD</w:t>
            </w:r>
          </w:p>
        </w:tc>
        <w:tc>
          <w:tcPr>
            <w:tcW w:w="164" w:type="pct"/>
            <w:noWrap/>
            <w:hideMark/>
          </w:tcPr>
          <w:p w14:paraId="3BACEFC2" w14:textId="77777777" w:rsidR="000B415A" w:rsidRPr="000B415A" w:rsidRDefault="000B415A" w:rsidP="000B415A">
            <w:pPr>
              <w:pStyle w:val="tabeltextintabel"/>
            </w:pPr>
            <w:r w:rsidRPr="000B415A">
              <w:t>17</w:t>
            </w:r>
          </w:p>
        </w:tc>
        <w:tc>
          <w:tcPr>
            <w:tcW w:w="250" w:type="pct"/>
            <w:noWrap/>
            <w:hideMark/>
          </w:tcPr>
          <w:p w14:paraId="7476C1C9" w14:textId="768E2B8D" w:rsidR="000B415A" w:rsidRPr="000B415A" w:rsidRDefault="003D7C54" w:rsidP="000B415A">
            <w:pPr>
              <w:pStyle w:val="tabeltextintabel"/>
            </w:pPr>
            <w:r>
              <w:t>0.</w:t>
            </w:r>
            <w:r w:rsidR="000B415A" w:rsidRPr="000B415A">
              <w:t>42</w:t>
            </w:r>
          </w:p>
        </w:tc>
        <w:tc>
          <w:tcPr>
            <w:tcW w:w="303" w:type="pct"/>
            <w:noWrap/>
            <w:hideMark/>
          </w:tcPr>
          <w:p w14:paraId="0AF533D5" w14:textId="77777777" w:rsidR="000B415A" w:rsidRPr="000B415A" w:rsidRDefault="000B415A" w:rsidP="000B415A">
            <w:pPr>
              <w:pStyle w:val="tabeltextintabel"/>
            </w:pPr>
            <w:r w:rsidRPr="000B415A">
              <w:t>0,43</w:t>
            </w:r>
          </w:p>
        </w:tc>
        <w:tc>
          <w:tcPr>
            <w:tcW w:w="214" w:type="pct"/>
            <w:noWrap/>
            <w:hideMark/>
          </w:tcPr>
          <w:p w14:paraId="7BD236EF" w14:textId="29126324" w:rsidR="000B415A" w:rsidRPr="000B415A" w:rsidRDefault="003D7C54" w:rsidP="000B415A">
            <w:pPr>
              <w:pStyle w:val="tabeltextintabel"/>
            </w:pPr>
            <w:r>
              <w:t>0.</w:t>
            </w:r>
            <w:r w:rsidR="000B415A" w:rsidRPr="000B415A">
              <w:t>12</w:t>
            </w:r>
          </w:p>
        </w:tc>
        <w:tc>
          <w:tcPr>
            <w:tcW w:w="363" w:type="pct"/>
            <w:noWrap/>
            <w:hideMark/>
          </w:tcPr>
          <w:p w14:paraId="4A9276BE" w14:textId="04D28B73" w:rsidR="000B415A" w:rsidRPr="000B415A" w:rsidRDefault="003D7C54" w:rsidP="000B415A">
            <w:pPr>
              <w:pStyle w:val="tabeltextintabel"/>
              <w:rPr>
                <w:rFonts w:ascii="Calibri" w:hAnsi="Calibri"/>
              </w:rPr>
            </w:pPr>
            <w:r>
              <w:rPr>
                <w:rFonts w:ascii="Calibri" w:hAnsi="Calibri"/>
              </w:rPr>
              <w:t>0.</w:t>
            </w:r>
            <w:r w:rsidR="000B415A" w:rsidRPr="000B415A">
              <w:rPr>
                <w:rFonts w:ascii="Calibri" w:hAnsi="Calibri"/>
              </w:rPr>
              <w:t>0002</w:t>
            </w:r>
          </w:p>
        </w:tc>
        <w:tc>
          <w:tcPr>
            <w:tcW w:w="622" w:type="pct"/>
            <w:noWrap/>
            <w:hideMark/>
          </w:tcPr>
          <w:p w14:paraId="6FE2440B" w14:textId="77777777" w:rsidR="000B415A" w:rsidRPr="000B415A" w:rsidRDefault="000B415A" w:rsidP="000B415A">
            <w:pPr>
              <w:pStyle w:val="tabeltextintabel"/>
            </w:pPr>
            <w:r w:rsidRPr="000B415A">
              <w:t>2.5</w:t>
            </w:r>
          </w:p>
        </w:tc>
        <w:tc>
          <w:tcPr>
            <w:tcW w:w="592" w:type="pct"/>
            <w:noWrap/>
            <w:hideMark/>
          </w:tcPr>
          <w:p w14:paraId="56593ED9" w14:textId="77777777" w:rsidR="000B415A" w:rsidRPr="000B415A" w:rsidRDefault="000B415A" w:rsidP="000B415A">
            <w:pPr>
              <w:pStyle w:val="tabeltextintabel"/>
            </w:pPr>
            <w:r w:rsidRPr="000B415A">
              <w:t>1.5</w:t>
            </w:r>
          </w:p>
        </w:tc>
        <w:tc>
          <w:tcPr>
            <w:tcW w:w="474" w:type="pct"/>
            <w:noWrap/>
            <w:hideMark/>
          </w:tcPr>
          <w:p w14:paraId="38CCF78E" w14:textId="77777777" w:rsidR="000B415A" w:rsidRPr="000B415A" w:rsidRDefault="000B415A" w:rsidP="000B415A">
            <w:pPr>
              <w:pStyle w:val="tabeltextintabel"/>
            </w:pPr>
            <w:r w:rsidRPr="000B415A">
              <w:t>Norm curve</w:t>
            </w:r>
          </w:p>
        </w:tc>
        <w:tc>
          <w:tcPr>
            <w:tcW w:w="405" w:type="pct"/>
            <w:noWrap/>
            <w:hideMark/>
          </w:tcPr>
          <w:p w14:paraId="2A41CB91" w14:textId="77777777" w:rsidR="000B415A" w:rsidRPr="000B415A" w:rsidRDefault="000B415A" w:rsidP="000B415A">
            <w:pPr>
              <w:pStyle w:val="tabeltextintabel"/>
            </w:pPr>
            <w:r w:rsidRPr="000B415A">
              <w:t>FM</w:t>
            </w:r>
          </w:p>
        </w:tc>
        <w:tc>
          <w:tcPr>
            <w:tcW w:w="656" w:type="pct"/>
            <w:noWrap/>
            <w:hideMark/>
          </w:tcPr>
          <w:p w14:paraId="392B505E" w14:textId="77777777" w:rsidR="000B415A" w:rsidRPr="000B415A" w:rsidRDefault="000B415A" w:rsidP="000B415A">
            <w:pPr>
              <w:pStyle w:val="tabeltextintabel"/>
            </w:pPr>
            <w:r w:rsidRPr="000B415A">
              <w:t>Non-ranked</w:t>
            </w:r>
          </w:p>
        </w:tc>
      </w:tr>
      <w:tr w:rsidR="000B415A" w:rsidRPr="000B415A" w14:paraId="1DE36457" w14:textId="77777777" w:rsidTr="000B415A">
        <w:trPr>
          <w:trHeight w:val="315"/>
        </w:trPr>
        <w:tc>
          <w:tcPr>
            <w:tcW w:w="298" w:type="pct"/>
            <w:noWrap/>
            <w:hideMark/>
          </w:tcPr>
          <w:p w14:paraId="419993B6" w14:textId="77777777" w:rsidR="000B415A" w:rsidRPr="000B415A" w:rsidRDefault="000B415A" w:rsidP="000B415A">
            <w:pPr>
              <w:pStyle w:val="tabeltextintabel"/>
            </w:pPr>
            <w:r w:rsidRPr="000B415A">
              <w:t>Male</w:t>
            </w:r>
          </w:p>
        </w:tc>
        <w:tc>
          <w:tcPr>
            <w:tcW w:w="230" w:type="pct"/>
            <w:noWrap/>
            <w:hideMark/>
          </w:tcPr>
          <w:p w14:paraId="3BC47BCB" w14:textId="77777777" w:rsidR="000B415A" w:rsidRPr="000B415A" w:rsidRDefault="000B415A" w:rsidP="000B415A">
            <w:pPr>
              <w:pStyle w:val="tabeltextintabel"/>
            </w:pPr>
            <w:r w:rsidRPr="000B415A">
              <w:t>DV 1</w:t>
            </w:r>
          </w:p>
        </w:tc>
        <w:tc>
          <w:tcPr>
            <w:tcW w:w="429" w:type="pct"/>
            <w:noWrap/>
            <w:hideMark/>
          </w:tcPr>
          <w:p w14:paraId="7BCDE9F1" w14:textId="77777777" w:rsidR="000B415A" w:rsidRPr="000B415A" w:rsidRDefault="000B415A" w:rsidP="000B415A">
            <w:pPr>
              <w:pStyle w:val="tabeltextintabel"/>
            </w:pPr>
            <w:r w:rsidRPr="000B415A">
              <w:t>ASD</w:t>
            </w:r>
          </w:p>
        </w:tc>
        <w:tc>
          <w:tcPr>
            <w:tcW w:w="164" w:type="pct"/>
            <w:noWrap/>
            <w:hideMark/>
          </w:tcPr>
          <w:p w14:paraId="2594C288" w14:textId="77777777" w:rsidR="000B415A" w:rsidRPr="000B415A" w:rsidRDefault="000B415A" w:rsidP="000B415A">
            <w:pPr>
              <w:pStyle w:val="tabeltextintabel"/>
            </w:pPr>
            <w:r w:rsidRPr="000B415A">
              <w:t>18</w:t>
            </w:r>
          </w:p>
        </w:tc>
        <w:tc>
          <w:tcPr>
            <w:tcW w:w="250" w:type="pct"/>
            <w:noWrap/>
            <w:hideMark/>
          </w:tcPr>
          <w:p w14:paraId="56F7982C" w14:textId="274F2CC7" w:rsidR="000B415A" w:rsidRPr="000B415A" w:rsidRDefault="003D7C54" w:rsidP="000B415A">
            <w:pPr>
              <w:pStyle w:val="tabeltextintabel"/>
            </w:pPr>
            <w:r>
              <w:t>0.</w:t>
            </w:r>
            <w:r w:rsidR="000B415A" w:rsidRPr="000B415A">
              <w:t>52</w:t>
            </w:r>
          </w:p>
        </w:tc>
        <w:tc>
          <w:tcPr>
            <w:tcW w:w="303" w:type="pct"/>
            <w:noWrap/>
            <w:hideMark/>
          </w:tcPr>
          <w:p w14:paraId="7395B5BC" w14:textId="77777777" w:rsidR="000B415A" w:rsidRPr="000B415A" w:rsidRDefault="000B415A" w:rsidP="000B415A">
            <w:pPr>
              <w:pStyle w:val="tabeltextintabel"/>
            </w:pPr>
            <w:r w:rsidRPr="000B415A">
              <w:t>0,53</w:t>
            </w:r>
          </w:p>
        </w:tc>
        <w:tc>
          <w:tcPr>
            <w:tcW w:w="214" w:type="pct"/>
            <w:noWrap/>
            <w:hideMark/>
          </w:tcPr>
          <w:p w14:paraId="5169E0C3" w14:textId="52D96915" w:rsidR="000B415A" w:rsidRPr="000B415A" w:rsidRDefault="003D7C54" w:rsidP="000B415A">
            <w:pPr>
              <w:pStyle w:val="tabeltextintabel"/>
            </w:pPr>
            <w:r>
              <w:t>0.</w:t>
            </w:r>
            <w:r w:rsidR="000B415A" w:rsidRPr="000B415A">
              <w:t>08</w:t>
            </w:r>
          </w:p>
        </w:tc>
        <w:tc>
          <w:tcPr>
            <w:tcW w:w="363" w:type="pct"/>
            <w:noWrap/>
            <w:hideMark/>
          </w:tcPr>
          <w:p w14:paraId="65E06F3B" w14:textId="544A91B3" w:rsidR="000B415A" w:rsidRPr="000B415A" w:rsidRDefault="003D7C54" w:rsidP="000B415A">
            <w:pPr>
              <w:pStyle w:val="tabeltextintabel"/>
              <w:rPr>
                <w:rFonts w:ascii="Calibri" w:hAnsi="Calibri"/>
              </w:rPr>
            </w:pPr>
            <w:r>
              <w:rPr>
                <w:rFonts w:ascii="Calibri" w:hAnsi="Calibri"/>
              </w:rPr>
              <w:t>0.</w:t>
            </w:r>
            <w:r w:rsidR="000B415A" w:rsidRPr="000B415A">
              <w:rPr>
                <w:rFonts w:ascii="Calibri" w:hAnsi="Calibri"/>
              </w:rPr>
              <w:t>02</w:t>
            </w:r>
          </w:p>
        </w:tc>
        <w:tc>
          <w:tcPr>
            <w:tcW w:w="622" w:type="pct"/>
            <w:noWrap/>
            <w:hideMark/>
          </w:tcPr>
          <w:p w14:paraId="6E1814D4" w14:textId="77777777" w:rsidR="000B415A" w:rsidRPr="000B415A" w:rsidRDefault="000B415A" w:rsidP="000B415A">
            <w:pPr>
              <w:pStyle w:val="tabeltextintabel"/>
            </w:pPr>
            <w:r w:rsidRPr="000B415A">
              <w:t>2.5</w:t>
            </w:r>
          </w:p>
        </w:tc>
        <w:tc>
          <w:tcPr>
            <w:tcW w:w="592" w:type="pct"/>
            <w:noWrap/>
            <w:hideMark/>
          </w:tcPr>
          <w:p w14:paraId="2CE40686" w14:textId="77777777" w:rsidR="000B415A" w:rsidRPr="000B415A" w:rsidRDefault="000B415A" w:rsidP="000B415A">
            <w:pPr>
              <w:pStyle w:val="tabeltextintabel"/>
            </w:pPr>
            <w:r w:rsidRPr="000B415A">
              <w:t>1.5</w:t>
            </w:r>
          </w:p>
        </w:tc>
        <w:tc>
          <w:tcPr>
            <w:tcW w:w="474" w:type="pct"/>
            <w:noWrap/>
            <w:hideMark/>
          </w:tcPr>
          <w:p w14:paraId="42DAFFBF" w14:textId="77777777" w:rsidR="000B415A" w:rsidRPr="000B415A" w:rsidRDefault="000B415A" w:rsidP="000B415A">
            <w:pPr>
              <w:pStyle w:val="tabeltextintabel"/>
            </w:pPr>
            <w:r w:rsidRPr="000B415A">
              <w:t>Norm curve</w:t>
            </w:r>
          </w:p>
        </w:tc>
        <w:tc>
          <w:tcPr>
            <w:tcW w:w="405" w:type="pct"/>
            <w:noWrap/>
            <w:hideMark/>
          </w:tcPr>
          <w:p w14:paraId="66921DA6" w14:textId="77777777" w:rsidR="000B415A" w:rsidRPr="000B415A" w:rsidRDefault="000B415A" w:rsidP="000B415A">
            <w:pPr>
              <w:pStyle w:val="tabeltextintabel"/>
            </w:pPr>
            <w:r w:rsidRPr="000B415A">
              <w:t>FM</w:t>
            </w:r>
          </w:p>
        </w:tc>
        <w:tc>
          <w:tcPr>
            <w:tcW w:w="656" w:type="pct"/>
            <w:noWrap/>
            <w:hideMark/>
          </w:tcPr>
          <w:p w14:paraId="0E884C4A" w14:textId="77777777" w:rsidR="000B415A" w:rsidRPr="000B415A" w:rsidRDefault="000B415A" w:rsidP="000B415A">
            <w:pPr>
              <w:pStyle w:val="tabeltextintabel"/>
            </w:pPr>
            <w:r w:rsidRPr="000B415A">
              <w:t>Non-ranked</w:t>
            </w:r>
          </w:p>
        </w:tc>
      </w:tr>
      <w:tr w:rsidR="000B415A" w:rsidRPr="000B415A" w14:paraId="2C1DB65C" w14:textId="77777777" w:rsidTr="000B415A">
        <w:trPr>
          <w:trHeight w:val="315"/>
        </w:trPr>
        <w:tc>
          <w:tcPr>
            <w:tcW w:w="298" w:type="pct"/>
            <w:noWrap/>
            <w:hideMark/>
          </w:tcPr>
          <w:p w14:paraId="3E555150" w14:textId="77777777" w:rsidR="000B415A" w:rsidRPr="000B415A" w:rsidRDefault="000B415A" w:rsidP="000B415A">
            <w:pPr>
              <w:pStyle w:val="tabeltextintabel"/>
            </w:pPr>
            <w:r w:rsidRPr="000B415A">
              <w:t>Male</w:t>
            </w:r>
          </w:p>
        </w:tc>
        <w:tc>
          <w:tcPr>
            <w:tcW w:w="230" w:type="pct"/>
            <w:noWrap/>
            <w:hideMark/>
          </w:tcPr>
          <w:p w14:paraId="6A1D348A" w14:textId="77777777" w:rsidR="000B415A" w:rsidRPr="000B415A" w:rsidRDefault="000B415A" w:rsidP="000B415A">
            <w:pPr>
              <w:pStyle w:val="tabeltextintabel"/>
            </w:pPr>
            <w:r w:rsidRPr="000B415A">
              <w:t>DV 1</w:t>
            </w:r>
          </w:p>
        </w:tc>
        <w:tc>
          <w:tcPr>
            <w:tcW w:w="429" w:type="pct"/>
            <w:noWrap/>
            <w:hideMark/>
          </w:tcPr>
          <w:p w14:paraId="7D758119" w14:textId="77777777" w:rsidR="000B415A" w:rsidRPr="000B415A" w:rsidRDefault="000B415A" w:rsidP="000B415A">
            <w:pPr>
              <w:pStyle w:val="tabeltextintabel"/>
            </w:pPr>
            <w:r w:rsidRPr="000B415A">
              <w:t>TD</w:t>
            </w:r>
          </w:p>
        </w:tc>
        <w:tc>
          <w:tcPr>
            <w:tcW w:w="164" w:type="pct"/>
            <w:noWrap/>
            <w:hideMark/>
          </w:tcPr>
          <w:p w14:paraId="1FE69CA9" w14:textId="77777777" w:rsidR="000B415A" w:rsidRPr="000B415A" w:rsidRDefault="000B415A" w:rsidP="000B415A">
            <w:pPr>
              <w:pStyle w:val="tabeltextintabel"/>
            </w:pPr>
            <w:r w:rsidRPr="000B415A">
              <w:t>17</w:t>
            </w:r>
          </w:p>
        </w:tc>
        <w:tc>
          <w:tcPr>
            <w:tcW w:w="250" w:type="pct"/>
            <w:noWrap/>
            <w:hideMark/>
          </w:tcPr>
          <w:p w14:paraId="6D14CD8B" w14:textId="71EB671A" w:rsidR="000B415A" w:rsidRPr="000B415A" w:rsidRDefault="003D7C54" w:rsidP="000B415A">
            <w:pPr>
              <w:pStyle w:val="tabeltextintabel"/>
            </w:pPr>
            <w:r>
              <w:t>0.</w:t>
            </w:r>
            <w:r w:rsidR="000B415A" w:rsidRPr="000B415A">
              <w:t>45</w:t>
            </w:r>
          </w:p>
        </w:tc>
        <w:tc>
          <w:tcPr>
            <w:tcW w:w="303" w:type="pct"/>
            <w:noWrap/>
            <w:hideMark/>
          </w:tcPr>
          <w:p w14:paraId="521E38A5" w14:textId="77777777" w:rsidR="000B415A" w:rsidRPr="000B415A" w:rsidRDefault="000B415A" w:rsidP="000B415A">
            <w:pPr>
              <w:pStyle w:val="tabeltextintabel"/>
            </w:pPr>
            <w:r w:rsidRPr="000B415A">
              <w:t>0,47</w:t>
            </w:r>
          </w:p>
        </w:tc>
        <w:tc>
          <w:tcPr>
            <w:tcW w:w="214" w:type="pct"/>
            <w:noWrap/>
            <w:hideMark/>
          </w:tcPr>
          <w:p w14:paraId="6C6FE230" w14:textId="34ADB087" w:rsidR="000B415A" w:rsidRPr="000B415A" w:rsidRDefault="003D7C54" w:rsidP="000B415A">
            <w:pPr>
              <w:pStyle w:val="tabeltextintabel"/>
            </w:pPr>
            <w:r>
              <w:t>0.</w:t>
            </w:r>
            <w:r w:rsidR="000B415A" w:rsidRPr="000B415A">
              <w:t>09</w:t>
            </w:r>
          </w:p>
        </w:tc>
        <w:tc>
          <w:tcPr>
            <w:tcW w:w="363" w:type="pct"/>
            <w:noWrap/>
            <w:hideMark/>
          </w:tcPr>
          <w:p w14:paraId="1B4539E2" w14:textId="48731767" w:rsidR="000B415A" w:rsidRPr="000B415A" w:rsidRDefault="003D7C54" w:rsidP="000B415A">
            <w:pPr>
              <w:pStyle w:val="tabeltextintabel"/>
              <w:rPr>
                <w:rFonts w:ascii="Calibri" w:hAnsi="Calibri"/>
              </w:rPr>
            </w:pPr>
            <w:r>
              <w:rPr>
                <w:rFonts w:ascii="Calibri" w:hAnsi="Calibri"/>
              </w:rPr>
              <w:t>0.</w:t>
            </w:r>
            <w:r w:rsidR="000B415A" w:rsidRPr="000B415A">
              <w:rPr>
                <w:rFonts w:ascii="Calibri" w:hAnsi="Calibri"/>
              </w:rPr>
              <w:t>02</w:t>
            </w:r>
          </w:p>
        </w:tc>
        <w:tc>
          <w:tcPr>
            <w:tcW w:w="622" w:type="pct"/>
            <w:noWrap/>
            <w:hideMark/>
          </w:tcPr>
          <w:p w14:paraId="49CA630D" w14:textId="77777777" w:rsidR="000B415A" w:rsidRPr="000B415A" w:rsidRDefault="000B415A" w:rsidP="000B415A">
            <w:pPr>
              <w:pStyle w:val="tabeltextintabel"/>
            </w:pPr>
            <w:r w:rsidRPr="000B415A">
              <w:t>2.5</w:t>
            </w:r>
          </w:p>
        </w:tc>
        <w:tc>
          <w:tcPr>
            <w:tcW w:w="592" w:type="pct"/>
            <w:noWrap/>
            <w:hideMark/>
          </w:tcPr>
          <w:p w14:paraId="7446BC4A" w14:textId="77777777" w:rsidR="000B415A" w:rsidRPr="000B415A" w:rsidRDefault="000B415A" w:rsidP="000B415A">
            <w:pPr>
              <w:pStyle w:val="tabeltextintabel"/>
            </w:pPr>
            <w:r w:rsidRPr="000B415A">
              <w:t>1.5</w:t>
            </w:r>
          </w:p>
        </w:tc>
        <w:tc>
          <w:tcPr>
            <w:tcW w:w="474" w:type="pct"/>
            <w:noWrap/>
            <w:hideMark/>
          </w:tcPr>
          <w:p w14:paraId="58B26987" w14:textId="77777777" w:rsidR="000B415A" w:rsidRPr="000B415A" w:rsidRDefault="000B415A" w:rsidP="000B415A">
            <w:pPr>
              <w:pStyle w:val="tabeltextintabel"/>
            </w:pPr>
            <w:r w:rsidRPr="000B415A">
              <w:t>Norm curve</w:t>
            </w:r>
          </w:p>
        </w:tc>
        <w:tc>
          <w:tcPr>
            <w:tcW w:w="405" w:type="pct"/>
            <w:noWrap/>
            <w:hideMark/>
          </w:tcPr>
          <w:p w14:paraId="4F87499E" w14:textId="77777777" w:rsidR="000B415A" w:rsidRPr="000B415A" w:rsidRDefault="000B415A" w:rsidP="000B415A">
            <w:pPr>
              <w:pStyle w:val="tabeltextintabel"/>
            </w:pPr>
            <w:r w:rsidRPr="000B415A">
              <w:t>FM</w:t>
            </w:r>
          </w:p>
        </w:tc>
        <w:tc>
          <w:tcPr>
            <w:tcW w:w="656" w:type="pct"/>
            <w:noWrap/>
            <w:hideMark/>
          </w:tcPr>
          <w:p w14:paraId="1420099E" w14:textId="77777777" w:rsidR="000B415A" w:rsidRPr="000B415A" w:rsidRDefault="000B415A" w:rsidP="000B415A">
            <w:pPr>
              <w:pStyle w:val="tabeltextintabel"/>
            </w:pPr>
            <w:r w:rsidRPr="000B415A">
              <w:t>Non-ranked</w:t>
            </w:r>
          </w:p>
        </w:tc>
      </w:tr>
      <w:tr w:rsidR="000B415A" w:rsidRPr="000B415A" w14:paraId="03074108" w14:textId="77777777" w:rsidTr="000B415A">
        <w:trPr>
          <w:trHeight w:val="315"/>
        </w:trPr>
        <w:tc>
          <w:tcPr>
            <w:tcW w:w="298" w:type="pct"/>
            <w:noWrap/>
            <w:hideMark/>
          </w:tcPr>
          <w:p w14:paraId="38F5EC84" w14:textId="77777777" w:rsidR="000B415A" w:rsidRPr="000B415A" w:rsidRDefault="000B415A" w:rsidP="000B415A">
            <w:pPr>
              <w:pStyle w:val="tabeltextintabel"/>
            </w:pPr>
            <w:r w:rsidRPr="000B415A">
              <w:t>Female</w:t>
            </w:r>
          </w:p>
        </w:tc>
        <w:tc>
          <w:tcPr>
            <w:tcW w:w="230" w:type="pct"/>
            <w:noWrap/>
            <w:hideMark/>
          </w:tcPr>
          <w:p w14:paraId="4D7F4CEF" w14:textId="77777777" w:rsidR="000B415A" w:rsidRPr="000B415A" w:rsidRDefault="000B415A" w:rsidP="000B415A">
            <w:pPr>
              <w:pStyle w:val="tabeltextintabel"/>
            </w:pPr>
            <w:r w:rsidRPr="000B415A">
              <w:t>DV 2</w:t>
            </w:r>
          </w:p>
        </w:tc>
        <w:tc>
          <w:tcPr>
            <w:tcW w:w="429" w:type="pct"/>
            <w:noWrap/>
            <w:hideMark/>
          </w:tcPr>
          <w:p w14:paraId="27B74385" w14:textId="77777777" w:rsidR="000B415A" w:rsidRPr="000B415A" w:rsidRDefault="000B415A" w:rsidP="000B415A">
            <w:pPr>
              <w:pStyle w:val="tabeltextintabel"/>
            </w:pPr>
            <w:r w:rsidRPr="000B415A">
              <w:t>ASD</w:t>
            </w:r>
          </w:p>
        </w:tc>
        <w:tc>
          <w:tcPr>
            <w:tcW w:w="164" w:type="pct"/>
            <w:noWrap/>
            <w:hideMark/>
          </w:tcPr>
          <w:p w14:paraId="3CA5FEDD" w14:textId="77777777" w:rsidR="000B415A" w:rsidRPr="000B415A" w:rsidRDefault="000B415A" w:rsidP="000B415A">
            <w:pPr>
              <w:pStyle w:val="tabeltextintabel"/>
            </w:pPr>
            <w:r w:rsidRPr="000B415A">
              <w:t>21</w:t>
            </w:r>
          </w:p>
        </w:tc>
        <w:tc>
          <w:tcPr>
            <w:tcW w:w="250" w:type="pct"/>
            <w:noWrap/>
            <w:hideMark/>
          </w:tcPr>
          <w:p w14:paraId="472F2AF1" w14:textId="0543035E" w:rsidR="000B415A" w:rsidRPr="000B415A" w:rsidRDefault="003D7C54" w:rsidP="000B415A">
            <w:pPr>
              <w:pStyle w:val="tabeltextintabel"/>
            </w:pPr>
            <w:r>
              <w:t>0.</w:t>
            </w:r>
            <w:r w:rsidR="000B415A" w:rsidRPr="000B415A">
              <w:t>67</w:t>
            </w:r>
          </w:p>
        </w:tc>
        <w:tc>
          <w:tcPr>
            <w:tcW w:w="303" w:type="pct"/>
            <w:noWrap/>
            <w:hideMark/>
          </w:tcPr>
          <w:p w14:paraId="778F4467" w14:textId="77777777" w:rsidR="000B415A" w:rsidRPr="000B415A" w:rsidRDefault="000B415A" w:rsidP="000B415A">
            <w:pPr>
              <w:pStyle w:val="tabeltextintabel"/>
            </w:pPr>
            <w:r w:rsidRPr="000B415A">
              <w:t>0,63</w:t>
            </w:r>
          </w:p>
        </w:tc>
        <w:tc>
          <w:tcPr>
            <w:tcW w:w="214" w:type="pct"/>
            <w:noWrap/>
            <w:hideMark/>
          </w:tcPr>
          <w:p w14:paraId="4E400FFD" w14:textId="448BBA04" w:rsidR="000B415A" w:rsidRPr="000B415A" w:rsidRDefault="003D7C54" w:rsidP="000B415A">
            <w:pPr>
              <w:pStyle w:val="tabeltextintabel"/>
            </w:pPr>
            <w:r>
              <w:t>0.</w:t>
            </w:r>
            <w:r w:rsidR="000B415A" w:rsidRPr="000B415A">
              <w:t>17</w:t>
            </w:r>
          </w:p>
        </w:tc>
        <w:tc>
          <w:tcPr>
            <w:tcW w:w="363" w:type="pct"/>
            <w:noWrap/>
            <w:hideMark/>
          </w:tcPr>
          <w:p w14:paraId="0AB23E65" w14:textId="2D1AAC2A" w:rsidR="000B415A" w:rsidRPr="000B415A" w:rsidRDefault="003D7C54" w:rsidP="000B415A">
            <w:pPr>
              <w:pStyle w:val="tabeltextintabel"/>
              <w:rPr>
                <w:rFonts w:ascii="Calibri" w:hAnsi="Calibri"/>
              </w:rPr>
            </w:pPr>
            <w:r>
              <w:rPr>
                <w:rFonts w:ascii="Calibri" w:hAnsi="Calibri"/>
              </w:rPr>
              <w:t>0.</w:t>
            </w:r>
            <w:r w:rsidR="000B415A" w:rsidRPr="000B415A">
              <w:rPr>
                <w:rFonts w:ascii="Calibri" w:hAnsi="Calibri"/>
              </w:rPr>
              <w:t>15</w:t>
            </w:r>
          </w:p>
        </w:tc>
        <w:tc>
          <w:tcPr>
            <w:tcW w:w="622" w:type="pct"/>
            <w:noWrap/>
            <w:hideMark/>
          </w:tcPr>
          <w:p w14:paraId="7310683A" w14:textId="77777777" w:rsidR="000B415A" w:rsidRPr="000B415A" w:rsidRDefault="000B415A" w:rsidP="000B415A">
            <w:pPr>
              <w:pStyle w:val="tabeltextintabel"/>
            </w:pPr>
            <w:r w:rsidRPr="000B415A">
              <w:t>3.3</w:t>
            </w:r>
          </w:p>
        </w:tc>
        <w:tc>
          <w:tcPr>
            <w:tcW w:w="592" w:type="pct"/>
            <w:noWrap/>
            <w:hideMark/>
          </w:tcPr>
          <w:p w14:paraId="577B7A78" w14:textId="77777777" w:rsidR="000B415A" w:rsidRPr="000B415A" w:rsidRDefault="000B415A" w:rsidP="000B415A">
            <w:pPr>
              <w:pStyle w:val="tabeltextintabel"/>
            </w:pPr>
            <w:r w:rsidRPr="000B415A">
              <w:t>1.1</w:t>
            </w:r>
          </w:p>
        </w:tc>
        <w:tc>
          <w:tcPr>
            <w:tcW w:w="474" w:type="pct"/>
            <w:noWrap/>
            <w:hideMark/>
          </w:tcPr>
          <w:p w14:paraId="3716421C" w14:textId="77777777" w:rsidR="000B415A" w:rsidRPr="000B415A" w:rsidRDefault="000B415A" w:rsidP="000B415A">
            <w:pPr>
              <w:pStyle w:val="tabeltextintabel"/>
            </w:pPr>
            <w:r w:rsidRPr="000B415A">
              <w:t>Norm curve</w:t>
            </w:r>
          </w:p>
        </w:tc>
        <w:tc>
          <w:tcPr>
            <w:tcW w:w="405" w:type="pct"/>
            <w:noWrap/>
            <w:hideMark/>
          </w:tcPr>
          <w:p w14:paraId="6BF2F0F4" w14:textId="77777777" w:rsidR="000B415A" w:rsidRPr="000B415A" w:rsidRDefault="000B415A" w:rsidP="000B415A">
            <w:pPr>
              <w:pStyle w:val="tabeltextintabel"/>
            </w:pPr>
            <w:r w:rsidRPr="000B415A">
              <w:t>Four stimuli</w:t>
            </w:r>
          </w:p>
        </w:tc>
        <w:tc>
          <w:tcPr>
            <w:tcW w:w="656" w:type="pct"/>
            <w:noWrap/>
            <w:hideMark/>
          </w:tcPr>
          <w:p w14:paraId="6212B71A" w14:textId="77777777" w:rsidR="000B415A" w:rsidRPr="000B415A" w:rsidRDefault="000B415A" w:rsidP="000B415A">
            <w:pPr>
              <w:pStyle w:val="tabeltextintabel"/>
            </w:pPr>
            <w:r w:rsidRPr="000B415A">
              <w:t>Non-ranked</w:t>
            </w:r>
          </w:p>
        </w:tc>
      </w:tr>
      <w:tr w:rsidR="000B415A" w:rsidRPr="000B415A" w14:paraId="5658414F" w14:textId="77777777" w:rsidTr="000B415A">
        <w:trPr>
          <w:trHeight w:val="315"/>
        </w:trPr>
        <w:tc>
          <w:tcPr>
            <w:tcW w:w="298" w:type="pct"/>
            <w:noWrap/>
            <w:hideMark/>
          </w:tcPr>
          <w:p w14:paraId="4FFD69DC" w14:textId="77777777" w:rsidR="000B415A" w:rsidRPr="000B415A" w:rsidRDefault="000B415A" w:rsidP="000B415A">
            <w:pPr>
              <w:pStyle w:val="tabeltextintabel"/>
            </w:pPr>
            <w:r w:rsidRPr="000B415A">
              <w:t>Female</w:t>
            </w:r>
          </w:p>
        </w:tc>
        <w:tc>
          <w:tcPr>
            <w:tcW w:w="230" w:type="pct"/>
            <w:noWrap/>
            <w:hideMark/>
          </w:tcPr>
          <w:p w14:paraId="47D2FEC7" w14:textId="77777777" w:rsidR="000B415A" w:rsidRPr="000B415A" w:rsidRDefault="000B415A" w:rsidP="000B415A">
            <w:pPr>
              <w:pStyle w:val="tabeltextintabel"/>
            </w:pPr>
            <w:r w:rsidRPr="000B415A">
              <w:t>DV 2</w:t>
            </w:r>
          </w:p>
        </w:tc>
        <w:tc>
          <w:tcPr>
            <w:tcW w:w="429" w:type="pct"/>
            <w:noWrap/>
            <w:hideMark/>
          </w:tcPr>
          <w:p w14:paraId="0484FAAE" w14:textId="77777777" w:rsidR="000B415A" w:rsidRPr="000B415A" w:rsidRDefault="000B415A" w:rsidP="000B415A">
            <w:pPr>
              <w:pStyle w:val="tabeltextintabel"/>
            </w:pPr>
            <w:r w:rsidRPr="000B415A">
              <w:t>TD</w:t>
            </w:r>
          </w:p>
        </w:tc>
        <w:tc>
          <w:tcPr>
            <w:tcW w:w="164" w:type="pct"/>
            <w:noWrap/>
            <w:hideMark/>
          </w:tcPr>
          <w:p w14:paraId="7C918547" w14:textId="77777777" w:rsidR="000B415A" w:rsidRPr="000B415A" w:rsidRDefault="000B415A" w:rsidP="000B415A">
            <w:pPr>
              <w:pStyle w:val="tabeltextintabel"/>
            </w:pPr>
            <w:r w:rsidRPr="000B415A">
              <w:t>17</w:t>
            </w:r>
          </w:p>
        </w:tc>
        <w:tc>
          <w:tcPr>
            <w:tcW w:w="250" w:type="pct"/>
            <w:noWrap/>
            <w:hideMark/>
          </w:tcPr>
          <w:p w14:paraId="75B2EB1A" w14:textId="4550AE62" w:rsidR="000B415A" w:rsidRPr="000B415A" w:rsidRDefault="003D7C54" w:rsidP="000B415A">
            <w:pPr>
              <w:pStyle w:val="tabeltextintabel"/>
            </w:pPr>
            <w:r>
              <w:t>0.</w:t>
            </w:r>
            <w:r w:rsidR="000B415A" w:rsidRPr="000B415A">
              <w:t>75</w:t>
            </w:r>
          </w:p>
        </w:tc>
        <w:tc>
          <w:tcPr>
            <w:tcW w:w="303" w:type="pct"/>
            <w:noWrap/>
            <w:hideMark/>
          </w:tcPr>
          <w:p w14:paraId="6BF23D74" w14:textId="77777777" w:rsidR="000B415A" w:rsidRPr="000B415A" w:rsidRDefault="000B415A" w:rsidP="000B415A">
            <w:pPr>
              <w:pStyle w:val="tabeltextintabel"/>
            </w:pPr>
            <w:r w:rsidRPr="000B415A">
              <w:t>0,8</w:t>
            </w:r>
          </w:p>
        </w:tc>
        <w:tc>
          <w:tcPr>
            <w:tcW w:w="214" w:type="pct"/>
            <w:noWrap/>
            <w:hideMark/>
          </w:tcPr>
          <w:p w14:paraId="472C7277" w14:textId="30C00124" w:rsidR="000B415A" w:rsidRPr="000B415A" w:rsidRDefault="003D7C54" w:rsidP="000B415A">
            <w:pPr>
              <w:pStyle w:val="tabeltextintabel"/>
            </w:pPr>
            <w:r>
              <w:t>0.</w:t>
            </w:r>
            <w:r w:rsidR="000B415A" w:rsidRPr="000B415A">
              <w:t>17</w:t>
            </w:r>
          </w:p>
        </w:tc>
        <w:tc>
          <w:tcPr>
            <w:tcW w:w="363" w:type="pct"/>
            <w:noWrap/>
            <w:hideMark/>
          </w:tcPr>
          <w:p w14:paraId="0F302BA8" w14:textId="348A8620" w:rsidR="000B415A" w:rsidRPr="000B415A" w:rsidRDefault="003D7C54" w:rsidP="000B415A">
            <w:pPr>
              <w:pStyle w:val="tabeltextintabel"/>
              <w:rPr>
                <w:rFonts w:ascii="Calibri" w:hAnsi="Calibri"/>
              </w:rPr>
            </w:pPr>
            <w:r>
              <w:rPr>
                <w:rFonts w:ascii="Calibri" w:hAnsi="Calibri"/>
              </w:rPr>
              <w:t>0.</w:t>
            </w:r>
            <w:r w:rsidR="000B415A" w:rsidRPr="000B415A">
              <w:rPr>
                <w:rFonts w:ascii="Calibri" w:hAnsi="Calibri"/>
              </w:rPr>
              <w:t>15</w:t>
            </w:r>
          </w:p>
        </w:tc>
        <w:tc>
          <w:tcPr>
            <w:tcW w:w="622" w:type="pct"/>
            <w:noWrap/>
            <w:hideMark/>
          </w:tcPr>
          <w:p w14:paraId="46077923" w14:textId="77777777" w:rsidR="000B415A" w:rsidRPr="000B415A" w:rsidRDefault="000B415A" w:rsidP="000B415A">
            <w:pPr>
              <w:pStyle w:val="tabeltextintabel"/>
            </w:pPr>
            <w:r w:rsidRPr="000B415A">
              <w:t>3.3</w:t>
            </w:r>
          </w:p>
        </w:tc>
        <w:tc>
          <w:tcPr>
            <w:tcW w:w="592" w:type="pct"/>
            <w:noWrap/>
            <w:hideMark/>
          </w:tcPr>
          <w:p w14:paraId="27BF1AE5" w14:textId="77777777" w:rsidR="000B415A" w:rsidRPr="000B415A" w:rsidRDefault="000B415A" w:rsidP="000B415A">
            <w:pPr>
              <w:pStyle w:val="tabeltextintabel"/>
            </w:pPr>
            <w:r w:rsidRPr="000B415A">
              <w:t>1.1</w:t>
            </w:r>
          </w:p>
        </w:tc>
        <w:tc>
          <w:tcPr>
            <w:tcW w:w="474" w:type="pct"/>
            <w:noWrap/>
            <w:hideMark/>
          </w:tcPr>
          <w:p w14:paraId="69777B3C" w14:textId="77777777" w:rsidR="000B415A" w:rsidRPr="000B415A" w:rsidRDefault="000B415A" w:rsidP="000B415A">
            <w:pPr>
              <w:pStyle w:val="tabeltextintabel"/>
            </w:pPr>
            <w:r w:rsidRPr="000B415A">
              <w:t>Norm curve</w:t>
            </w:r>
          </w:p>
        </w:tc>
        <w:tc>
          <w:tcPr>
            <w:tcW w:w="405" w:type="pct"/>
            <w:noWrap/>
            <w:hideMark/>
          </w:tcPr>
          <w:p w14:paraId="27BFA7E8" w14:textId="77777777" w:rsidR="000B415A" w:rsidRPr="000B415A" w:rsidRDefault="000B415A" w:rsidP="000B415A">
            <w:pPr>
              <w:pStyle w:val="tabeltextintabel"/>
            </w:pPr>
            <w:r w:rsidRPr="000B415A">
              <w:t>Four stimuli</w:t>
            </w:r>
          </w:p>
        </w:tc>
        <w:tc>
          <w:tcPr>
            <w:tcW w:w="656" w:type="pct"/>
            <w:noWrap/>
            <w:hideMark/>
          </w:tcPr>
          <w:p w14:paraId="7E993376" w14:textId="77777777" w:rsidR="000B415A" w:rsidRPr="000B415A" w:rsidRDefault="000B415A" w:rsidP="000B415A">
            <w:pPr>
              <w:pStyle w:val="tabeltextintabel"/>
            </w:pPr>
            <w:r w:rsidRPr="000B415A">
              <w:t>Non-ranked</w:t>
            </w:r>
          </w:p>
        </w:tc>
      </w:tr>
      <w:tr w:rsidR="000B415A" w:rsidRPr="000B415A" w14:paraId="677363C7" w14:textId="77777777" w:rsidTr="000B415A">
        <w:trPr>
          <w:trHeight w:val="315"/>
        </w:trPr>
        <w:tc>
          <w:tcPr>
            <w:tcW w:w="298" w:type="pct"/>
            <w:noWrap/>
            <w:hideMark/>
          </w:tcPr>
          <w:p w14:paraId="5E0A3E69" w14:textId="77777777" w:rsidR="000B415A" w:rsidRPr="000B415A" w:rsidRDefault="000B415A" w:rsidP="000B415A">
            <w:pPr>
              <w:pStyle w:val="tabeltextintabel"/>
            </w:pPr>
            <w:r w:rsidRPr="000B415A">
              <w:t>Male</w:t>
            </w:r>
          </w:p>
        </w:tc>
        <w:tc>
          <w:tcPr>
            <w:tcW w:w="230" w:type="pct"/>
            <w:noWrap/>
            <w:hideMark/>
          </w:tcPr>
          <w:p w14:paraId="4A092114" w14:textId="77777777" w:rsidR="000B415A" w:rsidRPr="000B415A" w:rsidRDefault="000B415A" w:rsidP="000B415A">
            <w:pPr>
              <w:pStyle w:val="tabeltextintabel"/>
            </w:pPr>
            <w:r w:rsidRPr="000B415A">
              <w:t>DV 2</w:t>
            </w:r>
          </w:p>
        </w:tc>
        <w:tc>
          <w:tcPr>
            <w:tcW w:w="429" w:type="pct"/>
            <w:noWrap/>
            <w:hideMark/>
          </w:tcPr>
          <w:p w14:paraId="5B46DB6C" w14:textId="77777777" w:rsidR="000B415A" w:rsidRPr="000B415A" w:rsidRDefault="000B415A" w:rsidP="000B415A">
            <w:pPr>
              <w:pStyle w:val="tabeltextintabel"/>
            </w:pPr>
            <w:r w:rsidRPr="000B415A">
              <w:t>ASD</w:t>
            </w:r>
          </w:p>
        </w:tc>
        <w:tc>
          <w:tcPr>
            <w:tcW w:w="164" w:type="pct"/>
            <w:noWrap/>
            <w:hideMark/>
          </w:tcPr>
          <w:p w14:paraId="485CB24C" w14:textId="77777777" w:rsidR="000B415A" w:rsidRPr="000B415A" w:rsidRDefault="000B415A" w:rsidP="000B415A">
            <w:pPr>
              <w:pStyle w:val="tabeltextintabel"/>
            </w:pPr>
            <w:r w:rsidRPr="000B415A">
              <w:t>18</w:t>
            </w:r>
          </w:p>
        </w:tc>
        <w:tc>
          <w:tcPr>
            <w:tcW w:w="250" w:type="pct"/>
            <w:noWrap/>
            <w:hideMark/>
          </w:tcPr>
          <w:p w14:paraId="2730F550" w14:textId="5A121A69" w:rsidR="000B415A" w:rsidRPr="000B415A" w:rsidRDefault="003D7C54" w:rsidP="000B415A">
            <w:pPr>
              <w:pStyle w:val="tabeltextintabel"/>
            </w:pPr>
            <w:r>
              <w:t>0.</w:t>
            </w:r>
            <w:r w:rsidR="000B415A" w:rsidRPr="000B415A">
              <w:t>73</w:t>
            </w:r>
          </w:p>
        </w:tc>
        <w:tc>
          <w:tcPr>
            <w:tcW w:w="303" w:type="pct"/>
            <w:noWrap/>
            <w:hideMark/>
          </w:tcPr>
          <w:p w14:paraId="1C3FC087" w14:textId="77777777" w:rsidR="000B415A" w:rsidRPr="000B415A" w:rsidRDefault="000B415A" w:rsidP="000B415A">
            <w:pPr>
              <w:pStyle w:val="tabeltextintabel"/>
            </w:pPr>
            <w:r w:rsidRPr="000B415A">
              <w:t>0,77</w:t>
            </w:r>
          </w:p>
        </w:tc>
        <w:tc>
          <w:tcPr>
            <w:tcW w:w="214" w:type="pct"/>
            <w:noWrap/>
            <w:hideMark/>
          </w:tcPr>
          <w:p w14:paraId="54C9B2F0" w14:textId="692F7E52" w:rsidR="000B415A" w:rsidRPr="000B415A" w:rsidRDefault="003D7C54" w:rsidP="000B415A">
            <w:pPr>
              <w:pStyle w:val="tabeltextintabel"/>
            </w:pPr>
            <w:r>
              <w:t>0.</w:t>
            </w:r>
            <w:r w:rsidR="000B415A" w:rsidRPr="000B415A">
              <w:t>19</w:t>
            </w:r>
          </w:p>
        </w:tc>
        <w:tc>
          <w:tcPr>
            <w:tcW w:w="363" w:type="pct"/>
            <w:noWrap/>
            <w:hideMark/>
          </w:tcPr>
          <w:p w14:paraId="58E28E5B" w14:textId="0BA8F115" w:rsidR="000B415A" w:rsidRPr="000B415A" w:rsidRDefault="003D7C54" w:rsidP="000B415A">
            <w:pPr>
              <w:pStyle w:val="tabeltextintabel"/>
              <w:rPr>
                <w:rFonts w:ascii="Calibri" w:hAnsi="Calibri"/>
              </w:rPr>
            </w:pPr>
            <w:r>
              <w:rPr>
                <w:rFonts w:ascii="Calibri" w:hAnsi="Calibri"/>
              </w:rPr>
              <w:t>0.</w:t>
            </w:r>
            <w:r w:rsidR="000B415A" w:rsidRPr="000B415A">
              <w:rPr>
                <w:rFonts w:ascii="Calibri" w:hAnsi="Calibri"/>
              </w:rPr>
              <w:t>006</w:t>
            </w:r>
          </w:p>
        </w:tc>
        <w:tc>
          <w:tcPr>
            <w:tcW w:w="622" w:type="pct"/>
            <w:noWrap/>
            <w:hideMark/>
          </w:tcPr>
          <w:p w14:paraId="067C2BDA" w14:textId="77777777" w:rsidR="000B415A" w:rsidRPr="000B415A" w:rsidRDefault="000B415A" w:rsidP="000B415A">
            <w:pPr>
              <w:pStyle w:val="tabeltextintabel"/>
            </w:pPr>
            <w:r w:rsidRPr="000B415A">
              <w:t>3.3</w:t>
            </w:r>
          </w:p>
        </w:tc>
        <w:tc>
          <w:tcPr>
            <w:tcW w:w="592" w:type="pct"/>
            <w:noWrap/>
            <w:hideMark/>
          </w:tcPr>
          <w:p w14:paraId="64AB0829" w14:textId="77777777" w:rsidR="000B415A" w:rsidRPr="000B415A" w:rsidRDefault="000B415A" w:rsidP="000B415A">
            <w:pPr>
              <w:pStyle w:val="tabeltextintabel"/>
            </w:pPr>
            <w:r w:rsidRPr="000B415A">
              <w:t>1.1</w:t>
            </w:r>
          </w:p>
        </w:tc>
        <w:tc>
          <w:tcPr>
            <w:tcW w:w="474" w:type="pct"/>
            <w:noWrap/>
            <w:hideMark/>
          </w:tcPr>
          <w:p w14:paraId="1064EF0E" w14:textId="77777777" w:rsidR="000B415A" w:rsidRPr="000B415A" w:rsidRDefault="000B415A" w:rsidP="000B415A">
            <w:pPr>
              <w:pStyle w:val="tabeltextintabel"/>
            </w:pPr>
            <w:r w:rsidRPr="000B415A">
              <w:t>Norm curve</w:t>
            </w:r>
          </w:p>
        </w:tc>
        <w:tc>
          <w:tcPr>
            <w:tcW w:w="405" w:type="pct"/>
            <w:noWrap/>
            <w:hideMark/>
          </w:tcPr>
          <w:p w14:paraId="0B339D9E" w14:textId="77777777" w:rsidR="000B415A" w:rsidRPr="000B415A" w:rsidRDefault="000B415A" w:rsidP="000B415A">
            <w:pPr>
              <w:pStyle w:val="tabeltextintabel"/>
            </w:pPr>
            <w:r w:rsidRPr="000B415A">
              <w:t>Four stimuli</w:t>
            </w:r>
          </w:p>
        </w:tc>
        <w:tc>
          <w:tcPr>
            <w:tcW w:w="656" w:type="pct"/>
            <w:noWrap/>
            <w:hideMark/>
          </w:tcPr>
          <w:p w14:paraId="56326C59" w14:textId="77777777" w:rsidR="000B415A" w:rsidRPr="000B415A" w:rsidRDefault="000B415A" w:rsidP="000B415A">
            <w:pPr>
              <w:pStyle w:val="tabeltextintabel"/>
            </w:pPr>
            <w:r w:rsidRPr="000B415A">
              <w:t>Non-ranked</w:t>
            </w:r>
          </w:p>
        </w:tc>
      </w:tr>
      <w:tr w:rsidR="000B415A" w:rsidRPr="000B415A" w14:paraId="0D1F7457" w14:textId="77777777" w:rsidTr="000B415A">
        <w:trPr>
          <w:trHeight w:val="330"/>
        </w:trPr>
        <w:tc>
          <w:tcPr>
            <w:tcW w:w="298" w:type="pct"/>
            <w:noWrap/>
            <w:hideMark/>
          </w:tcPr>
          <w:p w14:paraId="3A63BCD4" w14:textId="77777777" w:rsidR="000B415A" w:rsidRPr="000B415A" w:rsidRDefault="000B415A" w:rsidP="000B415A">
            <w:pPr>
              <w:pStyle w:val="tabeltextintabel"/>
            </w:pPr>
            <w:r w:rsidRPr="000B415A">
              <w:t>Male</w:t>
            </w:r>
          </w:p>
        </w:tc>
        <w:tc>
          <w:tcPr>
            <w:tcW w:w="230" w:type="pct"/>
            <w:noWrap/>
            <w:hideMark/>
          </w:tcPr>
          <w:p w14:paraId="1F4FDCB2" w14:textId="77777777" w:rsidR="000B415A" w:rsidRPr="000B415A" w:rsidRDefault="000B415A" w:rsidP="000B415A">
            <w:pPr>
              <w:pStyle w:val="tabeltextintabel"/>
            </w:pPr>
            <w:r w:rsidRPr="000B415A">
              <w:t>DV 2</w:t>
            </w:r>
          </w:p>
        </w:tc>
        <w:tc>
          <w:tcPr>
            <w:tcW w:w="429" w:type="pct"/>
            <w:noWrap/>
            <w:hideMark/>
          </w:tcPr>
          <w:p w14:paraId="55D25DAC" w14:textId="77777777" w:rsidR="000B415A" w:rsidRPr="000B415A" w:rsidRDefault="000B415A" w:rsidP="000B415A">
            <w:pPr>
              <w:pStyle w:val="tabeltextintabel"/>
            </w:pPr>
            <w:r w:rsidRPr="000B415A">
              <w:t>TD</w:t>
            </w:r>
          </w:p>
        </w:tc>
        <w:tc>
          <w:tcPr>
            <w:tcW w:w="164" w:type="pct"/>
            <w:noWrap/>
            <w:hideMark/>
          </w:tcPr>
          <w:p w14:paraId="0260747E" w14:textId="77777777" w:rsidR="000B415A" w:rsidRPr="000B415A" w:rsidRDefault="000B415A" w:rsidP="000B415A">
            <w:pPr>
              <w:pStyle w:val="tabeltextintabel"/>
            </w:pPr>
            <w:r w:rsidRPr="000B415A">
              <w:t>17</w:t>
            </w:r>
          </w:p>
        </w:tc>
        <w:tc>
          <w:tcPr>
            <w:tcW w:w="250" w:type="pct"/>
            <w:noWrap/>
            <w:hideMark/>
          </w:tcPr>
          <w:p w14:paraId="4961B38E" w14:textId="2F90CF68" w:rsidR="000B415A" w:rsidRPr="000B415A" w:rsidRDefault="003D7C54" w:rsidP="000B415A">
            <w:pPr>
              <w:pStyle w:val="tabeltextintabel"/>
            </w:pPr>
            <w:r>
              <w:t>0.</w:t>
            </w:r>
            <w:r w:rsidR="000B415A" w:rsidRPr="000B415A">
              <w:t>52</w:t>
            </w:r>
          </w:p>
        </w:tc>
        <w:tc>
          <w:tcPr>
            <w:tcW w:w="303" w:type="pct"/>
            <w:noWrap/>
            <w:hideMark/>
          </w:tcPr>
          <w:p w14:paraId="443227C1" w14:textId="77777777" w:rsidR="000B415A" w:rsidRPr="000B415A" w:rsidRDefault="000B415A" w:rsidP="000B415A">
            <w:pPr>
              <w:pStyle w:val="tabeltextintabel"/>
            </w:pPr>
            <w:r w:rsidRPr="000B415A">
              <w:t>0,61</w:t>
            </w:r>
          </w:p>
        </w:tc>
        <w:tc>
          <w:tcPr>
            <w:tcW w:w="214" w:type="pct"/>
            <w:noWrap/>
            <w:hideMark/>
          </w:tcPr>
          <w:p w14:paraId="532BE770" w14:textId="5B4C232B" w:rsidR="000B415A" w:rsidRPr="000B415A" w:rsidRDefault="003D7C54" w:rsidP="000B415A">
            <w:pPr>
              <w:pStyle w:val="tabeltextintabel"/>
            </w:pPr>
            <w:r>
              <w:t>0.</w:t>
            </w:r>
            <w:r w:rsidR="000B415A" w:rsidRPr="000B415A">
              <w:t>26</w:t>
            </w:r>
          </w:p>
        </w:tc>
        <w:tc>
          <w:tcPr>
            <w:tcW w:w="363" w:type="pct"/>
            <w:noWrap/>
            <w:hideMark/>
          </w:tcPr>
          <w:p w14:paraId="565A82BC" w14:textId="7BCB9DC5" w:rsidR="000B415A" w:rsidRPr="000B415A" w:rsidRDefault="003D7C54" w:rsidP="000B415A">
            <w:pPr>
              <w:pStyle w:val="tabeltextintabel"/>
              <w:rPr>
                <w:rFonts w:ascii="Calibri" w:hAnsi="Calibri"/>
              </w:rPr>
            </w:pPr>
            <w:r>
              <w:rPr>
                <w:rFonts w:ascii="Calibri" w:hAnsi="Calibri"/>
              </w:rPr>
              <w:t>0.</w:t>
            </w:r>
            <w:r w:rsidR="000B415A" w:rsidRPr="000B415A">
              <w:rPr>
                <w:rFonts w:ascii="Calibri" w:hAnsi="Calibri"/>
              </w:rPr>
              <w:t>006</w:t>
            </w:r>
          </w:p>
        </w:tc>
        <w:tc>
          <w:tcPr>
            <w:tcW w:w="622" w:type="pct"/>
            <w:noWrap/>
            <w:hideMark/>
          </w:tcPr>
          <w:p w14:paraId="69565856" w14:textId="77777777" w:rsidR="000B415A" w:rsidRPr="000B415A" w:rsidRDefault="000B415A" w:rsidP="000B415A">
            <w:pPr>
              <w:pStyle w:val="tabeltextintabel"/>
            </w:pPr>
            <w:r w:rsidRPr="000B415A">
              <w:t>3.3</w:t>
            </w:r>
          </w:p>
        </w:tc>
        <w:tc>
          <w:tcPr>
            <w:tcW w:w="592" w:type="pct"/>
            <w:noWrap/>
            <w:hideMark/>
          </w:tcPr>
          <w:p w14:paraId="3087C69E" w14:textId="77777777" w:rsidR="000B415A" w:rsidRPr="000B415A" w:rsidRDefault="000B415A" w:rsidP="000B415A">
            <w:pPr>
              <w:pStyle w:val="tabeltextintabel"/>
            </w:pPr>
            <w:r w:rsidRPr="000B415A">
              <w:t>1.1</w:t>
            </w:r>
          </w:p>
        </w:tc>
        <w:tc>
          <w:tcPr>
            <w:tcW w:w="474" w:type="pct"/>
            <w:noWrap/>
            <w:hideMark/>
          </w:tcPr>
          <w:p w14:paraId="63DB5A09" w14:textId="77777777" w:rsidR="000B415A" w:rsidRPr="000B415A" w:rsidRDefault="000B415A" w:rsidP="000B415A">
            <w:pPr>
              <w:pStyle w:val="tabeltextintabel"/>
            </w:pPr>
            <w:r w:rsidRPr="000B415A">
              <w:t>Norm curve</w:t>
            </w:r>
          </w:p>
        </w:tc>
        <w:tc>
          <w:tcPr>
            <w:tcW w:w="405" w:type="pct"/>
            <w:noWrap/>
            <w:hideMark/>
          </w:tcPr>
          <w:p w14:paraId="711A05C6" w14:textId="77777777" w:rsidR="000B415A" w:rsidRPr="000B415A" w:rsidRDefault="000B415A" w:rsidP="000B415A">
            <w:pPr>
              <w:pStyle w:val="tabeltextintabel"/>
            </w:pPr>
            <w:r w:rsidRPr="000B415A">
              <w:t>Four stimuli</w:t>
            </w:r>
          </w:p>
        </w:tc>
        <w:tc>
          <w:tcPr>
            <w:tcW w:w="656" w:type="pct"/>
            <w:noWrap/>
            <w:hideMark/>
          </w:tcPr>
          <w:p w14:paraId="0E5C7C76" w14:textId="77777777" w:rsidR="000B415A" w:rsidRPr="000B415A" w:rsidRDefault="000B415A" w:rsidP="000B415A">
            <w:pPr>
              <w:pStyle w:val="tabeltextintabel"/>
            </w:pPr>
            <w:r w:rsidRPr="000B415A">
              <w:t>Non-ranked</w:t>
            </w:r>
          </w:p>
        </w:tc>
      </w:tr>
    </w:tbl>
    <w:p w14:paraId="633D25BC" w14:textId="77777777" w:rsidR="000B415A" w:rsidRDefault="000B415A" w:rsidP="000B415A">
      <w:pPr>
        <w:pStyle w:val="picturetextheadline0"/>
      </w:pPr>
    </w:p>
    <w:p w14:paraId="1DCC8F13" w14:textId="77777777" w:rsidR="00AA5A29" w:rsidRDefault="00782E1C" w:rsidP="000B415A">
      <w:pPr>
        <w:pStyle w:val="picturetext"/>
      </w:pPr>
      <w:r w:rsidRPr="00782E1C">
        <w:t>DV 1 showing wave amplitude. DV 2 showing interaural correlation. Mann-Whitney U test was used. ABR: Auditory Brainstem Response.</w:t>
      </w:r>
      <w:r w:rsidR="00AA5A29">
        <w:t xml:space="preserve"> </w:t>
      </w:r>
    </w:p>
    <w:p w14:paraId="7A6D9C4E" w14:textId="77777777" w:rsidR="000B415A" w:rsidRDefault="000B415A" w:rsidP="00782E1C">
      <w:pPr>
        <w:spacing w:after="200"/>
        <w:rPr>
          <w:sz w:val="28"/>
          <w:szCs w:val="28"/>
          <w:lang w:val="en-US"/>
        </w:rPr>
        <w:sectPr w:rsidR="000B415A" w:rsidSect="000B415A">
          <w:pgSz w:w="13551" w:h="9582" w:orient="landscape" w:code="149"/>
          <w:pgMar w:top="1134" w:right="1134" w:bottom="1134" w:left="1418" w:header="709" w:footer="709" w:gutter="0"/>
          <w:cols w:space="708"/>
          <w:docGrid w:linePitch="360"/>
        </w:sectPr>
      </w:pPr>
    </w:p>
    <w:p w14:paraId="72276AFF" w14:textId="664B92DA" w:rsidR="00782E1C" w:rsidRPr="007961DD" w:rsidRDefault="000B415A" w:rsidP="009069F1">
      <w:pPr>
        <w:pStyle w:val="insertpicture"/>
      </w:pPr>
      <w:r w:rsidRPr="007961DD">
        <w:object w:dxaOrig="11835" w:dyaOrig="5935" w14:anchorId="784E838C">
          <v:shape id="_x0000_i1032" type="#_x0000_t75" style="width:322.95pt;height:161.1pt" o:ole="">
            <v:imagedata r:id="rId49" o:title=""/>
          </v:shape>
          <o:OLEObject Type="Embed" ProgID="Prism7.Document" ShapeID="_x0000_i1032" DrawAspect="Content" ObjectID="_1566895970" r:id="rId50"/>
        </w:object>
      </w:r>
    </w:p>
    <w:p w14:paraId="30E37BFE" w14:textId="77777777" w:rsidR="000B415A" w:rsidRDefault="00782E1C" w:rsidP="000B415A">
      <w:pPr>
        <w:pStyle w:val="picturetextheadline0"/>
        <w:rPr>
          <w:lang w:val="en-US"/>
        </w:rPr>
      </w:pPr>
      <w:r w:rsidRPr="00782E1C">
        <w:rPr>
          <w:lang w:val="en-US"/>
        </w:rPr>
        <w:t xml:space="preserve">Figure 12. </w:t>
      </w:r>
    </w:p>
    <w:p w14:paraId="5C552C9B" w14:textId="77777777" w:rsidR="00B0373B" w:rsidRDefault="00782E1C" w:rsidP="00B0373B">
      <w:pPr>
        <w:pStyle w:val="picturetext"/>
      </w:pPr>
      <w:r w:rsidRPr="00782E1C">
        <w:t>Deviation 1 (DV 1). Showing wave amplitude differences in Auditory Brainstem Response (ABR) in an ASD group versus a TD group separated by gender.</w:t>
      </w:r>
      <w:r w:rsidR="00AA5A29">
        <w:t xml:space="preserve"> </w:t>
      </w:r>
      <w:bookmarkStart w:id="62" w:name="_Toc492391054"/>
    </w:p>
    <w:p w14:paraId="7F32D7CC" w14:textId="77777777" w:rsidR="00320331" w:rsidRDefault="00320331" w:rsidP="00320331">
      <w:pPr>
        <w:pStyle w:val="picturetext"/>
      </w:pPr>
      <w:r w:rsidRPr="00320331">
        <w:rPr>
          <w:b/>
        </w:rPr>
        <w:t>Figure 13.</w:t>
      </w:r>
      <w:r>
        <w:rPr>
          <w:b/>
        </w:rPr>
        <w:t xml:space="preserve"> </w:t>
      </w:r>
      <w:r w:rsidRPr="00320331">
        <w:t>De</w:t>
      </w:r>
      <w:r>
        <w:t xml:space="preserve">viation 2 (DV2). Showing interaural correlation between left and right ear in </w:t>
      </w:r>
      <w:r w:rsidRPr="00782E1C">
        <w:t>Auditory Brainstem Response (ABR) in an ASD group versus a TD group separated by gender.</w:t>
      </w:r>
      <w:r>
        <w:t xml:space="preserve"> </w:t>
      </w:r>
    </w:p>
    <w:p w14:paraId="6F5D8227" w14:textId="393A6862" w:rsidR="00320331" w:rsidRPr="00320331" w:rsidRDefault="00320331" w:rsidP="00B0373B">
      <w:pPr>
        <w:pStyle w:val="picturetext"/>
        <w:rPr>
          <w:b/>
        </w:rPr>
      </w:pPr>
    </w:p>
    <w:p w14:paraId="0A4A7032" w14:textId="77777777" w:rsidR="00B0373B" w:rsidRDefault="00B0373B" w:rsidP="00B0373B">
      <w:pPr>
        <w:pStyle w:val="picturetext"/>
      </w:pPr>
    </w:p>
    <w:p w14:paraId="09A6C4F8" w14:textId="77777777" w:rsidR="00B0373B" w:rsidRPr="00320331" w:rsidRDefault="00782E1C" w:rsidP="00B0373B">
      <w:pPr>
        <w:pStyle w:val="picturetext"/>
        <w:rPr>
          <w:sz w:val="22"/>
          <w:szCs w:val="22"/>
          <w:lang w:val="en-US"/>
        </w:rPr>
      </w:pPr>
      <w:r w:rsidRPr="00320331">
        <w:rPr>
          <w:sz w:val="22"/>
          <w:szCs w:val="22"/>
          <w:lang w:val="en-US"/>
        </w:rPr>
        <w:t>Paper IV</w:t>
      </w:r>
      <w:bookmarkEnd w:id="62"/>
    </w:p>
    <w:p w14:paraId="0FD2F963" w14:textId="5DDF1AEF" w:rsidR="00782E1C" w:rsidRPr="00320331" w:rsidRDefault="003D7C54" w:rsidP="00B0373B">
      <w:pPr>
        <w:pStyle w:val="picturetext"/>
        <w:rPr>
          <w:sz w:val="22"/>
          <w:szCs w:val="22"/>
          <w:lang w:val="en-US"/>
        </w:rPr>
      </w:pPr>
      <w:r w:rsidRPr="00320331">
        <w:rPr>
          <w:sz w:val="22"/>
          <w:szCs w:val="22"/>
        </w:rPr>
        <w:t>The aim of the</w:t>
      </w:r>
      <w:r w:rsidR="00782E1C" w:rsidRPr="00320331">
        <w:rPr>
          <w:sz w:val="22"/>
          <w:szCs w:val="22"/>
        </w:rPr>
        <w:t xml:space="preserve"> Study </w:t>
      </w:r>
      <w:r w:rsidRPr="00320331">
        <w:rPr>
          <w:sz w:val="22"/>
          <w:szCs w:val="22"/>
        </w:rPr>
        <w:t xml:space="preserve">IV </w:t>
      </w:r>
      <w:r w:rsidR="00782E1C" w:rsidRPr="00320331">
        <w:rPr>
          <w:sz w:val="22"/>
          <w:szCs w:val="22"/>
        </w:rPr>
        <w:t xml:space="preserve">was to study the cognitive performance of </w:t>
      </w:r>
      <w:r w:rsidRPr="00320331">
        <w:rPr>
          <w:sz w:val="22"/>
          <w:szCs w:val="22"/>
        </w:rPr>
        <w:t xml:space="preserve">young </w:t>
      </w:r>
      <w:r w:rsidR="00782E1C" w:rsidRPr="00320331">
        <w:rPr>
          <w:sz w:val="22"/>
          <w:szCs w:val="22"/>
        </w:rPr>
        <w:t xml:space="preserve">ADHD subjects compared to </w:t>
      </w:r>
      <w:r w:rsidRPr="00320331">
        <w:rPr>
          <w:sz w:val="22"/>
          <w:szCs w:val="22"/>
        </w:rPr>
        <w:t xml:space="preserve">TD </w:t>
      </w:r>
      <w:r w:rsidR="00782E1C" w:rsidRPr="00320331">
        <w:rPr>
          <w:sz w:val="22"/>
          <w:szCs w:val="22"/>
        </w:rPr>
        <w:t>control subjects using CANTAB. In Paper IV we express the studied effect as a statistical interaction term in regression modeling.</w:t>
      </w:r>
      <w:r w:rsidR="00782E1C" w:rsidRPr="00320331">
        <w:rPr>
          <w:rFonts w:ascii="Times" w:hAnsi="Times" w:cs="Times"/>
          <w:sz w:val="22"/>
          <w:szCs w:val="22"/>
        </w:rPr>
        <w:t xml:space="preserve"> </w:t>
      </w:r>
    </w:p>
    <w:p w14:paraId="2BB60CAE" w14:textId="77777777" w:rsidR="00782E1C" w:rsidRPr="00320331" w:rsidRDefault="00782E1C" w:rsidP="009B3C87">
      <w:pPr>
        <w:pStyle w:val="Heading4"/>
        <w:rPr>
          <w:szCs w:val="22"/>
          <w:lang w:val="en-US"/>
        </w:rPr>
      </w:pPr>
      <w:r w:rsidRPr="00320331">
        <w:rPr>
          <w:szCs w:val="22"/>
          <w:lang w:val="en-US"/>
        </w:rPr>
        <w:t>Results</w:t>
      </w:r>
    </w:p>
    <w:p w14:paraId="4D779A38" w14:textId="437AD995" w:rsidR="000B415A" w:rsidRDefault="00782E1C" w:rsidP="009B3C87">
      <w:pPr>
        <w:pStyle w:val="bodytext"/>
        <w:sectPr w:rsidR="000B415A" w:rsidSect="000B415A">
          <w:pgSz w:w="9582" w:h="13551" w:code="149"/>
          <w:pgMar w:top="1134" w:right="1134" w:bottom="1418" w:left="1134" w:header="709" w:footer="709" w:gutter="0"/>
          <w:cols w:space="708"/>
          <w:docGrid w:linePitch="360"/>
        </w:sectPr>
      </w:pPr>
      <w:r w:rsidRPr="00320331">
        <w:rPr>
          <w:szCs w:val="22"/>
        </w:rPr>
        <w:t>We compared a group of 112 drug-free young ADHD patients with a control group</w:t>
      </w:r>
      <w:r w:rsidRPr="00782E1C">
        <w:t xml:space="preserve"> of 95 </w:t>
      </w:r>
      <w:r w:rsidR="003D7C54">
        <w:t xml:space="preserve">TD </w:t>
      </w:r>
      <w:r w:rsidRPr="00782E1C">
        <w:t>subjects. A non-significant tendency towards a younger age in the ADHD group could be seen. Simple t-tests showed a difference between the two groups for all cognitive measures except SOC (Table 8). All measures except SWM Strategy and SST Direction Errors showed a non-linear effect of age, with the inclusion of a quadratic term significantly improving model fit for all measures. SWM Strategy and SST Direction Errors showed a linear effect of age.</w:t>
      </w:r>
      <w:r w:rsidRPr="00782E1C">
        <w:rPr>
          <w:rFonts w:ascii="Times" w:hAnsi="Times" w:cs="Times"/>
        </w:rPr>
        <w:t xml:space="preserve"> </w:t>
      </w:r>
      <w:r w:rsidRPr="00782E1C">
        <w:t xml:space="preserve">There was a significant effect of ADHD diagnosis on performance for all CANTAB tests. We performed a hierarchical multiple regression analysis and found a main effect of ADHD </w:t>
      </w:r>
      <w:r w:rsidRPr="00782E1C">
        <w:lastRenderedPageBreak/>
        <w:t xml:space="preserve">diagnosis without interaction </w:t>
      </w:r>
      <w:r w:rsidR="003D7C54">
        <w:t xml:space="preserve">with age </w:t>
      </w:r>
      <w:r w:rsidRPr="00782E1C">
        <w:t>on all the tests except SOC where we found a significant interaction with a</w:t>
      </w:r>
      <w:r w:rsidR="00320331">
        <w:t>ge (Table 9, Table 10, Figure 14</w:t>
      </w:r>
      <w:r w:rsidRPr="00782E1C">
        <w:t>)</w:t>
      </w:r>
    </w:p>
    <w:p w14:paraId="006435E2" w14:textId="77777777" w:rsidR="000B415A" w:rsidRPr="00860AAD" w:rsidRDefault="00782E1C" w:rsidP="000B415A">
      <w:pPr>
        <w:pStyle w:val="picturetextheadline0"/>
        <w:rPr>
          <w:lang w:val="en-GB"/>
        </w:rPr>
      </w:pPr>
      <w:r w:rsidRPr="00860AAD">
        <w:rPr>
          <w:lang w:val="en-GB"/>
        </w:rPr>
        <w:lastRenderedPageBreak/>
        <w:t xml:space="preserve">Table 8: </w:t>
      </w:r>
    </w:p>
    <w:p w14:paraId="554A0256" w14:textId="1F73C2EB" w:rsidR="00782E1C" w:rsidRPr="000B415A" w:rsidRDefault="00782E1C" w:rsidP="0046559D">
      <w:pPr>
        <w:pStyle w:val="tabeltext"/>
        <w:rPr>
          <w:lang w:val="en-US"/>
        </w:rPr>
      </w:pPr>
      <w:r w:rsidRPr="00524AFC">
        <w:t>Demographic characteristics and descriptive statistics for ADHD and control participants.</w:t>
      </w:r>
    </w:p>
    <w:tbl>
      <w:tblPr>
        <w:tblStyle w:val="TableGridLight"/>
        <w:tblW w:w="5000" w:type="pct"/>
        <w:tblLook w:val="04A0" w:firstRow="1" w:lastRow="0" w:firstColumn="1" w:lastColumn="0" w:noHBand="0" w:noVBand="1"/>
      </w:tblPr>
      <w:tblGrid>
        <w:gridCol w:w="639"/>
        <w:gridCol w:w="2193"/>
        <w:gridCol w:w="894"/>
        <w:gridCol w:w="894"/>
        <w:gridCol w:w="894"/>
        <w:gridCol w:w="895"/>
        <w:gridCol w:w="895"/>
      </w:tblGrid>
      <w:tr w:rsidR="00782E1C" w:rsidRPr="000B415A" w14:paraId="53942681" w14:textId="77777777" w:rsidTr="000B415A">
        <w:trPr>
          <w:trHeight w:val="340"/>
        </w:trPr>
        <w:tc>
          <w:tcPr>
            <w:tcW w:w="437" w:type="pct"/>
            <w:shd w:val="clear" w:color="auto" w:fill="D6D2C4" w:themeFill="accent4"/>
            <w:noWrap/>
            <w:hideMark/>
          </w:tcPr>
          <w:p w14:paraId="13486F11" w14:textId="77777777" w:rsidR="00782E1C" w:rsidRPr="009D2D19" w:rsidRDefault="00782E1C" w:rsidP="000B415A">
            <w:pPr>
              <w:pStyle w:val="tabeltextintabel"/>
              <w:rPr>
                <w:szCs w:val="12"/>
                <w:lang w:val="en-GB"/>
              </w:rPr>
            </w:pPr>
            <w:r w:rsidRPr="009D2D19">
              <w:rPr>
                <w:szCs w:val="12"/>
                <w:lang w:val="en-GB"/>
              </w:rPr>
              <w:t> </w:t>
            </w:r>
          </w:p>
        </w:tc>
        <w:tc>
          <w:tcPr>
            <w:tcW w:w="1501" w:type="pct"/>
            <w:shd w:val="clear" w:color="auto" w:fill="D6D2C4" w:themeFill="accent4"/>
            <w:noWrap/>
            <w:hideMark/>
          </w:tcPr>
          <w:p w14:paraId="5CD9A023" w14:textId="77777777" w:rsidR="00782E1C" w:rsidRPr="009D2D19" w:rsidRDefault="00782E1C" w:rsidP="000B415A">
            <w:pPr>
              <w:pStyle w:val="tabeltextintabel"/>
              <w:rPr>
                <w:szCs w:val="12"/>
                <w:lang w:val="en-GB"/>
              </w:rPr>
            </w:pPr>
            <w:r w:rsidRPr="009D2D19">
              <w:rPr>
                <w:szCs w:val="12"/>
                <w:lang w:val="en-GB"/>
              </w:rPr>
              <w:t> </w:t>
            </w:r>
          </w:p>
        </w:tc>
        <w:tc>
          <w:tcPr>
            <w:tcW w:w="612" w:type="pct"/>
            <w:shd w:val="clear" w:color="auto" w:fill="D6D2C4" w:themeFill="accent4"/>
            <w:noWrap/>
            <w:hideMark/>
          </w:tcPr>
          <w:p w14:paraId="23E14B10" w14:textId="77777777" w:rsidR="00782E1C" w:rsidRPr="000B415A" w:rsidRDefault="00782E1C" w:rsidP="000B415A">
            <w:pPr>
              <w:pStyle w:val="tabeltextintabel"/>
              <w:rPr>
                <w:b/>
                <w:bCs/>
                <w:iCs/>
                <w:szCs w:val="12"/>
              </w:rPr>
            </w:pPr>
            <w:r w:rsidRPr="000B415A">
              <w:rPr>
                <w:b/>
                <w:bCs/>
                <w:iCs/>
                <w:szCs w:val="12"/>
              </w:rPr>
              <w:t>ADHD</w:t>
            </w:r>
          </w:p>
        </w:tc>
        <w:tc>
          <w:tcPr>
            <w:tcW w:w="612" w:type="pct"/>
            <w:shd w:val="clear" w:color="auto" w:fill="D6D2C4" w:themeFill="accent4"/>
            <w:noWrap/>
            <w:hideMark/>
          </w:tcPr>
          <w:p w14:paraId="15097151" w14:textId="77777777" w:rsidR="00782E1C" w:rsidRPr="000B415A" w:rsidRDefault="00782E1C" w:rsidP="000B415A">
            <w:pPr>
              <w:pStyle w:val="tabeltextintabel"/>
              <w:rPr>
                <w:b/>
                <w:szCs w:val="12"/>
              </w:rPr>
            </w:pPr>
            <w:r w:rsidRPr="000B415A">
              <w:rPr>
                <w:b/>
                <w:szCs w:val="12"/>
              </w:rPr>
              <w:t>SD</w:t>
            </w:r>
          </w:p>
        </w:tc>
        <w:tc>
          <w:tcPr>
            <w:tcW w:w="612" w:type="pct"/>
            <w:shd w:val="clear" w:color="auto" w:fill="D6D2C4" w:themeFill="accent4"/>
            <w:noWrap/>
            <w:hideMark/>
          </w:tcPr>
          <w:p w14:paraId="264CF55D" w14:textId="77777777" w:rsidR="00782E1C" w:rsidRPr="000B415A" w:rsidRDefault="00782E1C" w:rsidP="000B415A">
            <w:pPr>
              <w:pStyle w:val="tabeltextintabel"/>
              <w:rPr>
                <w:b/>
                <w:bCs/>
                <w:iCs/>
                <w:szCs w:val="12"/>
              </w:rPr>
            </w:pPr>
            <w:r w:rsidRPr="000B415A">
              <w:rPr>
                <w:b/>
                <w:bCs/>
                <w:iCs/>
                <w:szCs w:val="12"/>
              </w:rPr>
              <w:t>Control</w:t>
            </w:r>
          </w:p>
        </w:tc>
        <w:tc>
          <w:tcPr>
            <w:tcW w:w="613" w:type="pct"/>
            <w:shd w:val="clear" w:color="auto" w:fill="D6D2C4" w:themeFill="accent4"/>
            <w:noWrap/>
            <w:hideMark/>
          </w:tcPr>
          <w:p w14:paraId="716DA874" w14:textId="77777777" w:rsidR="00782E1C" w:rsidRPr="000B415A" w:rsidRDefault="00782E1C" w:rsidP="000B415A">
            <w:pPr>
              <w:pStyle w:val="tabeltextintabel"/>
              <w:rPr>
                <w:b/>
                <w:szCs w:val="12"/>
              </w:rPr>
            </w:pPr>
            <w:r w:rsidRPr="000B415A">
              <w:rPr>
                <w:b/>
                <w:szCs w:val="12"/>
              </w:rPr>
              <w:t>SD</w:t>
            </w:r>
          </w:p>
        </w:tc>
        <w:tc>
          <w:tcPr>
            <w:tcW w:w="613" w:type="pct"/>
            <w:shd w:val="clear" w:color="auto" w:fill="D6D2C4" w:themeFill="accent4"/>
            <w:noWrap/>
            <w:hideMark/>
          </w:tcPr>
          <w:p w14:paraId="16E468C6" w14:textId="77777777" w:rsidR="00782E1C" w:rsidRPr="000B415A" w:rsidRDefault="00782E1C" w:rsidP="000B415A">
            <w:pPr>
              <w:pStyle w:val="tabeltextintabel"/>
              <w:rPr>
                <w:b/>
                <w:bCs/>
                <w:iCs/>
                <w:szCs w:val="12"/>
              </w:rPr>
            </w:pPr>
            <w:r w:rsidRPr="000B415A">
              <w:rPr>
                <w:b/>
                <w:bCs/>
                <w:iCs/>
                <w:szCs w:val="12"/>
              </w:rPr>
              <w:t>P</w:t>
            </w:r>
          </w:p>
        </w:tc>
      </w:tr>
      <w:tr w:rsidR="00782E1C" w:rsidRPr="000B415A" w14:paraId="6EAACA29" w14:textId="77777777" w:rsidTr="000B415A">
        <w:trPr>
          <w:trHeight w:val="340"/>
        </w:trPr>
        <w:tc>
          <w:tcPr>
            <w:tcW w:w="437" w:type="pct"/>
            <w:noWrap/>
            <w:hideMark/>
          </w:tcPr>
          <w:p w14:paraId="75961401" w14:textId="77777777" w:rsidR="00782E1C" w:rsidRPr="000B415A" w:rsidRDefault="00782E1C" w:rsidP="000B415A">
            <w:pPr>
              <w:pStyle w:val="tabeltextintabel"/>
              <w:rPr>
                <w:szCs w:val="12"/>
              </w:rPr>
            </w:pPr>
            <w:r w:rsidRPr="000B415A">
              <w:rPr>
                <w:szCs w:val="12"/>
              </w:rPr>
              <w:t> </w:t>
            </w:r>
          </w:p>
        </w:tc>
        <w:tc>
          <w:tcPr>
            <w:tcW w:w="1501" w:type="pct"/>
            <w:noWrap/>
            <w:hideMark/>
          </w:tcPr>
          <w:p w14:paraId="198A4ED8" w14:textId="77777777" w:rsidR="00782E1C" w:rsidRPr="000B415A" w:rsidRDefault="00782E1C" w:rsidP="000B415A">
            <w:pPr>
              <w:pStyle w:val="tabeltextintabel"/>
              <w:rPr>
                <w:szCs w:val="12"/>
              </w:rPr>
            </w:pPr>
            <w:r w:rsidRPr="000B415A">
              <w:rPr>
                <w:szCs w:val="12"/>
              </w:rPr>
              <w:t> </w:t>
            </w:r>
          </w:p>
        </w:tc>
        <w:tc>
          <w:tcPr>
            <w:tcW w:w="612" w:type="pct"/>
            <w:noWrap/>
            <w:hideMark/>
          </w:tcPr>
          <w:p w14:paraId="69FF7E45" w14:textId="77777777" w:rsidR="00782E1C" w:rsidRPr="000B415A" w:rsidRDefault="00782E1C" w:rsidP="000B415A">
            <w:pPr>
              <w:pStyle w:val="tabeltextintabel"/>
              <w:rPr>
                <w:szCs w:val="12"/>
              </w:rPr>
            </w:pPr>
            <w:r w:rsidRPr="000B415A">
              <w:rPr>
                <w:szCs w:val="12"/>
              </w:rPr>
              <w:t>112</w:t>
            </w:r>
          </w:p>
        </w:tc>
        <w:tc>
          <w:tcPr>
            <w:tcW w:w="612" w:type="pct"/>
            <w:noWrap/>
            <w:hideMark/>
          </w:tcPr>
          <w:p w14:paraId="099C1A0D" w14:textId="77777777" w:rsidR="00782E1C" w:rsidRPr="000B415A" w:rsidRDefault="00782E1C" w:rsidP="000B415A">
            <w:pPr>
              <w:pStyle w:val="tabeltextintabel"/>
              <w:rPr>
                <w:szCs w:val="12"/>
              </w:rPr>
            </w:pPr>
            <w:r w:rsidRPr="000B415A">
              <w:rPr>
                <w:szCs w:val="12"/>
              </w:rPr>
              <w:t> </w:t>
            </w:r>
          </w:p>
        </w:tc>
        <w:tc>
          <w:tcPr>
            <w:tcW w:w="612" w:type="pct"/>
            <w:noWrap/>
            <w:hideMark/>
          </w:tcPr>
          <w:p w14:paraId="44A0174D" w14:textId="77777777" w:rsidR="00782E1C" w:rsidRPr="000B415A" w:rsidRDefault="00782E1C" w:rsidP="000B415A">
            <w:pPr>
              <w:pStyle w:val="tabeltextintabel"/>
              <w:rPr>
                <w:szCs w:val="12"/>
              </w:rPr>
            </w:pPr>
            <w:r w:rsidRPr="000B415A">
              <w:rPr>
                <w:szCs w:val="12"/>
              </w:rPr>
              <w:t>95</w:t>
            </w:r>
          </w:p>
        </w:tc>
        <w:tc>
          <w:tcPr>
            <w:tcW w:w="613" w:type="pct"/>
            <w:noWrap/>
            <w:hideMark/>
          </w:tcPr>
          <w:p w14:paraId="4CAAAFC0" w14:textId="77777777" w:rsidR="00782E1C" w:rsidRPr="000B415A" w:rsidRDefault="00782E1C" w:rsidP="000B415A">
            <w:pPr>
              <w:pStyle w:val="tabeltextintabel"/>
              <w:rPr>
                <w:szCs w:val="12"/>
              </w:rPr>
            </w:pPr>
            <w:r w:rsidRPr="000B415A">
              <w:rPr>
                <w:szCs w:val="12"/>
              </w:rPr>
              <w:t> </w:t>
            </w:r>
          </w:p>
        </w:tc>
        <w:tc>
          <w:tcPr>
            <w:tcW w:w="613" w:type="pct"/>
            <w:noWrap/>
            <w:hideMark/>
          </w:tcPr>
          <w:p w14:paraId="4B253D3A" w14:textId="77777777" w:rsidR="00782E1C" w:rsidRPr="000B415A" w:rsidRDefault="00782E1C" w:rsidP="000B415A">
            <w:pPr>
              <w:pStyle w:val="tabeltextintabel"/>
              <w:rPr>
                <w:szCs w:val="12"/>
              </w:rPr>
            </w:pPr>
            <w:r w:rsidRPr="000B415A">
              <w:rPr>
                <w:szCs w:val="12"/>
              </w:rPr>
              <w:t> </w:t>
            </w:r>
          </w:p>
        </w:tc>
      </w:tr>
      <w:tr w:rsidR="00782E1C" w:rsidRPr="000B415A" w14:paraId="1E508ACF" w14:textId="77777777" w:rsidTr="000B415A">
        <w:trPr>
          <w:trHeight w:val="340"/>
        </w:trPr>
        <w:tc>
          <w:tcPr>
            <w:tcW w:w="437" w:type="pct"/>
            <w:noWrap/>
            <w:hideMark/>
          </w:tcPr>
          <w:p w14:paraId="291A7CE9" w14:textId="77777777" w:rsidR="00782E1C" w:rsidRPr="000B415A" w:rsidRDefault="00782E1C" w:rsidP="000B415A">
            <w:pPr>
              <w:pStyle w:val="tabeltextintabel"/>
              <w:rPr>
                <w:b/>
                <w:iCs/>
                <w:szCs w:val="12"/>
              </w:rPr>
            </w:pPr>
            <w:r w:rsidRPr="000B415A">
              <w:rPr>
                <w:b/>
                <w:iCs/>
                <w:szCs w:val="12"/>
              </w:rPr>
              <w:t>Age</w:t>
            </w:r>
          </w:p>
        </w:tc>
        <w:tc>
          <w:tcPr>
            <w:tcW w:w="1501" w:type="pct"/>
            <w:noWrap/>
            <w:hideMark/>
          </w:tcPr>
          <w:p w14:paraId="7836AD6A" w14:textId="77777777" w:rsidR="00782E1C" w:rsidRPr="000B415A" w:rsidRDefault="00782E1C" w:rsidP="000B415A">
            <w:pPr>
              <w:pStyle w:val="tabeltextintabel"/>
              <w:rPr>
                <w:szCs w:val="12"/>
              </w:rPr>
            </w:pPr>
            <w:r w:rsidRPr="000B415A">
              <w:rPr>
                <w:szCs w:val="12"/>
              </w:rPr>
              <w:t> </w:t>
            </w:r>
          </w:p>
        </w:tc>
        <w:tc>
          <w:tcPr>
            <w:tcW w:w="612" w:type="pct"/>
            <w:noWrap/>
            <w:hideMark/>
          </w:tcPr>
          <w:p w14:paraId="64A7B33E" w14:textId="77777777" w:rsidR="00782E1C" w:rsidRPr="000B415A" w:rsidRDefault="00782E1C" w:rsidP="000B415A">
            <w:pPr>
              <w:pStyle w:val="tabeltextintabel"/>
              <w:rPr>
                <w:szCs w:val="12"/>
              </w:rPr>
            </w:pPr>
            <w:r w:rsidRPr="000B415A">
              <w:rPr>
                <w:szCs w:val="12"/>
              </w:rPr>
              <w:t>12.8</w:t>
            </w:r>
          </w:p>
        </w:tc>
        <w:tc>
          <w:tcPr>
            <w:tcW w:w="612" w:type="pct"/>
            <w:noWrap/>
            <w:hideMark/>
          </w:tcPr>
          <w:p w14:paraId="1094358E" w14:textId="77777777" w:rsidR="00782E1C" w:rsidRPr="000B415A" w:rsidRDefault="00782E1C" w:rsidP="000B415A">
            <w:pPr>
              <w:pStyle w:val="tabeltextintabel"/>
              <w:rPr>
                <w:szCs w:val="12"/>
              </w:rPr>
            </w:pPr>
            <w:r w:rsidRPr="000B415A">
              <w:rPr>
                <w:szCs w:val="12"/>
              </w:rPr>
              <w:t>(3.07)</w:t>
            </w:r>
          </w:p>
        </w:tc>
        <w:tc>
          <w:tcPr>
            <w:tcW w:w="612" w:type="pct"/>
            <w:noWrap/>
            <w:hideMark/>
          </w:tcPr>
          <w:p w14:paraId="20D74EDF" w14:textId="77777777" w:rsidR="00782E1C" w:rsidRPr="000B415A" w:rsidRDefault="00782E1C" w:rsidP="000B415A">
            <w:pPr>
              <w:pStyle w:val="tabeltextintabel"/>
              <w:rPr>
                <w:szCs w:val="12"/>
              </w:rPr>
            </w:pPr>
            <w:r w:rsidRPr="000B415A">
              <w:rPr>
                <w:szCs w:val="12"/>
              </w:rPr>
              <w:t>13.54</w:t>
            </w:r>
          </w:p>
        </w:tc>
        <w:tc>
          <w:tcPr>
            <w:tcW w:w="613" w:type="pct"/>
            <w:noWrap/>
            <w:hideMark/>
          </w:tcPr>
          <w:p w14:paraId="7EF98305" w14:textId="77777777" w:rsidR="00782E1C" w:rsidRPr="000B415A" w:rsidRDefault="00782E1C" w:rsidP="000B415A">
            <w:pPr>
              <w:pStyle w:val="tabeltextintabel"/>
              <w:rPr>
                <w:szCs w:val="12"/>
              </w:rPr>
            </w:pPr>
            <w:r w:rsidRPr="000B415A">
              <w:rPr>
                <w:szCs w:val="12"/>
              </w:rPr>
              <w:t>(2.47)</w:t>
            </w:r>
          </w:p>
        </w:tc>
        <w:tc>
          <w:tcPr>
            <w:tcW w:w="613" w:type="pct"/>
            <w:noWrap/>
            <w:hideMark/>
          </w:tcPr>
          <w:p w14:paraId="452457FE" w14:textId="77777777" w:rsidR="00782E1C" w:rsidRPr="000B415A" w:rsidRDefault="00782E1C" w:rsidP="000B415A">
            <w:pPr>
              <w:pStyle w:val="tabeltextintabel"/>
              <w:rPr>
                <w:szCs w:val="12"/>
              </w:rPr>
            </w:pPr>
            <w:r w:rsidRPr="000B415A">
              <w:rPr>
                <w:szCs w:val="12"/>
              </w:rPr>
              <w:t>0.063</w:t>
            </w:r>
          </w:p>
        </w:tc>
      </w:tr>
      <w:tr w:rsidR="00782E1C" w:rsidRPr="000B415A" w14:paraId="74A82C4B" w14:textId="77777777" w:rsidTr="000B415A">
        <w:trPr>
          <w:trHeight w:val="340"/>
        </w:trPr>
        <w:tc>
          <w:tcPr>
            <w:tcW w:w="437" w:type="pct"/>
            <w:noWrap/>
            <w:hideMark/>
          </w:tcPr>
          <w:p w14:paraId="12E9F162" w14:textId="77777777" w:rsidR="00782E1C" w:rsidRPr="000B415A" w:rsidRDefault="00782E1C" w:rsidP="000B415A">
            <w:pPr>
              <w:pStyle w:val="tabeltextintabel"/>
              <w:rPr>
                <w:b/>
                <w:iCs/>
                <w:szCs w:val="12"/>
              </w:rPr>
            </w:pPr>
            <w:r w:rsidRPr="000B415A">
              <w:rPr>
                <w:b/>
                <w:iCs/>
                <w:szCs w:val="12"/>
              </w:rPr>
              <w:t>Gender</w:t>
            </w:r>
          </w:p>
        </w:tc>
        <w:tc>
          <w:tcPr>
            <w:tcW w:w="1501" w:type="pct"/>
            <w:noWrap/>
            <w:hideMark/>
          </w:tcPr>
          <w:p w14:paraId="33DDE956" w14:textId="77777777" w:rsidR="00782E1C" w:rsidRPr="000B415A" w:rsidRDefault="00782E1C" w:rsidP="000B415A">
            <w:pPr>
              <w:pStyle w:val="tabeltextintabel"/>
              <w:rPr>
                <w:szCs w:val="12"/>
              </w:rPr>
            </w:pPr>
            <w:r w:rsidRPr="000B415A">
              <w:rPr>
                <w:szCs w:val="12"/>
              </w:rPr>
              <w:t>% Male</w:t>
            </w:r>
          </w:p>
        </w:tc>
        <w:tc>
          <w:tcPr>
            <w:tcW w:w="612" w:type="pct"/>
            <w:noWrap/>
            <w:hideMark/>
          </w:tcPr>
          <w:p w14:paraId="634D4C93" w14:textId="77777777" w:rsidR="00782E1C" w:rsidRPr="000B415A" w:rsidRDefault="00782E1C" w:rsidP="000B415A">
            <w:pPr>
              <w:pStyle w:val="tabeltextintabel"/>
              <w:rPr>
                <w:szCs w:val="12"/>
              </w:rPr>
            </w:pPr>
            <w:r w:rsidRPr="000B415A">
              <w:rPr>
                <w:szCs w:val="12"/>
              </w:rPr>
              <w:t>72</w:t>
            </w:r>
          </w:p>
        </w:tc>
        <w:tc>
          <w:tcPr>
            <w:tcW w:w="612" w:type="pct"/>
            <w:noWrap/>
            <w:hideMark/>
          </w:tcPr>
          <w:p w14:paraId="277F966B" w14:textId="77777777" w:rsidR="00782E1C" w:rsidRPr="000B415A" w:rsidRDefault="00782E1C" w:rsidP="000B415A">
            <w:pPr>
              <w:pStyle w:val="tabeltextintabel"/>
              <w:rPr>
                <w:szCs w:val="12"/>
              </w:rPr>
            </w:pPr>
            <w:r w:rsidRPr="000B415A">
              <w:rPr>
                <w:szCs w:val="12"/>
              </w:rPr>
              <w:t>(64.3)</w:t>
            </w:r>
          </w:p>
        </w:tc>
        <w:tc>
          <w:tcPr>
            <w:tcW w:w="612" w:type="pct"/>
            <w:noWrap/>
            <w:hideMark/>
          </w:tcPr>
          <w:p w14:paraId="64BA59BD" w14:textId="77777777" w:rsidR="00782E1C" w:rsidRPr="000B415A" w:rsidRDefault="00782E1C" w:rsidP="000B415A">
            <w:pPr>
              <w:pStyle w:val="tabeltextintabel"/>
              <w:rPr>
                <w:szCs w:val="12"/>
              </w:rPr>
            </w:pPr>
            <w:r w:rsidRPr="000B415A">
              <w:rPr>
                <w:szCs w:val="12"/>
              </w:rPr>
              <w:t>44</w:t>
            </w:r>
          </w:p>
        </w:tc>
        <w:tc>
          <w:tcPr>
            <w:tcW w:w="613" w:type="pct"/>
            <w:noWrap/>
            <w:hideMark/>
          </w:tcPr>
          <w:p w14:paraId="5C11A3D1" w14:textId="77777777" w:rsidR="00782E1C" w:rsidRPr="000B415A" w:rsidRDefault="00782E1C" w:rsidP="000B415A">
            <w:pPr>
              <w:pStyle w:val="tabeltextintabel"/>
              <w:rPr>
                <w:szCs w:val="12"/>
              </w:rPr>
            </w:pPr>
            <w:r w:rsidRPr="000B415A">
              <w:rPr>
                <w:szCs w:val="12"/>
              </w:rPr>
              <w:t>(46.3)</w:t>
            </w:r>
          </w:p>
        </w:tc>
        <w:tc>
          <w:tcPr>
            <w:tcW w:w="613" w:type="pct"/>
            <w:noWrap/>
            <w:hideMark/>
          </w:tcPr>
          <w:p w14:paraId="2BC661F1" w14:textId="77777777" w:rsidR="00782E1C" w:rsidRPr="000B415A" w:rsidRDefault="00782E1C" w:rsidP="000B415A">
            <w:pPr>
              <w:pStyle w:val="tabeltextintabel"/>
              <w:rPr>
                <w:color w:val="FF0000"/>
                <w:szCs w:val="12"/>
              </w:rPr>
            </w:pPr>
            <w:r w:rsidRPr="000B415A">
              <w:rPr>
                <w:color w:val="FF0000"/>
                <w:szCs w:val="12"/>
              </w:rPr>
              <w:t>0.014</w:t>
            </w:r>
          </w:p>
        </w:tc>
      </w:tr>
      <w:tr w:rsidR="00782E1C" w:rsidRPr="000B415A" w14:paraId="6A4031A2" w14:textId="77777777" w:rsidTr="000B415A">
        <w:trPr>
          <w:trHeight w:val="340"/>
        </w:trPr>
        <w:tc>
          <w:tcPr>
            <w:tcW w:w="437" w:type="pct"/>
            <w:noWrap/>
            <w:hideMark/>
          </w:tcPr>
          <w:p w14:paraId="72B83FF7" w14:textId="77777777" w:rsidR="00782E1C" w:rsidRPr="000B415A" w:rsidRDefault="00782E1C" w:rsidP="000B415A">
            <w:pPr>
              <w:pStyle w:val="tabeltextintabel"/>
              <w:rPr>
                <w:b/>
                <w:iCs/>
                <w:szCs w:val="12"/>
              </w:rPr>
            </w:pPr>
            <w:r w:rsidRPr="000B415A">
              <w:rPr>
                <w:b/>
                <w:iCs/>
                <w:szCs w:val="12"/>
              </w:rPr>
              <w:t>IED</w:t>
            </w:r>
          </w:p>
        </w:tc>
        <w:tc>
          <w:tcPr>
            <w:tcW w:w="1501" w:type="pct"/>
            <w:noWrap/>
            <w:hideMark/>
          </w:tcPr>
          <w:p w14:paraId="217AD75A" w14:textId="77777777" w:rsidR="00782E1C" w:rsidRPr="000B415A" w:rsidRDefault="00782E1C" w:rsidP="000B415A">
            <w:pPr>
              <w:pStyle w:val="tabeltextintabel"/>
              <w:rPr>
                <w:szCs w:val="12"/>
              </w:rPr>
            </w:pPr>
            <w:r w:rsidRPr="000B415A">
              <w:rPr>
                <w:szCs w:val="12"/>
              </w:rPr>
              <w:t>Stages Completed</w:t>
            </w:r>
          </w:p>
        </w:tc>
        <w:tc>
          <w:tcPr>
            <w:tcW w:w="612" w:type="pct"/>
            <w:noWrap/>
            <w:hideMark/>
          </w:tcPr>
          <w:p w14:paraId="00A44B7A" w14:textId="77777777" w:rsidR="00782E1C" w:rsidRPr="000B415A" w:rsidRDefault="00782E1C" w:rsidP="000B415A">
            <w:pPr>
              <w:pStyle w:val="tabeltextintabel"/>
              <w:rPr>
                <w:szCs w:val="12"/>
              </w:rPr>
            </w:pPr>
            <w:r w:rsidRPr="000B415A">
              <w:rPr>
                <w:szCs w:val="12"/>
              </w:rPr>
              <w:t>7.43</w:t>
            </w:r>
          </w:p>
        </w:tc>
        <w:tc>
          <w:tcPr>
            <w:tcW w:w="612" w:type="pct"/>
            <w:noWrap/>
            <w:hideMark/>
          </w:tcPr>
          <w:p w14:paraId="39F02824" w14:textId="77777777" w:rsidR="00782E1C" w:rsidRPr="000B415A" w:rsidRDefault="00782E1C" w:rsidP="000B415A">
            <w:pPr>
              <w:pStyle w:val="tabeltextintabel"/>
              <w:rPr>
                <w:szCs w:val="12"/>
              </w:rPr>
            </w:pPr>
            <w:r w:rsidRPr="000B415A">
              <w:rPr>
                <w:szCs w:val="12"/>
              </w:rPr>
              <w:t>(1.41)</w:t>
            </w:r>
          </w:p>
        </w:tc>
        <w:tc>
          <w:tcPr>
            <w:tcW w:w="612" w:type="pct"/>
            <w:noWrap/>
            <w:hideMark/>
          </w:tcPr>
          <w:p w14:paraId="4D40B5FC" w14:textId="77777777" w:rsidR="00782E1C" w:rsidRPr="000B415A" w:rsidRDefault="00782E1C" w:rsidP="000B415A">
            <w:pPr>
              <w:pStyle w:val="tabeltextintabel"/>
              <w:rPr>
                <w:szCs w:val="12"/>
              </w:rPr>
            </w:pPr>
            <w:r w:rsidRPr="000B415A">
              <w:rPr>
                <w:szCs w:val="12"/>
              </w:rPr>
              <w:t>7.95</w:t>
            </w:r>
          </w:p>
        </w:tc>
        <w:tc>
          <w:tcPr>
            <w:tcW w:w="613" w:type="pct"/>
            <w:noWrap/>
            <w:hideMark/>
          </w:tcPr>
          <w:p w14:paraId="46925FBC" w14:textId="77777777" w:rsidR="00782E1C" w:rsidRPr="000B415A" w:rsidRDefault="00782E1C" w:rsidP="000B415A">
            <w:pPr>
              <w:pStyle w:val="tabeltextintabel"/>
              <w:rPr>
                <w:szCs w:val="12"/>
              </w:rPr>
            </w:pPr>
            <w:r w:rsidRPr="000B415A">
              <w:rPr>
                <w:szCs w:val="12"/>
              </w:rPr>
              <w:t>(0.97)</w:t>
            </w:r>
          </w:p>
        </w:tc>
        <w:tc>
          <w:tcPr>
            <w:tcW w:w="613" w:type="pct"/>
            <w:noWrap/>
            <w:hideMark/>
          </w:tcPr>
          <w:p w14:paraId="786F8B4E" w14:textId="77777777" w:rsidR="00782E1C" w:rsidRPr="000B415A" w:rsidRDefault="00782E1C" w:rsidP="000B415A">
            <w:pPr>
              <w:pStyle w:val="tabeltextintabel"/>
              <w:rPr>
                <w:color w:val="FF0000"/>
                <w:szCs w:val="12"/>
              </w:rPr>
            </w:pPr>
            <w:r w:rsidRPr="000B415A">
              <w:rPr>
                <w:color w:val="FF0000"/>
                <w:szCs w:val="12"/>
              </w:rPr>
              <w:t>0.004</w:t>
            </w:r>
          </w:p>
        </w:tc>
      </w:tr>
      <w:tr w:rsidR="00782E1C" w:rsidRPr="000B415A" w14:paraId="1AB7E97A" w14:textId="77777777" w:rsidTr="000B415A">
        <w:trPr>
          <w:trHeight w:val="340"/>
        </w:trPr>
        <w:tc>
          <w:tcPr>
            <w:tcW w:w="437" w:type="pct"/>
            <w:noWrap/>
            <w:hideMark/>
          </w:tcPr>
          <w:p w14:paraId="3BBD0F42" w14:textId="77777777" w:rsidR="00782E1C" w:rsidRPr="000B415A" w:rsidRDefault="00782E1C" w:rsidP="000B415A">
            <w:pPr>
              <w:pStyle w:val="tabeltextintabel"/>
              <w:rPr>
                <w:b/>
                <w:szCs w:val="12"/>
              </w:rPr>
            </w:pPr>
            <w:r w:rsidRPr="000B415A">
              <w:rPr>
                <w:b/>
                <w:szCs w:val="12"/>
              </w:rPr>
              <w:t> </w:t>
            </w:r>
          </w:p>
        </w:tc>
        <w:tc>
          <w:tcPr>
            <w:tcW w:w="1501" w:type="pct"/>
            <w:noWrap/>
            <w:hideMark/>
          </w:tcPr>
          <w:p w14:paraId="5EFF3708" w14:textId="77777777" w:rsidR="00782E1C" w:rsidRPr="000B415A" w:rsidRDefault="00782E1C" w:rsidP="000B415A">
            <w:pPr>
              <w:pStyle w:val="tabeltextintabel"/>
              <w:rPr>
                <w:szCs w:val="12"/>
              </w:rPr>
            </w:pPr>
            <w:r w:rsidRPr="000B415A">
              <w:rPr>
                <w:szCs w:val="12"/>
              </w:rPr>
              <w:t xml:space="preserve">Total Errors </w:t>
            </w:r>
          </w:p>
        </w:tc>
        <w:tc>
          <w:tcPr>
            <w:tcW w:w="612" w:type="pct"/>
            <w:noWrap/>
            <w:hideMark/>
          </w:tcPr>
          <w:p w14:paraId="7FEF28DC" w14:textId="77777777" w:rsidR="00782E1C" w:rsidRPr="000B415A" w:rsidRDefault="00782E1C" w:rsidP="000B415A">
            <w:pPr>
              <w:pStyle w:val="tabeltextintabel"/>
              <w:rPr>
                <w:szCs w:val="12"/>
              </w:rPr>
            </w:pPr>
            <w:r w:rsidRPr="000B415A">
              <w:rPr>
                <w:szCs w:val="12"/>
              </w:rPr>
              <w:t>51.31</w:t>
            </w:r>
          </w:p>
        </w:tc>
        <w:tc>
          <w:tcPr>
            <w:tcW w:w="612" w:type="pct"/>
            <w:noWrap/>
            <w:hideMark/>
          </w:tcPr>
          <w:p w14:paraId="14FF82E6" w14:textId="77777777" w:rsidR="00782E1C" w:rsidRPr="000B415A" w:rsidRDefault="00782E1C" w:rsidP="000B415A">
            <w:pPr>
              <w:pStyle w:val="tabeltextintabel"/>
              <w:rPr>
                <w:szCs w:val="12"/>
              </w:rPr>
            </w:pPr>
            <w:r w:rsidRPr="000B415A">
              <w:rPr>
                <w:szCs w:val="12"/>
              </w:rPr>
              <w:t>(31.59)</w:t>
            </w:r>
          </w:p>
        </w:tc>
        <w:tc>
          <w:tcPr>
            <w:tcW w:w="612" w:type="pct"/>
            <w:noWrap/>
            <w:hideMark/>
          </w:tcPr>
          <w:p w14:paraId="294D7883" w14:textId="77777777" w:rsidR="00782E1C" w:rsidRPr="000B415A" w:rsidRDefault="00782E1C" w:rsidP="000B415A">
            <w:pPr>
              <w:pStyle w:val="tabeltextintabel"/>
              <w:rPr>
                <w:szCs w:val="12"/>
              </w:rPr>
            </w:pPr>
            <w:r w:rsidRPr="000B415A">
              <w:rPr>
                <w:szCs w:val="12"/>
              </w:rPr>
              <w:t>40.47</w:t>
            </w:r>
          </w:p>
        </w:tc>
        <w:tc>
          <w:tcPr>
            <w:tcW w:w="613" w:type="pct"/>
            <w:noWrap/>
            <w:hideMark/>
          </w:tcPr>
          <w:p w14:paraId="1C1513F5" w14:textId="77777777" w:rsidR="00782E1C" w:rsidRPr="000B415A" w:rsidRDefault="00782E1C" w:rsidP="000B415A">
            <w:pPr>
              <w:pStyle w:val="tabeltextintabel"/>
              <w:rPr>
                <w:szCs w:val="12"/>
              </w:rPr>
            </w:pPr>
            <w:r w:rsidRPr="000B415A">
              <w:rPr>
                <w:szCs w:val="12"/>
              </w:rPr>
              <w:t>(20.74)</w:t>
            </w:r>
          </w:p>
        </w:tc>
        <w:tc>
          <w:tcPr>
            <w:tcW w:w="613" w:type="pct"/>
            <w:noWrap/>
            <w:hideMark/>
          </w:tcPr>
          <w:p w14:paraId="6FAB53BA" w14:textId="77777777" w:rsidR="00782E1C" w:rsidRPr="000B415A" w:rsidRDefault="00782E1C" w:rsidP="000B415A">
            <w:pPr>
              <w:pStyle w:val="tabeltextintabel"/>
              <w:rPr>
                <w:color w:val="FF0000"/>
                <w:szCs w:val="12"/>
              </w:rPr>
            </w:pPr>
            <w:r w:rsidRPr="000B415A">
              <w:rPr>
                <w:color w:val="FF0000"/>
                <w:szCs w:val="12"/>
              </w:rPr>
              <w:t>0.005</w:t>
            </w:r>
          </w:p>
        </w:tc>
      </w:tr>
      <w:tr w:rsidR="00782E1C" w:rsidRPr="000B415A" w14:paraId="20711C00" w14:textId="77777777" w:rsidTr="000B415A">
        <w:trPr>
          <w:trHeight w:val="340"/>
        </w:trPr>
        <w:tc>
          <w:tcPr>
            <w:tcW w:w="437" w:type="pct"/>
            <w:noWrap/>
            <w:hideMark/>
          </w:tcPr>
          <w:p w14:paraId="1C84BE2C" w14:textId="77777777" w:rsidR="00782E1C" w:rsidRPr="000B415A" w:rsidRDefault="00782E1C" w:rsidP="000B415A">
            <w:pPr>
              <w:pStyle w:val="tabeltextintabel"/>
              <w:rPr>
                <w:b/>
                <w:iCs/>
                <w:szCs w:val="12"/>
              </w:rPr>
            </w:pPr>
            <w:r w:rsidRPr="000B415A">
              <w:rPr>
                <w:b/>
                <w:iCs/>
                <w:szCs w:val="12"/>
              </w:rPr>
              <w:t>SOC</w:t>
            </w:r>
          </w:p>
        </w:tc>
        <w:tc>
          <w:tcPr>
            <w:tcW w:w="1501" w:type="pct"/>
            <w:noWrap/>
            <w:hideMark/>
          </w:tcPr>
          <w:p w14:paraId="2B805116" w14:textId="77777777" w:rsidR="00782E1C" w:rsidRPr="009D2D19" w:rsidRDefault="00782E1C" w:rsidP="000B415A">
            <w:pPr>
              <w:pStyle w:val="tabeltextintabel"/>
              <w:rPr>
                <w:szCs w:val="12"/>
                <w:lang w:val="en-GB"/>
              </w:rPr>
            </w:pPr>
            <w:r w:rsidRPr="009D2D19">
              <w:rPr>
                <w:szCs w:val="12"/>
                <w:lang w:val="en-GB"/>
              </w:rPr>
              <w:t xml:space="preserve"> Problems Solved in Minimum Moves</w:t>
            </w:r>
          </w:p>
        </w:tc>
        <w:tc>
          <w:tcPr>
            <w:tcW w:w="612" w:type="pct"/>
            <w:noWrap/>
            <w:hideMark/>
          </w:tcPr>
          <w:p w14:paraId="74B38E2F" w14:textId="77777777" w:rsidR="00782E1C" w:rsidRPr="000B415A" w:rsidRDefault="00782E1C" w:rsidP="000B415A">
            <w:pPr>
              <w:pStyle w:val="tabeltextintabel"/>
              <w:rPr>
                <w:szCs w:val="12"/>
              </w:rPr>
            </w:pPr>
            <w:r w:rsidRPr="000B415A">
              <w:rPr>
                <w:szCs w:val="12"/>
              </w:rPr>
              <w:t>6.93</w:t>
            </w:r>
          </w:p>
        </w:tc>
        <w:tc>
          <w:tcPr>
            <w:tcW w:w="612" w:type="pct"/>
            <w:noWrap/>
            <w:hideMark/>
          </w:tcPr>
          <w:p w14:paraId="27628F12" w14:textId="77777777" w:rsidR="00782E1C" w:rsidRPr="000B415A" w:rsidRDefault="00782E1C" w:rsidP="000B415A">
            <w:pPr>
              <w:pStyle w:val="tabeltextintabel"/>
              <w:rPr>
                <w:szCs w:val="12"/>
              </w:rPr>
            </w:pPr>
            <w:r w:rsidRPr="000B415A">
              <w:rPr>
                <w:szCs w:val="12"/>
              </w:rPr>
              <w:t>(1.85)</w:t>
            </w:r>
          </w:p>
        </w:tc>
        <w:tc>
          <w:tcPr>
            <w:tcW w:w="612" w:type="pct"/>
            <w:noWrap/>
            <w:hideMark/>
          </w:tcPr>
          <w:p w14:paraId="0B1771E5" w14:textId="77777777" w:rsidR="00782E1C" w:rsidRPr="000B415A" w:rsidRDefault="00782E1C" w:rsidP="000B415A">
            <w:pPr>
              <w:pStyle w:val="tabeltextintabel"/>
              <w:rPr>
                <w:szCs w:val="12"/>
              </w:rPr>
            </w:pPr>
            <w:r w:rsidRPr="000B415A">
              <w:rPr>
                <w:szCs w:val="12"/>
              </w:rPr>
              <w:t>7.38</w:t>
            </w:r>
          </w:p>
        </w:tc>
        <w:tc>
          <w:tcPr>
            <w:tcW w:w="613" w:type="pct"/>
            <w:noWrap/>
            <w:hideMark/>
          </w:tcPr>
          <w:p w14:paraId="1D791531" w14:textId="77777777" w:rsidR="00782E1C" w:rsidRPr="000B415A" w:rsidRDefault="00782E1C" w:rsidP="000B415A">
            <w:pPr>
              <w:pStyle w:val="tabeltextintabel"/>
              <w:rPr>
                <w:szCs w:val="12"/>
              </w:rPr>
            </w:pPr>
            <w:r w:rsidRPr="000B415A">
              <w:rPr>
                <w:szCs w:val="12"/>
              </w:rPr>
              <w:t>(1.95)</w:t>
            </w:r>
          </w:p>
        </w:tc>
        <w:tc>
          <w:tcPr>
            <w:tcW w:w="613" w:type="pct"/>
            <w:noWrap/>
            <w:hideMark/>
          </w:tcPr>
          <w:p w14:paraId="492EB8B7" w14:textId="77777777" w:rsidR="00782E1C" w:rsidRPr="000B415A" w:rsidRDefault="00782E1C" w:rsidP="000B415A">
            <w:pPr>
              <w:pStyle w:val="tabeltextintabel"/>
              <w:rPr>
                <w:szCs w:val="12"/>
              </w:rPr>
            </w:pPr>
            <w:r w:rsidRPr="000B415A">
              <w:rPr>
                <w:szCs w:val="12"/>
              </w:rPr>
              <w:t>0.106</w:t>
            </w:r>
          </w:p>
        </w:tc>
      </w:tr>
      <w:tr w:rsidR="00782E1C" w:rsidRPr="000B415A" w14:paraId="3A4C9C4E" w14:textId="77777777" w:rsidTr="000B415A">
        <w:trPr>
          <w:trHeight w:val="340"/>
        </w:trPr>
        <w:tc>
          <w:tcPr>
            <w:tcW w:w="437" w:type="pct"/>
            <w:noWrap/>
            <w:hideMark/>
          </w:tcPr>
          <w:p w14:paraId="2E4BE579" w14:textId="77777777" w:rsidR="00782E1C" w:rsidRPr="000B415A" w:rsidRDefault="00782E1C" w:rsidP="000B415A">
            <w:pPr>
              <w:pStyle w:val="tabeltextintabel"/>
              <w:rPr>
                <w:b/>
                <w:iCs/>
                <w:szCs w:val="12"/>
              </w:rPr>
            </w:pPr>
            <w:r w:rsidRPr="000B415A">
              <w:rPr>
                <w:b/>
                <w:iCs/>
                <w:szCs w:val="12"/>
              </w:rPr>
              <w:t>SWM</w:t>
            </w:r>
          </w:p>
        </w:tc>
        <w:tc>
          <w:tcPr>
            <w:tcW w:w="1501" w:type="pct"/>
            <w:noWrap/>
            <w:hideMark/>
          </w:tcPr>
          <w:p w14:paraId="30AF12A6" w14:textId="77777777" w:rsidR="00782E1C" w:rsidRPr="000B415A" w:rsidRDefault="00782E1C" w:rsidP="000B415A">
            <w:pPr>
              <w:pStyle w:val="tabeltextintabel"/>
              <w:rPr>
                <w:szCs w:val="12"/>
              </w:rPr>
            </w:pPr>
            <w:r w:rsidRPr="000B415A">
              <w:rPr>
                <w:szCs w:val="12"/>
              </w:rPr>
              <w:t xml:space="preserve"> Between Search Errors</w:t>
            </w:r>
          </w:p>
        </w:tc>
        <w:tc>
          <w:tcPr>
            <w:tcW w:w="612" w:type="pct"/>
            <w:noWrap/>
            <w:hideMark/>
          </w:tcPr>
          <w:p w14:paraId="476B2CEA" w14:textId="77777777" w:rsidR="00782E1C" w:rsidRPr="000B415A" w:rsidRDefault="00782E1C" w:rsidP="000B415A">
            <w:pPr>
              <w:pStyle w:val="tabeltextintabel"/>
              <w:rPr>
                <w:szCs w:val="12"/>
              </w:rPr>
            </w:pPr>
            <w:r w:rsidRPr="000B415A">
              <w:rPr>
                <w:szCs w:val="12"/>
              </w:rPr>
              <w:t>48.54</w:t>
            </w:r>
          </w:p>
        </w:tc>
        <w:tc>
          <w:tcPr>
            <w:tcW w:w="612" w:type="pct"/>
            <w:noWrap/>
            <w:hideMark/>
          </w:tcPr>
          <w:p w14:paraId="75A6F934" w14:textId="77777777" w:rsidR="00782E1C" w:rsidRPr="000B415A" w:rsidRDefault="00782E1C" w:rsidP="000B415A">
            <w:pPr>
              <w:pStyle w:val="tabeltextintabel"/>
              <w:rPr>
                <w:szCs w:val="12"/>
              </w:rPr>
            </w:pPr>
            <w:r w:rsidRPr="000B415A">
              <w:rPr>
                <w:szCs w:val="12"/>
              </w:rPr>
              <w:t>(21.23)</w:t>
            </w:r>
          </w:p>
        </w:tc>
        <w:tc>
          <w:tcPr>
            <w:tcW w:w="612" w:type="pct"/>
            <w:noWrap/>
            <w:hideMark/>
          </w:tcPr>
          <w:p w14:paraId="21B324D2" w14:textId="77777777" w:rsidR="00782E1C" w:rsidRPr="000B415A" w:rsidRDefault="00782E1C" w:rsidP="000B415A">
            <w:pPr>
              <w:pStyle w:val="tabeltextintabel"/>
              <w:rPr>
                <w:szCs w:val="12"/>
              </w:rPr>
            </w:pPr>
            <w:r w:rsidRPr="000B415A">
              <w:rPr>
                <w:szCs w:val="12"/>
              </w:rPr>
              <w:t>34.85</w:t>
            </w:r>
          </w:p>
        </w:tc>
        <w:tc>
          <w:tcPr>
            <w:tcW w:w="613" w:type="pct"/>
            <w:noWrap/>
            <w:hideMark/>
          </w:tcPr>
          <w:p w14:paraId="7098598A" w14:textId="77777777" w:rsidR="00782E1C" w:rsidRPr="000B415A" w:rsidRDefault="00782E1C" w:rsidP="000B415A">
            <w:pPr>
              <w:pStyle w:val="tabeltextintabel"/>
              <w:rPr>
                <w:szCs w:val="12"/>
              </w:rPr>
            </w:pPr>
            <w:r w:rsidRPr="000B415A">
              <w:rPr>
                <w:szCs w:val="12"/>
              </w:rPr>
              <w:t>(19.33)</w:t>
            </w:r>
          </w:p>
        </w:tc>
        <w:tc>
          <w:tcPr>
            <w:tcW w:w="613" w:type="pct"/>
            <w:noWrap/>
            <w:hideMark/>
          </w:tcPr>
          <w:p w14:paraId="1FAFE764" w14:textId="77777777" w:rsidR="00782E1C" w:rsidRPr="000B415A" w:rsidRDefault="00782E1C" w:rsidP="000B415A">
            <w:pPr>
              <w:pStyle w:val="tabeltextintabel"/>
              <w:rPr>
                <w:color w:val="FF0000"/>
                <w:szCs w:val="12"/>
              </w:rPr>
            </w:pPr>
            <w:r w:rsidRPr="000B415A">
              <w:rPr>
                <w:color w:val="FF0000"/>
                <w:szCs w:val="12"/>
              </w:rPr>
              <w:t>&lt;0.001</w:t>
            </w:r>
          </w:p>
        </w:tc>
      </w:tr>
      <w:tr w:rsidR="00782E1C" w:rsidRPr="000B415A" w14:paraId="65B5E3EF" w14:textId="77777777" w:rsidTr="000B415A">
        <w:trPr>
          <w:trHeight w:val="340"/>
        </w:trPr>
        <w:tc>
          <w:tcPr>
            <w:tcW w:w="437" w:type="pct"/>
            <w:noWrap/>
            <w:hideMark/>
          </w:tcPr>
          <w:p w14:paraId="28151FEC" w14:textId="77777777" w:rsidR="00782E1C" w:rsidRPr="000B415A" w:rsidRDefault="00782E1C" w:rsidP="000B415A">
            <w:pPr>
              <w:pStyle w:val="tabeltextintabel"/>
              <w:rPr>
                <w:b/>
                <w:szCs w:val="12"/>
              </w:rPr>
            </w:pPr>
            <w:r w:rsidRPr="000B415A">
              <w:rPr>
                <w:b/>
                <w:szCs w:val="12"/>
              </w:rPr>
              <w:t> </w:t>
            </w:r>
          </w:p>
        </w:tc>
        <w:tc>
          <w:tcPr>
            <w:tcW w:w="1501" w:type="pct"/>
            <w:noWrap/>
            <w:hideMark/>
          </w:tcPr>
          <w:p w14:paraId="4D76746E" w14:textId="77777777" w:rsidR="00782E1C" w:rsidRPr="000B415A" w:rsidRDefault="00782E1C" w:rsidP="000B415A">
            <w:pPr>
              <w:pStyle w:val="tabeltextintabel"/>
              <w:rPr>
                <w:szCs w:val="12"/>
              </w:rPr>
            </w:pPr>
            <w:r w:rsidRPr="000B415A">
              <w:rPr>
                <w:szCs w:val="12"/>
              </w:rPr>
              <w:t>Strategy</w:t>
            </w:r>
          </w:p>
        </w:tc>
        <w:tc>
          <w:tcPr>
            <w:tcW w:w="612" w:type="pct"/>
            <w:noWrap/>
            <w:hideMark/>
          </w:tcPr>
          <w:p w14:paraId="545D75AE" w14:textId="77777777" w:rsidR="00782E1C" w:rsidRPr="000B415A" w:rsidRDefault="00782E1C" w:rsidP="000B415A">
            <w:pPr>
              <w:pStyle w:val="tabeltextintabel"/>
              <w:rPr>
                <w:szCs w:val="12"/>
              </w:rPr>
            </w:pPr>
            <w:r w:rsidRPr="000B415A">
              <w:rPr>
                <w:szCs w:val="12"/>
              </w:rPr>
              <w:t>36.79</w:t>
            </w:r>
          </w:p>
        </w:tc>
        <w:tc>
          <w:tcPr>
            <w:tcW w:w="612" w:type="pct"/>
            <w:noWrap/>
            <w:hideMark/>
          </w:tcPr>
          <w:p w14:paraId="20786642" w14:textId="77777777" w:rsidR="00782E1C" w:rsidRPr="000B415A" w:rsidRDefault="00782E1C" w:rsidP="000B415A">
            <w:pPr>
              <w:pStyle w:val="tabeltextintabel"/>
              <w:rPr>
                <w:szCs w:val="12"/>
              </w:rPr>
            </w:pPr>
            <w:r w:rsidRPr="000B415A">
              <w:rPr>
                <w:szCs w:val="12"/>
              </w:rPr>
              <w:t>(4.73)</w:t>
            </w:r>
          </w:p>
        </w:tc>
        <w:tc>
          <w:tcPr>
            <w:tcW w:w="612" w:type="pct"/>
            <w:noWrap/>
            <w:hideMark/>
          </w:tcPr>
          <w:p w14:paraId="45F7C7D8" w14:textId="77777777" w:rsidR="00782E1C" w:rsidRPr="000B415A" w:rsidRDefault="00782E1C" w:rsidP="000B415A">
            <w:pPr>
              <w:pStyle w:val="tabeltextintabel"/>
              <w:rPr>
                <w:szCs w:val="12"/>
              </w:rPr>
            </w:pPr>
            <w:r w:rsidRPr="000B415A">
              <w:rPr>
                <w:szCs w:val="12"/>
              </w:rPr>
              <w:t>34.54</w:t>
            </w:r>
          </w:p>
        </w:tc>
        <w:tc>
          <w:tcPr>
            <w:tcW w:w="613" w:type="pct"/>
            <w:noWrap/>
            <w:hideMark/>
          </w:tcPr>
          <w:p w14:paraId="4DBA8974" w14:textId="77777777" w:rsidR="00782E1C" w:rsidRPr="000B415A" w:rsidRDefault="00782E1C" w:rsidP="000B415A">
            <w:pPr>
              <w:pStyle w:val="tabeltextintabel"/>
              <w:rPr>
                <w:szCs w:val="12"/>
              </w:rPr>
            </w:pPr>
            <w:r w:rsidRPr="000B415A">
              <w:rPr>
                <w:szCs w:val="12"/>
              </w:rPr>
              <w:t>(4.92)</w:t>
            </w:r>
          </w:p>
        </w:tc>
        <w:tc>
          <w:tcPr>
            <w:tcW w:w="613" w:type="pct"/>
            <w:noWrap/>
            <w:hideMark/>
          </w:tcPr>
          <w:p w14:paraId="0837F4C5" w14:textId="77777777" w:rsidR="00782E1C" w:rsidRPr="000B415A" w:rsidRDefault="00782E1C" w:rsidP="000B415A">
            <w:pPr>
              <w:pStyle w:val="tabeltextintabel"/>
              <w:rPr>
                <w:color w:val="FF0000"/>
                <w:szCs w:val="12"/>
              </w:rPr>
            </w:pPr>
            <w:r w:rsidRPr="000B415A">
              <w:rPr>
                <w:color w:val="FF0000"/>
                <w:szCs w:val="12"/>
              </w:rPr>
              <w:t>0.001</w:t>
            </w:r>
          </w:p>
        </w:tc>
      </w:tr>
      <w:tr w:rsidR="00782E1C" w:rsidRPr="000B415A" w14:paraId="4721A5BE" w14:textId="77777777" w:rsidTr="000B415A">
        <w:trPr>
          <w:trHeight w:val="340"/>
        </w:trPr>
        <w:tc>
          <w:tcPr>
            <w:tcW w:w="437" w:type="pct"/>
            <w:noWrap/>
            <w:hideMark/>
          </w:tcPr>
          <w:p w14:paraId="0DF634C6" w14:textId="77777777" w:rsidR="00782E1C" w:rsidRPr="000B415A" w:rsidRDefault="00782E1C" w:rsidP="000B415A">
            <w:pPr>
              <w:pStyle w:val="tabeltextintabel"/>
              <w:rPr>
                <w:b/>
                <w:iCs/>
                <w:szCs w:val="12"/>
              </w:rPr>
            </w:pPr>
            <w:r w:rsidRPr="000B415A">
              <w:rPr>
                <w:b/>
                <w:iCs/>
                <w:szCs w:val="12"/>
              </w:rPr>
              <w:t>SRT</w:t>
            </w:r>
          </w:p>
        </w:tc>
        <w:tc>
          <w:tcPr>
            <w:tcW w:w="1501" w:type="pct"/>
            <w:noWrap/>
            <w:hideMark/>
          </w:tcPr>
          <w:p w14:paraId="39534774" w14:textId="77777777" w:rsidR="00782E1C" w:rsidRPr="000B415A" w:rsidRDefault="00782E1C" w:rsidP="000B415A">
            <w:pPr>
              <w:pStyle w:val="tabeltextintabel"/>
              <w:rPr>
                <w:szCs w:val="12"/>
              </w:rPr>
            </w:pPr>
            <w:r w:rsidRPr="000B415A">
              <w:rPr>
                <w:szCs w:val="12"/>
              </w:rPr>
              <w:t>Median Correct Latency</w:t>
            </w:r>
          </w:p>
        </w:tc>
        <w:tc>
          <w:tcPr>
            <w:tcW w:w="612" w:type="pct"/>
            <w:noWrap/>
            <w:hideMark/>
          </w:tcPr>
          <w:p w14:paraId="4AE8F778" w14:textId="77777777" w:rsidR="00782E1C" w:rsidRPr="000B415A" w:rsidRDefault="00782E1C" w:rsidP="000B415A">
            <w:pPr>
              <w:pStyle w:val="tabeltextintabel"/>
              <w:rPr>
                <w:szCs w:val="12"/>
              </w:rPr>
            </w:pPr>
            <w:r w:rsidRPr="000B415A">
              <w:rPr>
                <w:szCs w:val="12"/>
              </w:rPr>
              <w:t>362.66</w:t>
            </w:r>
          </w:p>
        </w:tc>
        <w:tc>
          <w:tcPr>
            <w:tcW w:w="612" w:type="pct"/>
            <w:noWrap/>
            <w:hideMark/>
          </w:tcPr>
          <w:p w14:paraId="666A97A0" w14:textId="77777777" w:rsidR="00782E1C" w:rsidRPr="000B415A" w:rsidRDefault="00782E1C" w:rsidP="000B415A">
            <w:pPr>
              <w:pStyle w:val="tabeltextintabel"/>
              <w:rPr>
                <w:szCs w:val="12"/>
              </w:rPr>
            </w:pPr>
            <w:r w:rsidRPr="000B415A">
              <w:rPr>
                <w:szCs w:val="12"/>
              </w:rPr>
              <w:t>(159.55)</w:t>
            </w:r>
          </w:p>
        </w:tc>
        <w:tc>
          <w:tcPr>
            <w:tcW w:w="612" w:type="pct"/>
            <w:noWrap/>
            <w:hideMark/>
          </w:tcPr>
          <w:p w14:paraId="2247B795" w14:textId="77777777" w:rsidR="00782E1C" w:rsidRPr="000B415A" w:rsidRDefault="00782E1C" w:rsidP="000B415A">
            <w:pPr>
              <w:pStyle w:val="tabeltextintabel"/>
              <w:rPr>
                <w:szCs w:val="12"/>
              </w:rPr>
            </w:pPr>
            <w:r w:rsidRPr="000B415A">
              <w:rPr>
                <w:szCs w:val="12"/>
              </w:rPr>
              <w:t>303.24</w:t>
            </w:r>
          </w:p>
        </w:tc>
        <w:tc>
          <w:tcPr>
            <w:tcW w:w="613" w:type="pct"/>
            <w:noWrap/>
            <w:hideMark/>
          </w:tcPr>
          <w:p w14:paraId="345A9C88" w14:textId="77777777" w:rsidR="00782E1C" w:rsidRPr="000B415A" w:rsidRDefault="00782E1C" w:rsidP="000B415A">
            <w:pPr>
              <w:pStyle w:val="tabeltextintabel"/>
              <w:rPr>
                <w:szCs w:val="12"/>
              </w:rPr>
            </w:pPr>
            <w:r w:rsidRPr="000B415A">
              <w:rPr>
                <w:szCs w:val="12"/>
              </w:rPr>
              <w:t>(88.68)</w:t>
            </w:r>
          </w:p>
        </w:tc>
        <w:tc>
          <w:tcPr>
            <w:tcW w:w="613" w:type="pct"/>
            <w:noWrap/>
            <w:hideMark/>
          </w:tcPr>
          <w:p w14:paraId="1333D93D" w14:textId="77777777" w:rsidR="00782E1C" w:rsidRPr="000B415A" w:rsidRDefault="00782E1C" w:rsidP="000B415A">
            <w:pPr>
              <w:pStyle w:val="tabeltextintabel"/>
              <w:rPr>
                <w:color w:val="FF0000"/>
                <w:szCs w:val="12"/>
              </w:rPr>
            </w:pPr>
            <w:r w:rsidRPr="000B415A">
              <w:rPr>
                <w:color w:val="FF0000"/>
                <w:szCs w:val="12"/>
              </w:rPr>
              <w:t>0.003</w:t>
            </w:r>
          </w:p>
        </w:tc>
      </w:tr>
      <w:tr w:rsidR="00782E1C" w:rsidRPr="000B415A" w14:paraId="5C908C71" w14:textId="77777777" w:rsidTr="000B415A">
        <w:trPr>
          <w:trHeight w:val="340"/>
        </w:trPr>
        <w:tc>
          <w:tcPr>
            <w:tcW w:w="437" w:type="pct"/>
            <w:noWrap/>
            <w:hideMark/>
          </w:tcPr>
          <w:p w14:paraId="70E046C8" w14:textId="77777777" w:rsidR="00782E1C" w:rsidRPr="000B415A" w:rsidRDefault="00782E1C" w:rsidP="000B415A">
            <w:pPr>
              <w:pStyle w:val="tabeltextintabel"/>
              <w:rPr>
                <w:b/>
                <w:szCs w:val="12"/>
              </w:rPr>
            </w:pPr>
            <w:r w:rsidRPr="000B415A">
              <w:rPr>
                <w:b/>
                <w:szCs w:val="12"/>
              </w:rPr>
              <w:t> </w:t>
            </w:r>
          </w:p>
        </w:tc>
        <w:tc>
          <w:tcPr>
            <w:tcW w:w="1501" w:type="pct"/>
            <w:noWrap/>
            <w:hideMark/>
          </w:tcPr>
          <w:p w14:paraId="670861E9" w14:textId="77777777" w:rsidR="00782E1C" w:rsidRPr="000B415A" w:rsidRDefault="00782E1C" w:rsidP="000B415A">
            <w:pPr>
              <w:pStyle w:val="tabeltextintabel"/>
              <w:rPr>
                <w:szCs w:val="12"/>
              </w:rPr>
            </w:pPr>
            <w:r w:rsidRPr="000B415A">
              <w:rPr>
                <w:szCs w:val="12"/>
              </w:rPr>
              <w:t xml:space="preserve"> Percent Correct</w:t>
            </w:r>
          </w:p>
        </w:tc>
        <w:tc>
          <w:tcPr>
            <w:tcW w:w="612" w:type="pct"/>
            <w:noWrap/>
            <w:hideMark/>
          </w:tcPr>
          <w:p w14:paraId="47A12034" w14:textId="77777777" w:rsidR="00782E1C" w:rsidRPr="000B415A" w:rsidRDefault="00782E1C" w:rsidP="000B415A">
            <w:pPr>
              <w:pStyle w:val="tabeltextintabel"/>
              <w:rPr>
                <w:szCs w:val="12"/>
              </w:rPr>
            </w:pPr>
            <w:r w:rsidRPr="000B415A">
              <w:rPr>
                <w:szCs w:val="12"/>
              </w:rPr>
              <w:t>93.8</w:t>
            </w:r>
          </w:p>
        </w:tc>
        <w:tc>
          <w:tcPr>
            <w:tcW w:w="612" w:type="pct"/>
            <w:noWrap/>
            <w:hideMark/>
          </w:tcPr>
          <w:p w14:paraId="0B5D4EB3" w14:textId="77777777" w:rsidR="00782E1C" w:rsidRPr="000B415A" w:rsidRDefault="00782E1C" w:rsidP="000B415A">
            <w:pPr>
              <w:pStyle w:val="tabeltextintabel"/>
              <w:rPr>
                <w:szCs w:val="12"/>
              </w:rPr>
            </w:pPr>
            <w:r w:rsidRPr="000B415A">
              <w:rPr>
                <w:szCs w:val="12"/>
              </w:rPr>
              <w:t>(6.44)</w:t>
            </w:r>
          </w:p>
        </w:tc>
        <w:tc>
          <w:tcPr>
            <w:tcW w:w="612" w:type="pct"/>
            <w:noWrap/>
            <w:hideMark/>
          </w:tcPr>
          <w:p w14:paraId="15A0DA68" w14:textId="77777777" w:rsidR="00782E1C" w:rsidRPr="000B415A" w:rsidRDefault="00782E1C" w:rsidP="000B415A">
            <w:pPr>
              <w:pStyle w:val="tabeltextintabel"/>
              <w:rPr>
                <w:szCs w:val="12"/>
              </w:rPr>
            </w:pPr>
            <w:r w:rsidRPr="000B415A">
              <w:rPr>
                <w:szCs w:val="12"/>
              </w:rPr>
              <w:t>97.01</w:t>
            </w:r>
          </w:p>
        </w:tc>
        <w:tc>
          <w:tcPr>
            <w:tcW w:w="613" w:type="pct"/>
            <w:noWrap/>
            <w:hideMark/>
          </w:tcPr>
          <w:p w14:paraId="56E79628" w14:textId="77777777" w:rsidR="00782E1C" w:rsidRPr="000B415A" w:rsidRDefault="00782E1C" w:rsidP="000B415A">
            <w:pPr>
              <w:pStyle w:val="tabeltextintabel"/>
              <w:rPr>
                <w:szCs w:val="12"/>
              </w:rPr>
            </w:pPr>
            <w:r w:rsidRPr="000B415A">
              <w:rPr>
                <w:szCs w:val="12"/>
              </w:rPr>
              <w:t>(3.5)</w:t>
            </w:r>
          </w:p>
        </w:tc>
        <w:tc>
          <w:tcPr>
            <w:tcW w:w="613" w:type="pct"/>
            <w:noWrap/>
            <w:hideMark/>
          </w:tcPr>
          <w:p w14:paraId="0D785639" w14:textId="77777777" w:rsidR="00782E1C" w:rsidRPr="000B415A" w:rsidRDefault="00782E1C" w:rsidP="000B415A">
            <w:pPr>
              <w:pStyle w:val="tabeltextintabel"/>
              <w:rPr>
                <w:color w:val="FF0000"/>
                <w:szCs w:val="12"/>
              </w:rPr>
            </w:pPr>
            <w:r w:rsidRPr="000B415A">
              <w:rPr>
                <w:color w:val="FF0000"/>
                <w:szCs w:val="12"/>
              </w:rPr>
              <w:t>&lt;0.001</w:t>
            </w:r>
          </w:p>
        </w:tc>
      </w:tr>
      <w:tr w:rsidR="00782E1C" w:rsidRPr="000B415A" w14:paraId="000CBA02" w14:textId="77777777" w:rsidTr="000B415A">
        <w:trPr>
          <w:trHeight w:val="340"/>
        </w:trPr>
        <w:tc>
          <w:tcPr>
            <w:tcW w:w="437" w:type="pct"/>
            <w:noWrap/>
            <w:hideMark/>
          </w:tcPr>
          <w:p w14:paraId="3068ACAF" w14:textId="77777777" w:rsidR="00782E1C" w:rsidRPr="000B415A" w:rsidRDefault="00782E1C" w:rsidP="000B415A">
            <w:pPr>
              <w:pStyle w:val="tabeltextintabel"/>
              <w:rPr>
                <w:b/>
                <w:iCs/>
                <w:szCs w:val="12"/>
              </w:rPr>
            </w:pPr>
            <w:r w:rsidRPr="000B415A">
              <w:rPr>
                <w:b/>
                <w:iCs/>
                <w:szCs w:val="12"/>
              </w:rPr>
              <w:t>SST</w:t>
            </w:r>
          </w:p>
        </w:tc>
        <w:tc>
          <w:tcPr>
            <w:tcW w:w="1501" w:type="pct"/>
            <w:noWrap/>
            <w:hideMark/>
          </w:tcPr>
          <w:p w14:paraId="3AB5830D" w14:textId="77777777" w:rsidR="00782E1C" w:rsidRPr="000B415A" w:rsidRDefault="00782E1C" w:rsidP="000B415A">
            <w:pPr>
              <w:pStyle w:val="tabeltextintabel"/>
              <w:rPr>
                <w:szCs w:val="12"/>
              </w:rPr>
            </w:pPr>
            <w:r w:rsidRPr="000B415A">
              <w:rPr>
                <w:szCs w:val="12"/>
              </w:rPr>
              <w:t>Direction Errors</w:t>
            </w:r>
          </w:p>
        </w:tc>
        <w:tc>
          <w:tcPr>
            <w:tcW w:w="612" w:type="pct"/>
            <w:noWrap/>
            <w:hideMark/>
          </w:tcPr>
          <w:p w14:paraId="60715C84" w14:textId="77777777" w:rsidR="00782E1C" w:rsidRPr="000B415A" w:rsidRDefault="00782E1C" w:rsidP="000B415A">
            <w:pPr>
              <w:pStyle w:val="tabeltextintabel"/>
              <w:rPr>
                <w:szCs w:val="12"/>
              </w:rPr>
            </w:pPr>
            <w:r w:rsidRPr="000B415A">
              <w:rPr>
                <w:szCs w:val="12"/>
              </w:rPr>
              <w:t>9.83</w:t>
            </w:r>
          </w:p>
        </w:tc>
        <w:tc>
          <w:tcPr>
            <w:tcW w:w="612" w:type="pct"/>
            <w:noWrap/>
            <w:hideMark/>
          </w:tcPr>
          <w:p w14:paraId="77F72923" w14:textId="77777777" w:rsidR="00782E1C" w:rsidRPr="000B415A" w:rsidRDefault="00782E1C" w:rsidP="000B415A">
            <w:pPr>
              <w:pStyle w:val="tabeltextintabel"/>
              <w:rPr>
                <w:szCs w:val="12"/>
              </w:rPr>
            </w:pPr>
            <w:r w:rsidRPr="000B415A">
              <w:rPr>
                <w:szCs w:val="12"/>
              </w:rPr>
              <w:t>(13.24)</w:t>
            </w:r>
          </w:p>
        </w:tc>
        <w:tc>
          <w:tcPr>
            <w:tcW w:w="612" w:type="pct"/>
            <w:noWrap/>
            <w:hideMark/>
          </w:tcPr>
          <w:p w14:paraId="5FF22736" w14:textId="77777777" w:rsidR="00782E1C" w:rsidRPr="000B415A" w:rsidRDefault="00782E1C" w:rsidP="000B415A">
            <w:pPr>
              <w:pStyle w:val="tabeltextintabel"/>
              <w:rPr>
                <w:szCs w:val="12"/>
              </w:rPr>
            </w:pPr>
            <w:r w:rsidRPr="000B415A">
              <w:rPr>
                <w:szCs w:val="12"/>
              </w:rPr>
              <w:t>5.46</w:t>
            </w:r>
          </w:p>
        </w:tc>
        <w:tc>
          <w:tcPr>
            <w:tcW w:w="613" w:type="pct"/>
            <w:noWrap/>
            <w:hideMark/>
          </w:tcPr>
          <w:p w14:paraId="67D73A6D" w14:textId="77777777" w:rsidR="00782E1C" w:rsidRPr="000B415A" w:rsidRDefault="00782E1C" w:rsidP="000B415A">
            <w:pPr>
              <w:pStyle w:val="tabeltextintabel"/>
              <w:rPr>
                <w:szCs w:val="12"/>
              </w:rPr>
            </w:pPr>
            <w:r w:rsidRPr="000B415A">
              <w:rPr>
                <w:szCs w:val="12"/>
              </w:rPr>
              <w:t>(7.86)</w:t>
            </w:r>
          </w:p>
        </w:tc>
        <w:tc>
          <w:tcPr>
            <w:tcW w:w="613" w:type="pct"/>
            <w:noWrap/>
            <w:hideMark/>
          </w:tcPr>
          <w:p w14:paraId="46E95272" w14:textId="77777777" w:rsidR="00782E1C" w:rsidRPr="000B415A" w:rsidRDefault="00782E1C" w:rsidP="000B415A">
            <w:pPr>
              <w:pStyle w:val="tabeltextintabel"/>
              <w:rPr>
                <w:color w:val="FF0000"/>
                <w:szCs w:val="12"/>
              </w:rPr>
            </w:pPr>
            <w:r w:rsidRPr="000B415A">
              <w:rPr>
                <w:color w:val="FF0000"/>
                <w:szCs w:val="12"/>
              </w:rPr>
              <w:t>0.006</w:t>
            </w:r>
          </w:p>
        </w:tc>
      </w:tr>
      <w:tr w:rsidR="00782E1C" w:rsidRPr="000B415A" w14:paraId="168E3CEF" w14:textId="77777777" w:rsidTr="000B415A">
        <w:trPr>
          <w:trHeight w:val="340"/>
        </w:trPr>
        <w:tc>
          <w:tcPr>
            <w:tcW w:w="437" w:type="pct"/>
            <w:noWrap/>
            <w:hideMark/>
          </w:tcPr>
          <w:p w14:paraId="034882FF" w14:textId="77777777" w:rsidR="00782E1C" w:rsidRPr="000B415A" w:rsidRDefault="00782E1C" w:rsidP="000B415A">
            <w:pPr>
              <w:pStyle w:val="tabeltextintabel"/>
              <w:rPr>
                <w:szCs w:val="12"/>
              </w:rPr>
            </w:pPr>
            <w:r w:rsidRPr="000B415A">
              <w:rPr>
                <w:szCs w:val="12"/>
              </w:rPr>
              <w:t> </w:t>
            </w:r>
          </w:p>
        </w:tc>
        <w:tc>
          <w:tcPr>
            <w:tcW w:w="1501" w:type="pct"/>
            <w:noWrap/>
            <w:hideMark/>
          </w:tcPr>
          <w:p w14:paraId="0FD620D2" w14:textId="77777777" w:rsidR="00782E1C" w:rsidRPr="000B415A" w:rsidRDefault="00782E1C" w:rsidP="000B415A">
            <w:pPr>
              <w:pStyle w:val="tabeltextintabel"/>
              <w:rPr>
                <w:szCs w:val="12"/>
              </w:rPr>
            </w:pPr>
            <w:r w:rsidRPr="000B415A">
              <w:rPr>
                <w:szCs w:val="12"/>
              </w:rPr>
              <w:t>Stop Signal Reaction Time</w:t>
            </w:r>
          </w:p>
        </w:tc>
        <w:tc>
          <w:tcPr>
            <w:tcW w:w="612" w:type="pct"/>
            <w:noWrap/>
            <w:hideMark/>
          </w:tcPr>
          <w:p w14:paraId="24B5D18E" w14:textId="77777777" w:rsidR="00782E1C" w:rsidRPr="000B415A" w:rsidRDefault="00782E1C" w:rsidP="000B415A">
            <w:pPr>
              <w:pStyle w:val="tabeltextintabel"/>
              <w:rPr>
                <w:szCs w:val="12"/>
              </w:rPr>
            </w:pPr>
            <w:r w:rsidRPr="000B415A">
              <w:rPr>
                <w:szCs w:val="12"/>
              </w:rPr>
              <w:t>254.3</w:t>
            </w:r>
          </w:p>
        </w:tc>
        <w:tc>
          <w:tcPr>
            <w:tcW w:w="612" w:type="pct"/>
            <w:noWrap/>
            <w:hideMark/>
          </w:tcPr>
          <w:p w14:paraId="6E34FDE2" w14:textId="77777777" w:rsidR="00782E1C" w:rsidRPr="000B415A" w:rsidRDefault="00782E1C" w:rsidP="000B415A">
            <w:pPr>
              <w:pStyle w:val="tabeltextintabel"/>
              <w:rPr>
                <w:szCs w:val="12"/>
              </w:rPr>
            </w:pPr>
            <w:r w:rsidRPr="000B415A">
              <w:rPr>
                <w:szCs w:val="12"/>
              </w:rPr>
              <w:t>(98.14)</w:t>
            </w:r>
          </w:p>
        </w:tc>
        <w:tc>
          <w:tcPr>
            <w:tcW w:w="612" w:type="pct"/>
            <w:noWrap/>
            <w:hideMark/>
          </w:tcPr>
          <w:p w14:paraId="01FCB1CE" w14:textId="77777777" w:rsidR="00782E1C" w:rsidRPr="000B415A" w:rsidRDefault="00782E1C" w:rsidP="000B415A">
            <w:pPr>
              <w:pStyle w:val="tabeltextintabel"/>
              <w:rPr>
                <w:szCs w:val="12"/>
              </w:rPr>
            </w:pPr>
            <w:r w:rsidRPr="000B415A">
              <w:rPr>
                <w:szCs w:val="12"/>
              </w:rPr>
              <w:t>216.32</w:t>
            </w:r>
          </w:p>
        </w:tc>
        <w:tc>
          <w:tcPr>
            <w:tcW w:w="613" w:type="pct"/>
            <w:noWrap/>
            <w:hideMark/>
          </w:tcPr>
          <w:p w14:paraId="563DD220" w14:textId="77777777" w:rsidR="00782E1C" w:rsidRPr="000B415A" w:rsidRDefault="00782E1C" w:rsidP="000B415A">
            <w:pPr>
              <w:pStyle w:val="tabeltextintabel"/>
              <w:rPr>
                <w:szCs w:val="12"/>
              </w:rPr>
            </w:pPr>
            <w:r w:rsidRPr="000B415A">
              <w:rPr>
                <w:szCs w:val="12"/>
              </w:rPr>
              <w:t>(84.35)</w:t>
            </w:r>
          </w:p>
        </w:tc>
        <w:tc>
          <w:tcPr>
            <w:tcW w:w="613" w:type="pct"/>
            <w:noWrap/>
            <w:hideMark/>
          </w:tcPr>
          <w:p w14:paraId="1CB2E880" w14:textId="77777777" w:rsidR="00782E1C" w:rsidRPr="000B415A" w:rsidRDefault="00782E1C" w:rsidP="000B415A">
            <w:pPr>
              <w:pStyle w:val="tabeltextintabel"/>
              <w:rPr>
                <w:color w:val="FF0000"/>
                <w:szCs w:val="12"/>
              </w:rPr>
            </w:pPr>
            <w:r w:rsidRPr="000B415A">
              <w:rPr>
                <w:color w:val="FF0000"/>
                <w:szCs w:val="12"/>
              </w:rPr>
              <w:t>0.004</w:t>
            </w:r>
          </w:p>
        </w:tc>
      </w:tr>
    </w:tbl>
    <w:p w14:paraId="28132E9E" w14:textId="3EC97D05" w:rsidR="0046559D" w:rsidRPr="0090025D" w:rsidRDefault="0090025D" w:rsidP="0046559D">
      <w:pPr>
        <w:pStyle w:val="Caption"/>
        <w:keepNext/>
        <w:outlineLvl w:val="0"/>
        <w:rPr>
          <w:rFonts w:ascii="Arial" w:hAnsi="Arial" w:cs="Arial"/>
          <w:b w:val="0"/>
          <w:color w:val="000000" w:themeColor="text1"/>
          <w:sz w:val="14"/>
          <w:szCs w:val="14"/>
        </w:rPr>
      </w:pPr>
      <w:r>
        <w:rPr>
          <w:rFonts w:ascii="Arial" w:hAnsi="Arial" w:cs="Arial"/>
          <w:b w:val="0"/>
          <w:color w:val="000000" w:themeColor="text1"/>
          <w:sz w:val="14"/>
          <w:szCs w:val="14"/>
        </w:rPr>
        <w:t>IED=Inter-Extra Dimensional Set Shift, SOC=Stocking of Cambridge, SWM=Spatial Working Memory, SRT= Stop Reaction Time, SST=Stop Signal Task</w:t>
      </w:r>
    </w:p>
    <w:p w14:paraId="767D0227" w14:textId="08292A78" w:rsidR="00782E1C" w:rsidRPr="001C2A15" w:rsidRDefault="0046559D" w:rsidP="001C2A15">
      <w:pPr>
        <w:spacing w:after="160" w:line="259" w:lineRule="auto"/>
        <w:rPr>
          <w:rFonts w:asciiTheme="minorHAnsi" w:eastAsia="Times New Roman" w:hAnsiTheme="minorHAnsi" w:cstheme="minorHAnsi"/>
          <w:b/>
          <w:noProof/>
          <w:sz w:val="14"/>
          <w:szCs w:val="14"/>
        </w:rPr>
      </w:pPr>
      <w:r>
        <w:br w:type="page"/>
      </w:r>
      <w:r w:rsidR="00782E1C" w:rsidRPr="001C2A15">
        <w:rPr>
          <w:rFonts w:asciiTheme="minorHAnsi" w:hAnsiTheme="minorHAnsi" w:cstheme="minorHAnsi"/>
          <w:sz w:val="14"/>
          <w:szCs w:val="14"/>
        </w:rPr>
        <w:lastRenderedPageBreak/>
        <w:t>Table 9. Age model comparison ANOVA.</w:t>
      </w:r>
    </w:p>
    <w:tbl>
      <w:tblPr>
        <w:tblStyle w:val="TableGridLight"/>
        <w:tblW w:w="5000" w:type="pct"/>
        <w:tblLook w:val="04A0" w:firstRow="1" w:lastRow="0" w:firstColumn="1" w:lastColumn="0" w:noHBand="0" w:noVBand="1"/>
      </w:tblPr>
      <w:tblGrid>
        <w:gridCol w:w="471"/>
        <w:gridCol w:w="990"/>
        <w:gridCol w:w="1453"/>
        <w:gridCol w:w="710"/>
        <w:gridCol w:w="1506"/>
        <w:gridCol w:w="891"/>
        <w:gridCol w:w="1283"/>
      </w:tblGrid>
      <w:tr w:rsidR="00782E1C" w:rsidRPr="00507AEA" w14:paraId="6D4DD5BC" w14:textId="77777777" w:rsidTr="0090025D">
        <w:trPr>
          <w:trHeight w:val="320"/>
        </w:trPr>
        <w:tc>
          <w:tcPr>
            <w:tcW w:w="322" w:type="pct"/>
            <w:shd w:val="clear" w:color="auto" w:fill="D6D2C4" w:themeFill="accent4"/>
            <w:hideMark/>
          </w:tcPr>
          <w:p w14:paraId="34C888C8" w14:textId="77777777" w:rsidR="00782E1C" w:rsidRPr="0090025D" w:rsidRDefault="00782E1C" w:rsidP="0046559D">
            <w:pPr>
              <w:pStyle w:val="tabeltextintabel"/>
              <w:rPr>
                <w:lang w:val="en-GB"/>
              </w:rPr>
            </w:pPr>
            <w:r w:rsidRPr="0090025D">
              <w:rPr>
                <w:lang w:val="en-GB"/>
              </w:rPr>
              <w:t> </w:t>
            </w:r>
          </w:p>
        </w:tc>
        <w:tc>
          <w:tcPr>
            <w:tcW w:w="678" w:type="pct"/>
            <w:shd w:val="clear" w:color="auto" w:fill="D6D2C4" w:themeFill="accent4"/>
            <w:hideMark/>
          </w:tcPr>
          <w:p w14:paraId="0C3428D1" w14:textId="77777777" w:rsidR="00782E1C" w:rsidRPr="0090025D" w:rsidRDefault="00782E1C" w:rsidP="0046559D">
            <w:pPr>
              <w:pStyle w:val="tabeltextintabel"/>
              <w:rPr>
                <w:b/>
                <w:bCs/>
                <w:lang w:val="en-GB"/>
              </w:rPr>
            </w:pPr>
            <w:r w:rsidRPr="0090025D">
              <w:rPr>
                <w:b/>
                <w:bCs/>
                <w:lang w:val="en-GB"/>
              </w:rPr>
              <w:t>Res.Df</w:t>
            </w:r>
          </w:p>
        </w:tc>
        <w:tc>
          <w:tcPr>
            <w:tcW w:w="995" w:type="pct"/>
            <w:shd w:val="clear" w:color="auto" w:fill="D6D2C4" w:themeFill="accent4"/>
            <w:hideMark/>
          </w:tcPr>
          <w:p w14:paraId="480E8A54" w14:textId="77777777" w:rsidR="00782E1C" w:rsidRPr="0090025D" w:rsidRDefault="00782E1C" w:rsidP="0046559D">
            <w:pPr>
              <w:pStyle w:val="tabeltextintabel"/>
              <w:rPr>
                <w:b/>
                <w:bCs/>
                <w:lang w:val="en-GB"/>
              </w:rPr>
            </w:pPr>
            <w:r w:rsidRPr="0090025D">
              <w:rPr>
                <w:b/>
                <w:bCs/>
                <w:lang w:val="en-GB"/>
              </w:rPr>
              <w:t>RSS</w:t>
            </w:r>
          </w:p>
        </w:tc>
        <w:tc>
          <w:tcPr>
            <w:tcW w:w="486" w:type="pct"/>
            <w:shd w:val="clear" w:color="auto" w:fill="D6D2C4" w:themeFill="accent4"/>
            <w:hideMark/>
          </w:tcPr>
          <w:p w14:paraId="70DD9F64" w14:textId="77777777" w:rsidR="00782E1C" w:rsidRPr="0090025D" w:rsidRDefault="00782E1C" w:rsidP="0046559D">
            <w:pPr>
              <w:pStyle w:val="tabeltextintabel"/>
              <w:rPr>
                <w:b/>
                <w:bCs/>
                <w:lang w:val="en-GB"/>
              </w:rPr>
            </w:pPr>
            <w:r w:rsidRPr="0090025D">
              <w:rPr>
                <w:b/>
                <w:bCs/>
                <w:lang w:val="en-GB"/>
              </w:rPr>
              <w:t>Df</w:t>
            </w:r>
          </w:p>
        </w:tc>
        <w:tc>
          <w:tcPr>
            <w:tcW w:w="1031" w:type="pct"/>
            <w:shd w:val="clear" w:color="auto" w:fill="D6D2C4" w:themeFill="accent4"/>
            <w:hideMark/>
          </w:tcPr>
          <w:p w14:paraId="0138A83B" w14:textId="77777777" w:rsidR="00782E1C" w:rsidRPr="0090025D" w:rsidRDefault="00782E1C" w:rsidP="0046559D">
            <w:pPr>
              <w:pStyle w:val="tabeltextintabel"/>
              <w:rPr>
                <w:b/>
                <w:bCs/>
                <w:lang w:val="en-GB"/>
              </w:rPr>
            </w:pPr>
            <w:r w:rsidRPr="0090025D">
              <w:rPr>
                <w:b/>
                <w:bCs/>
                <w:lang w:val="en-GB"/>
              </w:rPr>
              <w:t>Sum of Sq</w:t>
            </w:r>
          </w:p>
        </w:tc>
        <w:tc>
          <w:tcPr>
            <w:tcW w:w="610" w:type="pct"/>
            <w:shd w:val="clear" w:color="auto" w:fill="D6D2C4" w:themeFill="accent4"/>
            <w:hideMark/>
          </w:tcPr>
          <w:p w14:paraId="759A9E4C" w14:textId="77777777" w:rsidR="00782E1C" w:rsidRPr="0090025D" w:rsidRDefault="00782E1C" w:rsidP="0046559D">
            <w:pPr>
              <w:pStyle w:val="tabeltextintabel"/>
              <w:rPr>
                <w:b/>
                <w:bCs/>
                <w:lang w:val="en-GB"/>
              </w:rPr>
            </w:pPr>
            <w:r w:rsidRPr="0090025D">
              <w:rPr>
                <w:b/>
                <w:bCs/>
                <w:lang w:val="en-GB"/>
              </w:rPr>
              <w:t>F</w:t>
            </w:r>
          </w:p>
        </w:tc>
        <w:tc>
          <w:tcPr>
            <w:tcW w:w="878" w:type="pct"/>
            <w:shd w:val="clear" w:color="auto" w:fill="D6D2C4" w:themeFill="accent4"/>
            <w:hideMark/>
          </w:tcPr>
          <w:p w14:paraId="47B7B2A9" w14:textId="77777777" w:rsidR="00782E1C" w:rsidRPr="0090025D" w:rsidRDefault="00782E1C" w:rsidP="0046559D">
            <w:pPr>
              <w:pStyle w:val="tabeltextintabel"/>
              <w:rPr>
                <w:b/>
                <w:bCs/>
                <w:lang w:val="en-GB"/>
              </w:rPr>
            </w:pPr>
            <w:r w:rsidRPr="0090025D">
              <w:rPr>
                <w:b/>
                <w:bCs/>
                <w:lang w:val="en-GB"/>
              </w:rPr>
              <w:t>Pr(&gt; F)</w:t>
            </w:r>
          </w:p>
        </w:tc>
      </w:tr>
      <w:tr w:rsidR="00782E1C" w:rsidRPr="00507AEA" w14:paraId="441D9152" w14:textId="77777777" w:rsidTr="0046559D">
        <w:trPr>
          <w:trHeight w:val="320"/>
        </w:trPr>
        <w:tc>
          <w:tcPr>
            <w:tcW w:w="5000" w:type="pct"/>
            <w:gridSpan w:val="7"/>
            <w:hideMark/>
          </w:tcPr>
          <w:p w14:paraId="5E0D6D0E" w14:textId="77777777" w:rsidR="00782E1C" w:rsidRPr="0090025D" w:rsidRDefault="00782E1C" w:rsidP="0046559D">
            <w:pPr>
              <w:pStyle w:val="tabeltextintabel"/>
              <w:rPr>
                <w:b/>
                <w:bCs/>
                <w:lang w:val="en-GB"/>
              </w:rPr>
            </w:pPr>
            <w:r w:rsidRPr="0090025D">
              <w:rPr>
                <w:b/>
                <w:bCs/>
                <w:lang w:val="en-GB"/>
              </w:rPr>
              <w:t>IED.TEA</w:t>
            </w:r>
          </w:p>
        </w:tc>
      </w:tr>
      <w:tr w:rsidR="00782E1C" w:rsidRPr="00507AEA" w14:paraId="65355DEB" w14:textId="77777777" w:rsidTr="0090025D">
        <w:trPr>
          <w:trHeight w:val="320"/>
        </w:trPr>
        <w:tc>
          <w:tcPr>
            <w:tcW w:w="322" w:type="pct"/>
            <w:hideMark/>
          </w:tcPr>
          <w:p w14:paraId="3D5CCB75" w14:textId="77777777" w:rsidR="00782E1C" w:rsidRPr="0090025D" w:rsidRDefault="00782E1C" w:rsidP="0046559D">
            <w:pPr>
              <w:pStyle w:val="tabeltextintabel"/>
              <w:rPr>
                <w:lang w:val="en-GB"/>
              </w:rPr>
            </w:pPr>
            <w:r w:rsidRPr="0090025D">
              <w:rPr>
                <w:lang w:val="en-GB"/>
              </w:rPr>
              <w:t>1</w:t>
            </w:r>
          </w:p>
        </w:tc>
        <w:tc>
          <w:tcPr>
            <w:tcW w:w="678" w:type="pct"/>
            <w:hideMark/>
          </w:tcPr>
          <w:p w14:paraId="2BF62B16" w14:textId="77777777" w:rsidR="00782E1C" w:rsidRPr="0090025D" w:rsidRDefault="00782E1C" w:rsidP="0046559D">
            <w:pPr>
              <w:pStyle w:val="tabeltextintabel"/>
              <w:rPr>
                <w:lang w:val="en-GB"/>
              </w:rPr>
            </w:pPr>
            <w:r w:rsidRPr="0090025D">
              <w:rPr>
                <w:lang w:val="en-GB"/>
              </w:rPr>
              <w:t>196</w:t>
            </w:r>
          </w:p>
        </w:tc>
        <w:tc>
          <w:tcPr>
            <w:tcW w:w="995" w:type="pct"/>
            <w:hideMark/>
          </w:tcPr>
          <w:p w14:paraId="1DDFADD5" w14:textId="77777777" w:rsidR="00782E1C" w:rsidRPr="0090025D" w:rsidRDefault="00782E1C" w:rsidP="0046559D">
            <w:pPr>
              <w:pStyle w:val="tabeltextintabel"/>
              <w:rPr>
                <w:lang w:val="en-GB"/>
              </w:rPr>
            </w:pPr>
            <w:r w:rsidRPr="0090025D">
              <w:rPr>
                <w:lang w:val="en-GB"/>
              </w:rPr>
              <w:t>149,530.50</w:t>
            </w:r>
          </w:p>
        </w:tc>
        <w:tc>
          <w:tcPr>
            <w:tcW w:w="486" w:type="pct"/>
            <w:hideMark/>
          </w:tcPr>
          <w:p w14:paraId="291C78C1" w14:textId="77777777" w:rsidR="00782E1C" w:rsidRPr="0090025D" w:rsidRDefault="00782E1C" w:rsidP="0046559D">
            <w:pPr>
              <w:pStyle w:val="tabeltextintabel"/>
              <w:rPr>
                <w:lang w:val="en-GB"/>
              </w:rPr>
            </w:pPr>
            <w:r w:rsidRPr="0090025D">
              <w:rPr>
                <w:lang w:val="en-GB"/>
              </w:rPr>
              <w:t> </w:t>
            </w:r>
          </w:p>
        </w:tc>
        <w:tc>
          <w:tcPr>
            <w:tcW w:w="1031" w:type="pct"/>
            <w:hideMark/>
          </w:tcPr>
          <w:p w14:paraId="44515CAE" w14:textId="77777777" w:rsidR="00782E1C" w:rsidRPr="0090025D" w:rsidRDefault="00782E1C" w:rsidP="0046559D">
            <w:pPr>
              <w:pStyle w:val="tabeltextintabel"/>
              <w:rPr>
                <w:lang w:val="en-GB"/>
              </w:rPr>
            </w:pPr>
            <w:r w:rsidRPr="0090025D">
              <w:rPr>
                <w:lang w:val="en-GB"/>
              </w:rPr>
              <w:t> </w:t>
            </w:r>
          </w:p>
        </w:tc>
        <w:tc>
          <w:tcPr>
            <w:tcW w:w="610" w:type="pct"/>
            <w:hideMark/>
          </w:tcPr>
          <w:p w14:paraId="005D4D84" w14:textId="77777777" w:rsidR="00782E1C" w:rsidRPr="0090025D" w:rsidRDefault="00782E1C" w:rsidP="0046559D">
            <w:pPr>
              <w:pStyle w:val="tabeltextintabel"/>
              <w:rPr>
                <w:lang w:val="en-GB"/>
              </w:rPr>
            </w:pPr>
            <w:r w:rsidRPr="0090025D">
              <w:rPr>
                <w:lang w:val="en-GB"/>
              </w:rPr>
              <w:t> </w:t>
            </w:r>
          </w:p>
        </w:tc>
        <w:tc>
          <w:tcPr>
            <w:tcW w:w="878" w:type="pct"/>
            <w:hideMark/>
          </w:tcPr>
          <w:p w14:paraId="16736D50" w14:textId="77777777" w:rsidR="00782E1C" w:rsidRPr="0090025D" w:rsidRDefault="00782E1C" w:rsidP="0046559D">
            <w:pPr>
              <w:pStyle w:val="tabeltextintabel"/>
              <w:rPr>
                <w:lang w:val="en-GB"/>
              </w:rPr>
            </w:pPr>
            <w:r w:rsidRPr="0090025D">
              <w:rPr>
                <w:lang w:val="en-GB"/>
              </w:rPr>
              <w:t> </w:t>
            </w:r>
          </w:p>
        </w:tc>
      </w:tr>
      <w:tr w:rsidR="00782E1C" w:rsidRPr="00507AEA" w14:paraId="2C115302" w14:textId="77777777" w:rsidTr="0090025D">
        <w:trPr>
          <w:trHeight w:val="320"/>
        </w:trPr>
        <w:tc>
          <w:tcPr>
            <w:tcW w:w="322" w:type="pct"/>
            <w:hideMark/>
          </w:tcPr>
          <w:p w14:paraId="4B60EFFF" w14:textId="77777777" w:rsidR="00782E1C" w:rsidRPr="0090025D" w:rsidRDefault="00782E1C" w:rsidP="0046559D">
            <w:pPr>
              <w:pStyle w:val="tabeltextintabel"/>
              <w:rPr>
                <w:lang w:val="en-GB"/>
              </w:rPr>
            </w:pPr>
            <w:r w:rsidRPr="0090025D">
              <w:rPr>
                <w:lang w:val="en-GB"/>
              </w:rPr>
              <w:t>2</w:t>
            </w:r>
          </w:p>
        </w:tc>
        <w:tc>
          <w:tcPr>
            <w:tcW w:w="678" w:type="pct"/>
            <w:hideMark/>
          </w:tcPr>
          <w:p w14:paraId="60E3DDB4" w14:textId="77777777" w:rsidR="00782E1C" w:rsidRPr="0090025D" w:rsidRDefault="00782E1C" w:rsidP="0046559D">
            <w:pPr>
              <w:pStyle w:val="tabeltextintabel"/>
              <w:rPr>
                <w:lang w:val="en-GB"/>
              </w:rPr>
            </w:pPr>
            <w:r w:rsidRPr="0090025D">
              <w:rPr>
                <w:lang w:val="en-GB"/>
              </w:rPr>
              <w:t>195</w:t>
            </w:r>
          </w:p>
        </w:tc>
        <w:tc>
          <w:tcPr>
            <w:tcW w:w="995" w:type="pct"/>
            <w:hideMark/>
          </w:tcPr>
          <w:p w14:paraId="20BD3AF4" w14:textId="77777777" w:rsidR="00782E1C" w:rsidRPr="00507AEA" w:rsidRDefault="00782E1C" w:rsidP="0046559D">
            <w:pPr>
              <w:pStyle w:val="tabeltextintabel"/>
            </w:pPr>
            <w:r w:rsidRPr="0090025D">
              <w:rPr>
                <w:lang w:val="en-GB"/>
              </w:rPr>
              <w:t>145,483.3</w:t>
            </w:r>
            <w:r w:rsidRPr="00507AEA">
              <w:t>0</w:t>
            </w:r>
          </w:p>
        </w:tc>
        <w:tc>
          <w:tcPr>
            <w:tcW w:w="486" w:type="pct"/>
            <w:hideMark/>
          </w:tcPr>
          <w:p w14:paraId="168B6016" w14:textId="77777777" w:rsidR="00782E1C" w:rsidRPr="00507AEA" w:rsidRDefault="00782E1C" w:rsidP="0046559D">
            <w:pPr>
              <w:pStyle w:val="tabeltextintabel"/>
            </w:pPr>
            <w:r w:rsidRPr="00507AEA">
              <w:t>1</w:t>
            </w:r>
          </w:p>
        </w:tc>
        <w:tc>
          <w:tcPr>
            <w:tcW w:w="1031" w:type="pct"/>
            <w:hideMark/>
          </w:tcPr>
          <w:p w14:paraId="7BF1DD5E" w14:textId="77777777" w:rsidR="00782E1C" w:rsidRPr="00507AEA" w:rsidRDefault="00782E1C" w:rsidP="0046559D">
            <w:pPr>
              <w:pStyle w:val="tabeltextintabel"/>
            </w:pPr>
            <w:r w:rsidRPr="00507AEA">
              <w:t>4,047.27</w:t>
            </w:r>
          </w:p>
        </w:tc>
        <w:tc>
          <w:tcPr>
            <w:tcW w:w="610" w:type="pct"/>
            <w:hideMark/>
          </w:tcPr>
          <w:p w14:paraId="08C653E4" w14:textId="77777777" w:rsidR="00782E1C" w:rsidRPr="00507AEA" w:rsidRDefault="00782E1C" w:rsidP="0046559D">
            <w:pPr>
              <w:pStyle w:val="tabeltextintabel"/>
            </w:pPr>
            <w:r w:rsidRPr="00507AEA">
              <w:t>5.42</w:t>
            </w:r>
          </w:p>
        </w:tc>
        <w:tc>
          <w:tcPr>
            <w:tcW w:w="878" w:type="pct"/>
            <w:hideMark/>
          </w:tcPr>
          <w:p w14:paraId="3B8D054E" w14:textId="77777777" w:rsidR="00782E1C" w:rsidRPr="00507AEA" w:rsidRDefault="00782E1C" w:rsidP="0046559D">
            <w:pPr>
              <w:pStyle w:val="tabeltextintabel"/>
            </w:pPr>
            <w:r w:rsidRPr="00507AEA">
              <w:t>0.02</w:t>
            </w:r>
          </w:p>
        </w:tc>
      </w:tr>
      <w:tr w:rsidR="00782E1C" w:rsidRPr="00507AEA" w14:paraId="335D4620" w14:textId="77777777" w:rsidTr="0046559D">
        <w:trPr>
          <w:trHeight w:val="320"/>
        </w:trPr>
        <w:tc>
          <w:tcPr>
            <w:tcW w:w="5000" w:type="pct"/>
            <w:gridSpan w:val="7"/>
            <w:hideMark/>
          </w:tcPr>
          <w:p w14:paraId="2FAA4D1E" w14:textId="77777777" w:rsidR="00782E1C" w:rsidRPr="00507AEA" w:rsidRDefault="00782E1C" w:rsidP="0046559D">
            <w:pPr>
              <w:pStyle w:val="tabeltextintabel"/>
              <w:rPr>
                <w:b/>
                <w:bCs/>
              </w:rPr>
            </w:pPr>
            <w:r w:rsidRPr="00507AEA">
              <w:rPr>
                <w:b/>
                <w:bCs/>
              </w:rPr>
              <w:t>IED.SC</w:t>
            </w:r>
          </w:p>
        </w:tc>
      </w:tr>
      <w:tr w:rsidR="00782E1C" w:rsidRPr="00507AEA" w14:paraId="1015A946" w14:textId="77777777" w:rsidTr="0090025D">
        <w:trPr>
          <w:trHeight w:val="320"/>
        </w:trPr>
        <w:tc>
          <w:tcPr>
            <w:tcW w:w="322" w:type="pct"/>
            <w:hideMark/>
          </w:tcPr>
          <w:p w14:paraId="1C580561" w14:textId="77777777" w:rsidR="00782E1C" w:rsidRPr="00507AEA" w:rsidRDefault="00782E1C" w:rsidP="0046559D">
            <w:pPr>
              <w:pStyle w:val="tabeltextintabel"/>
            </w:pPr>
            <w:r w:rsidRPr="00507AEA">
              <w:t>1</w:t>
            </w:r>
          </w:p>
        </w:tc>
        <w:tc>
          <w:tcPr>
            <w:tcW w:w="678" w:type="pct"/>
            <w:hideMark/>
          </w:tcPr>
          <w:p w14:paraId="77D32636" w14:textId="77777777" w:rsidR="00782E1C" w:rsidRPr="00507AEA" w:rsidRDefault="00782E1C" w:rsidP="0046559D">
            <w:pPr>
              <w:pStyle w:val="tabeltextintabel"/>
            </w:pPr>
            <w:r w:rsidRPr="00507AEA">
              <w:t>196</w:t>
            </w:r>
          </w:p>
        </w:tc>
        <w:tc>
          <w:tcPr>
            <w:tcW w:w="995" w:type="pct"/>
            <w:hideMark/>
          </w:tcPr>
          <w:p w14:paraId="7A6DECDC" w14:textId="77777777" w:rsidR="00782E1C" w:rsidRPr="00507AEA" w:rsidRDefault="00782E1C" w:rsidP="0046559D">
            <w:pPr>
              <w:pStyle w:val="tabeltextintabel"/>
            </w:pPr>
            <w:r w:rsidRPr="00507AEA">
              <w:t>308.84</w:t>
            </w:r>
          </w:p>
        </w:tc>
        <w:tc>
          <w:tcPr>
            <w:tcW w:w="486" w:type="pct"/>
            <w:hideMark/>
          </w:tcPr>
          <w:p w14:paraId="6624AEE1" w14:textId="77777777" w:rsidR="00782E1C" w:rsidRPr="00507AEA" w:rsidRDefault="00782E1C" w:rsidP="0046559D">
            <w:pPr>
              <w:pStyle w:val="tabeltextintabel"/>
            </w:pPr>
          </w:p>
        </w:tc>
        <w:tc>
          <w:tcPr>
            <w:tcW w:w="1031" w:type="pct"/>
            <w:hideMark/>
          </w:tcPr>
          <w:p w14:paraId="2855CA6D" w14:textId="77777777" w:rsidR="00782E1C" w:rsidRPr="00507AEA" w:rsidRDefault="00782E1C" w:rsidP="0046559D">
            <w:pPr>
              <w:pStyle w:val="tabeltextintabel"/>
              <w:rPr>
                <w:sz w:val="20"/>
                <w:szCs w:val="20"/>
              </w:rPr>
            </w:pPr>
          </w:p>
        </w:tc>
        <w:tc>
          <w:tcPr>
            <w:tcW w:w="610" w:type="pct"/>
            <w:hideMark/>
          </w:tcPr>
          <w:p w14:paraId="7E438585" w14:textId="77777777" w:rsidR="00782E1C" w:rsidRPr="00507AEA" w:rsidRDefault="00782E1C" w:rsidP="0046559D">
            <w:pPr>
              <w:pStyle w:val="tabeltextintabel"/>
              <w:rPr>
                <w:sz w:val="20"/>
                <w:szCs w:val="20"/>
              </w:rPr>
            </w:pPr>
          </w:p>
        </w:tc>
        <w:tc>
          <w:tcPr>
            <w:tcW w:w="878" w:type="pct"/>
            <w:hideMark/>
          </w:tcPr>
          <w:p w14:paraId="7F663BEB" w14:textId="77777777" w:rsidR="00782E1C" w:rsidRPr="00507AEA" w:rsidRDefault="00782E1C" w:rsidP="0046559D">
            <w:pPr>
              <w:pStyle w:val="tabeltextintabel"/>
            </w:pPr>
            <w:r w:rsidRPr="00507AEA">
              <w:t> </w:t>
            </w:r>
          </w:p>
        </w:tc>
      </w:tr>
      <w:tr w:rsidR="00782E1C" w:rsidRPr="00507AEA" w14:paraId="3E6F8C85" w14:textId="77777777" w:rsidTr="0090025D">
        <w:trPr>
          <w:trHeight w:val="320"/>
        </w:trPr>
        <w:tc>
          <w:tcPr>
            <w:tcW w:w="322" w:type="pct"/>
            <w:hideMark/>
          </w:tcPr>
          <w:p w14:paraId="2A0BA27F" w14:textId="77777777" w:rsidR="00782E1C" w:rsidRPr="00507AEA" w:rsidRDefault="00782E1C" w:rsidP="0046559D">
            <w:pPr>
              <w:pStyle w:val="tabeltextintabel"/>
            </w:pPr>
            <w:r w:rsidRPr="00507AEA">
              <w:t>2</w:t>
            </w:r>
          </w:p>
        </w:tc>
        <w:tc>
          <w:tcPr>
            <w:tcW w:w="678" w:type="pct"/>
            <w:hideMark/>
          </w:tcPr>
          <w:p w14:paraId="1B65A13B" w14:textId="77777777" w:rsidR="00782E1C" w:rsidRPr="00507AEA" w:rsidRDefault="00782E1C" w:rsidP="0046559D">
            <w:pPr>
              <w:pStyle w:val="tabeltextintabel"/>
            </w:pPr>
            <w:r w:rsidRPr="00507AEA">
              <w:t>195</w:t>
            </w:r>
          </w:p>
        </w:tc>
        <w:tc>
          <w:tcPr>
            <w:tcW w:w="995" w:type="pct"/>
            <w:hideMark/>
          </w:tcPr>
          <w:p w14:paraId="24E705AA" w14:textId="77777777" w:rsidR="00782E1C" w:rsidRPr="00507AEA" w:rsidRDefault="00782E1C" w:rsidP="0046559D">
            <w:pPr>
              <w:pStyle w:val="tabeltextintabel"/>
            </w:pPr>
            <w:r w:rsidRPr="00507AEA">
              <w:t>300.89</w:t>
            </w:r>
          </w:p>
        </w:tc>
        <w:tc>
          <w:tcPr>
            <w:tcW w:w="486" w:type="pct"/>
            <w:hideMark/>
          </w:tcPr>
          <w:p w14:paraId="4DD10B32" w14:textId="77777777" w:rsidR="00782E1C" w:rsidRPr="00507AEA" w:rsidRDefault="00782E1C" w:rsidP="0046559D">
            <w:pPr>
              <w:pStyle w:val="tabeltextintabel"/>
            </w:pPr>
            <w:r w:rsidRPr="00507AEA">
              <w:t>1</w:t>
            </w:r>
          </w:p>
        </w:tc>
        <w:tc>
          <w:tcPr>
            <w:tcW w:w="1031" w:type="pct"/>
            <w:hideMark/>
          </w:tcPr>
          <w:p w14:paraId="67A75F18" w14:textId="77777777" w:rsidR="00782E1C" w:rsidRPr="00507AEA" w:rsidRDefault="00782E1C" w:rsidP="0046559D">
            <w:pPr>
              <w:pStyle w:val="tabeltextintabel"/>
            </w:pPr>
            <w:r w:rsidRPr="00507AEA">
              <w:t>7.95</w:t>
            </w:r>
          </w:p>
        </w:tc>
        <w:tc>
          <w:tcPr>
            <w:tcW w:w="610" w:type="pct"/>
            <w:hideMark/>
          </w:tcPr>
          <w:p w14:paraId="1AF80512" w14:textId="77777777" w:rsidR="00782E1C" w:rsidRPr="00507AEA" w:rsidRDefault="00782E1C" w:rsidP="0046559D">
            <w:pPr>
              <w:pStyle w:val="tabeltextintabel"/>
            </w:pPr>
            <w:r w:rsidRPr="00507AEA">
              <w:t>5.15</w:t>
            </w:r>
          </w:p>
        </w:tc>
        <w:tc>
          <w:tcPr>
            <w:tcW w:w="878" w:type="pct"/>
            <w:hideMark/>
          </w:tcPr>
          <w:p w14:paraId="37E745DA" w14:textId="77777777" w:rsidR="00782E1C" w:rsidRPr="00507AEA" w:rsidRDefault="00782E1C" w:rsidP="0046559D">
            <w:pPr>
              <w:pStyle w:val="tabeltextintabel"/>
            </w:pPr>
            <w:r w:rsidRPr="00507AEA">
              <w:t>0.02</w:t>
            </w:r>
          </w:p>
        </w:tc>
      </w:tr>
      <w:tr w:rsidR="00782E1C" w:rsidRPr="00507AEA" w14:paraId="25FE76D4" w14:textId="77777777" w:rsidTr="0046559D">
        <w:trPr>
          <w:trHeight w:val="320"/>
        </w:trPr>
        <w:tc>
          <w:tcPr>
            <w:tcW w:w="5000" w:type="pct"/>
            <w:gridSpan w:val="7"/>
            <w:hideMark/>
          </w:tcPr>
          <w:p w14:paraId="586E995D" w14:textId="77777777" w:rsidR="00782E1C" w:rsidRPr="00507AEA" w:rsidRDefault="00782E1C" w:rsidP="0046559D">
            <w:pPr>
              <w:pStyle w:val="tabeltextintabel"/>
              <w:rPr>
                <w:b/>
                <w:bCs/>
              </w:rPr>
            </w:pPr>
            <w:r w:rsidRPr="00507AEA">
              <w:rPr>
                <w:b/>
                <w:bCs/>
              </w:rPr>
              <w:t>SOC</w:t>
            </w:r>
          </w:p>
        </w:tc>
      </w:tr>
      <w:tr w:rsidR="00782E1C" w:rsidRPr="00507AEA" w14:paraId="6A90420B" w14:textId="77777777" w:rsidTr="0090025D">
        <w:trPr>
          <w:trHeight w:val="320"/>
        </w:trPr>
        <w:tc>
          <w:tcPr>
            <w:tcW w:w="322" w:type="pct"/>
            <w:hideMark/>
          </w:tcPr>
          <w:p w14:paraId="2E216807" w14:textId="77777777" w:rsidR="00782E1C" w:rsidRPr="00507AEA" w:rsidRDefault="00782E1C" w:rsidP="0046559D">
            <w:pPr>
              <w:pStyle w:val="tabeltextintabel"/>
            </w:pPr>
            <w:r w:rsidRPr="00507AEA">
              <w:t>1</w:t>
            </w:r>
          </w:p>
        </w:tc>
        <w:tc>
          <w:tcPr>
            <w:tcW w:w="678" w:type="pct"/>
            <w:hideMark/>
          </w:tcPr>
          <w:p w14:paraId="52A0932F" w14:textId="77777777" w:rsidR="00782E1C" w:rsidRPr="00507AEA" w:rsidRDefault="00782E1C" w:rsidP="0046559D">
            <w:pPr>
              <w:pStyle w:val="tabeltextintabel"/>
            </w:pPr>
            <w:r w:rsidRPr="00507AEA">
              <w:t>187</w:t>
            </w:r>
          </w:p>
        </w:tc>
        <w:tc>
          <w:tcPr>
            <w:tcW w:w="995" w:type="pct"/>
            <w:hideMark/>
          </w:tcPr>
          <w:p w14:paraId="753B4637" w14:textId="77777777" w:rsidR="00782E1C" w:rsidRPr="00507AEA" w:rsidRDefault="00782E1C" w:rsidP="0046559D">
            <w:pPr>
              <w:pStyle w:val="tabeltextintabel"/>
            </w:pPr>
            <w:r w:rsidRPr="00507AEA">
              <w:t>585.17</w:t>
            </w:r>
          </w:p>
        </w:tc>
        <w:tc>
          <w:tcPr>
            <w:tcW w:w="486" w:type="pct"/>
            <w:hideMark/>
          </w:tcPr>
          <w:p w14:paraId="7E01AB81" w14:textId="77777777" w:rsidR="00782E1C" w:rsidRPr="00507AEA" w:rsidRDefault="00782E1C" w:rsidP="0046559D">
            <w:pPr>
              <w:pStyle w:val="tabeltextintabel"/>
            </w:pPr>
          </w:p>
        </w:tc>
        <w:tc>
          <w:tcPr>
            <w:tcW w:w="1031" w:type="pct"/>
            <w:hideMark/>
          </w:tcPr>
          <w:p w14:paraId="211D7A10" w14:textId="77777777" w:rsidR="00782E1C" w:rsidRPr="00507AEA" w:rsidRDefault="00782E1C" w:rsidP="0046559D">
            <w:pPr>
              <w:pStyle w:val="tabeltextintabel"/>
              <w:rPr>
                <w:sz w:val="20"/>
                <w:szCs w:val="20"/>
              </w:rPr>
            </w:pPr>
          </w:p>
        </w:tc>
        <w:tc>
          <w:tcPr>
            <w:tcW w:w="610" w:type="pct"/>
            <w:hideMark/>
          </w:tcPr>
          <w:p w14:paraId="02E07795" w14:textId="77777777" w:rsidR="00782E1C" w:rsidRPr="00507AEA" w:rsidRDefault="00782E1C" w:rsidP="0046559D">
            <w:pPr>
              <w:pStyle w:val="tabeltextintabel"/>
              <w:rPr>
                <w:sz w:val="20"/>
                <w:szCs w:val="20"/>
              </w:rPr>
            </w:pPr>
          </w:p>
        </w:tc>
        <w:tc>
          <w:tcPr>
            <w:tcW w:w="878" w:type="pct"/>
            <w:hideMark/>
          </w:tcPr>
          <w:p w14:paraId="78583258" w14:textId="77777777" w:rsidR="00782E1C" w:rsidRPr="00507AEA" w:rsidRDefault="00782E1C" w:rsidP="0046559D">
            <w:pPr>
              <w:pStyle w:val="tabeltextintabel"/>
            </w:pPr>
            <w:r w:rsidRPr="00507AEA">
              <w:t> </w:t>
            </w:r>
          </w:p>
        </w:tc>
      </w:tr>
      <w:tr w:rsidR="00782E1C" w:rsidRPr="00507AEA" w14:paraId="4B27EE96" w14:textId="77777777" w:rsidTr="0090025D">
        <w:trPr>
          <w:trHeight w:val="320"/>
        </w:trPr>
        <w:tc>
          <w:tcPr>
            <w:tcW w:w="322" w:type="pct"/>
            <w:hideMark/>
          </w:tcPr>
          <w:p w14:paraId="3B429C4E" w14:textId="77777777" w:rsidR="00782E1C" w:rsidRPr="00507AEA" w:rsidRDefault="00782E1C" w:rsidP="0046559D">
            <w:pPr>
              <w:pStyle w:val="tabeltextintabel"/>
            </w:pPr>
            <w:r w:rsidRPr="00507AEA">
              <w:t>2</w:t>
            </w:r>
          </w:p>
        </w:tc>
        <w:tc>
          <w:tcPr>
            <w:tcW w:w="678" w:type="pct"/>
            <w:hideMark/>
          </w:tcPr>
          <w:p w14:paraId="05731CEE" w14:textId="77777777" w:rsidR="00782E1C" w:rsidRPr="00507AEA" w:rsidRDefault="00782E1C" w:rsidP="0046559D">
            <w:pPr>
              <w:pStyle w:val="tabeltextintabel"/>
            </w:pPr>
            <w:r w:rsidRPr="00507AEA">
              <w:t>186</w:t>
            </w:r>
          </w:p>
        </w:tc>
        <w:tc>
          <w:tcPr>
            <w:tcW w:w="995" w:type="pct"/>
            <w:hideMark/>
          </w:tcPr>
          <w:p w14:paraId="2C29799B" w14:textId="77777777" w:rsidR="00782E1C" w:rsidRPr="00507AEA" w:rsidRDefault="00782E1C" w:rsidP="0046559D">
            <w:pPr>
              <w:pStyle w:val="tabeltextintabel"/>
            </w:pPr>
            <w:r w:rsidRPr="00507AEA">
              <w:t>552.61</w:t>
            </w:r>
          </w:p>
        </w:tc>
        <w:tc>
          <w:tcPr>
            <w:tcW w:w="486" w:type="pct"/>
            <w:hideMark/>
          </w:tcPr>
          <w:p w14:paraId="4E2AEA0D" w14:textId="77777777" w:rsidR="00782E1C" w:rsidRPr="00507AEA" w:rsidRDefault="00782E1C" w:rsidP="0046559D">
            <w:pPr>
              <w:pStyle w:val="tabeltextintabel"/>
            </w:pPr>
            <w:r w:rsidRPr="00507AEA">
              <w:t>1</w:t>
            </w:r>
          </w:p>
        </w:tc>
        <w:tc>
          <w:tcPr>
            <w:tcW w:w="1031" w:type="pct"/>
            <w:hideMark/>
          </w:tcPr>
          <w:p w14:paraId="5F61DE25" w14:textId="77777777" w:rsidR="00782E1C" w:rsidRPr="00507AEA" w:rsidRDefault="00782E1C" w:rsidP="0046559D">
            <w:pPr>
              <w:pStyle w:val="tabeltextintabel"/>
            </w:pPr>
            <w:r w:rsidRPr="00507AEA">
              <w:t>32.55</w:t>
            </w:r>
          </w:p>
        </w:tc>
        <w:tc>
          <w:tcPr>
            <w:tcW w:w="610" w:type="pct"/>
            <w:hideMark/>
          </w:tcPr>
          <w:p w14:paraId="48942116" w14:textId="77777777" w:rsidR="00782E1C" w:rsidRPr="00507AEA" w:rsidRDefault="00782E1C" w:rsidP="0046559D">
            <w:pPr>
              <w:pStyle w:val="tabeltextintabel"/>
            </w:pPr>
            <w:r w:rsidRPr="00507AEA">
              <w:t>10.96</w:t>
            </w:r>
          </w:p>
        </w:tc>
        <w:tc>
          <w:tcPr>
            <w:tcW w:w="878" w:type="pct"/>
            <w:hideMark/>
          </w:tcPr>
          <w:p w14:paraId="75C61531" w14:textId="77777777" w:rsidR="00782E1C" w:rsidRPr="00507AEA" w:rsidRDefault="00782E1C" w:rsidP="0046559D">
            <w:pPr>
              <w:pStyle w:val="tabeltextintabel"/>
            </w:pPr>
            <w:r w:rsidRPr="00507AEA">
              <w:t>0.001</w:t>
            </w:r>
          </w:p>
        </w:tc>
      </w:tr>
      <w:tr w:rsidR="00782E1C" w:rsidRPr="00507AEA" w14:paraId="47904CDB" w14:textId="77777777" w:rsidTr="0046559D">
        <w:trPr>
          <w:trHeight w:val="320"/>
        </w:trPr>
        <w:tc>
          <w:tcPr>
            <w:tcW w:w="5000" w:type="pct"/>
            <w:gridSpan w:val="7"/>
            <w:hideMark/>
          </w:tcPr>
          <w:p w14:paraId="55F8DF03" w14:textId="77777777" w:rsidR="00782E1C" w:rsidRPr="00507AEA" w:rsidRDefault="00782E1C" w:rsidP="0046559D">
            <w:pPr>
              <w:pStyle w:val="tabeltextintabel"/>
              <w:rPr>
                <w:b/>
                <w:bCs/>
              </w:rPr>
            </w:pPr>
            <w:r w:rsidRPr="00507AEA">
              <w:rPr>
                <w:b/>
                <w:bCs/>
              </w:rPr>
              <w:t>SWM.BE</w:t>
            </w:r>
          </w:p>
        </w:tc>
      </w:tr>
      <w:tr w:rsidR="00782E1C" w:rsidRPr="00507AEA" w14:paraId="6EB3ABCC" w14:textId="77777777" w:rsidTr="0090025D">
        <w:trPr>
          <w:trHeight w:val="320"/>
        </w:trPr>
        <w:tc>
          <w:tcPr>
            <w:tcW w:w="322" w:type="pct"/>
            <w:hideMark/>
          </w:tcPr>
          <w:p w14:paraId="05E15470" w14:textId="77777777" w:rsidR="00782E1C" w:rsidRPr="00507AEA" w:rsidRDefault="00782E1C" w:rsidP="0046559D">
            <w:pPr>
              <w:pStyle w:val="tabeltextintabel"/>
            </w:pPr>
            <w:r w:rsidRPr="00507AEA">
              <w:t>1</w:t>
            </w:r>
          </w:p>
        </w:tc>
        <w:tc>
          <w:tcPr>
            <w:tcW w:w="678" w:type="pct"/>
            <w:hideMark/>
          </w:tcPr>
          <w:p w14:paraId="30710F3A" w14:textId="77777777" w:rsidR="00782E1C" w:rsidRPr="00507AEA" w:rsidRDefault="00782E1C" w:rsidP="0046559D">
            <w:pPr>
              <w:pStyle w:val="tabeltextintabel"/>
            </w:pPr>
            <w:r w:rsidRPr="00507AEA">
              <w:t>203</w:t>
            </w:r>
          </w:p>
        </w:tc>
        <w:tc>
          <w:tcPr>
            <w:tcW w:w="995" w:type="pct"/>
            <w:hideMark/>
          </w:tcPr>
          <w:p w14:paraId="7C61E2EF" w14:textId="77777777" w:rsidR="00782E1C" w:rsidRPr="00507AEA" w:rsidRDefault="00782E1C" w:rsidP="0046559D">
            <w:pPr>
              <w:pStyle w:val="tabeltextintabel"/>
            </w:pPr>
            <w:r w:rsidRPr="00507AEA">
              <w:t>83,157.65</w:t>
            </w:r>
          </w:p>
        </w:tc>
        <w:tc>
          <w:tcPr>
            <w:tcW w:w="486" w:type="pct"/>
            <w:hideMark/>
          </w:tcPr>
          <w:p w14:paraId="524BD3DF" w14:textId="77777777" w:rsidR="00782E1C" w:rsidRPr="00507AEA" w:rsidRDefault="00782E1C" w:rsidP="0046559D">
            <w:pPr>
              <w:pStyle w:val="tabeltextintabel"/>
            </w:pPr>
          </w:p>
        </w:tc>
        <w:tc>
          <w:tcPr>
            <w:tcW w:w="1031" w:type="pct"/>
            <w:hideMark/>
          </w:tcPr>
          <w:p w14:paraId="420C0554" w14:textId="77777777" w:rsidR="00782E1C" w:rsidRPr="00507AEA" w:rsidRDefault="00782E1C" w:rsidP="0046559D">
            <w:pPr>
              <w:pStyle w:val="tabeltextintabel"/>
              <w:rPr>
                <w:sz w:val="20"/>
                <w:szCs w:val="20"/>
              </w:rPr>
            </w:pPr>
          </w:p>
        </w:tc>
        <w:tc>
          <w:tcPr>
            <w:tcW w:w="610" w:type="pct"/>
            <w:hideMark/>
          </w:tcPr>
          <w:p w14:paraId="62352FE5" w14:textId="77777777" w:rsidR="00782E1C" w:rsidRPr="00507AEA" w:rsidRDefault="00782E1C" w:rsidP="0046559D">
            <w:pPr>
              <w:pStyle w:val="tabeltextintabel"/>
              <w:rPr>
                <w:sz w:val="20"/>
                <w:szCs w:val="20"/>
              </w:rPr>
            </w:pPr>
          </w:p>
        </w:tc>
        <w:tc>
          <w:tcPr>
            <w:tcW w:w="878" w:type="pct"/>
            <w:hideMark/>
          </w:tcPr>
          <w:p w14:paraId="2D7B4FDD" w14:textId="77777777" w:rsidR="00782E1C" w:rsidRPr="00507AEA" w:rsidRDefault="00782E1C" w:rsidP="0046559D">
            <w:pPr>
              <w:pStyle w:val="tabeltextintabel"/>
            </w:pPr>
            <w:r w:rsidRPr="00507AEA">
              <w:t> </w:t>
            </w:r>
          </w:p>
        </w:tc>
      </w:tr>
      <w:tr w:rsidR="00782E1C" w:rsidRPr="00507AEA" w14:paraId="224B7ACB" w14:textId="77777777" w:rsidTr="0090025D">
        <w:trPr>
          <w:trHeight w:val="289"/>
        </w:trPr>
        <w:tc>
          <w:tcPr>
            <w:tcW w:w="322" w:type="pct"/>
            <w:hideMark/>
          </w:tcPr>
          <w:p w14:paraId="7DD29B21" w14:textId="77777777" w:rsidR="00782E1C" w:rsidRPr="00507AEA" w:rsidRDefault="00782E1C" w:rsidP="0046559D">
            <w:pPr>
              <w:pStyle w:val="tabeltextintabel"/>
            </w:pPr>
            <w:r w:rsidRPr="00507AEA">
              <w:t>2</w:t>
            </w:r>
          </w:p>
        </w:tc>
        <w:tc>
          <w:tcPr>
            <w:tcW w:w="678" w:type="pct"/>
            <w:hideMark/>
          </w:tcPr>
          <w:p w14:paraId="13964218" w14:textId="77777777" w:rsidR="00782E1C" w:rsidRPr="00507AEA" w:rsidRDefault="00782E1C" w:rsidP="0046559D">
            <w:pPr>
              <w:pStyle w:val="tabeltextintabel"/>
            </w:pPr>
            <w:r w:rsidRPr="00507AEA">
              <w:t>202</w:t>
            </w:r>
          </w:p>
        </w:tc>
        <w:tc>
          <w:tcPr>
            <w:tcW w:w="995" w:type="pct"/>
            <w:hideMark/>
          </w:tcPr>
          <w:p w14:paraId="06724500" w14:textId="77777777" w:rsidR="00782E1C" w:rsidRPr="00507AEA" w:rsidRDefault="00782E1C" w:rsidP="0046559D">
            <w:pPr>
              <w:pStyle w:val="tabeltextintabel"/>
            </w:pPr>
            <w:r w:rsidRPr="00507AEA">
              <w:t>80,375.69</w:t>
            </w:r>
          </w:p>
        </w:tc>
        <w:tc>
          <w:tcPr>
            <w:tcW w:w="486" w:type="pct"/>
            <w:hideMark/>
          </w:tcPr>
          <w:p w14:paraId="68CDBFE7" w14:textId="77777777" w:rsidR="00782E1C" w:rsidRPr="00507AEA" w:rsidRDefault="00782E1C" w:rsidP="0046559D">
            <w:pPr>
              <w:pStyle w:val="tabeltextintabel"/>
            </w:pPr>
            <w:r w:rsidRPr="00507AEA">
              <w:t>1</w:t>
            </w:r>
          </w:p>
        </w:tc>
        <w:tc>
          <w:tcPr>
            <w:tcW w:w="1031" w:type="pct"/>
            <w:hideMark/>
          </w:tcPr>
          <w:p w14:paraId="3847F5E2" w14:textId="77777777" w:rsidR="00782E1C" w:rsidRPr="00507AEA" w:rsidRDefault="00782E1C" w:rsidP="0046559D">
            <w:pPr>
              <w:pStyle w:val="tabeltextintabel"/>
            </w:pPr>
            <w:r w:rsidRPr="00507AEA">
              <w:t>2,781.96</w:t>
            </w:r>
          </w:p>
        </w:tc>
        <w:tc>
          <w:tcPr>
            <w:tcW w:w="610" w:type="pct"/>
            <w:hideMark/>
          </w:tcPr>
          <w:p w14:paraId="3BB0A755" w14:textId="77777777" w:rsidR="00782E1C" w:rsidRPr="00507AEA" w:rsidRDefault="00782E1C" w:rsidP="0046559D">
            <w:pPr>
              <w:pStyle w:val="tabeltextintabel"/>
            </w:pPr>
            <w:r w:rsidRPr="00507AEA">
              <w:t>6.99</w:t>
            </w:r>
          </w:p>
        </w:tc>
        <w:tc>
          <w:tcPr>
            <w:tcW w:w="878" w:type="pct"/>
            <w:hideMark/>
          </w:tcPr>
          <w:p w14:paraId="0310459E" w14:textId="77777777" w:rsidR="00782E1C" w:rsidRPr="00507AEA" w:rsidRDefault="00782E1C" w:rsidP="0046559D">
            <w:pPr>
              <w:pStyle w:val="tabeltextintabel"/>
            </w:pPr>
            <w:r w:rsidRPr="00507AEA">
              <w:t>0.01</w:t>
            </w:r>
          </w:p>
        </w:tc>
      </w:tr>
      <w:tr w:rsidR="00782E1C" w:rsidRPr="00507AEA" w14:paraId="0EFEA5BE" w14:textId="77777777" w:rsidTr="0046559D">
        <w:trPr>
          <w:trHeight w:val="320"/>
        </w:trPr>
        <w:tc>
          <w:tcPr>
            <w:tcW w:w="5000" w:type="pct"/>
            <w:gridSpan w:val="7"/>
            <w:hideMark/>
          </w:tcPr>
          <w:p w14:paraId="44B280A9" w14:textId="77777777" w:rsidR="00782E1C" w:rsidRPr="00507AEA" w:rsidRDefault="00782E1C" w:rsidP="0046559D">
            <w:pPr>
              <w:pStyle w:val="tabeltextintabel"/>
              <w:rPr>
                <w:b/>
                <w:bCs/>
              </w:rPr>
            </w:pPr>
            <w:r w:rsidRPr="00507AEA">
              <w:rPr>
                <w:b/>
                <w:bCs/>
              </w:rPr>
              <w:t>SWM.STRAT</w:t>
            </w:r>
          </w:p>
        </w:tc>
      </w:tr>
      <w:tr w:rsidR="00782E1C" w:rsidRPr="00507AEA" w14:paraId="37F5733F" w14:textId="77777777" w:rsidTr="0090025D">
        <w:trPr>
          <w:trHeight w:val="320"/>
        </w:trPr>
        <w:tc>
          <w:tcPr>
            <w:tcW w:w="322" w:type="pct"/>
            <w:hideMark/>
          </w:tcPr>
          <w:p w14:paraId="5A293566" w14:textId="77777777" w:rsidR="00782E1C" w:rsidRPr="00507AEA" w:rsidRDefault="00782E1C" w:rsidP="0046559D">
            <w:pPr>
              <w:pStyle w:val="tabeltextintabel"/>
            </w:pPr>
            <w:r w:rsidRPr="00507AEA">
              <w:t>1</w:t>
            </w:r>
          </w:p>
        </w:tc>
        <w:tc>
          <w:tcPr>
            <w:tcW w:w="678" w:type="pct"/>
            <w:hideMark/>
          </w:tcPr>
          <w:p w14:paraId="79F27FEA" w14:textId="77777777" w:rsidR="00782E1C" w:rsidRPr="00507AEA" w:rsidRDefault="00782E1C" w:rsidP="0046559D">
            <w:pPr>
              <w:pStyle w:val="tabeltextintabel"/>
            </w:pPr>
            <w:r w:rsidRPr="00507AEA">
              <w:t>203</w:t>
            </w:r>
          </w:p>
        </w:tc>
        <w:tc>
          <w:tcPr>
            <w:tcW w:w="995" w:type="pct"/>
            <w:hideMark/>
          </w:tcPr>
          <w:p w14:paraId="6722297E" w14:textId="77777777" w:rsidR="00782E1C" w:rsidRPr="00507AEA" w:rsidRDefault="00782E1C" w:rsidP="0046559D">
            <w:pPr>
              <w:pStyle w:val="tabeltextintabel"/>
            </w:pPr>
            <w:r w:rsidRPr="00507AEA">
              <w:t>4,848.26</w:t>
            </w:r>
          </w:p>
        </w:tc>
        <w:tc>
          <w:tcPr>
            <w:tcW w:w="486" w:type="pct"/>
            <w:hideMark/>
          </w:tcPr>
          <w:p w14:paraId="249EBFC9" w14:textId="77777777" w:rsidR="00782E1C" w:rsidRPr="00507AEA" w:rsidRDefault="00782E1C" w:rsidP="0046559D">
            <w:pPr>
              <w:pStyle w:val="tabeltextintabel"/>
            </w:pPr>
          </w:p>
        </w:tc>
        <w:tc>
          <w:tcPr>
            <w:tcW w:w="1031" w:type="pct"/>
            <w:hideMark/>
          </w:tcPr>
          <w:p w14:paraId="793042E7" w14:textId="77777777" w:rsidR="00782E1C" w:rsidRPr="00507AEA" w:rsidRDefault="00782E1C" w:rsidP="0046559D">
            <w:pPr>
              <w:pStyle w:val="tabeltextintabel"/>
              <w:rPr>
                <w:sz w:val="20"/>
                <w:szCs w:val="20"/>
              </w:rPr>
            </w:pPr>
          </w:p>
        </w:tc>
        <w:tc>
          <w:tcPr>
            <w:tcW w:w="610" w:type="pct"/>
            <w:hideMark/>
          </w:tcPr>
          <w:p w14:paraId="4B83A3A9" w14:textId="77777777" w:rsidR="00782E1C" w:rsidRPr="00507AEA" w:rsidRDefault="00782E1C" w:rsidP="0046559D">
            <w:pPr>
              <w:pStyle w:val="tabeltextintabel"/>
              <w:rPr>
                <w:sz w:val="20"/>
                <w:szCs w:val="20"/>
              </w:rPr>
            </w:pPr>
          </w:p>
        </w:tc>
        <w:tc>
          <w:tcPr>
            <w:tcW w:w="878" w:type="pct"/>
            <w:hideMark/>
          </w:tcPr>
          <w:p w14:paraId="142A5B18" w14:textId="77777777" w:rsidR="00782E1C" w:rsidRPr="00507AEA" w:rsidRDefault="00782E1C" w:rsidP="0046559D">
            <w:pPr>
              <w:pStyle w:val="tabeltextintabel"/>
            </w:pPr>
            <w:r w:rsidRPr="00507AEA">
              <w:t> </w:t>
            </w:r>
          </w:p>
        </w:tc>
      </w:tr>
      <w:tr w:rsidR="00782E1C" w:rsidRPr="00507AEA" w14:paraId="732973F8" w14:textId="77777777" w:rsidTr="0090025D">
        <w:trPr>
          <w:trHeight w:val="320"/>
        </w:trPr>
        <w:tc>
          <w:tcPr>
            <w:tcW w:w="322" w:type="pct"/>
            <w:hideMark/>
          </w:tcPr>
          <w:p w14:paraId="5E531552" w14:textId="77777777" w:rsidR="00782E1C" w:rsidRPr="00507AEA" w:rsidRDefault="00782E1C" w:rsidP="0046559D">
            <w:pPr>
              <w:pStyle w:val="tabeltextintabel"/>
            </w:pPr>
            <w:r w:rsidRPr="00507AEA">
              <w:t>2</w:t>
            </w:r>
          </w:p>
        </w:tc>
        <w:tc>
          <w:tcPr>
            <w:tcW w:w="678" w:type="pct"/>
            <w:hideMark/>
          </w:tcPr>
          <w:p w14:paraId="3465D809" w14:textId="77777777" w:rsidR="00782E1C" w:rsidRPr="00507AEA" w:rsidRDefault="00782E1C" w:rsidP="0046559D">
            <w:pPr>
              <w:pStyle w:val="tabeltextintabel"/>
            </w:pPr>
            <w:r w:rsidRPr="00507AEA">
              <w:t>202</w:t>
            </w:r>
          </w:p>
        </w:tc>
        <w:tc>
          <w:tcPr>
            <w:tcW w:w="995" w:type="pct"/>
            <w:hideMark/>
          </w:tcPr>
          <w:p w14:paraId="421DA4AA" w14:textId="77777777" w:rsidR="00782E1C" w:rsidRPr="00507AEA" w:rsidRDefault="00782E1C" w:rsidP="0046559D">
            <w:pPr>
              <w:pStyle w:val="tabeltextintabel"/>
            </w:pPr>
            <w:r w:rsidRPr="00507AEA">
              <w:t>4,847.05</w:t>
            </w:r>
          </w:p>
        </w:tc>
        <w:tc>
          <w:tcPr>
            <w:tcW w:w="486" w:type="pct"/>
            <w:hideMark/>
          </w:tcPr>
          <w:p w14:paraId="0642EDF8" w14:textId="77777777" w:rsidR="00782E1C" w:rsidRPr="00507AEA" w:rsidRDefault="00782E1C" w:rsidP="0046559D">
            <w:pPr>
              <w:pStyle w:val="tabeltextintabel"/>
            </w:pPr>
            <w:r w:rsidRPr="00507AEA">
              <w:t>1</w:t>
            </w:r>
          </w:p>
        </w:tc>
        <w:tc>
          <w:tcPr>
            <w:tcW w:w="1031" w:type="pct"/>
            <w:hideMark/>
          </w:tcPr>
          <w:p w14:paraId="50AFFF43" w14:textId="77777777" w:rsidR="00782E1C" w:rsidRPr="00507AEA" w:rsidRDefault="00782E1C" w:rsidP="0046559D">
            <w:pPr>
              <w:pStyle w:val="tabeltextintabel"/>
            </w:pPr>
            <w:r w:rsidRPr="00507AEA">
              <w:t>1.21</w:t>
            </w:r>
          </w:p>
        </w:tc>
        <w:tc>
          <w:tcPr>
            <w:tcW w:w="610" w:type="pct"/>
            <w:hideMark/>
          </w:tcPr>
          <w:p w14:paraId="0AE081B6" w14:textId="77777777" w:rsidR="00782E1C" w:rsidRPr="00507AEA" w:rsidRDefault="00782E1C" w:rsidP="0046559D">
            <w:pPr>
              <w:pStyle w:val="tabeltextintabel"/>
            </w:pPr>
            <w:r w:rsidRPr="00507AEA">
              <w:t>0.05</w:t>
            </w:r>
          </w:p>
        </w:tc>
        <w:tc>
          <w:tcPr>
            <w:tcW w:w="878" w:type="pct"/>
            <w:hideMark/>
          </w:tcPr>
          <w:p w14:paraId="61DCEAD2" w14:textId="77777777" w:rsidR="00782E1C" w:rsidRPr="00507AEA" w:rsidRDefault="00782E1C" w:rsidP="0046559D">
            <w:pPr>
              <w:pStyle w:val="tabeltextintabel"/>
            </w:pPr>
            <w:r w:rsidRPr="00507AEA">
              <w:t>0.82</w:t>
            </w:r>
          </w:p>
        </w:tc>
      </w:tr>
      <w:tr w:rsidR="00782E1C" w:rsidRPr="00507AEA" w14:paraId="40E8C364" w14:textId="77777777" w:rsidTr="0046559D">
        <w:trPr>
          <w:trHeight w:val="320"/>
        </w:trPr>
        <w:tc>
          <w:tcPr>
            <w:tcW w:w="5000" w:type="pct"/>
            <w:gridSpan w:val="7"/>
            <w:hideMark/>
          </w:tcPr>
          <w:p w14:paraId="1852F0B3" w14:textId="77777777" w:rsidR="00782E1C" w:rsidRPr="00507AEA" w:rsidRDefault="00782E1C" w:rsidP="0046559D">
            <w:pPr>
              <w:pStyle w:val="tabeltextintabel"/>
              <w:rPr>
                <w:b/>
                <w:bCs/>
              </w:rPr>
            </w:pPr>
            <w:r w:rsidRPr="00507AEA">
              <w:rPr>
                <w:b/>
                <w:bCs/>
              </w:rPr>
              <w:t>SRT.MCL</w:t>
            </w:r>
          </w:p>
        </w:tc>
      </w:tr>
      <w:tr w:rsidR="00782E1C" w:rsidRPr="00507AEA" w14:paraId="0AA5C8C9" w14:textId="77777777" w:rsidTr="0090025D">
        <w:trPr>
          <w:trHeight w:val="320"/>
        </w:trPr>
        <w:tc>
          <w:tcPr>
            <w:tcW w:w="322" w:type="pct"/>
            <w:hideMark/>
          </w:tcPr>
          <w:p w14:paraId="3C9CAE4B" w14:textId="77777777" w:rsidR="00782E1C" w:rsidRPr="00507AEA" w:rsidRDefault="00782E1C" w:rsidP="0046559D">
            <w:pPr>
              <w:pStyle w:val="tabeltextintabel"/>
            </w:pPr>
            <w:r w:rsidRPr="00507AEA">
              <w:t>1</w:t>
            </w:r>
          </w:p>
        </w:tc>
        <w:tc>
          <w:tcPr>
            <w:tcW w:w="678" w:type="pct"/>
            <w:hideMark/>
          </w:tcPr>
          <w:p w14:paraId="61D73A5A" w14:textId="77777777" w:rsidR="00782E1C" w:rsidRPr="00507AEA" w:rsidRDefault="00782E1C" w:rsidP="0046559D">
            <w:pPr>
              <w:pStyle w:val="tabeltextintabel"/>
            </w:pPr>
            <w:r w:rsidRPr="00507AEA">
              <w:t>187</w:t>
            </w:r>
          </w:p>
        </w:tc>
        <w:tc>
          <w:tcPr>
            <w:tcW w:w="995" w:type="pct"/>
            <w:hideMark/>
          </w:tcPr>
          <w:p w14:paraId="18E67700" w14:textId="77777777" w:rsidR="00782E1C" w:rsidRPr="00507AEA" w:rsidRDefault="00782E1C" w:rsidP="0046559D">
            <w:pPr>
              <w:pStyle w:val="tabeltextintabel"/>
            </w:pPr>
            <w:r w:rsidRPr="00507AEA">
              <w:t>3,042,973.0</w:t>
            </w:r>
          </w:p>
        </w:tc>
        <w:tc>
          <w:tcPr>
            <w:tcW w:w="486" w:type="pct"/>
            <w:hideMark/>
          </w:tcPr>
          <w:p w14:paraId="5C6FE87B" w14:textId="77777777" w:rsidR="00782E1C" w:rsidRPr="00507AEA" w:rsidRDefault="00782E1C" w:rsidP="0046559D">
            <w:pPr>
              <w:pStyle w:val="tabeltextintabel"/>
            </w:pPr>
          </w:p>
        </w:tc>
        <w:tc>
          <w:tcPr>
            <w:tcW w:w="1031" w:type="pct"/>
            <w:hideMark/>
          </w:tcPr>
          <w:p w14:paraId="4C369A56" w14:textId="77777777" w:rsidR="00782E1C" w:rsidRPr="00507AEA" w:rsidRDefault="00782E1C" w:rsidP="0046559D">
            <w:pPr>
              <w:pStyle w:val="tabeltextintabel"/>
              <w:rPr>
                <w:sz w:val="20"/>
                <w:szCs w:val="20"/>
              </w:rPr>
            </w:pPr>
          </w:p>
        </w:tc>
        <w:tc>
          <w:tcPr>
            <w:tcW w:w="610" w:type="pct"/>
            <w:hideMark/>
          </w:tcPr>
          <w:p w14:paraId="65CBC568" w14:textId="77777777" w:rsidR="00782E1C" w:rsidRPr="00507AEA" w:rsidRDefault="00782E1C" w:rsidP="0046559D">
            <w:pPr>
              <w:pStyle w:val="tabeltextintabel"/>
              <w:rPr>
                <w:sz w:val="20"/>
                <w:szCs w:val="20"/>
              </w:rPr>
            </w:pPr>
          </w:p>
        </w:tc>
        <w:tc>
          <w:tcPr>
            <w:tcW w:w="878" w:type="pct"/>
            <w:hideMark/>
          </w:tcPr>
          <w:p w14:paraId="556123C3" w14:textId="77777777" w:rsidR="00782E1C" w:rsidRPr="00507AEA" w:rsidRDefault="00782E1C" w:rsidP="0046559D">
            <w:pPr>
              <w:pStyle w:val="tabeltextintabel"/>
            </w:pPr>
            <w:r w:rsidRPr="00507AEA">
              <w:t> </w:t>
            </w:r>
          </w:p>
        </w:tc>
      </w:tr>
      <w:tr w:rsidR="00782E1C" w:rsidRPr="00507AEA" w14:paraId="0D9CA549" w14:textId="77777777" w:rsidTr="0090025D">
        <w:trPr>
          <w:trHeight w:val="320"/>
        </w:trPr>
        <w:tc>
          <w:tcPr>
            <w:tcW w:w="322" w:type="pct"/>
            <w:hideMark/>
          </w:tcPr>
          <w:p w14:paraId="15146B70" w14:textId="77777777" w:rsidR="00782E1C" w:rsidRPr="00507AEA" w:rsidRDefault="00782E1C" w:rsidP="0046559D">
            <w:pPr>
              <w:pStyle w:val="tabeltextintabel"/>
            </w:pPr>
            <w:r w:rsidRPr="00507AEA">
              <w:t>2</w:t>
            </w:r>
          </w:p>
        </w:tc>
        <w:tc>
          <w:tcPr>
            <w:tcW w:w="678" w:type="pct"/>
            <w:hideMark/>
          </w:tcPr>
          <w:p w14:paraId="4B6A65CD" w14:textId="77777777" w:rsidR="00782E1C" w:rsidRPr="00507AEA" w:rsidRDefault="00782E1C" w:rsidP="0046559D">
            <w:pPr>
              <w:pStyle w:val="tabeltextintabel"/>
            </w:pPr>
            <w:r w:rsidRPr="00507AEA">
              <w:t>186</w:t>
            </w:r>
          </w:p>
        </w:tc>
        <w:tc>
          <w:tcPr>
            <w:tcW w:w="995" w:type="pct"/>
            <w:hideMark/>
          </w:tcPr>
          <w:p w14:paraId="4BD05991" w14:textId="77777777" w:rsidR="00782E1C" w:rsidRPr="00507AEA" w:rsidRDefault="00782E1C" w:rsidP="0046559D">
            <w:pPr>
              <w:pStyle w:val="tabeltextintabel"/>
            </w:pPr>
            <w:r w:rsidRPr="00507AEA">
              <w:t>2,939,837.0</w:t>
            </w:r>
          </w:p>
        </w:tc>
        <w:tc>
          <w:tcPr>
            <w:tcW w:w="486" w:type="pct"/>
            <w:hideMark/>
          </w:tcPr>
          <w:p w14:paraId="1308DF54" w14:textId="77777777" w:rsidR="00782E1C" w:rsidRPr="00507AEA" w:rsidRDefault="00782E1C" w:rsidP="0046559D">
            <w:pPr>
              <w:pStyle w:val="tabeltextintabel"/>
            </w:pPr>
            <w:r w:rsidRPr="00507AEA">
              <w:t>1</w:t>
            </w:r>
          </w:p>
        </w:tc>
        <w:tc>
          <w:tcPr>
            <w:tcW w:w="1031" w:type="pct"/>
            <w:hideMark/>
          </w:tcPr>
          <w:p w14:paraId="566C5036" w14:textId="77777777" w:rsidR="00782E1C" w:rsidRPr="00507AEA" w:rsidRDefault="00782E1C" w:rsidP="0046559D">
            <w:pPr>
              <w:pStyle w:val="tabeltextintabel"/>
            </w:pPr>
            <w:r w:rsidRPr="00507AEA">
              <w:t>103,135.10</w:t>
            </w:r>
          </w:p>
        </w:tc>
        <w:tc>
          <w:tcPr>
            <w:tcW w:w="610" w:type="pct"/>
            <w:hideMark/>
          </w:tcPr>
          <w:p w14:paraId="144E1863" w14:textId="77777777" w:rsidR="00782E1C" w:rsidRPr="00507AEA" w:rsidRDefault="00782E1C" w:rsidP="0046559D">
            <w:pPr>
              <w:pStyle w:val="tabeltextintabel"/>
            </w:pPr>
            <w:r w:rsidRPr="00507AEA">
              <w:t>6.53</w:t>
            </w:r>
          </w:p>
        </w:tc>
        <w:tc>
          <w:tcPr>
            <w:tcW w:w="878" w:type="pct"/>
            <w:hideMark/>
          </w:tcPr>
          <w:p w14:paraId="130A4F9B" w14:textId="77777777" w:rsidR="00782E1C" w:rsidRPr="00507AEA" w:rsidRDefault="00782E1C" w:rsidP="0046559D">
            <w:pPr>
              <w:pStyle w:val="tabeltextintabel"/>
            </w:pPr>
            <w:r w:rsidRPr="00507AEA">
              <w:t>0.01</w:t>
            </w:r>
          </w:p>
        </w:tc>
      </w:tr>
      <w:tr w:rsidR="00782E1C" w:rsidRPr="00507AEA" w14:paraId="63FB0121" w14:textId="77777777" w:rsidTr="0046559D">
        <w:trPr>
          <w:trHeight w:val="320"/>
        </w:trPr>
        <w:tc>
          <w:tcPr>
            <w:tcW w:w="5000" w:type="pct"/>
            <w:gridSpan w:val="7"/>
            <w:hideMark/>
          </w:tcPr>
          <w:p w14:paraId="4D7D88EE" w14:textId="77777777" w:rsidR="00782E1C" w:rsidRPr="00507AEA" w:rsidRDefault="00782E1C" w:rsidP="0046559D">
            <w:pPr>
              <w:pStyle w:val="tabeltextintabel"/>
              <w:rPr>
                <w:b/>
                <w:bCs/>
              </w:rPr>
            </w:pPr>
            <w:r w:rsidRPr="00507AEA">
              <w:rPr>
                <w:b/>
                <w:bCs/>
              </w:rPr>
              <w:t>SRT.PCT</w:t>
            </w:r>
          </w:p>
        </w:tc>
      </w:tr>
      <w:tr w:rsidR="00782E1C" w:rsidRPr="00507AEA" w14:paraId="74E3C484" w14:textId="77777777" w:rsidTr="0090025D">
        <w:trPr>
          <w:trHeight w:val="320"/>
        </w:trPr>
        <w:tc>
          <w:tcPr>
            <w:tcW w:w="322" w:type="pct"/>
            <w:hideMark/>
          </w:tcPr>
          <w:p w14:paraId="2F6733B1" w14:textId="77777777" w:rsidR="00782E1C" w:rsidRPr="00507AEA" w:rsidRDefault="00782E1C" w:rsidP="0046559D">
            <w:pPr>
              <w:pStyle w:val="tabeltextintabel"/>
            </w:pPr>
            <w:r w:rsidRPr="00507AEA">
              <w:t>1</w:t>
            </w:r>
          </w:p>
        </w:tc>
        <w:tc>
          <w:tcPr>
            <w:tcW w:w="678" w:type="pct"/>
            <w:hideMark/>
          </w:tcPr>
          <w:p w14:paraId="2536EBF0" w14:textId="77777777" w:rsidR="00782E1C" w:rsidRPr="00507AEA" w:rsidRDefault="00782E1C" w:rsidP="0046559D">
            <w:pPr>
              <w:pStyle w:val="tabeltextintabel"/>
            </w:pPr>
            <w:r w:rsidRPr="00507AEA">
              <w:t>187</w:t>
            </w:r>
          </w:p>
        </w:tc>
        <w:tc>
          <w:tcPr>
            <w:tcW w:w="995" w:type="pct"/>
            <w:hideMark/>
          </w:tcPr>
          <w:p w14:paraId="47061979" w14:textId="77777777" w:rsidR="00782E1C" w:rsidRPr="00507AEA" w:rsidRDefault="00782E1C" w:rsidP="0046559D">
            <w:pPr>
              <w:pStyle w:val="tabeltextintabel"/>
            </w:pPr>
            <w:r w:rsidRPr="00507AEA">
              <w:t>4,843.41</w:t>
            </w:r>
          </w:p>
        </w:tc>
        <w:tc>
          <w:tcPr>
            <w:tcW w:w="486" w:type="pct"/>
            <w:hideMark/>
          </w:tcPr>
          <w:p w14:paraId="500C1524" w14:textId="77777777" w:rsidR="00782E1C" w:rsidRPr="00507AEA" w:rsidRDefault="00782E1C" w:rsidP="0046559D">
            <w:pPr>
              <w:pStyle w:val="tabeltextintabel"/>
            </w:pPr>
          </w:p>
        </w:tc>
        <w:tc>
          <w:tcPr>
            <w:tcW w:w="1031" w:type="pct"/>
            <w:hideMark/>
          </w:tcPr>
          <w:p w14:paraId="7A93EC47" w14:textId="77777777" w:rsidR="00782E1C" w:rsidRPr="00507AEA" w:rsidRDefault="00782E1C" w:rsidP="0046559D">
            <w:pPr>
              <w:pStyle w:val="tabeltextintabel"/>
              <w:rPr>
                <w:sz w:val="20"/>
                <w:szCs w:val="20"/>
              </w:rPr>
            </w:pPr>
          </w:p>
        </w:tc>
        <w:tc>
          <w:tcPr>
            <w:tcW w:w="610" w:type="pct"/>
            <w:hideMark/>
          </w:tcPr>
          <w:p w14:paraId="17DC56B5" w14:textId="77777777" w:rsidR="00782E1C" w:rsidRPr="00507AEA" w:rsidRDefault="00782E1C" w:rsidP="0046559D">
            <w:pPr>
              <w:pStyle w:val="tabeltextintabel"/>
              <w:rPr>
                <w:sz w:val="20"/>
                <w:szCs w:val="20"/>
              </w:rPr>
            </w:pPr>
          </w:p>
        </w:tc>
        <w:tc>
          <w:tcPr>
            <w:tcW w:w="878" w:type="pct"/>
            <w:hideMark/>
          </w:tcPr>
          <w:p w14:paraId="7AF71B6B" w14:textId="77777777" w:rsidR="00782E1C" w:rsidRPr="00507AEA" w:rsidRDefault="00782E1C" w:rsidP="0046559D">
            <w:pPr>
              <w:pStyle w:val="tabeltextintabel"/>
            </w:pPr>
            <w:r w:rsidRPr="00507AEA">
              <w:t> </w:t>
            </w:r>
          </w:p>
        </w:tc>
      </w:tr>
      <w:tr w:rsidR="00782E1C" w:rsidRPr="00507AEA" w14:paraId="63002FE1" w14:textId="77777777" w:rsidTr="0090025D">
        <w:trPr>
          <w:trHeight w:val="320"/>
        </w:trPr>
        <w:tc>
          <w:tcPr>
            <w:tcW w:w="322" w:type="pct"/>
            <w:hideMark/>
          </w:tcPr>
          <w:p w14:paraId="60F6E47A" w14:textId="77777777" w:rsidR="00782E1C" w:rsidRPr="00507AEA" w:rsidRDefault="00782E1C" w:rsidP="0046559D">
            <w:pPr>
              <w:pStyle w:val="tabeltextintabel"/>
            </w:pPr>
            <w:r w:rsidRPr="00507AEA">
              <w:t>2</w:t>
            </w:r>
          </w:p>
        </w:tc>
        <w:tc>
          <w:tcPr>
            <w:tcW w:w="678" w:type="pct"/>
            <w:hideMark/>
          </w:tcPr>
          <w:p w14:paraId="7AA80524" w14:textId="77777777" w:rsidR="00782E1C" w:rsidRPr="00507AEA" w:rsidRDefault="00782E1C" w:rsidP="0046559D">
            <w:pPr>
              <w:pStyle w:val="tabeltextintabel"/>
            </w:pPr>
            <w:r w:rsidRPr="00507AEA">
              <w:t>186</w:t>
            </w:r>
          </w:p>
        </w:tc>
        <w:tc>
          <w:tcPr>
            <w:tcW w:w="995" w:type="pct"/>
            <w:hideMark/>
          </w:tcPr>
          <w:p w14:paraId="1ADA3AB4" w14:textId="77777777" w:rsidR="00782E1C" w:rsidRPr="00507AEA" w:rsidRDefault="00782E1C" w:rsidP="0046559D">
            <w:pPr>
              <w:pStyle w:val="tabeltextintabel"/>
            </w:pPr>
            <w:r w:rsidRPr="00507AEA">
              <w:t>4,520.95</w:t>
            </w:r>
          </w:p>
        </w:tc>
        <w:tc>
          <w:tcPr>
            <w:tcW w:w="486" w:type="pct"/>
            <w:hideMark/>
          </w:tcPr>
          <w:p w14:paraId="410AD259" w14:textId="77777777" w:rsidR="00782E1C" w:rsidRPr="00507AEA" w:rsidRDefault="00782E1C" w:rsidP="0046559D">
            <w:pPr>
              <w:pStyle w:val="tabeltextintabel"/>
            </w:pPr>
            <w:r w:rsidRPr="00507AEA">
              <w:t>1</w:t>
            </w:r>
          </w:p>
        </w:tc>
        <w:tc>
          <w:tcPr>
            <w:tcW w:w="1031" w:type="pct"/>
            <w:hideMark/>
          </w:tcPr>
          <w:p w14:paraId="57347AB2" w14:textId="77777777" w:rsidR="00782E1C" w:rsidRPr="00507AEA" w:rsidRDefault="00782E1C" w:rsidP="0046559D">
            <w:pPr>
              <w:pStyle w:val="tabeltextintabel"/>
            </w:pPr>
            <w:r w:rsidRPr="00507AEA">
              <w:t>322.46</w:t>
            </w:r>
          </w:p>
        </w:tc>
        <w:tc>
          <w:tcPr>
            <w:tcW w:w="610" w:type="pct"/>
            <w:hideMark/>
          </w:tcPr>
          <w:p w14:paraId="1353DAC1" w14:textId="77777777" w:rsidR="00782E1C" w:rsidRPr="00507AEA" w:rsidRDefault="00782E1C" w:rsidP="0046559D">
            <w:pPr>
              <w:pStyle w:val="tabeltextintabel"/>
            </w:pPr>
            <w:r w:rsidRPr="00507AEA">
              <w:t>13.27</w:t>
            </w:r>
          </w:p>
        </w:tc>
        <w:tc>
          <w:tcPr>
            <w:tcW w:w="878" w:type="pct"/>
            <w:hideMark/>
          </w:tcPr>
          <w:p w14:paraId="12FBDAA9" w14:textId="77777777" w:rsidR="00782E1C" w:rsidRPr="00507AEA" w:rsidRDefault="00782E1C" w:rsidP="0046559D">
            <w:pPr>
              <w:pStyle w:val="tabeltextintabel"/>
            </w:pPr>
            <w:r w:rsidRPr="00507AEA">
              <w:t>0.0004</w:t>
            </w:r>
          </w:p>
        </w:tc>
      </w:tr>
      <w:tr w:rsidR="00782E1C" w:rsidRPr="00507AEA" w14:paraId="535D3415" w14:textId="77777777" w:rsidTr="0046559D">
        <w:trPr>
          <w:trHeight w:val="320"/>
        </w:trPr>
        <w:tc>
          <w:tcPr>
            <w:tcW w:w="5000" w:type="pct"/>
            <w:gridSpan w:val="7"/>
            <w:hideMark/>
          </w:tcPr>
          <w:p w14:paraId="1939A435" w14:textId="77777777" w:rsidR="00782E1C" w:rsidRPr="00507AEA" w:rsidRDefault="00782E1C" w:rsidP="0046559D">
            <w:pPr>
              <w:pStyle w:val="tabeltextintabel"/>
              <w:rPr>
                <w:b/>
                <w:bCs/>
              </w:rPr>
            </w:pPr>
            <w:r w:rsidRPr="00507AEA">
              <w:rPr>
                <w:b/>
                <w:bCs/>
              </w:rPr>
              <w:t>SST.DEOSAGT</w:t>
            </w:r>
          </w:p>
        </w:tc>
      </w:tr>
      <w:tr w:rsidR="00782E1C" w:rsidRPr="00507AEA" w14:paraId="7B0C9E06" w14:textId="77777777" w:rsidTr="0090025D">
        <w:trPr>
          <w:trHeight w:val="320"/>
        </w:trPr>
        <w:tc>
          <w:tcPr>
            <w:tcW w:w="322" w:type="pct"/>
            <w:hideMark/>
          </w:tcPr>
          <w:p w14:paraId="39A3F7A0" w14:textId="77777777" w:rsidR="00782E1C" w:rsidRPr="00507AEA" w:rsidRDefault="00782E1C" w:rsidP="0046559D">
            <w:pPr>
              <w:pStyle w:val="tabeltextintabel"/>
            </w:pPr>
            <w:r w:rsidRPr="00507AEA">
              <w:t>1</w:t>
            </w:r>
          </w:p>
        </w:tc>
        <w:tc>
          <w:tcPr>
            <w:tcW w:w="678" w:type="pct"/>
            <w:hideMark/>
          </w:tcPr>
          <w:p w14:paraId="625F817A" w14:textId="77777777" w:rsidR="00782E1C" w:rsidRPr="00507AEA" w:rsidRDefault="00782E1C" w:rsidP="0046559D">
            <w:pPr>
              <w:pStyle w:val="tabeltextintabel"/>
            </w:pPr>
            <w:r w:rsidRPr="00507AEA">
              <w:t>200</w:t>
            </w:r>
          </w:p>
        </w:tc>
        <w:tc>
          <w:tcPr>
            <w:tcW w:w="995" w:type="pct"/>
            <w:hideMark/>
          </w:tcPr>
          <w:p w14:paraId="04F702AF" w14:textId="77777777" w:rsidR="00782E1C" w:rsidRPr="00507AEA" w:rsidRDefault="00782E1C" w:rsidP="0046559D">
            <w:pPr>
              <w:pStyle w:val="tabeltextintabel"/>
            </w:pPr>
            <w:r w:rsidRPr="00507AEA">
              <w:t>25,107.15</w:t>
            </w:r>
          </w:p>
        </w:tc>
        <w:tc>
          <w:tcPr>
            <w:tcW w:w="486" w:type="pct"/>
            <w:hideMark/>
          </w:tcPr>
          <w:p w14:paraId="132EB37E" w14:textId="77777777" w:rsidR="00782E1C" w:rsidRPr="00507AEA" w:rsidRDefault="00782E1C" w:rsidP="0046559D">
            <w:pPr>
              <w:pStyle w:val="tabeltextintabel"/>
            </w:pPr>
          </w:p>
        </w:tc>
        <w:tc>
          <w:tcPr>
            <w:tcW w:w="1031" w:type="pct"/>
            <w:hideMark/>
          </w:tcPr>
          <w:p w14:paraId="01A899EE" w14:textId="77777777" w:rsidR="00782E1C" w:rsidRPr="00507AEA" w:rsidRDefault="00782E1C" w:rsidP="0046559D">
            <w:pPr>
              <w:pStyle w:val="tabeltextintabel"/>
              <w:rPr>
                <w:sz w:val="20"/>
                <w:szCs w:val="20"/>
              </w:rPr>
            </w:pPr>
          </w:p>
        </w:tc>
        <w:tc>
          <w:tcPr>
            <w:tcW w:w="610" w:type="pct"/>
            <w:hideMark/>
          </w:tcPr>
          <w:p w14:paraId="3C25F8EE" w14:textId="77777777" w:rsidR="00782E1C" w:rsidRPr="00507AEA" w:rsidRDefault="00782E1C" w:rsidP="0046559D">
            <w:pPr>
              <w:pStyle w:val="tabeltextintabel"/>
              <w:rPr>
                <w:sz w:val="20"/>
                <w:szCs w:val="20"/>
              </w:rPr>
            </w:pPr>
          </w:p>
        </w:tc>
        <w:tc>
          <w:tcPr>
            <w:tcW w:w="878" w:type="pct"/>
            <w:hideMark/>
          </w:tcPr>
          <w:p w14:paraId="17CBA884" w14:textId="77777777" w:rsidR="00782E1C" w:rsidRPr="00507AEA" w:rsidRDefault="00782E1C" w:rsidP="0046559D">
            <w:pPr>
              <w:pStyle w:val="tabeltextintabel"/>
            </w:pPr>
            <w:r w:rsidRPr="00507AEA">
              <w:t> </w:t>
            </w:r>
          </w:p>
        </w:tc>
      </w:tr>
      <w:tr w:rsidR="00782E1C" w:rsidRPr="00507AEA" w14:paraId="26F3A6FD" w14:textId="77777777" w:rsidTr="0090025D">
        <w:trPr>
          <w:trHeight w:val="320"/>
        </w:trPr>
        <w:tc>
          <w:tcPr>
            <w:tcW w:w="322" w:type="pct"/>
            <w:hideMark/>
          </w:tcPr>
          <w:p w14:paraId="2E1756B9" w14:textId="77777777" w:rsidR="00782E1C" w:rsidRPr="00507AEA" w:rsidRDefault="00782E1C" w:rsidP="0046559D">
            <w:pPr>
              <w:pStyle w:val="tabeltextintabel"/>
            </w:pPr>
            <w:r w:rsidRPr="00507AEA">
              <w:t>2</w:t>
            </w:r>
          </w:p>
        </w:tc>
        <w:tc>
          <w:tcPr>
            <w:tcW w:w="678" w:type="pct"/>
            <w:hideMark/>
          </w:tcPr>
          <w:p w14:paraId="5066CB80" w14:textId="77777777" w:rsidR="00782E1C" w:rsidRPr="00507AEA" w:rsidRDefault="00782E1C" w:rsidP="0046559D">
            <w:pPr>
              <w:pStyle w:val="tabeltextintabel"/>
            </w:pPr>
            <w:r w:rsidRPr="00507AEA">
              <w:t>199</w:t>
            </w:r>
          </w:p>
        </w:tc>
        <w:tc>
          <w:tcPr>
            <w:tcW w:w="995" w:type="pct"/>
            <w:hideMark/>
          </w:tcPr>
          <w:p w14:paraId="1299D49B" w14:textId="77777777" w:rsidR="00782E1C" w:rsidRPr="00507AEA" w:rsidRDefault="00782E1C" w:rsidP="0046559D">
            <w:pPr>
              <w:pStyle w:val="tabeltextintabel"/>
            </w:pPr>
            <w:r w:rsidRPr="00507AEA">
              <w:t>25,069.51</w:t>
            </w:r>
          </w:p>
        </w:tc>
        <w:tc>
          <w:tcPr>
            <w:tcW w:w="486" w:type="pct"/>
            <w:hideMark/>
          </w:tcPr>
          <w:p w14:paraId="327DEF63" w14:textId="77777777" w:rsidR="00782E1C" w:rsidRPr="00507AEA" w:rsidRDefault="00782E1C" w:rsidP="0046559D">
            <w:pPr>
              <w:pStyle w:val="tabeltextintabel"/>
            </w:pPr>
            <w:r w:rsidRPr="00507AEA">
              <w:t>1</w:t>
            </w:r>
          </w:p>
        </w:tc>
        <w:tc>
          <w:tcPr>
            <w:tcW w:w="1031" w:type="pct"/>
            <w:hideMark/>
          </w:tcPr>
          <w:p w14:paraId="245581D5" w14:textId="77777777" w:rsidR="00782E1C" w:rsidRPr="00507AEA" w:rsidRDefault="00782E1C" w:rsidP="0046559D">
            <w:pPr>
              <w:pStyle w:val="tabeltextintabel"/>
            </w:pPr>
            <w:r w:rsidRPr="00507AEA">
              <w:t>37.64</w:t>
            </w:r>
          </w:p>
        </w:tc>
        <w:tc>
          <w:tcPr>
            <w:tcW w:w="610" w:type="pct"/>
            <w:hideMark/>
          </w:tcPr>
          <w:p w14:paraId="7F628C2F" w14:textId="77777777" w:rsidR="00782E1C" w:rsidRPr="00507AEA" w:rsidRDefault="00782E1C" w:rsidP="0046559D">
            <w:pPr>
              <w:pStyle w:val="tabeltextintabel"/>
            </w:pPr>
            <w:r w:rsidRPr="00507AEA">
              <w:t>0.30</w:t>
            </w:r>
          </w:p>
        </w:tc>
        <w:tc>
          <w:tcPr>
            <w:tcW w:w="878" w:type="pct"/>
            <w:hideMark/>
          </w:tcPr>
          <w:p w14:paraId="02A8F60B" w14:textId="77777777" w:rsidR="00782E1C" w:rsidRPr="00507AEA" w:rsidRDefault="00782E1C" w:rsidP="0046559D">
            <w:pPr>
              <w:pStyle w:val="tabeltextintabel"/>
            </w:pPr>
            <w:r w:rsidRPr="00507AEA">
              <w:t>0.59</w:t>
            </w:r>
          </w:p>
        </w:tc>
      </w:tr>
      <w:tr w:rsidR="00782E1C" w:rsidRPr="00507AEA" w14:paraId="556806EF" w14:textId="77777777" w:rsidTr="0046559D">
        <w:trPr>
          <w:trHeight w:val="320"/>
        </w:trPr>
        <w:tc>
          <w:tcPr>
            <w:tcW w:w="5000" w:type="pct"/>
            <w:gridSpan w:val="7"/>
            <w:hideMark/>
          </w:tcPr>
          <w:p w14:paraId="6C5A0B15" w14:textId="77777777" w:rsidR="00782E1C" w:rsidRPr="00507AEA" w:rsidRDefault="00782E1C" w:rsidP="0046559D">
            <w:pPr>
              <w:pStyle w:val="tabeltextintabel"/>
              <w:rPr>
                <w:b/>
                <w:bCs/>
              </w:rPr>
            </w:pPr>
            <w:r w:rsidRPr="00507AEA">
              <w:rPr>
                <w:b/>
                <w:bCs/>
              </w:rPr>
              <w:t>SST.SSRT</w:t>
            </w:r>
          </w:p>
        </w:tc>
      </w:tr>
      <w:tr w:rsidR="00782E1C" w:rsidRPr="00507AEA" w14:paraId="23E07D0D" w14:textId="77777777" w:rsidTr="0090025D">
        <w:trPr>
          <w:trHeight w:val="320"/>
        </w:trPr>
        <w:tc>
          <w:tcPr>
            <w:tcW w:w="322" w:type="pct"/>
            <w:hideMark/>
          </w:tcPr>
          <w:p w14:paraId="12DEE4A8" w14:textId="77777777" w:rsidR="00782E1C" w:rsidRPr="00507AEA" w:rsidRDefault="00782E1C" w:rsidP="0046559D">
            <w:pPr>
              <w:pStyle w:val="tabeltextintabel"/>
            </w:pPr>
            <w:r w:rsidRPr="00507AEA">
              <w:t>1</w:t>
            </w:r>
          </w:p>
        </w:tc>
        <w:tc>
          <w:tcPr>
            <w:tcW w:w="678" w:type="pct"/>
            <w:hideMark/>
          </w:tcPr>
          <w:p w14:paraId="0BF6AEBE" w14:textId="77777777" w:rsidR="00782E1C" w:rsidRPr="00507AEA" w:rsidRDefault="00782E1C" w:rsidP="0046559D">
            <w:pPr>
              <w:pStyle w:val="tabeltextintabel"/>
            </w:pPr>
            <w:r w:rsidRPr="00507AEA">
              <w:t>199</w:t>
            </w:r>
          </w:p>
        </w:tc>
        <w:tc>
          <w:tcPr>
            <w:tcW w:w="995" w:type="pct"/>
            <w:hideMark/>
          </w:tcPr>
          <w:p w14:paraId="119A5ADC" w14:textId="77777777" w:rsidR="00782E1C" w:rsidRPr="00507AEA" w:rsidRDefault="00782E1C" w:rsidP="0046559D">
            <w:pPr>
              <w:pStyle w:val="tabeltextintabel"/>
            </w:pPr>
            <w:r w:rsidRPr="00507AEA">
              <w:t>1,364,661.0</w:t>
            </w:r>
          </w:p>
        </w:tc>
        <w:tc>
          <w:tcPr>
            <w:tcW w:w="486" w:type="pct"/>
            <w:hideMark/>
          </w:tcPr>
          <w:p w14:paraId="699C675C" w14:textId="77777777" w:rsidR="00782E1C" w:rsidRPr="00507AEA" w:rsidRDefault="00782E1C" w:rsidP="0046559D">
            <w:pPr>
              <w:pStyle w:val="tabeltextintabel"/>
            </w:pPr>
          </w:p>
        </w:tc>
        <w:tc>
          <w:tcPr>
            <w:tcW w:w="1031" w:type="pct"/>
            <w:hideMark/>
          </w:tcPr>
          <w:p w14:paraId="30363287" w14:textId="77777777" w:rsidR="00782E1C" w:rsidRPr="00507AEA" w:rsidRDefault="00782E1C" w:rsidP="0046559D">
            <w:pPr>
              <w:pStyle w:val="tabeltextintabel"/>
              <w:rPr>
                <w:sz w:val="20"/>
                <w:szCs w:val="20"/>
              </w:rPr>
            </w:pPr>
          </w:p>
        </w:tc>
        <w:tc>
          <w:tcPr>
            <w:tcW w:w="610" w:type="pct"/>
            <w:hideMark/>
          </w:tcPr>
          <w:p w14:paraId="2A3D336B" w14:textId="77777777" w:rsidR="00782E1C" w:rsidRPr="00507AEA" w:rsidRDefault="00782E1C" w:rsidP="0046559D">
            <w:pPr>
              <w:pStyle w:val="tabeltextintabel"/>
              <w:rPr>
                <w:sz w:val="20"/>
                <w:szCs w:val="20"/>
              </w:rPr>
            </w:pPr>
          </w:p>
        </w:tc>
        <w:tc>
          <w:tcPr>
            <w:tcW w:w="878" w:type="pct"/>
            <w:hideMark/>
          </w:tcPr>
          <w:p w14:paraId="08EA6990" w14:textId="77777777" w:rsidR="00782E1C" w:rsidRPr="00507AEA" w:rsidRDefault="00782E1C" w:rsidP="0046559D">
            <w:pPr>
              <w:pStyle w:val="tabeltextintabel"/>
            </w:pPr>
            <w:r w:rsidRPr="00507AEA">
              <w:t> </w:t>
            </w:r>
          </w:p>
        </w:tc>
      </w:tr>
      <w:tr w:rsidR="00782E1C" w:rsidRPr="00507AEA" w14:paraId="59BEEF67" w14:textId="77777777" w:rsidTr="0090025D">
        <w:trPr>
          <w:trHeight w:val="340"/>
        </w:trPr>
        <w:tc>
          <w:tcPr>
            <w:tcW w:w="322" w:type="pct"/>
            <w:hideMark/>
          </w:tcPr>
          <w:p w14:paraId="762A16FD" w14:textId="77777777" w:rsidR="00782E1C" w:rsidRPr="00507AEA" w:rsidRDefault="00782E1C" w:rsidP="0046559D">
            <w:pPr>
              <w:pStyle w:val="tabeltextintabel"/>
            </w:pPr>
            <w:r w:rsidRPr="00507AEA">
              <w:t>2</w:t>
            </w:r>
          </w:p>
        </w:tc>
        <w:tc>
          <w:tcPr>
            <w:tcW w:w="678" w:type="pct"/>
            <w:hideMark/>
          </w:tcPr>
          <w:p w14:paraId="47C0DBC0" w14:textId="77777777" w:rsidR="00782E1C" w:rsidRPr="00507AEA" w:rsidRDefault="00782E1C" w:rsidP="0046559D">
            <w:pPr>
              <w:pStyle w:val="tabeltextintabel"/>
            </w:pPr>
            <w:r w:rsidRPr="00507AEA">
              <w:t>198</w:t>
            </w:r>
          </w:p>
        </w:tc>
        <w:tc>
          <w:tcPr>
            <w:tcW w:w="995" w:type="pct"/>
            <w:hideMark/>
          </w:tcPr>
          <w:p w14:paraId="4CBB27B2" w14:textId="77777777" w:rsidR="00782E1C" w:rsidRPr="00507AEA" w:rsidRDefault="00782E1C" w:rsidP="0046559D">
            <w:pPr>
              <w:pStyle w:val="tabeltextintabel"/>
            </w:pPr>
            <w:r w:rsidRPr="00507AEA">
              <w:t>1,252,423.0</w:t>
            </w:r>
          </w:p>
        </w:tc>
        <w:tc>
          <w:tcPr>
            <w:tcW w:w="486" w:type="pct"/>
            <w:hideMark/>
          </w:tcPr>
          <w:p w14:paraId="42EEB46D" w14:textId="77777777" w:rsidR="00782E1C" w:rsidRPr="00507AEA" w:rsidRDefault="00782E1C" w:rsidP="0046559D">
            <w:pPr>
              <w:pStyle w:val="tabeltextintabel"/>
            </w:pPr>
            <w:r w:rsidRPr="00507AEA">
              <w:t>1</w:t>
            </w:r>
          </w:p>
        </w:tc>
        <w:tc>
          <w:tcPr>
            <w:tcW w:w="1031" w:type="pct"/>
            <w:hideMark/>
          </w:tcPr>
          <w:p w14:paraId="5A8C8E7D" w14:textId="77777777" w:rsidR="00782E1C" w:rsidRPr="00507AEA" w:rsidRDefault="00782E1C" w:rsidP="0046559D">
            <w:pPr>
              <w:pStyle w:val="tabeltextintabel"/>
            </w:pPr>
            <w:r w:rsidRPr="00507AEA">
              <w:t>112,238.00</w:t>
            </w:r>
          </w:p>
        </w:tc>
        <w:tc>
          <w:tcPr>
            <w:tcW w:w="610" w:type="pct"/>
            <w:hideMark/>
          </w:tcPr>
          <w:p w14:paraId="5D4349E5" w14:textId="77777777" w:rsidR="00782E1C" w:rsidRPr="00507AEA" w:rsidRDefault="00782E1C" w:rsidP="0046559D">
            <w:pPr>
              <w:pStyle w:val="tabeltextintabel"/>
            </w:pPr>
            <w:r w:rsidRPr="00507AEA">
              <w:t>17.74</w:t>
            </w:r>
          </w:p>
        </w:tc>
        <w:tc>
          <w:tcPr>
            <w:tcW w:w="878" w:type="pct"/>
            <w:hideMark/>
          </w:tcPr>
          <w:p w14:paraId="7976B306" w14:textId="77777777" w:rsidR="00782E1C" w:rsidRPr="00507AEA" w:rsidRDefault="00782E1C" w:rsidP="0046559D">
            <w:pPr>
              <w:pStyle w:val="tabeltextintabel"/>
            </w:pPr>
            <w:r w:rsidRPr="00507AEA">
              <w:t>0.0000</w:t>
            </w:r>
          </w:p>
        </w:tc>
      </w:tr>
    </w:tbl>
    <w:p w14:paraId="6DC8D9EF" w14:textId="1B465F9A" w:rsidR="0090025D" w:rsidRPr="0090025D" w:rsidRDefault="0090025D" w:rsidP="0090025D">
      <w:pPr>
        <w:pStyle w:val="Caption"/>
        <w:keepNext/>
        <w:outlineLvl w:val="0"/>
        <w:rPr>
          <w:rFonts w:ascii="Arial" w:hAnsi="Arial" w:cs="Arial"/>
          <w:b w:val="0"/>
          <w:color w:val="000000" w:themeColor="text1"/>
          <w:sz w:val="14"/>
          <w:szCs w:val="14"/>
        </w:rPr>
      </w:pPr>
      <w:r>
        <w:rPr>
          <w:rFonts w:ascii="Arial" w:hAnsi="Arial" w:cs="Arial"/>
          <w:b w:val="0"/>
          <w:color w:val="000000" w:themeColor="text1"/>
          <w:sz w:val="14"/>
          <w:szCs w:val="14"/>
        </w:rPr>
        <w:t>IED.TEA=Inter-Extra Dimensional Set Shift</w:t>
      </w:r>
      <w:r w:rsidR="00E42D4E">
        <w:rPr>
          <w:rFonts w:ascii="Arial" w:hAnsi="Arial" w:cs="Arial"/>
          <w:b w:val="0"/>
          <w:color w:val="000000" w:themeColor="text1"/>
          <w:sz w:val="14"/>
          <w:szCs w:val="14"/>
        </w:rPr>
        <w:t xml:space="preserve"> Total Errors</w:t>
      </w:r>
      <w:r>
        <w:rPr>
          <w:rFonts w:ascii="Arial" w:hAnsi="Arial" w:cs="Arial"/>
          <w:b w:val="0"/>
          <w:color w:val="000000" w:themeColor="text1"/>
          <w:sz w:val="14"/>
          <w:szCs w:val="14"/>
        </w:rPr>
        <w:t xml:space="preserve">, </w:t>
      </w:r>
      <w:r w:rsidR="00E42D4E">
        <w:rPr>
          <w:rFonts w:ascii="Arial" w:hAnsi="Arial" w:cs="Arial"/>
          <w:b w:val="0"/>
          <w:color w:val="000000" w:themeColor="text1"/>
          <w:sz w:val="14"/>
          <w:szCs w:val="14"/>
        </w:rPr>
        <w:t xml:space="preserve">IED.SC= Inter-Extra Dimensional Set Shift Stdges Completed, </w:t>
      </w:r>
      <w:r>
        <w:rPr>
          <w:rFonts w:ascii="Arial" w:hAnsi="Arial" w:cs="Arial"/>
          <w:b w:val="0"/>
          <w:color w:val="000000" w:themeColor="text1"/>
          <w:sz w:val="14"/>
          <w:szCs w:val="14"/>
        </w:rPr>
        <w:t>SOC=Stocking of Cambridge, SWM</w:t>
      </w:r>
      <w:r w:rsidR="00E42D4E">
        <w:rPr>
          <w:rFonts w:ascii="Arial" w:hAnsi="Arial" w:cs="Arial"/>
          <w:b w:val="0"/>
          <w:color w:val="000000" w:themeColor="text1"/>
          <w:sz w:val="14"/>
          <w:szCs w:val="14"/>
        </w:rPr>
        <w:t>.BE</w:t>
      </w:r>
      <w:r>
        <w:rPr>
          <w:rFonts w:ascii="Arial" w:hAnsi="Arial" w:cs="Arial"/>
          <w:b w:val="0"/>
          <w:color w:val="000000" w:themeColor="text1"/>
          <w:sz w:val="14"/>
          <w:szCs w:val="14"/>
        </w:rPr>
        <w:t>=Spatial Working Memory</w:t>
      </w:r>
      <w:r w:rsidR="00E42D4E">
        <w:rPr>
          <w:rFonts w:ascii="Arial" w:hAnsi="Arial" w:cs="Arial"/>
          <w:b w:val="0"/>
          <w:color w:val="000000" w:themeColor="text1"/>
          <w:sz w:val="14"/>
          <w:szCs w:val="14"/>
        </w:rPr>
        <w:t xml:space="preserve"> Between Errors</w:t>
      </w:r>
      <w:r>
        <w:rPr>
          <w:rFonts w:ascii="Arial" w:hAnsi="Arial" w:cs="Arial"/>
          <w:b w:val="0"/>
          <w:color w:val="000000" w:themeColor="text1"/>
          <w:sz w:val="14"/>
          <w:szCs w:val="14"/>
        </w:rPr>
        <w:t xml:space="preserve">, </w:t>
      </w:r>
      <w:r w:rsidR="00E42D4E">
        <w:rPr>
          <w:rFonts w:ascii="Arial" w:hAnsi="Arial" w:cs="Arial"/>
          <w:b w:val="0"/>
          <w:color w:val="000000" w:themeColor="text1"/>
          <w:sz w:val="14"/>
          <w:szCs w:val="14"/>
        </w:rPr>
        <w:t xml:space="preserve">SWM.STRAT=Spatial Working Memory Strategy, </w:t>
      </w:r>
      <w:r>
        <w:rPr>
          <w:rFonts w:ascii="Arial" w:hAnsi="Arial" w:cs="Arial"/>
          <w:b w:val="0"/>
          <w:color w:val="000000" w:themeColor="text1"/>
          <w:sz w:val="14"/>
          <w:szCs w:val="14"/>
        </w:rPr>
        <w:t>SRT</w:t>
      </w:r>
      <w:r w:rsidR="00E42D4E">
        <w:rPr>
          <w:rFonts w:ascii="Arial" w:hAnsi="Arial" w:cs="Arial"/>
          <w:b w:val="0"/>
          <w:color w:val="000000" w:themeColor="text1"/>
          <w:sz w:val="14"/>
          <w:szCs w:val="14"/>
        </w:rPr>
        <w:t>.MCL</w:t>
      </w:r>
      <w:r>
        <w:rPr>
          <w:rFonts w:ascii="Arial" w:hAnsi="Arial" w:cs="Arial"/>
          <w:b w:val="0"/>
          <w:color w:val="000000" w:themeColor="text1"/>
          <w:sz w:val="14"/>
          <w:szCs w:val="14"/>
        </w:rPr>
        <w:t xml:space="preserve">= Stop </w:t>
      </w:r>
      <w:r w:rsidRPr="00E42D4E">
        <w:rPr>
          <w:rFonts w:ascii="Arial" w:hAnsi="Arial" w:cs="Arial"/>
          <w:b w:val="0"/>
          <w:color w:val="auto"/>
          <w:sz w:val="14"/>
          <w:szCs w:val="14"/>
        </w:rPr>
        <w:t>Reaction Time</w:t>
      </w:r>
      <w:r w:rsidR="00E42D4E" w:rsidRPr="00E42D4E">
        <w:rPr>
          <w:rFonts w:ascii="Arial" w:hAnsi="Arial" w:cs="Arial"/>
          <w:b w:val="0"/>
          <w:color w:val="auto"/>
          <w:sz w:val="14"/>
          <w:szCs w:val="14"/>
        </w:rPr>
        <w:t xml:space="preserve"> </w:t>
      </w:r>
      <w:r w:rsidR="00E42D4E" w:rsidRPr="00E42D4E">
        <w:rPr>
          <w:b w:val="0"/>
          <w:color w:val="auto"/>
          <w:sz w:val="14"/>
          <w:szCs w:val="14"/>
        </w:rPr>
        <w:t>Median Correct Latency</w:t>
      </w:r>
      <w:r w:rsidR="00E42D4E">
        <w:rPr>
          <w:b w:val="0"/>
          <w:color w:val="auto"/>
          <w:sz w:val="14"/>
          <w:szCs w:val="14"/>
        </w:rPr>
        <w:t>,</w:t>
      </w:r>
      <w:r w:rsidRPr="00E42D4E">
        <w:rPr>
          <w:rFonts w:ascii="Arial" w:hAnsi="Arial" w:cs="Arial"/>
          <w:b w:val="0"/>
          <w:color w:val="auto"/>
          <w:sz w:val="14"/>
          <w:szCs w:val="14"/>
        </w:rPr>
        <w:t xml:space="preserve"> </w:t>
      </w:r>
      <w:r w:rsidR="00E42D4E" w:rsidRPr="00E42D4E">
        <w:rPr>
          <w:rFonts w:ascii="Arial" w:hAnsi="Arial" w:cs="Arial"/>
          <w:b w:val="0"/>
          <w:color w:val="auto"/>
          <w:sz w:val="14"/>
          <w:szCs w:val="14"/>
        </w:rPr>
        <w:t>SRT</w:t>
      </w:r>
      <w:r w:rsidR="00E42D4E">
        <w:rPr>
          <w:rFonts w:ascii="Arial" w:hAnsi="Arial" w:cs="Arial"/>
          <w:b w:val="0"/>
          <w:color w:val="000000" w:themeColor="text1"/>
          <w:sz w:val="14"/>
          <w:szCs w:val="14"/>
        </w:rPr>
        <w:t xml:space="preserve">.PCT= Stop </w:t>
      </w:r>
      <w:r w:rsidR="00E42D4E" w:rsidRPr="00E42D4E">
        <w:rPr>
          <w:rFonts w:ascii="Arial" w:hAnsi="Arial" w:cs="Arial"/>
          <w:b w:val="0"/>
          <w:color w:val="auto"/>
          <w:sz w:val="14"/>
          <w:szCs w:val="14"/>
        </w:rPr>
        <w:t>Reaction Time</w:t>
      </w:r>
      <w:r w:rsidR="00E42D4E">
        <w:rPr>
          <w:rFonts w:ascii="Arial" w:hAnsi="Arial" w:cs="Arial"/>
          <w:b w:val="0"/>
          <w:color w:val="auto"/>
          <w:sz w:val="14"/>
          <w:szCs w:val="14"/>
        </w:rPr>
        <w:t xml:space="preserve"> Percent Correct</w:t>
      </w:r>
      <w:r w:rsidR="00E42D4E">
        <w:rPr>
          <w:rFonts w:ascii="Arial" w:hAnsi="Arial" w:cs="Arial"/>
          <w:b w:val="0"/>
          <w:color w:val="000000" w:themeColor="text1"/>
          <w:sz w:val="14"/>
          <w:szCs w:val="14"/>
        </w:rPr>
        <w:t xml:space="preserve">, </w:t>
      </w:r>
      <w:r>
        <w:rPr>
          <w:rFonts w:ascii="Arial" w:hAnsi="Arial" w:cs="Arial"/>
          <w:b w:val="0"/>
          <w:color w:val="000000" w:themeColor="text1"/>
          <w:sz w:val="14"/>
          <w:szCs w:val="14"/>
        </w:rPr>
        <w:t>SST</w:t>
      </w:r>
      <w:r w:rsidR="00E42D4E">
        <w:rPr>
          <w:rFonts w:ascii="Arial" w:hAnsi="Arial" w:cs="Arial"/>
          <w:b w:val="0"/>
          <w:color w:val="000000" w:themeColor="text1"/>
          <w:sz w:val="14"/>
          <w:szCs w:val="14"/>
        </w:rPr>
        <w:t>.DEOSAGT</w:t>
      </w:r>
      <w:r>
        <w:rPr>
          <w:rFonts w:ascii="Arial" w:hAnsi="Arial" w:cs="Arial"/>
          <w:b w:val="0"/>
          <w:color w:val="000000" w:themeColor="text1"/>
          <w:sz w:val="14"/>
          <w:szCs w:val="14"/>
        </w:rPr>
        <w:t>=Stop Signal Task</w:t>
      </w:r>
      <w:r w:rsidR="00E42D4E">
        <w:rPr>
          <w:rFonts w:ascii="Arial" w:hAnsi="Arial" w:cs="Arial"/>
          <w:b w:val="0"/>
          <w:color w:val="000000" w:themeColor="text1"/>
          <w:sz w:val="14"/>
          <w:szCs w:val="14"/>
        </w:rPr>
        <w:t xml:space="preserve"> Direction Errors, SST.SSRT= Stop Signal Task Stop Signal Reaction Time. Res.Df=</w:t>
      </w:r>
      <w:r w:rsidR="001C2A15">
        <w:rPr>
          <w:rFonts w:ascii="Arial" w:hAnsi="Arial" w:cs="Arial"/>
          <w:b w:val="0"/>
          <w:color w:val="000000" w:themeColor="text1"/>
          <w:sz w:val="14"/>
          <w:szCs w:val="14"/>
        </w:rPr>
        <w:t>Re</w:t>
      </w:r>
      <w:r w:rsidR="00C659C5">
        <w:rPr>
          <w:rFonts w:ascii="Arial" w:hAnsi="Arial" w:cs="Arial"/>
          <w:b w:val="0"/>
          <w:color w:val="000000" w:themeColor="text1"/>
          <w:sz w:val="14"/>
          <w:szCs w:val="14"/>
        </w:rPr>
        <w:t>sidual</w:t>
      </w:r>
      <w:r w:rsidR="001C2A15">
        <w:rPr>
          <w:rFonts w:ascii="Arial" w:hAnsi="Arial" w:cs="Arial"/>
          <w:b w:val="0"/>
          <w:color w:val="000000" w:themeColor="text1"/>
          <w:sz w:val="14"/>
          <w:szCs w:val="14"/>
        </w:rPr>
        <w:t xml:space="preserve"> degrees of freedom, RSS=Residual sum of Squares, Df=Degrees of freedom, Sum of Sq= Sum of Squares</w:t>
      </w:r>
    </w:p>
    <w:p w14:paraId="698F339B" w14:textId="77777777" w:rsidR="00782E1C" w:rsidRPr="0090025D" w:rsidRDefault="00782E1C" w:rsidP="00782E1C">
      <w:pPr>
        <w:spacing w:after="200"/>
        <w:rPr>
          <w:rFonts w:ascii="Arial" w:eastAsia="Times New Roman" w:hAnsi="Arial" w:cs="Arial"/>
          <w:color w:val="000000"/>
          <w:sz w:val="15"/>
          <w:szCs w:val="15"/>
          <w:lang w:val="en-US"/>
        </w:rPr>
      </w:pPr>
    </w:p>
    <w:tbl>
      <w:tblPr>
        <w:tblW w:w="4818" w:type="dxa"/>
        <w:tblLook w:val="04A0" w:firstRow="1" w:lastRow="0" w:firstColumn="1" w:lastColumn="0" w:noHBand="0" w:noVBand="1"/>
      </w:tblPr>
      <w:tblGrid>
        <w:gridCol w:w="3426"/>
        <w:gridCol w:w="592"/>
        <w:gridCol w:w="800"/>
      </w:tblGrid>
      <w:tr w:rsidR="00782E1C" w:rsidRPr="00524AFC" w14:paraId="083EA0E1" w14:textId="77777777" w:rsidTr="009B4505">
        <w:trPr>
          <w:trHeight w:val="340"/>
        </w:trPr>
        <w:tc>
          <w:tcPr>
            <w:tcW w:w="3426" w:type="dxa"/>
            <w:tcBorders>
              <w:top w:val="nil"/>
              <w:left w:val="nil"/>
              <w:bottom w:val="nil"/>
              <w:right w:val="nil"/>
            </w:tcBorders>
            <w:shd w:val="clear" w:color="auto" w:fill="auto"/>
            <w:noWrap/>
            <w:vAlign w:val="bottom"/>
            <w:hideMark/>
          </w:tcPr>
          <w:p w14:paraId="35BBB7C5" w14:textId="77777777" w:rsidR="00782E1C" w:rsidRPr="00524AFC" w:rsidRDefault="00782E1C" w:rsidP="009B4505">
            <w:pPr>
              <w:spacing w:after="200"/>
              <w:rPr>
                <w:rFonts w:ascii="Arial" w:eastAsia="Times New Roman" w:hAnsi="Arial" w:cs="Arial"/>
                <w:color w:val="000000"/>
                <w:sz w:val="15"/>
                <w:szCs w:val="15"/>
              </w:rPr>
            </w:pPr>
          </w:p>
        </w:tc>
        <w:tc>
          <w:tcPr>
            <w:tcW w:w="592" w:type="dxa"/>
            <w:tcBorders>
              <w:top w:val="nil"/>
              <w:left w:val="nil"/>
              <w:bottom w:val="nil"/>
              <w:right w:val="nil"/>
            </w:tcBorders>
            <w:shd w:val="clear" w:color="auto" w:fill="auto"/>
            <w:noWrap/>
            <w:vAlign w:val="bottom"/>
            <w:hideMark/>
          </w:tcPr>
          <w:p w14:paraId="7D85E112" w14:textId="77777777" w:rsidR="00782E1C" w:rsidRPr="00524AFC" w:rsidRDefault="00782E1C" w:rsidP="009B4505">
            <w:pPr>
              <w:spacing w:after="200"/>
              <w:rPr>
                <w:rFonts w:ascii="Arial" w:eastAsia="Times New Roman" w:hAnsi="Arial" w:cs="Arial"/>
                <w:color w:val="000000"/>
                <w:sz w:val="15"/>
                <w:szCs w:val="15"/>
              </w:rPr>
            </w:pPr>
          </w:p>
        </w:tc>
        <w:tc>
          <w:tcPr>
            <w:tcW w:w="800" w:type="dxa"/>
            <w:tcBorders>
              <w:top w:val="nil"/>
              <w:left w:val="nil"/>
              <w:bottom w:val="nil"/>
              <w:right w:val="nil"/>
            </w:tcBorders>
            <w:shd w:val="clear" w:color="auto" w:fill="auto"/>
            <w:noWrap/>
            <w:vAlign w:val="bottom"/>
            <w:hideMark/>
          </w:tcPr>
          <w:p w14:paraId="14186DF2" w14:textId="77777777" w:rsidR="00782E1C" w:rsidRPr="00524AFC" w:rsidRDefault="00782E1C" w:rsidP="009B4505">
            <w:pPr>
              <w:spacing w:after="200"/>
              <w:rPr>
                <w:rFonts w:ascii="Arial" w:eastAsia="Times New Roman" w:hAnsi="Arial" w:cs="Arial"/>
                <w:sz w:val="15"/>
                <w:szCs w:val="15"/>
              </w:rPr>
            </w:pPr>
          </w:p>
        </w:tc>
      </w:tr>
    </w:tbl>
    <w:p w14:paraId="4831FF72" w14:textId="77777777" w:rsidR="0046559D" w:rsidRDefault="00782E1C" w:rsidP="0046559D">
      <w:pPr>
        <w:pStyle w:val="tabeltextheadline"/>
        <w:rPr>
          <w:lang w:val="en-US"/>
        </w:rPr>
      </w:pPr>
      <w:r w:rsidRPr="00782E1C">
        <w:rPr>
          <w:lang w:val="en-US"/>
        </w:rPr>
        <w:t xml:space="preserve">Table 10. </w:t>
      </w:r>
    </w:p>
    <w:p w14:paraId="72ACBF55" w14:textId="3DEC50B2" w:rsidR="00782E1C" w:rsidRPr="0046559D" w:rsidRDefault="00782E1C" w:rsidP="0046559D">
      <w:pPr>
        <w:pStyle w:val="tabeltext"/>
      </w:pPr>
      <w:r w:rsidRPr="00782E1C">
        <w:t>ADHD model comparison ANOVA results.</w:t>
      </w:r>
    </w:p>
    <w:tbl>
      <w:tblPr>
        <w:tblStyle w:val="TableGridLight"/>
        <w:tblW w:w="5000" w:type="pct"/>
        <w:tblCellMar>
          <w:top w:w="28" w:type="dxa"/>
          <w:bottom w:w="28" w:type="dxa"/>
        </w:tblCellMar>
        <w:tblLook w:val="04A0" w:firstRow="1" w:lastRow="0" w:firstColumn="1" w:lastColumn="0" w:noHBand="0" w:noVBand="1"/>
      </w:tblPr>
      <w:tblGrid>
        <w:gridCol w:w="374"/>
        <w:gridCol w:w="862"/>
        <w:gridCol w:w="1258"/>
        <w:gridCol w:w="467"/>
        <w:gridCol w:w="1497"/>
        <w:gridCol w:w="1411"/>
        <w:gridCol w:w="1435"/>
      </w:tblGrid>
      <w:tr w:rsidR="00782E1C" w:rsidRPr="0046559D" w14:paraId="08DBED35" w14:textId="77777777" w:rsidTr="0046559D">
        <w:trPr>
          <w:trHeight w:val="236"/>
        </w:trPr>
        <w:tc>
          <w:tcPr>
            <w:tcW w:w="256" w:type="pct"/>
            <w:shd w:val="clear" w:color="auto" w:fill="D6D2C4" w:themeFill="accent4"/>
            <w:hideMark/>
          </w:tcPr>
          <w:p w14:paraId="68351A29" w14:textId="77777777" w:rsidR="00782E1C" w:rsidRPr="009D2D19" w:rsidRDefault="00782E1C" w:rsidP="0046559D">
            <w:pPr>
              <w:pStyle w:val="tabeltextintabel"/>
              <w:rPr>
                <w:szCs w:val="12"/>
                <w:lang w:val="en-GB"/>
              </w:rPr>
            </w:pPr>
            <w:r w:rsidRPr="009D2D19">
              <w:rPr>
                <w:szCs w:val="12"/>
                <w:lang w:val="en-GB"/>
              </w:rPr>
              <w:t> </w:t>
            </w:r>
          </w:p>
        </w:tc>
        <w:tc>
          <w:tcPr>
            <w:tcW w:w="590" w:type="pct"/>
            <w:shd w:val="clear" w:color="auto" w:fill="D6D2C4" w:themeFill="accent4"/>
            <w:hideMark/>
          </w:tcPr>
          <w:p w14:paraId="58398184" w14:textId="77777777" w:rsidR="00782E1C" w:rsidRPr="0090025D" w:rsidRDefault="00782E1C" w:rsidP="0046559D">
            <w:pPr>
              <w:pStyle w:val="tabeltextintabel"/>
              <w:rPr>
                <w:b/>
                <w:bCs/>
                <w:szCs w:val="12"/>
                <w:lang w:val="en-GB"/>
              </w:rPr>
            </w:pPr>
            <w:r w:rsidRPr="0090025D">
              <w:rPr>
                <w:b/>
                <w:bCs/>
                <w:szCs w:val="12"/>
                <w:lang w:val="en-GB"/>
              </w:rPr>
              <w:t>Res.Df</w:t>
            </w:r>
          </w:p>
        </w:tc>
        <w:tc>
          <w:tcPr>
            <w:tcW w:w="861" w:type="pct"/>
            <w:shd w:val="clear" w:color="auto" w:fill="D6D2C4" w:themeFill="accent4"/>
            <w:hideMark/>
          </w:tcPr>
          <w:p w14:paraId="312A9100" w14:textId="77777777" w:rsidR="00782E1C" w:rsidRPr="0090025D" w:rsidRDefault="00782E1C" w:rsidP="0046559D">
            <w:pPr>
              <w:pStyle w:val="tabeltextintabel"/>
              <w:rPr>
                <w:b/>
                <w:bCs/>
                <w:szCs w:val="12"/>
                <w:lang w:val="en-GB"/>
              </w:rPr>
            </w:pPr>
            <w:r w:rsidRPr="0090025D">
              <w:rPr>
                <w:b/>
                <w:bCs/>
                <w:szCs w:val="12"/>
                <w:lang w:val="en-GB"/>
              </w:rPr>
              <w:t>RSS</w:t>
            </w:r>
          </w:p>
        </w:tc>
        <w:tc>
          <w:tcPr>
            <w:tcW w:w="320" w:type="pct"/>
            <w:shd w:val="clear" w:color="auto" w:fill="D6D2C4" w:themeFill="accent4"/>
            <w:hideMark/>
          </w:tcPr>
          <w:p w14:paraId="490983FE" w14:textId="77777777" w:rsidR="00782E1C" w:rsidRPr="0090025D" w:rsidRDefault="00782E1C" w:rsidP="0046559D">
            <w:pPr>
              <w:pStyle w:val="tabeltextintabel"/>
              <w:rPr>
                <w:b/>
                <w:bCs/>
                <w:szCs w:val="12"/>
                <w:lang w:val="en-GB"/>
              </w:rPr>
            </w:pPr>
            <w:r w:rsidRPr="0090025D">
              <w:rPr>
                <w:b/>
                <w:bCs/>
                <w:szCs w:val="12"/>
                <w:lang w:val="en-GB"/>
              </w:rPr>
              <w:t>Df</w:t>
            </w:r>
          </w:p>
        </w:tc>
        <w:tc>
          <w:tcPr>
            <w:tcW w:w="1025" w:type="pct"/>
            <w:shd w:val="clear" w:color="auto" w:fill="D6D2C4" w:themeFill="accent4"/>
            <w:hideMark/>
          </w:tcPr>
          <w:p w14:paraId="0D197CB2" w14:textId="77777777" w:rsidR="00782E1C" w:rsidRPr="0090025D" w:rsidRDefault="00782E1C" w:rsidP="0046559D">
            <w:pPr>
              <w:pStyle w:val="tabeltextintabel"/>
              <w:rPr>
                <w:b/>
                <w:bCs/>
                <w:szCs w:val="12"/>
                <w:lang w:val="en-GB"/>
              </w:rPr>
            </w:pPr>
            <w:r w:rsidRPr="0090025D">
              <w:rPr>
                <w:b/>
                <w:bCs/>
                <w:szCs w:val="12"/>
                <w:lang w:val="en-GB"/>
              </w:rPr>
              <w:t>Sum of Sq</w:t>
            </w:r>
          </w:p>
        </w:tc>
        <w:tc>
          <w:tcPr>
            <w:tcW w:w="966" w:type="pct"/>
            <w:shd w:val="clear" w:color="auto" w:fill="D6D2C4" w:themeFill="accent4"/>
            <w:hideMark/>
          </w:tcPr>
          <w:p w14:paraId="25D16ED7" w14:textId="77777777" w:rsidR="00782E1C" w:rsidRPr="0090025D" w:rsidRDefault="00782E1C" w:rsidP="0046559D">
            <w:pPr>
              <w:pStyle w:val="tabeltextintabel"/>
              <w:rPr>
                <w:b/>
                <w:bCs/>
                <w:szCs w:val="12"/>
                <w:lang w:val="en-GB"/>
              </w:rPr>
            </w:pPr>
            <w:r w:rsidRPr="0090025D">
              <w:rPr>
                <w:b/>
                <w:bCs/>
                <w:szCs w:val="12"/>
                <w:lang w:val="en-GB"/>
              </w:rPr>
              <w:t>F</w:t>
            </w:r>
          </w:p>
        </w:tc>
        <w:tc>
          <w:tcPr>
            <w:tcW w:w="982" w:type="pct"/>
            <w:shd w:val="clear" w:color="auto" w:fill="D6D2C4" w:themeFill="accent4"/>
            <w:hideMark/>
          </w:tcPr>
          <w:p w14:paraId="6E95EE17" w14:textId="77777777" w:rsidR="00782E1C" w:rsidRPr="0090025D" w:rsidRDefault="00782E1C" w:rsidP="0046559D">
            <w:pPr>
              <w:pStyle w:val="tabeltextintabel"/>
              <w:rPr>
                <w:b/>
                <w:bCs/>
                <w:szCs w:val="12"/>
                <w:lang w:val="en-GB"/>
              </w:rPr>
            </w:pPr>
            <w:r w:rsidRPr="0090025D">
              <w:rPr>
                <w:b/>
                <w:bCs/>
                <w:szCs w:val="12"/>
                <w:lang w:val="en-GB"/>
              </w:rPr>
              <w:t>Pr(&gt; F)</w:t>
            </w:r>
          </w:p>
        </w:tc>
      </w:tr>
      <w:tr w:rsidR="00782E1C" w:rsidRPr="0046559D" w14:paraId="27F13D3F" w14:textId="77777777" w:rsidTr="0046559D">
        <w:trPr>
          <w:trHeight w:val="185"/>
        </w:trPr>
        <w:tc>
          <w:tcPr>
            <w:tcW w:w="5000" w:type="pct"/>
            <w:gridSpan w:val="7"/>
            <w:hideMark/>
          </w:tcPr>
          <w:p w14:paraId="7827BFAD" w14:textId="77777777" w:rsidR="00782E1C" w:rsidRPr="0090025D" w:rsidRDefault="00782E1C" w:rsidP="0046559D">
            <w:pPr>
              <w:pStyle w:val="tabeltextintabel"/>
              <w:rPr>
                <w:b/>
                <w:bCs/>
                <w:szCs w:val="12"/>
                <w:lang w:val="en-GB"/>
              </w:rPr>
            </w:pPr>
            <w:r w:rsidRPr="0090025D">
              <w:rPr>
                <w:b/>
                <w:bCs/>
                <w:szCs w:val="12"/>
                <w:lang w:val="en-GB"/>
              </w:rPr>
              <w:t>IED.TEA</w:t>
            </w:r>
          </w:p>
        </w:tc>
      </w:tr>
      <w:tr w:rsidR="00782E1C" w:rsidRPr="0046559D" w14:paraId="442DEBA3" w14:textId="77777777" w:rsidTr="0046559D">
        <w:trPr>
          <w:trHeight w:val="73"/>
        </w:trPr>
        <w:tc>
          <w:tcPr>
            <w:tcW w:w="256" w:type="pct"/>
            <w:hideMark/>
          </w:tcPr>
          <w:p w14:paraId="6CC754DA" w14:textId="77777777" w:rsidR="00782E1C" w:rsidRPr="0090025D" w:rsidRDefault="00782E1C" w:rsidP="0046559D">
            <w:pPr>
              <w:pStyle w:val="tabeltextintabel"/>
              <w:rPr>
                <w:szCs w:val="12"/>
                <w:lang w:val="en-GB"/>
              </w:rPr>
            </w:pPr>
            <w:r w:rsidRPr="0090025D">
              <w:rPr>
                <w:szCs w:val="12"/>
                <w:lang w:val="en-GB"/>
              </w:rPr>
              <w:t>2</w:t>
            </w:r>
          </w:p>
        </w:tc>
        <w:tc>
          <w:tcPr>
            <w:tcW w:w="590" w:type="pct"/>
            <w:hideMark/>
          </w:tcPr>
          <w:p w14:paraId="360F2D86" w14:textId="77777777" w:rsidR="00782E1C" w:rsidRPr="0090025D" w:rsidRDefault="00782E1C" w:rsidP="0046559D">
            <w:pPr>
              <w:pStyle w:val="tabeltextintabel"/>
              <w:rPr>
                <w:szCs w:val="12"/>
                <w:lang w:val="en-GB"/>
              </w:rPr>
            </w:pPr>
            <w:r w:rsidRPr="0090025D">
              <w:rPr>
                <w:szCs w:val="12"/>
                <w:lang w:val="en-GB"/>
              </w:rPr>
              <w:t>195</w:t>
            </w:r>
          </w:p>
        </w:tc>
        <w:tc>
          <w:tcPr>
            <w:tcW w:w="861" w:type="pct"/>
            <w:hideMark/>
          </w:tcPr>
          <w:p w14:paraId="7F52511B" w14:textId="77777777" w:rsidR="00782E1C" w:rsidRPr="0090025D" w:rsidRDefault="00782E1C" w:rsidP="0046559D">
            <w:pPr>
              <w:pStyle w:val="tabeltextintabel"/>
              <w:rPr>
                <w:szCs w:val="12"/>
                <w:lang w:val="en-GB"/>
              </w:rPr>
            </w:pPr>
            <w:r w:rsidRPr="0090025D">
              <w:rPr>
                <w:szCs w:val="12"/>
                <w:lang w:val="en-GB"/>
              </w:rPr>
              <w:t>145,483.30</w:t>
            </w:r>
          </w:p>
        </w:tc>
        <w:tc>
          <w:tcPr>
            <w:tcW w:w="320" w:type="pct"/>
            <w:hideMark/>
          </w:tcPr>
          <w:p w14:paraId="13FE7A70" w14:textId="77777777" w:rsidR="00782E1C" w:rsidRPr="0090025D" w:rsidRDefault="00782E1C" w:rsidP="0046559D">
            <w:pPr>
              <w:pStyle w:val="tabeltextintabel"/>
              <w:rPr>
                <w:szCs w:val="12"/>
                <w:lang w:val="en-GB"/>
              </w:rPr>
            </w:pPr>
          </w:p>
        </w:tc>
        <w:tc>
          <w:tcPr>
            <w:tcW w:w="1025" w:type="pct"/>
            <w:hideMark/>
          </w:tcPr>
          <w:p w14:paraId="24ABD775" w14:textId="77777777" w:rsidR="00782E1C" w:rsidRPr="0090025D" w:rsidRDefault="00782E1C" w:rsidP="0046559D">
            <w:pPr>
              <w:pStyle w:val="tabeltextintabel"/>
              <w:rPr>
                <w:szCs w:val="12"/>
                <w:lang w:val="en-GB"/>
              </w:rPr>
            </w:pPr>
          </w:p>
        </w:tc>
        <w:tc>
          <w:tcPr>
            <w:tcW w:w="966" w:type="pct"/>
            <w:hideMark/>
          </w:tcPr>
          <w:p w14:paraId="6F7562E4" w14:textId="77777777" w:rsidR="00782E1C" w:rsidRPr="0090025D" w:rsidRDefault="00782E1C" w:rsidP="0046559D">
            <w:pPr>
              <w:pStyle w:val="tabeltextintabel"/>
              <w:rPr>
                <w:szCs w:val="12"/>
                <w:lang w:val="en-GB"/>
              </w:rPr>
            </w:pPr>
          </w:p>
        </w:tc>
        <w:tc>
          <w:tcPr>
            <w:tcW w:w="982" w:type="pct"/>
            <w:hideMark/>
          </w:tcPr>
          <w:p w14:paraId="055FB84C" w14:textId="77777777" w:rsidR="00782E1C" w:rsidRPr="0090025D" w:rsidRDefault="00782E1C" w:rsidP="0046559D">
            <w:pPr>
              <w:pStyle w:val="tabeltextintabel"/>
              <w:rPr>
                <w:szCs w:val="12"/>
                <w:lang w:val="en-GB"/>
              </w:rPr>
            </w:pPr>
            <w:r w:rsidRPr="0090025D">
              <w:rPr>
                <w:szCs w:val="12"/>
                <w:lang w:val="en-GB"/>
              </w:rPr>
              <w:t> </w:t>
            </w:r>
          </w:p>
        </w:tc>
      </w:tr>
      <w:tr w:rsidR="00782E1C" w:rsidRPr="0046559D" w14:paraId="789D668F" w14:textId="77777777" w:rsidTr="0046559D">
        <w:trPr>
          <w:trHeight w:val="132"/>
        </w:trPr>
        <w:tc>
          <w:tcPr>
            <w:tcW w:w="256" w:type="pct"/>
            <w:hideMark/>
          </w:tcPr>
          <w:p w14:paraId="30B5B69D" w14:textId="77777777" w:rsidR="00782E1C" w:rsidRPr="0090025D" w:rsidRDefault="00782E1C" w:rsidP="0046559D">
            <w:pPr>
              <w:pStyle w:val="tabeltextintabel"/>
              <w:rPr>
                <w:szCs w:val="12"/>
                <w:lang w:val="en-GB"/>
              </w:rPr>
            </w:pPr>
            <w:r w:rsidRPr="0090025D">
              <w:rPr>
                <w:szCs w:val="12"/>
                <w:lang w:val="en-GB"/>
              </w:rPr>
              <w:t>3</w:t>
            </w:r>
          </w:p>
        </w:tc>
        <w:tc>
          <w:tcPr>
            <w:tcW w:w="590" w:type="pct"/>
            <w:hideMark/>
          </w:tcPr>
          <w:p w14:paraId="462B7C2D" w14:textId="77777777" w:rsidR="00782E1C" w:rsidRPr="0090025D" w:rsidRDefault="00782E1C" w:rsidP="0046559D">
            <w:pPr>
              <w:pStyle w:val="tabeltextintabel"/>
              <w:rPr>
                <w:szCs w:val="12"/>
                <w:lang w:val="en-GB"/>
              </w:rPr>
            </w:pPr>
            <w:r w:rsidRPr="0090025D">
              <w:rPr>
                <w:szCs w:val="12"/>
                <w:lang w:val="en-GB"/>
              </w:rPr>
              <w:t>194</w:t>
            </w:r>
          </w:p>
        </w:tc>
        <w:tc>
          <w:tcPr>
            <w:tcW w:w="861" w:type="pct"/>
            <w:hideMark/>
          </w:tcPr>
          <w:p w14:paraId="0D47ADB5" w14:textId="77777777" w:rsidR="00782E1C" w:rsidRPr="0046559D" w:rsidRDefault="00782E1C" w:rsidP="0046559D">
            <w:pPr>
              <w:pStyle w:val="tabeltextintabel"/>
              <w:rPr>
                <w:szCs w:val="12"/>
              </w:rPr>
            </w:pPr>
            <w:r w:rsidRPr="0046559D">
              <w:rPr>
                <w:szCs w:val="12"/>
              </w:rPr>
              <w:t>141,319.70</w:t>
            </w:r>
          </w:p>
        </w:tc>
        <w:tc>
          <w:tcPr>
            <w:tcW w:w="320" w:type="pct"/>
            <w:hideMark/>
          </w:tcPr>
          <w:p w14:paraId="11DFA6B0" w14:textId="77777777" w:rsidR="00782E1C" w:rsidRPr="0046559D" w:rsidRDefault="00782E1C" w:rsidP="0046559D">
            <w:pPr>
              <w:pStyle w:val="tabeltextintabel"/>
              <w:rPr>
                <w:szCs w:val="12"/>
              </w:rPr>
            </w:pPr>
            <w:r w:rsidRPr="0046559D">
              <w:rPr>
                <w:szCs w:val="12"/>
              </w:rPr>
              <w:t>1</w:t>
            </w:r>
          </w:p>
        </w:tc>
        <w:tc>
          <w:tcPr>
            <w:tcW w:w="1025" w:type="pct"/>
            <w:hideMark/>
          </w:tcPr>
          <w:p w14:paraId="4C0A6EAD" w14:textId="77777777" w:rsidR="00782E1C" w:rsidRPr="0046559D" w:rsidRDefault="00782E1C" w:rsidP="0046559D">
            <w:pPr>
              <w:pStyle w:val="tabeltextintabel"/>
              <w:rPr>
                <w:szCs w:val="12"/>
              </w:rPr>
            </w:pPr>
            <w:r w:rsidRPr="0046559D">
              <w:rPr>
                <w:szCs w:val="12"/>
              </w:rPr>
              <w:t>4,163.59</w:t>
            </w:r>
          </w:p>
        </w:tc>
        <w:tc>
          <w:tcPr>
            <w:tcW w:w="966" w:type="pct"/>
            <w:hideMark/>
          </w:tcPr>
          <w:p w14:paraId="4744BA4A" w14:textId="77777777" w:rsidR="00782E1C" w:rsidRPr="0046559D" w:rsidRDefault="00782E1C" w:rsidP="0046559D">
            <w:pPr>
              <w:pStyle w:val="tabeltextintabel"/>
              <w:rPr>
                <w:szCs w:val="12"/>
              </w:rPr>
            </w:pPr>
            <w:r w:rsidRPr="0046559D">
              <w:rPr>
                <w:szCs w:val="12"/>
              </w:rPr>
              <w:t>5.73</w:t>
            </w:r>
          </w:p>
        </w:tc>
        <w:tc>
          <w:tcPr>
            <w:tcW w:w="982" w:type="pct"/>
            <w:hideMark/>
          </w:tcPr>
          <w:p w14:paraId="32AB81C0" w14:textId="77777777" w:rsidR="00782E1C" w:rsidRPr="0046559D" w:rsidRDefault="00782E1C" w:rsidP="0046559D">
            <w:pPr>
              <w:pStyle w:val="tabeltextintabel"/>
              <w:rPr>
                <w:b/>
                <w:bCs/>
                <w:szCs w:val="12"/>
              </w:rPr>
            </w:pPr>
            <w:r w:rsidRPr="0046559D">
              <w:rPr>
                <w:b/>
                <w:bCs/>
                <w:szCs w:val="12"/>
              </w:rPr>
              <w:t>0.02</w:t>
            </w:r>
          </w:p>
        </w:tc>
      </w:tr>
      <w:tr w:rsidR="00782E1C" w:rsidRPr="0046559D" w14:paraId="49049ED4" w14:textId="77777777" w:rsidTr="0046559D">
        <w:trPr>
          <w:trHeight w:val="164"/>
        </w:trPr>
        <w:tc>
          <w:tcPr>
            <w:tcW w:w="256" w:type="pct"/>
            <w:hideMark/>
          </w:tcPr>
          <w:p w14:paraId="4974648D" w14:textId="77777777" w:rsidR="00782E1C" w:rsidRPr="0046559D" w:rsidRDefault="00782E1C" w:rsidP="0046559D">
            <w:pPr>
              <w:pStyle w:val="tabeltextintabel"/>
              <w:rPr>
                <w:szCs w:val="12"/>
              </w:rPr>
            </w:pPr>
            <w:r w:rsidRPr="0046559D">
              <w:rPr>
                <w:szCs w:val="12"/>
              </w:rPr>
              <w:t>4</w:t>
            </w:r>
          </w:p>
        </w:tc>
        <w:tc>
          <w:tcPr>
            <w:tcW w:w="590" w:type="pct"/>
            <w:hideMark/>
          </w:tcPr>
          <w:p w14:paraId="11423E95" w14:textId="77777777" w:rsidR="00782E1C" w:rsidRPr="0046559D" w:rsidRDefault="00782E1C" w:rsidP="0046559D">
            <w:pPr>
              <w:pStyle w:val="tabeltextintabel"/>
              <w:rPr>
                <w:szCs w:val="12"/>
              </w:rPr>
            </w:pPr>
            <w:r w:rsidRPr="0046559D">
              <w:rPr>
                <w:szCs w:val="12"/>
              </w:rPr>
              <w:t>192</w:t>
            </w:r>
          </w:p>
        </w:tc>
        <w:tc>
          <w:tcPr>
            <w:tcW w:w="861" w:type="pct"/>
            <w:hideMark/>
          </w:tcPr>
          <w:p w14:paraId="356786F0" w14:textId="77777777" w:rsidR="00782E1C" w:rsidRPr="0046559D" w:rsidRDefault="00782E1C" w:rsidP="0046559D">
            <w:pPr>
              <w:pStyle w:val="tabeltextintabel"/>
              <w:rPr>
                <w:szCs w:val="12"/>
              </w:rPr>
            </w:pPr>
            <w:r w:rsidRPr="0046559D">
              <w:rPr>
                <w:szCs w:val="12"/>
              </w:rPr>
              <w:t>139,569.20</w:t>
            </w:r>
          </w:p>
        </w:tc>
        <w:tc>
          <w:tcPr>
            <w:tcW w:w="320" w:type="pct"/>
            <w:hideMark/>
          </w:tcPr>
          <w:p w14:paraId="5FB0707D" w14:textId="77777777" w:rsidR="00782E1C" w:rsidRPr="0046559D" w:rsidRDefault="00782E1C" w:rsidP="0046559D">
            <w:pPr>
              <w:pStyle w:val="tabeltextintabel"/>
              <w:rPr>
                <w:szCs w:val="12"/>
              </w:rPr>
            </w:pPr>
            <w:r w:rsidRPr="0046559D">
              <w:rPr>
                <w:szCs w:val="12"/>
              </w:rPr>
              <w:t>2</w:t>
            </w:r>
          </w:p>
        </w:tc>
        <w:tc>
          <w:tcPr>
            <w:tcW w:w="1025" w:type="pct"/>
            <w:hideMark/>
          </w:tcPr>
          <w:p w14:paraId="0ED85A4F" w14:textId="77777777" w:rsidR="00782E1C" w:rsidRPr="0046559D" w:rsidRDefault="00782E1C" w:rsidP="0046559D">
            <w:pPr>
              <w:pStyle w:val="tabeltextintabel"/>
              <w:rPr>
                <w:szCs w:val="12"/>
              </w:rPr>
            </w:pPr>
            <w:r w:rsidRPr="0046559D">
              <w:rPr>
                <w:szCs w:val="12"/>
              </w:rPr>
              <w:t>1,750.51</w:t>
            </w:r>
          </w:p>
        </w:tc>
        <w:tc>
          <w:tcPr>
            <w:tcW w:w="966" w:type="pct"/>
            <w:hideMark/>
          </w:tcPr>
          <w:p w14:paraId="1D0D3595" w14:textId="77777777" w:rsidR="00782E1C" w:rsidRPr="0046559D" w:rsidRDefault="00782E1C" w:rsidP="0046559D">
            <w:pPr>
              <w:pStyle w:val="tabeltextintabel"/>
              <w:rPr>
                <w:szCs w:val="12"/>
              </w:rPr>
            </w:pPr>
            <w:r w:rsidRPr="0046559D">
              <w:rPr>
                <w:szCs w:val="12"/>
              </w:rPr>
              <w:t>1.20</w:t>
            </w:r>
          </w:p>
        </w:tc>
        <w:tc>
          <w:tcPr>
            <w:tcW w:w="982" w:type="pct"/>
            <w:hideMark/>
          </w:tcPr>
          <w:p w14:paraId="1ECD6767" w14:textId="77777777" w:rsidR="00782E1C" w:rsidRPr="0046559D" w:rsidRDefault="00782E1C" w:rsidP="0046559D">
            <w:pPr>
              <w:pStyle w:val="tabeltextintabel"/>
              <w:rPr>
                <w:szCs w:val="12"/>
              </w:rPr>
            </w:pPr>
            <w:r w:rsidRPr="0046559D">
              <w:rPr>
                <w:szCs w:val="12"/>
              </w:rPr>
              <w:t>0.30</w:t>
            </w:r>
          </w:p>
        </w:tc>
      </w:tr>
      <w:tr w:rsidR="00782E1C" w:rsidRPr="0046559D" w14:paraId="382E81F7" w14:textId="77777777" w:rsidTr="0046559D">
        <w:trPr>
          <w:trHeight w:val="130"/>
        </w:trPr>
        <w:tc>
          <w:tcPr>
            <w:tcW w:w="5000" w:type="pct"/>
            <w:gridSpan w:val="7"/>
            <w:hideMark/>
          </w:tcPr>
          <w:p w14:paraId="514DFEA3" w14:textId="77777777" w:rsidR="00782E1C" w:rsidRPr="0046559D" w:rsidRDefault="00782E1C" w:rsidP="0046559D">
            <w:pPr>
              <w:pStyle w:val="tabeltextintabel"/>
              <w:rPr>
                <w:b/>
                <w:bCs/>
                <w:szCs w:val="12"/>
              </w:rPr>
            </w:pPr>
            <w:r w:rsidRPr="0046559D">
              <w:rPr>
                <w:b/>
                <w:bCs/>
                <w:szCs w:val="12"/>
              </w:rPr>
              <w:t>IED.SC</w:t>
            </w:r>
          </w:p>
        </w:tc>
      </w:tr>
      <w:tr w:rsidR="00782E1C" w:rsidRPr="0046559D" w14:paraId="78E4B30E" w14:textId="77777777" w:rsidTr="0046559D">
        <w:trPr>
          <w:trHeight w:val="142"/>
        </w:trPr>
        <w:tc>
          <w:tcPr>
            <w:tcW w:w="256" w:type="pct"/>
            <w:hideMark/>
          </w:tcPr>
          <w:p w14:paraId="6B3CB6E5" w14:textId="77777777" w:rsidR="00782E1C" w:rsidRPr="0046559D" w:rsidRDefault="00782E1C" w:rsidP="0046559D">
            <w:pPr>
              <w:pStyle w:val="tabeltextintabel"/>
              <w:rPr>
                <w:szCs w:val="12"/>
              </w:rPr>
            </w:pPr>
            <w:r w:rsidRPr="0046559D">
              <w:rPr>
                <w:szCs w:val="12"/>
              </w:rPr>
              <w:t>2</w:t>
            </w:r>
          </w:p>
        </w:tc>
        <w:tc>
          <w:tcPr>
            <w:tcW w:w="590" w:type="pct"/>
            <w:hideMark/>
          </w:tcPr>
          <w:p w14:paraId="13416B0D" w14:textId="77777777" w:rsidR="00782E1C" w:rsidRPr="0046559D" w:rsidRDefault="00782E1C" w:rsidP="0046559D">
            <w:pPr>
              <w:pStyle w:val="tabeltextintabel"/>
              <w:rPr>
                <w:szCs w:val="12"/>
              </w:rPr>
            </w:pPr>
            <w:r w:rsidRPr="0046559D">
              <w:rPr>
                <w:szCs w:val="12"/>
              </w:rPr>
              <w:t>195</w:t>
            </w:r>
          </w:p>
        </w:tc>
        <w:tc>
          <w:tcPr>
            <w:tcW w:w="861" w:type="pct"/>
            <w:hideMark/>
          </w:tcPr>
          <w:p w14:paraId="4FB48EF0" w14:textId="77777777" w:rsidR="00782E1C" w:rsidRPr="0046559D" w:rsidRDefault="00782E1C" w:rsidP="0046559D">
            <w:pPr>
              <w:pStyle w:val="tabeltextintabel"/>
              <w:rPr>
                <w:szCs w:val="12"/>
              </w:rPr>
            </w:pPr>
            <w:r w:rsidRPr="0046559D">
              <w:rPr>
                <w:szCs w:val="12"/>
              </w:rPr>
              <w:t>300.89</w:t>
            </w:r>
          </w:p>
        </w:tc>
        <w:tc>
          <w:tcPr>
            <w:tcW w:w="320" w:type="pct"/>
            <w:hideMark/>
          </w:tcPr>
          <w:p w14:paraId="5CDC7663" w14:textId="77777777" w:rsidR="00782E1C" w:rsidRPr="0046559D" w:rsidRDefault="00782E1C" w:rsidP="0046559D">
            <w:pPr>
              <w:pStyle w:val="tabeltextintabel"/>
              <w:rPr>
                <w:szCs w:val="12"/>
              </w:rPr>
            </w:pPr>
          </w:p>
        </w:tc>
        <w:tc>
          <w:tcPr>
            <w:tcW w:w="1025" w:type="pct"/>
            <w:hideMark/>
          </w:tcPr>
          <w:p w14:paraId="10B68EB5" w14:textId="77777777" w:rsidR="00782E1C" w:rsidRPr="0046559D" w:rsidRDefault="00782E1C" w:rsidP="0046559D">
            <w:pPr>
              <w:pStyle w:val="tabeltextintabel"/>
              <w:rPr>
                <w:szCs w:val="12"/>
              </w:rPr>
            </w:pPr>
          </w:p>
        </w:tc>
        <w:tc>
          <w:tcPr>
            <w:tcW w:w="966" w:type="pct"/>
            <w:hideMark/>
          </w:tcPr>
          <w:p w14:paraId="468D67F5" w14:textId="77777777" w:rsidR="00782E1C" w:rsidRPr="0046559D" w:rsidRDefault="00782E1C" w:rsidP="0046559D">
            <w:pPr>
              <w:pStyle w:val="tabeltextintabel"/>
              <w:rPr>
                <w:szCs w:val="12"/>
              </w:rPr>
            </w:pPr>
          </w:p>
        </w:tc>
        <w:tc>
          <w:tcPr>
            <w:tcW w:w="982" w:type="pct"/>
            <w:hideMark/>
          </w:tcPr>
          <w:p w14:paraId="39D9F04E" w14:textId="77777777" w:rsidR="00782E1C" w:rsidRPr="0046559D" w:rsidRDefault="00782E1C" w:rsidP="0046559D">
            <w:pPr>
              <w:pStyle w:val="tabeltextintabel"/>
              <w:rPr>
                <w:szCs w:val="12"/>
              </w:rPr>
            </w:pPr>
            <w:r w:rsidRPr="0046559D">
              <w:rPr>
                <w:szCs w:val="12"/>
              </w:rPr>
              <w:t> </w:t>
            </w:r>
          </w:p>
        </w:tc>
      </w:tr>
      <w:tr w:rsidR="00782E1C" w:rsidRPr="0046559D" w14:paraId="5F41665C" w14:textId="77777777" w:rsidTr="0046559D">
        <w:trPr>
          <w:trHeight w:val="159"/>
        </w:trPr>
        <w:tc>
          <w:tcPr>
            <w:tcW w:w="256" w:type="pct"/>
            <w:hideMark/>
          </w:tcPr>
          <w:p w14:paraId="78B60E4D" w14:textId="77777777" w:rsidR="00782E1C" w:rsidRPr="0046559D" w:rsidRDefault="00782E1C" w:rsidP="0046559D">
            <w:pPr>
              <w:pStyle w:val="tabeltextintabel"/>
              <w:rPr>
                <w:szCs w:val="12"/>
              </w:rPr>
            </w:pPr>
            <w:r w:rsidRPr="0046559D">
              <w:rPr>
                <w:szCs w:val="12"/>
              </w:rPr>
              <w:t>3</w:t>
            </w:r>
          </w:p>
        </w:tc>
        <w:tc>
          <w:tcPr>
            <w:tcW w:w="590" w:type="pct"/>
            <w:hideMark/>
          </w:tcPr>
          <w:p w14:paraId="7B4FA7AA" w14:textId="77777777" w:rsidR="00782E1C" w:rsidRPr="0046559D" w:rsidRDefault="00782E1C" w:rsidP="0046559D">
            <w:pPr>
              <w:pStyle w:val="tabeltextintabel"/>
              <w:rPr>
                <w:szCs w:val="12"/>
              </w:rPr>
            </w:pPr>
            <w:r w:rsidRPr="0046559D">
              <w:rPr>
                <w:szCs w:val="12"/>
              </w:rPr>
              <w:t>194</w:t>
            </w:r>
          </w:p>
        </w:tc>
        <w:tc>
          <w:tcPr>
            <w:tcW w:w="861" w:type="pct"/>
            <w:hideMark/>
          </w:tcPr>
          <w:p w14:paraId="39E0232A" w14:textId="77777777" w:rsidR="00782E1C" w:rsidRPr="0046559D" w:rsidRDefault="00782E1C" w:rsidP="0046559D">
            <w:pPr>
              <w:pStyle w:val="tabeltextintabel"/>
              <w:rPr>
                <w:szCs w:val="12"/>
              </w:rPr>
            </w:pPr>
            <w:r w:rsidRPr="0046559D">
              <w:rPr>
                <w:szCs w:val="12"/>
              </w:rPr>
              <w:t>291.01</w:t>
            </w:r>
          </w:p>
        </w:tc>
        <w:tc>
          <w:tcPr>
            <w:tcW w:w="320" w:type="pct"/>
            <w:hideMark/>
          </w:tcPr>
          <w:p w14:paraId="66B1C637" w14:textId="77777777" w:rsidR="00782E1C" w:rsidRPr="0046559D" w:rsidRDefault="00782E1C" w:rsidP="0046559D">
            <w:pPr>
              <w:pStyle w:val="tabeltextintabel"/>
              <w:rPr>
                <w:szCs w:val="12"/>
              </w:rPr>
            </w:pPr>
            <w:r w:rsidRPr="0046559D">
              <w:rPr>
                <w:szCs w:val="12"/>
              </w:rPr>
              <w:t>1</w:t>
            </w:r>
          </w:p>
        </w:tc>
        <w:tc>
          <w:tcPr>
            <w:tcW w:w="1025" w:type="pct"/>
            <w:hideMark/>
          </w:tcPr>
          <w:p w14:paraId="4D0E2284" w14:textId="77777777" w:rsidR="00782E1C" w:rsidRPr="0046559D" w:rsidRDefault="00782E1C" w:rsidP="0046559D">
            <w:pPr>
              <w:pStyle w:val="tabeltextintabel"/>
              <w:rPr>
                <w:szCs w:val="12"/>
              </w:rPr>
            </w:pPr>
            <w:r w:rsidRPr="0046559D">
              <w:rPr>
                <w:szCs w:val="12"/>
              </w:rPr>
              <w:t>9.87</w:t>
            </w:r>
          </w:p>
        </w:tc>
        <w:tc>
          <w:tcPr>
            <w:tcW w:w="966" w:type="pct"/>
            <w:hideMark/>
          </w:tcPr>
          <w:p w14:paraId="324F096E" w14:textId="77777777" w:rsidR="00782E1C" w:rsidRPr="0046559D" w:rsidRDefault="00782E1C" w:rsidP="0046559D">
            <w:pPr>
              <w:pStyle w:val="tabeltextintabel"/>
              <w:rPr>
                <w:szCs w:val="12"/>
              </w:rPr>
            </w:pPr>
            <w:r w:rsidRPr="0046559D">
              <w:rPr>
                <w:szCs w:val="12"/>
              </w:rPr>
              <w:t>6.58</w:t>
            </w:r>
          </w:p>
        </w:tc>
        <w:tc>
          <w:tcPr>
            <w:tcW w:w="982" w:type="pct"/>
            <w:hideMark/>
          </w:tcPr>
          <w:p w14:paraId="1D2994E2" w14:textId="77777777" w:rsidR="00782E1C" w:rsidRPr="0046559D" w:rsidRDefault="00782E1C" w:rsidP="0046559D">
            <w:pPr>
              <w:pStyle w:val="tabeltextintabel"/>
              <w:rPr>
                <w:b/>
                <w:bCs/>
                <w:szCs w:val="12"/>
              </w:rPr>
            </w:pPr>
            <w:r w:rsidRPr="0046559D">
              <w:rPr>
                <w:b/>
                <w:bCs/>
                <w:szCs w:val="12"/>
              </w:rPr>
              <w:t>0.01</w:t>
            </w:r>
          </w:p>
        </w:tc>
      </w:tr>
      <w:tr w:rsidR="00782E1C" w:rsidRPr="0046559D" w14:paraId="3C79CC1F" w14:textId="77777777" w:rsidTr="0046559D">
        <w:trPr>
          <w:trHeight w:val="164"/>
        </w:trPr>
        <w:tc>
          <w:tcPr>
            <w:tcW w:w="256" w:type="pct"/>
            <w:hideMark/>
          </w:tcPr>
          <w:p w14:paraId="6B00C377" w14:textId="77777777" w:rsidR="00782E1C" w:rsidRPr="0046559D" w:rsidRDefault="00782E1C" w:rsidP="0046559D">
            <w:pPr>
              <w:pStyle w:val="tabeltextintabel"/>
              <w:rPr>
                <w:szCs w:val="12"/>
              </w:rPr>
            </w:pPr>
            <w:r w:rsidRPr="0046559D">
              <w:rPr>
                <w:szCs w:val="12"/>
              </w:rPr>
              <w:t>4</w:t>
            </w:r>
          </w:p>
        </w:tc>
        <w:tc>
          <w:tcPr>
            <w:tcW w:w="590" w:type="pct"/>
            <w:hideMark/>
          </w:tcPr>
          <w:p w14:paraId="1757A997" w14:textId="77777777" w:rsidR="00782E1C" w:rsidRPr="0046559D" w:rsidRDefault="00782E1C" w:rsidP="0046559D">
            <w:pPr>
              <w:pStyle w:val="tabeltextintabel"/>
              <w:rPr>
                <w:szCs w:val="12"/>
              </w:rPr>
            </w:pPr>
            <w:r w:rsidRPr="0046559D">
              <w:rPr>
                <w:szCs w:val="12"/>
              </w:rPr>
              <w:t>192</w:t>
            </w:r>
          </w:p>
        </w:tc>
        <w:tc>
          <w:tcPr>
            <w:tcW w:w="861" w:type="pct"/>
            <w:hideMark/>
          </w:tcPr>
          <w:p w14:paraId="1911B4FD" w14:textId="77777777" w:rsidR="00782E1C" w:rsidRPr="0046559D" w:rsidRDefault="00782E1C" w:rsidP="0046559D">
            <w:pPr>
              <w:pStyle w:val="tabeltextintabel"/>
              <w:rPr>
                <w:szCs w:val="12"/>
              </w:rPr>
            </w:pPr>
            <w:r w:rsidRPr="0046559D">
              <w:rPr>
                <w:szCs w:val="12"/>
              </w:rPr>
              <w:t>287.90</w:t>
            </w:r>
          </w:p>
        </w:tc>
        <w:tc>
          <w:tcPr>
            <w:tcW w:w="320" w:type="pct"/>
            <w:hideMark/>
          </w:tcPr>
          <w:p w14:paraId="57590B0D" w14:textId="77777777" w:rsidR="00782E1C" w:rsidRPr="0046559D" w:rsidRDefault="00782E1C" w:rsidP="0046559D">
            <w:pPr>
              <w:pStyle w:val="tabeltextintabel"/>
              <w:rPr>
                <w:szCs w:val="12"/>
              </w:rPr>
            </w:pPr>
            <w:r w:rsidRPr="0046559D">
              <w:rPr>
                <w:szCs w:val="12"/>
              </w:rPr>
              <w:t>2</w:t>
            </w:r>
          </w:p>
        </w:tc>
        <w:tc>
          <w:tcPr>
            <w:tcW w:w="1025" w:type="pct"/>
            <w:hideMark/>
          </w:tcPr>
          <w:p w14:paraId="0E09D3F5" w14:textId="77777777" w:rsidR="00782E1C" w:rsidRPr="0046559D" w:rsidRDefault="00782E1C" w:rsidP="0046559D">
            <w:pPr>
              <w:pStyle w:val="tabeltextintabel"/>
              <w:rPr>
                <w:szCs w:val="12"/>
              </w:rPr>
            </w:pPr>
            <w:r w:rsidRPr="0046559D">
              <w:rPr>
                <w:szCs w:val="12"/>
              </w:rPr>
              <w:t>3.11</w:t>
            </w:r>
          </w:p>
        </w:tc>
        <w:tc>
          <w:tcPr>
            <w:tcW w:w="966" w:type="pct"/>
            <w:hideMark/>
          </w:tcPr>
          <w:p w14:paraId="2A151680" w14:textId="77777777" w:rsidR="00782E1C" w:rsidRPr="0046559D" w:rsidRDefault="00782E1C" w:rsidP="0046559D">
            <w:pPr>
              <w:pStyle w:val="tabeltextintabel"/>
              <w:rPr>
                <w:szCs w:val="12"/>
              </w:rPr>
            </w:pPr>
            <w:r w:rsidRPr="0046559D">
              <w:rPr>
                <w:szCs w:val="12"/>
              </w:rPr>
              <w:t>1.04</w:t>
            </w:r>
          </w:p>
        </w:tc>
        <w:tc>
          <w:tcPr>
            <w:tcW w:w="982" w:type="pct"/>
            <w:hideMark/>
          </w:tcPr>
          <w:p w14:paraId="060D04B2" w14:textId="77777777" w:rsidR="00782E1C" w:rsidRPr="0046559D" w:rsidRDefault="00782E1C" w:rsidP="0046559D">
            <w:pPr>
              <w:pStyle w:val="tabeltextintabel"/>
              <w:rPr>
                <w:szCs w:val="12"/>
              </w:rPr>
            </w:pPr>
            <w:r w:rsidRPr="0046559D">
              <w:rPr>
                <w:szCs w:val="12"/>
              </w:rPr>
              <w:t>0.36</w:t>
            </w:r>
          </w:p>
        </w:tc>
      </w:tr>
      <w:tr w:rsidR="00782E1C" w:rsidRPr="0046559D" w14:paraId="26886ED7" w14:textId="77777777" w:rsidTr="0046559D">
        <w:trPr>
          <w:trHeight w:val="104"/>
        </w:trPr>
        <w:tc>
          <w:tcPr>
            <w:tcW w:w="5000" w:type="pct"/>
            <w:gridSpan w:val="7"/>
            <w:hideMark/>
          </w:tcPr>
          <w:p w14:paraId="2798A897" w14:textId="77777777" w:rsidR="00782E1C" w:rsidRPr="0046559D" w:rsidRDefault="00782E1C" w:rsidP="0046559D">
            <w:pPr>
              <w:pStyle w:val="tabeltextintabel"/>
              <w:rPr>
                <w:b/>
                <w:bCs/>
                <w:szCs w:val="12"/>
              </w:rPr>
            </w:pPr>
            <w:r w:rsidRPr="0046559D">
              <w:rPr>
                <w:b/>
                <w:bCs/>
                <w:szCs w:val="12"/>
              </w:rPr>
              <w:t xml:space="preserve">SOC </w:t>
            </w:r>
          </w:p>
        </w:tc>
      </w:tr>
      <w:tr w:rsidR="00782E1C" w:rsidRPr="0046559D" w14:paraId="1DE345F3" w14:textId="77777777" w:rsidTr="0046559D">
        <w:trPr>
          <w:trHeight w:val="141"/>
        </w:trPr>
        <w:tc>
          <w:tcPr>
            <w:tcW w:w="256" w:type="pct"/>
            <w:hideMark/>
          </w:tcPr>
          <w:p w14:paraId="5B10FA9B" w14:textId="77777777" w:rsidR="00782E1C" w:rsidRPr="0046559D" w:rsidRDefault="00782E1C" w:rsidP="0046559D">
            <w:pPr>
              <w:pStyle w:val="tabeltextintabel"/>
              <w:rPr>
                <w:szCs w:val="12"/>
              </w:rPr>
            </w:pPr>
            <w:r w:rsidRPr="0046559D">
              <w:rPr>
                <w:szCs w:val="12"/>
              </w:rPr>
              <w:t>2</w:t>
            </w:r>
          </w:p>
        </w:tc>
        <w:tc>
          <w:tcPr>
            <w:tcW w:w="590" w:type="pct"/>
            <w:hideMark/>
          </w:tcPr>
          <w:p w14:paraId="356AF79B" w14:textId="77777777" w:rsidR="00782E1C" w:rsidRPr="0046559D" w:rsidRDefault="00782E1C" w:rsidP="0046559D">
            <w:pPr>
              <w:pStyle w:val="tabeltextintabel"/>
              <w:rPr>
                <w:szCs w:val="12"/>
              </w:rPr>
            </w:pPr>
            <w:r w:rsidRPr="0046559D">
              <w:rPr>
                <w:szCs w:val="12"/>
              </w:rPr>
              <w:t>186</w:t>
            </w:r>
          </w:p>
        </w:tc>
        <w:tc>
          <w:tcPr>
            <w:tcW w:w="861" w:type="pct"/>
            <w:hideMark/>
          </w:tcPr>
          <w:p w14:paraId="63A9D357" w14:textId="77777777" w:rsidR="00782E1C" w:rsidRPr="0046559D" w:rsidRDefault="00782E1C" w:rsidP="0046559D">
            <w:pPr>
              <w:pStyle w:val="tabeltextintabel"/>
              <w:rPr>
                <w:szCs w:val="12"/>
              </w:rPr>
            </w:pPr>
            <w:r w:rsidRPr="0046559D">
              <w:rPr>
                <w:szCs w:val="12"/>
              </w:rPr>
              <w:t>552.61</w:t>
            </w:r>
          </w:p>
        </w:tc>
        <w:tc>
          <w:tcPr>
            <w:tcW w:w="320" w:type="pct"/>
            <w:hideMark/>
          </w:tcPr>
          <w:p w14:paraId="051DAF3D" w14:textId="77777777" w:rsidR="00782E1C" w:rsidRPr="0046559D" w:rsidRDefault="00782E1C" w:rsidP="0046559D">
            <w:pPr>
              <w:pStyle w:val="tabeltextintabel"/>
              <w:rPr>
                <w:szCs w:val="12"/>
              </w:rPr>
            </w:pPr>
          </w:p>
        </w:tc>
        <w:tc>
          <w:tcPr>
            <w:tcW w:w="1025" w:type="pct"/>
            <w:hideMark/>
          </w:tcPr>
          <w:p w14:paraId="5ED86996" w14:textId="77777777" w:rsidR="00782E1C" w:rsidRPr="0046559D" w:rsidRDefault="00782E1C" w:rsidP="0046559D">
            <w:pPr>
              <w:pStyle w:val="tabeltextintabel"/>
              <w:rPr>
                <w:szCs w:val="12"/>
              </w:rPr>
            </w:pPr>
          </w:p>
        </w:tc>
        <w:tc>
          <w:tcPr>
            <w:tcW w:w="966" w:type="pct"/>
            <w:hideMark/>
          </w:tcPr>
          <w:p w14:paraId="2F5782B3" w14:textId="77777777" w:rsidR="00782E1C" w:rsidRPr="0046559D" w:rsidRDefault="00782E1C" w:rsidP="0046559D">
            <w:pPr>
              <w:pStyle w:val="tabeltextintabel"/>
              <w:rPr>
                <w:szCs w:val="12"/>
              </w:rPr>
            </w:pPr>
          </w:p>
        </w:tc>
        <w:tc>
          <w:tcPr>
            <w:tcW w:w="982" w:type="pct"/>
            <w:hideMark/>
          </w:tcPr>
          <w:p w14:paraId="4B3DD362" w14:textId="77777777" w:rsidR="00782E1C" w:rsidRPr="0046559D" w:rsidRDefault="00782E1C" w:rsidP="0046559D">
            <w:pPr>
              <w:pStyle w:val="tabeltextintabel"/>
              <w:rPr>
                <w:szCs w:val="12"/>
              </w:rPr>
            </w:pPr>
            <w:r w:rsidRPr="0046559D">
              <w:rPr>
                <w:szCs w:val="12"/>
              </w:rPr>
              <w:t> </w:t>
            </w:r>
          </w:p>
        </w:tc>
      </w:tr>
      <w:tr w:rsidR="00782E1C" w:rsidRPr="0046559D" w14:paraId="35BE61B8" w14:textId="77777777" w:rsidTr="0046559D">
        <w:trPr>
          <w:trHeight w:val="53"/>
        </w:trPr>
        <w:tc>
          <w:tcPr>
            <w:tcW w:w="256" w:type="pct"/>
            <w:hideMark/>
          </w:tcPr>
          <w:p w14:paraId="32FF2B9B" w14:textId="77777777" w:rsidR="00782E1C" w:rsidRPr="0046559D" w:rsidRDefault="00782E1C" w:rsidP="0046559D">
            <w:pPr>
              <w:pStyle w:val="tabeltextintabel"/>
              <w:rPr>
                <w:szCs w:val="12"/>
              </w:rPr>
            </w:pPr>
            <w:r w:rsidRPr="0046559D">
              <w:rPr>
                <w:szCs w:val="12"/>
              </w:rPr>
              <w:t>3</w:t>
            </w:r>
          </w:p>
        </w:tc>
        <w:tc>
          <w:tcPr>
            <w:tcW w:w="590" w:type="pct"/>
            <w:hideMark/>
          </w:tcPr>
          <w:p w14:paraId="0238B939" w14:textId="77777777" w:rsidR="00782E1C" w:rsidRPr="0046559D" w:rsidRDefault="00782E1C" w:rsidP="0046559D">
            <w:pPr>
              <w:pStyle w:val="tabeltextintabel"/>
              <w:rPr>
                <w:szCs w:val="12"/>
              </w:rPr>
            </w:pPr>
            <w:r w:rsidRPr="0046559D">
              <w:rPr>
                <w:szCs w:val="12"/>
              </w:rPr>
              <w:t>185</w:t>
            </w:r>
          </w:p>
        </w:tc>
        <w:tc>
          <w:tcPr>
            <w:tcW w:w="861" w:type="pct"/>
            <w:hideMark/>
          </w:tcPr>
          <w:p w14:paraId="55266000" w14:textId="77777777" w:rsidR="00782E1C" w:rsidRPr="0046559D" w:rsidRDefault="00782E1C" w:rsidP="0046559D">
            <w:pPr>
              <w:pStyle w:val="tabeltextintabel"/>
              <w:rPr>
                <w:szCs w:val="12"/>
              </w:rPr>
            </w:pPr>
            <w:r w:rsidRPr="0046559D">
              <w:rPr>
                <w:szCs w:val="12"/>
              </w:rPr>
              <w:t>552.37</w:t>
            </w:r>
          </w:p>
        </w:tc>
        <w:tc>
          <w:tcPr>
            <w:tcW w:w="320" w:type="pct"/>
            <w:hideMark/>
          </w:tcPr>
          <w:p w14:paraId="3C3DC4DB" w14:textId="77777777" w:rsidR="00782E1C" w:rsidRPr="0046559D" w:rsidRDefault="00782E1C" w:rsidP="0046559D">
            <w:pPr>
              <w:pStyle w:val="tabeltextintabel"/>
              <w:rPr>
                <w:szCs w:val="12"/>
              </w:rPr>
            </w:pPr>
            <w:r w:rsidRPr="0046559D">
              <w:rPr>
                <w:szCs w:val="12"/>
              </w:rPr>
              <w:t>1</w:t>
            </w:r>
          </w:p>
        </w:tc>
        <w:tc>
          <w:tcPr>
            <w:tcW w:w="1025" w:type="pct"/>
            <w:hideMark/>
          </w:tcPr>
          <w:p w14:paraId="28B5E2C5" w14:textId="77777777" w:rsidR="00782E1C" w:rsidRPr="0046559D" w:rsidRDefault="00782E1C" w:rsidP="0046559D">
            <w:pPr>
              <w:pStyle w:val="tabeltextintabel"/>
              <w:rPr>
                <w:szCs w:val="12"/>
              </w:rPr>
            </w:pPr>
            <w:r w:rsidRPr="0046559D">
              <w:rPr>
                <w:szCs w:val="12"/>
              </w:rPr>
              <w:t>0.24</w:t>
            </w:r>
          </w:p>
        </w:tc>
        <w:tc>
          <w:tcPr>
            <w:tcW w:w="966" w:type="pct"/>
            <w:hideMark/>
          </w:tcPr>
          <w:p w14:paraId="64C977E8" w14:textId="77777777" w:rsidR="00782E1C" w:rsidRPr="0046559D" w:rsidRDefault="00782E1C" w:rsidP="0046559D">
            <w:pPr>
              <w:pStyle w:val="tabeltextintabel"/>
              <w:rPr>
                <w:szCs w:val="12"/>
              </w:rPr>
            </w:pPr>
            <w:r w:rsidRPr="0046559D">
              <w:rPr>
                <w:szCs w:val="12"/>
              </w:rPr>
              <w:t>0.08</w:t>
            </w:r>
          </w:p>
        </w:tc>
        <w:tc>
          <w:tcPr>
            <w:tcW w:w="982" w:type="pct"/>
            <w:hideMark/>
          </w:tcPr>
          <w:p w14:paraId="2009DF0B" w14:textId="77777777" w:rsidR="00782E1C" w:rsidRPr="0046559D" w:rsidRDefault="00782E1C" w:rsidP="0046559D">
            <w:pPr>
              <w:pStyle w:val="tabeltextintabel"/>
              <w:rPr>
                <w:szCs w:val="12"/>
              </w:rPr>
            </w:pPr>
            <w:r w:rsidRPr="0046559D">
              <w:rPr>
                <w:szCs w:val="12"/>
              </w:rPr>
              <w:t>0.77</w:t>
            </w:r>
          </w:p>
        </w:tc>
      </w:tr>
      <w:tr w:rsidR="00782E1C" w:rsidRPr="0046559D" w14:paraId="4F40DA5F" w14:textId="77777777" w:rsidTr="0046559D">
        <w:trPr>
          <w:trHeight w:val="135"/>
        </w:trPr>
        <w:tc>
          <w:tcPr>
            <w:tcW w:w="256" w:type="pct"/>
            <w:hideMark/>
          </w:tcPr>
          <w:p w14:paraId="63B79693" w14:textId="77777777" w:rsidR="00782E1C" w:rsidRPr="0046559D" w:rsidRDefault="00782E1C" w:rsidP="0046559D">
            <w:pPr>
              <w:pStyle w:val="tabeltextintabel"/>
              <w:rPr>
                <w:szCs w:val="12"/>
              </w:rPr>
            </w:pPr>
            <w:r w:rsidRPr="0046559D">
              <w:rPr>
                <w:szCs w:val="12"/>
              </w:rPr>
              <w:t>4</w:t>
            </w:r>
          </w:p>
        </w:tc>
        <w:tc>
          <w:tcPr>
            <w:tcW w:w="590" w:type="pct"/>
            <w:hideMark/>
          </w:tcPr>
          <w:p w14:paraId="1518713A" w14:textId="77777777" w:rsidR="00782E1C" w:rsidRPr="0046559D" w:rsidRDefault="00782E1C" w:rsidP="0046559D">
            <w:pPr>
              <w:pStyle w:val="tabeltextintabel"/>
              <w:rPr>
                <w:szCs w:val="12"/>
              </w:rPr>
            </w:pPr>
            <w:r w:rsidRPr="0046559D">
              <w:rPr>
                <w:szCs w:val="12"/>
              </w:rPr>
              <w:t>183</w:t>
            </w:r>
          </w:p>
        </w:tc>
        <w:tc>
          <w:tcPr>
            <w:tcW w:w="861" w:type="pct"/>
            <w:hideMark/>
          </w:tcPr>
          <w:p w14:paraId="65BC8028" w14:textId="77777777" w:rsidR="00782E1C" w:rsidRPr="0046559D" w:rsidRDefault="00782E1C" w:rsidP="0046559D">
            <w:pPr>
              <w:pStyle w:val="tabeltextintabel"/>
              <w:rPr>
                <w:szCs w:val="12"/>
              </w:rPr>
            </w:pPr>
            <w:r w:rsidRPr="0046559D">
              <w:rPr>
                <w:szCs w:val="12"/>
              </w:rPr>
              <w:t>533.92</w:t>
            </w:r>
          </w:p>
        </w:tc>
        <w:tc>
          <w:tcPr>
            <w:tcW w:w="320" w:type="pct"/>
            <w:hideMark/>
          </w:tcPr>
          <w:p w14:paraId="0B8D6051" w14:textId="77777777" w:rsidR="00782E1C" w:rsidRPr="0046559D" w:rsidRDefault="00782E1C" w:rsidP="0046559D">
            <w:pPr>
              <w:pStyle w:val="tabeltextintabel"/>
              <w:rPr>
                <w:szCs w:val="12"/>
              </w:rPr>
            </w:pPr>
            <w:r w:rsidRPr="0046559D">
              <w:rPr>
                <w:szCs w:val="12"/>
              </w:rPr>
              <w:t>2</w:t>
            </w:r>
          </w:p>
        </w:tc>
        <w:tc>
          <w:tcPr>
            <w:tcW w:w="1025" w:type="pct"/>
            <w:hideMark/>
          </w:tcPr>
          <w:p w14:paraId="49B4B87A" w14:textId="77777777" w:rsidR="00782E1C" w:rsidRPr="0046559D" w:rsidRDefault="00782E1C" w:rsidP="0046559D">
            <w:pPr>
              <w:pStyle w:val="tabeltextintabel"/>
              <w:rPr>
                <w:szCs w:val="12"/>
              </w:rPr>
            </w:pPr>
            <w:r w:rsidRPr="0046559D">
              <w:rPr>
                <w:szCs w:val="12"/>
              </w:rPr>
              <w:t>18.45</w:t>
            </w:r>
          </w:p>
        </w:tc>
        <w:tc>
          <w:tcPr>
            <w:tcW w:w="966" w:type="pct"/>
            <w:hideMark/>
          </w:tcPr>
          <w:p w14:paraId="3515EAE0" w14:textId="77777777" w:rsidR="00782E1C" w:rsidRPr="0046559D" w:rsidRDefault="00782E1C" w:rsidP="0046559D">
            <w:pPr>
              <w:pStyle w:val="tabeltextintabel"/>
              <w:rPr>
                <w:szCs w:val="12"/>
              </w:rPr>
            </w:pPr>
            <w:r w:rsidRPr="0046559D">
              <w:rPr>
                <w:szCs w:val="12"/>
              </w:rPr>
              <w:t>3.16</w:t>
            </w:r>
          </w:p>
        </w:tc>
        <w:tc>
          <w:tcPr>
            <w:tcW w:w="982" w:type="pct"/>
            <w:hideMark/>
          </w:tcPr>
          <w:p w14:paraId="24E062F3" w14:textId="77777777" w:rsidR="00782E1C" w:rsidRPr="0046559D" w:rsidRDefault="00782E1C" w:rsidP="0046559D">
            <w:pPr>
              <w:pStyle w:val="tabeltextintabel"/>
              <w:rPr>
                <w:b/>
                <w:bCs/>
                <w:szCs w:val="12"/>
              </w:rPr>
            </w:pPr>
            <w:r w:rsidRPr="0046559D">
              <w:rPr>
                <w:b/>
                <w:bCs/>
                <w:szCs w:val="12"/>
              </w:rPr>
              <w:t>0.04</w:t>
            </w:r>
          </w:p>
        </w:tc>
      </w:tr>
      <w:tr w:rsidR="00782E1C" w:rsidRPr="0046559D" w14:paraId="386069E5" w14:textId="77777777" w:rsidTr="0046559D">
        <w:trPr>
          <w:trHeight w:val="92"/>
        </w:trPr>
        <w:tc>
          <w:tcPr>
            <w:tcW w:w="5000" w:type="pct"/>
            <w:gridSpan w:val="7"/>
            <w:hideMark/>
          </w:tcPr>
          <w:p w14:paraId="06063D0A" w14:textId="77777777" w:rsidR="00782E1C" w:rsidRPr="0046559D" w:rsidRDefault="00782E1C" w:rsidP="0046559D">
            <w:pPr>
              <w:pStyle w:val="tabeltextintabel"/>
              <w:rPr>
                <w:b/>
                <w:bCs/>
                <w:szCs w:val="12"/>
              </w:rPr>
            </w:pPr>
            <w:r w:rsidRPr="0046559D">
              <w:rPr>
                <w:b/>
                <w:bCs/>
                <w:szCs w:val="12"/>
              </w:rPr>
              <w:t>SWM.BE</w:t>
            </w:r>
          </w:p>
        </w:tc>
      </w:tr>
      <w:tr w:rsidR="00782E1C" w:rsidRPr="0046559D" w14:paraId="1CDD7CD6" w14:textId="77777777" w:rsidTr="0046559D">
        <w:trPr>
          <w:trHeight w:val="226"/>
        </w:trPr>
        <w:tc>
          <w:tcPr>
            <w:tcW w:w="256" w:type="pct"/>
            <w:hideMark/>
          </w:tcPr>
          <w:p w14:paraId="65CB580C" w14:textId="77777777" w:rsidR="00782E1C" w:rsidRPr="0046559D" w:rsidRDefault="00782E1C" w:rsidP="0046559D">
            <w:pPr>
              <w:pStyle w:val="tabeltextintabel"/>
              <w:rPr>
                <w:szCs w:val="12"/>
              </w:rPr>
            </w:pPr>
            <w:r w:rsidRPr="0046559D">
              <w:rPr>
                <w:szCs w:val="12"/>
              </w:rPr>
              <w:t>2</w:t>
            </w:r>
          </w:p>
        </w:tc>
        <w:tc>
          <w:tcPr>
            <w:tcW w:w="590" w:type="pct"/>
            <w:hideMark/>
          </w:tcPr>
          <w:p w14:paraId="44FDA6BE" w14:textId="77777777" w:rsidR="00782E1C" w:rsidRPr="0046559D" w:rsidRDefault="00782E1C" w:rsidP="0046559D">
            <w:pPr>
              <w:pStyle w:val="tabeltextintabel"/>
              <w:rPr>
                <w:szCs w:val="12"/>
              </w:rPr>
            </w:pPr>
            <w:r w:rsidRPr="0046559D">
              <w:rPr>
                <w:szCs w:val="12"/>
              </w:rPr>
              <w:t>202</w:t>
            </w:r>
          </w:p>
        </w:tc>
        <w:tc>
          <w:tcPr>
            <w:tcW w:w="861" w:type="pct"/>
            <w:hideMark/>
          </w:tcPr>
          <w:p w14:paraId="51F28D75" w14:textId="77777777" w:rsidR="00782E1C" w:rsidRPr="0046559D" w:rsidRDefault="00782E1C" w:rsidP="0046559D">
            <w:pPr>
              <w:pStyle w:val="tabeltextintabel"/>
              <w:rPr>
                <w:szCs w:val="12"/>
              </w:rPr>
            </w:pPr>
            <w:r w:rsidRPr="0046559D">
              <w:rPr>
                <w:szCs w:val="12"/>
              </w:rPr>
              <w:t>80,375.69</w:t>
            </w:r>
          </w:p>
        </w:tc>
        <w:tc>
          <w:tcPr>
            <w:tcW w:w="320" w:type="pct"/>
            <w:hideMark/>
          </w:tcPr>
          <w:p w14:paraId="61299173" w14:textId="77777777" w:rsidR="00782E1C" w:rsidRPr="0046559D" w:rsidRDefault="00782E1C" w:rsidP="0046559D">
            <w:pPr>
              <w:pStyle w:val="tabeltextintabel"/>
              <w:rPr>
                <w:szCs w:val="12"/>
              </w:rPr>
            </w:pPr>
          </w:p>
        </w:tc>
        <w:tc>
          <w:tcPr>
            <w:tcW w:w="1025" w:type="pct"/>
            <w:hideMark/>
          </w:tcPr>
          <w:p w14:paraId="12BDE1B7" w14:textId="77777777" w:rsidR="00782E1C" w:rsidRPr="0046559D" w:rsidRDefault="00782E1C" w:rsidP="0046559D">
            <w:pPr>
              <w:pStyle w:val="tabeltextintabel"/>
              <w:rPr>
                <w:szCs w:val="12"/>
              </w:rPr>
            </w:pPr>
          </w:p>
        </w:tc>
        <w:tc>
          <w:tcPr>
            <w:tcW w:w="966" w:type="pct"/>
            <w:hideMark/>
          </w:tcPr>
          <w:p w14:paraId="1988E367" w14:textId="77777777" w:rsidR="00782E1C" w:rsidRPr="0046559D" w:rsidRDefault="00782E1C" w:rsidP="0046559D">
            <w:pPr>
              <w:pStyle w:val="tabeltextintabel"/>
              <w:rPr>
                <w:szCs w:val="12"/>
              </w:rPr>
            </w:pPr>
          </w:p>
        </w:tc>
        <w:tc>
          <w:tcPr>
            <w:tcW w:w="982" w:type="pct"/>
            <w:hideMark/>
          </w:tcPr>
          <w:p w14:paraId="3388A98E" w14:textId="77777777" w:rsidR="00782E1C" w:rsidRPr="0046559D" w:rsidRDefault="00782E1C" w:rsidP="0046559D">
            <w:pPr>
              <w:pStyle w:val="tabeltextintabel"/>
              <w:rPr>
                <w:szCs w:val="12"/>
              </w:rPr>
            </w:pPr>
            <w:r w:rsidRPr="0046559D">
              <w:rPr>
                <w:szCs w:val="12"/>
              </w:rPr>
              <w:t> </w:t>
            </w:r>
          </w:p>
        </w:tc>
      </w:tr>
      <w:tr w:rsidR="00782E1C" w:rsidRPr="0046559D" w14:paraId="07A0A3C3" w14:textId="77777777" w:rsidTr="0046559D">
        <w:trPr>
          <w:trHeight w:val="244"/>
        </w:trPr>
        <w:tc>
          <w:tcPr>
            <w:tcW w:w="256" w:type="pct"/>
            <w:hideMark/>
          </w:tcPr>
          <w:p w14:paraId="780AE5D2" w14:textId="77777777" w:rsidR="00782E1C" w:rsidRPr="0046559D" w:rsidRDefault="00782E1C" w:rsidP="0046559D">
            <w:pPr>
              <w:pStyle w:val="tabeltextintabel"/>
              <w:rPr>
                <w:szCs w:val="12"/>
              </w:rPr>
            </w:pPr>
            <w:r w:rsidRPr="0046559D">
              <w:rPr>
                <w:szCs w:val="12"/>
              </w:rPr>
              <w:t>3</w:t>
            </w:r>
          </w:p>
        </w:tc>
        <w:tc>
          <w:tcPr>
            <w:tcW w:w="590" w:type="pct"/>
            <w:hideMark/>
          </w:tcPr>
          <w:p w14:paraId="551F9F73" w14:textId="77777777" w:rsidR="00782E1C" w:rsidRPr="0046559D" w:rsidRDefault="00782E1C" w:rsidP="0046559D">
            <w:pPr>
              <w:pStyle w:val="tabeltextintabel"/>
              <w:rPr>
                <w:szCs w:val="12"/>
              </w:rPr>
            </w:pPr>
            <w:r w:rsidRPr="0046559D">
              <w:rPr>
                <w:szCs w:val="12"/>
              </w:rPr>
              <w:t>201</w:t>
            </w:r>
          </w:p>
        </w:tc>
        <w:tc>
          <w:tcPr>
            <w:tcW w:w="861" w:type="pct"/>
            <w:hideMark/>
          </w:tcPr>
          <w:p w14:paraId="3934E9DA" w14:textId="77777777" w:rsidR="00782E1C" w:rsidRPr="0046559D" w:rsidRDefault="00782E1C" w:rsidP="0046559D">
            <w:pPr>
              <w:pStyle w:val="tabeltextintabel"/>
              <w:rPr>
                <w:szCs w:val="12"/>
              </w:rPr>
            </w:pPr>
            <w:r w:rsidRPr="0046559D">
              <w:rPr>
                <w:szCs w:val="12"/>
              </w:rPr>
              <w:t>74,674.15</w:t>
            </w:r>
          </w:p>
        </w:tc>
        <w:tc>
          <w:tcPr>
            <w:tcW w:w="320" w:type="pct"/>
            <w:hideMark/>
          </w:tcPr>
          <w:p w14:paraId="3DFC1953" w14:textId="77777777" w:rsidR="00782E1C" w:rsidRPr="0046559D" w:rsidRDefault="00782E1C" w:rsidP="0046559D">
            <w:pPr>
              <w:pStyle w:val="tabeltextintabel"/>
              <w:rPr>
                <w:szCs w:val="12"/>
              </w:rPr>
            </w:pPr>
            <w:r w:rsidRPr="0046559D">
              <w:rPr>
                <w:szCs w:val="12"/>
              </w:rPr>
              <w:t>1</w:t>
            </w:r>
          </w:p>
        </w:tc>
        <w:tc>
          <w:tcPr>
            <w:tcW w:w="1025" w:type="pct"/>
            <w:hideMark/>
          </w:tcPr>
          <w:p w14:paraId="0B6469C9" w14:textId="77777777" w:rsidR="00782E1C" w:rsidRPr="0046559D" w:rsidRDefault="00782E1C" w:rsidP="0046559D">
            <w:pPr>
              <w:pStyle w:val="tabeltextintabel"/>
              <w:rPr>
                <w:szCs w:val="12"/>
              </w:rPr>
            </w:pPr>
            <w:r w:rsidRPr="0046559D">
              <w:rPr>
                <w:szCs w:val="12"/>
              </w:rPr>
              <w:t>5,701.54</w:t>
            </w:r>
          </w:p>
        </w:tc>
        <w:tc>
          <w:tcPr>
            <w:tcW w:w="966" w:type="pct"/>
            <w:hideMark/>
          </w:tcPr>
          <w:p w14:paraId="263AF553" w14:textId="77777777" w:rsidR="00782E1C" w:rsidRPr="0046559D" w:rsidRDefault="00782E1C" w:rsidP="0046559D">
            <w:pPr>
              <w:pStyle w:val="tabeltextintabel"/>
              <w:rPr>
                <w:szCs w:val="12"/>
              </w:rPr>
            </w:pPr>
            <w:r w:rsidRPr="0046559D">
              <w:rPr>
                <w:szCs w:val="12"/>
              </w:rPr>
              <w:t>15.43</w:t>
            </w:r>
          </w:p>
        </w:tc>
        <w:tc>
          <w:tcPr>
            <w:tcW w:w="982" w:type="pct"/>
            <w:hideMark/>
          </w:tcPr>
          <w:p w14:paraId="3EE2388F" w14:textId="77777777" w:rsidR="00782E1C" w:rsidRPr="0046559D" w:rsidRDefault="00782E1C" w:rsidP="0046559D">
            <w:pPr>
              <w:pStyle w:val="tabeltextintabel"/>
              <w:rPr>
                <w:b/>
                <w:bCs/>
                <w:szCs w:val="12"/>
              </w:rPr>
            </w:pPr>
            <w:r w:rsidRPr="0046559D">
              <w:rPr>
                <w:b/>
                <w:bCs/>
                <w:szCs w:val="12"/>
              </w:rPr>
              <w:t>0.0001</w:t>
            </w:r>
          </w:p>
        </w:tc>
      </w:tr>
      <w:tr w:rsidR="00782E1C" w:rsidRPr="0046559D" w14:paraId="4F5745BF" w14:textId="77777777" w:rsidTr="0046559D">
        <w:trPr>
          <w:trHeight w:val="134"/>
        </w:trPr>
        <w:tc>
          <w:tcPr>
            <w:tcW w:w="256" w:type="pct"/>
            <w:hideMark/>
          </w:tcPr>
          <w:p w14:paraId="38B73333" w14:textId="77777777" w:rsidR="00782E1C" w:rsidRPr="0046559D" w:rsidRDefault="00782E1C" w:rsidP="0046559D">
            <w:pPr>
              <w:pStyle w:val="tabeltextintabel"/>
              <w:rPr>
                <w:szCs w:val="12"/>
              </w:rPr>
            </w:pPr>
            <w:r w:rsidRPr="0046559D">
              <w:rPr>
                <w:szCs w:val="12"/>
              </w:rPr>
              <w:t>4</w:t>
            </w:r>
          </w:p>
        </w:tc>
        <w:tc>
          <w:tcPr>
            <w:tcW w:w="590" w:type="pct"/>
            <w:hideMark/>
          </w:tcPr>
          <w:p w14:paraId="673410AE" w14:textId="77777777" w:rsidR="00782E1C" w:rsidRPr="0046559D" w:rsidRDefault="00782E1C" w:rsidP="0046559D">
            <w:pPr>
              <w:pStyle w:val="tabeltextintabel"/>
              <w:rPr>
                <w:szCs w:val="12"/>
              </w:rPr>
            </w:pPr>
            <w:r w:rsidRPr="0046559D">
              <w:rPr>
                <w:szCs w:val="12"/>
              </w:rPr>
              <w:t>199</w:t>
            </w:r>
          </w:p>
        </w:tc>
        <w:tc>
          <w:tcPr>
            <w:tcW w:w="861" w:type="pct"/>
            <w:hideMark/>
          </w:tcPr>
          <w:p w14:paraId="5370C54B" w14:textId="77777777" w:rsidR="00782E1C" w:rsidRPr="0046559D" w:rsidRDefault="00782E1C" w:rsidP="0046559D">
            <w:pPr>
              <w:pStyle w:val="tabeltextintabel"/>
              <w:rPr>
                <w:szCs w:val="12"/>
              </w:rPr>
            </w:pPr>
            <w:r w:rsidRPr="0046559D">
              <w:rPr>
                <w:szCs w:val="12"/>
              </w:rPr>
              <w:t>73,525.16</w:t>
            </w:r>
          </w:p>
        </w:tc>
        <w:tc>
          <w:tcPr>
            <w:tcW w:w="320" w:type="pct"/>
            <w:hideMark/>
          </w:tcPr>
          <w:p w14:paraId="284D9F2C" w14:textId="77777777" w:rsidR="00782E1C" w:rsidRPr="0046559D" w:rsidRDefault="00782E1C" w:rsidP="0046559D">
            <w:pPr>
              <w:pStyle w:val="tabeltextintabel"/>
              <w:rPr>
                <w:szCs w:val="12"/>
              </w:rPr>
            </w:pPr>
            <w:r w:rsidRPr="0046559D">
              <w:rPr>
                <w:szCs w:val="12"/>
              </w:rPr>
              <w:t>2</w:t>
            </w:r>
          </w:p>
        </w:tc>
        <w:tc>
          <w:tcPr>
            <w:tcW w:w="1025" w:type="pct"/>
            <w:hideMark/>
          </w:tcPr>
          <w:p w14:paraId="44E0150E" w14:textId="77777777" w:rsidR="00782E1C" w:rsidRPr="0046559D" w:rsidRDefault="00782E1C" w:rsidP="0046559D">
            <w:pPr>
              <w:pStyle w:val="tabeltextintabel"/>
              <w:rPr>
                <w:szCs w:val="12"/>
              </w:rPr>
            </w:pPr>
            <w:r w:rsidRPr="0046559D">
              <w:rPr>
                <w:szCs w:val="12"/>
              </w:rPr>
              <w:t>1,148.98</w:t>
            </w:r>
          </w:p>
        </w:tc>
        <w:tc>
          <w:tcPr>
            <w:tcW w:w="966" w:type="pct"/>
            <w:hideMark/>
          </w:tcPr>
          <w:p w14:paraId="63948B28" w14:textId="77777777" w:rsidR="00782E1C" w:rsidRPr="0046559D" w:rsidRDefault="00782E1C" w:rsidP="0046559D">
            <w:pPr>
              <w:pStyle w:val="tabeltextintabel"/>
              <w:rPr>
                <w:szCs w:val="12"/>
              </w:rPr>
            </w:pPr>
            <w:r w:rsidRPr="0046559D">
              <w:rPr>
                <w:szCs w:val="12"/>
              </w:rPr>
              <w:t>1.55</w:t>
            </w:r>
          </w:p>
        </w:tc>
        <w:tc>
          <w:tcPr>
            <w:tcW w:w="982" w:type="pct"/>
            <w:hideMark/>
          </w:tcPr>
          <w:p w14:paraId="54AB6BE6" w14:textId="77777777" w:rsidR="00782E1C" w:rsidRPr="0046559D" w:rsidRDefault="00782E1C" w:rsidP="0046559D">
            <w:pPr>
              <w:pStyle w:val="tabeltextintabel"/>
              <w:rPr>
                <w:szCs w:val="12"/>
              </w:rPr>
            </w:pPr>
            <w:r w:rsidRPr="0046559D">
              <w:rPr>
                <w:szCs w:val="12"/>
              </w:rPr>
              <w:t>0.21</w:t>
            </w:r>
          </w:p>
        </w:tc>
      </w:tr>
      <w:tr w:rsidR="00782E1C" w:rsidRPr="0046559D" w14:paraId="58C30003" w14:textId="77777777" w:rsidTr="0046559D">
        <w:trPr>
          <w:trHeight w:val="66"/>
        </w:trPr>
        <w:tc>
          <w:tcPr>
            <w:tcW w:w="5000" w:type="pct"/>
            <w:gridSpan w:val="7"/>
            <w:hideMark/>
          </w:tcPr>
          <w:p w14:paraId="621B9F81" w14:textId="77777777" w:rsidR="00782E1C" w:rsidRPr="0046559D" w:rsidRDefault="00782E1C" w:rsidP="0046559D">
            <w:pPr>
              <w:pStyle w:val="tabeltextintabel"/>
              <w:rPr>
                <w:b/>
                <w:bCs/>
                <w:szCs w:val="12"/>
              </w:rPr>
            </w:pPr>
            <w:r w:rsidRPr="0046559D">
              <w:rPr>
                <w:b/>
                <w:bCs/>
                <w:szCs w:val="12"/>
              </w:rPr>
              <w:t>SWM.STRAT</w:t>
            </w:r>
          </w:p>
        </w:tc>
      </w:tr>
      <w:tr w:rsidR="00782E1C" w:rsidRPr="0046559D" w14:paraId="4410BA6B" w14:textId="77777777" w:rsidTr="0046559D">
        <w:trPr>
          <w:trHeight w:val="82"/>
        </w:trPr>
        <w:tc>
          <w:tcPr>
            <w:tcW w:w="256" w:type="pct"/>
            <w:hideMark/>
          </w:tcPr>
          <w:p w14:paraId="4BE45F5C" w14:textId="77777777" w:rsidR="00782E1C" w:rsidRPr="0046559D" w:rsidRDefault="00782E1C" w:rsidP="0046559D">
            <w:pPr>
              <w:pStyle w:val="tabeltextintabel"/>
              <w:rPr>
                <w:szCs w:val="12"/>
              </w:rPr>
            </w:pPr>
            <w:r w:rsidRPr="0046559D">
              <w:rPr>
                <w:szCs w:val="12"/>
              </w:rPr>
              <w:t>2</w:t>
            </w:r>
          </w:p>
        </w:tc>
        <w:tc>
          <w:tcPr>
            <w:tcW w:w="590" w:type="pct"/>
            <w:hideMark/>
          </w:tcPr>
          <w:p w14:paraId="132B3852" w14:textId="77777777" w:rsidR="00782E1C" w:rsidRPr="0046559D" w:rsidRDefault="00782E1C" w:rsidP="0046559D">
            <w:pPr>
              <w:pStyle w:val="tabeltextintabel"/>
              <w:rPr>
                <w:szCs w:val="12"/>
              </w:rPr>
            </w:pPr>
            <w:r w:rsidRPr="0046559D">
              <w:rPr>
                <w:szCs w:val="12"/>
              </w:rPr>
              <w:t>203</w:t>
            </w:r>
          </w:p>
        </w:tc>
        <w:tc>
          <w:tcPr>
            <w:tcW w:w="861" w:type="pct"/>
            <w:hideMark/>
          </w:tcPr>
          <w:p w14:paraId="7C1C6AD7" w14:textId="77777777" w:rsidR="00782E1C" w:rsidRPr="0046559D" w:rsidRDefault="00782E1C" w:rsidP="0046559D">
            <w:pPr>
              <w:pStyle w:val="tabeltextintabel"/>
              <w:rPr>
                <w:szCs w:val="12"/>
              </w:rPr>
            </w:pPr>
            <w:r w:rsidRPr="0046559D">
              <w:rPr>
                <w:szCs w:val="12"/>
              </w:rPr>
              <w:t>4,848.26</w:t>
            </w:r>
          </w:p>
        </w:tc>
        <w:tc>
          <w:tcPr>
            <w:tcW w:w="320" w:type="pct"/>
            <w:hideMark/>
          </w:tcPr>
          <w:p w14:paraId="693BBE20" w14:textId="77777777" w:rsidR="00782E1C" w:rsidRPr="0046559D" w:rsidRDefault="00782E1C" w:rsidP="0046559D">
            <w:pPr>
              <w:pStyle w:val="tabeltextintabel"/>
              <w:rPr>
                <w:szCs w:val="12"/>
              </w:rPr>
            </w:pPr>
          </w:p>
        </w:tc>
        <w:tc>
          <w:tcPr>
            <w:tcW w:w="1025" w:type="pct"/>
            <w:hideMark/>
          </w:tcPr>
          <w:p w14:paraId="33F9D3ED" w14:textId="77777777" w:rsidR="00782E1C" w:rsidRPr="0046559D" w:rsidRDefault="00782E1C" w:rsidP="0046559D">
            <w:pPr>
              <w:pStyle w:val="tabeltextintabel"/>
              <w:rPr>
                <w:szCs w:val="12"/>
              </w:rPr>
            </w:pPr>
          </w:p>
        </w:tc>
        <w:tc>
          <w:tcPr>
            <w:tcW w:w="966" w:type="pct"/>
            <w:hideMark/>
          </w:tcPr>
          <w:p w14:paraId="12440012" w14:textId="77777777" w:rsidR="00782E1C" w:rsidRPr="0046559D" w:rsidRDefault="00782E1C" w:rsidP="0046559D">
            <w:pPr>
              <w:pStyle w:val="tabeltextintabel"/>
              <w:rPr>
                <w:szCs w:val="12"/>
              </w:rPr>
            </w:pPr>
          </w:p>
        </w:tc>
        <w:tc>
          <w:tcPr>
            <w:tcW w:w="982" w:type="pct"/>
            <w:hideMark/>
          </w:tcPr>
          <w:p w14:paraId="55C36544" w14:textId="77777777" w:rsidR="00782E1C" w:rsidRPr="0046559D" w:rsidRDefault="00782E1C" w:rsidP="0046559D">
            <w:pPr>
              <w:pStyle w:val="tabeltextintabel"/>
              <w:rPr>
                <w:szCs w:val="12"/>
              </w:rPr>
            </w:pPr>
            <w:r w:rsidRPr="0046559D">
              <w:rPr>
                <w:szCs w:val="12"/>
              </w:rPr>
              <w:t> </w:t>
            </w:r>
          </w:p>
        </w:tc>
      </w:tr>
      <w:tr w:rsidR="00782E1C" w:rsidRPr="0046559D" w14:paraId="75AF87DF" w14:textId="77777777" w:rsidTr="0046559D">
        <w:trPr>
          <w:trHeight w:val="100"/>
        </w:trPr>
        <w:tc>
          <w:tcPr>
            <w:tcW w:w="256" w:type="pct"/>
            <w:hideMark/>
          </w:tcPr>
          <w:p w14:paraId="50CC771B" w14:textId="77777777" w:rsidR="00782E1C" w:rsidRPr="0046559D" w:rsidRDefault="00782E1C" w:rsidP="0046559D">
            <w:pPr>
              <w:pStyle w:val="tabeltextintabel"/>
              <w:rPr>
                <w:szCs w:val="12"/>
              </w:rPr>
            </w:pPr>
            <w:r w:rsidRPr="0046559D">
              <w:rPr>
                <w:szCs w:val="12"/>
              </w:rPr>
              <w:t>3</w:t>
            </w:r>
          </w:p>
        </w:tc>
        <w:tc>
          <w:tcPr>
            <w:tcW w:w="590" w:type="pct"/>
            <w:hideMark/>
          </w:tcPr>
          <w:p w14:paraId="4F0237A6" w14:textId="77777777" w:rsidR="00782E1C" w:rsidRPr="0046559D" w:rsidRDefault="00782E1C" w:rsidP="0046559D">
            <w:pPr>
              <w:pStyle w:val="tabeltextintabel"/>
              <w:rPr>
                <w:szCs w:val="12"/>
              </w:rPr>
            </w:pPr>
            <w:r w:rsidRPr="0046559D">
              <w:rPr>
                <w:szCs w:val="12"/>
              </w:rPr>
              <w:t>202</w:t>
            </w:r>
          </w:p>
        </w:tc>
        <w:tc>
          <w:tcPr>
            <w:tcW w:w="861" w:type="pct"/>
            <w:hideMark/>
          </w:tcPr>
          <w:p w14:paraId="231DCA47" w14:textId="77777777" w:rsidR="00782E1C" w:rsidRPr="0046559D" w:rsidRDefault="00782E1C" w:rsidP="0046559D">
            <w:pPr>
              <w:pStyle w:val="tabeltextintabel"/>
              <w:rPr>
                <w:szCs w:val="12"/>
              </w:rPr>
            </w:pPr>
            <w:r w:rsidRPr="0046559D">
              <w:rPr>
                <w:szCs w:val="12"/>
              </w:rPr>
              <w:t>4,635.97</w:t>
            </w:r>
          </w:p>
        </w:tc>
        <w:tc>
          <w:tcPr>
            <w:tcW w:w="320" w:type="pct"/>
            <w:hideMark/>
          </w:tcPr>
          <w:p w14:paraId="48E5B9A5" w14:textId="77777777" w:rsidR="00782E1C" w:rsidRPr="0046559D" w:rsidRDefault="00782E1C" w:rsidP="0046559D">
            <w:pPr>
              <w:pStyle w:val="tabeltextintabel"/>
              <w:rPr>
                <w:szCs w:val="12"/>
              </w:rPr>
            </w:pPr>
            <w:r w:rsidRPr="0046559D">
              <w:rPr>
                <w:szCs w:val="12"/>
              </w:rPr>
              <w:t>1</w:t>
            </w:r>
          </w:p>
        </w:tc>
        <w:tc>
          <w:tcPr>
            <w:tcW w:w="1025" w:type="pct"/>
            <w:hideMark/>
          </w:tcPr>
          <w:p w14:paraId="300FBD18" w14:textId="77777777" w:rsidR="00782E1C" w:rsidRPr="0046559D" w:rsidRDefault="00782E1C" w:rsidP="0046559D">
            <w:pPr>
              <w:pStyle w:val="tabeltextintabel"/>
              <w:rPr>
                <w:szCs w:val="12"/>
              </w:rPr>
            </w:pPr>
            <w:r w:rsidRPr="0046559D">
              <w:rPr>
                <w:szCs w:val="12"/>
              </w:rPr>
              <w:t>212.29</w:t>
            </w:r>
          </w:p>
        </w:tc>
        <w:tc>
          <w:tcPr>
            <w:tcW w:w="966" w:type="pct"/>
            <w:hideMark/>
          </w:tcPr>
          <w:p w14:paraId="66D60680" w14:textId="77777777" w:rsidR="00782E1C" w:rsidRPr="0046559D" w:rsidRDefault="00782E1C" w:rsidP="0046559D">
            <w:pPr>
              <w:pStyle w:val="tabeltextintabel"/>
              <w:rPr>
                <w:szCs w:val="12"/>
              </w:rPr>
            </w:pPr>
            <w:r w:rsidRPr="0046559D">
              <w:rPr>
                <w:szCs w:val="12"/>
              </w:rPr>
              <w:t>9.21</w:t>
            </w:r>
          </w:p>
        </w:tc>
        <w:tc>
          <w:tcPr>
            <w:tcW w:w="982" w:type="pct"/>
            <w:hideMark/>
          </w:tcPr>
          <w:p w14:paraId="3BC452F6" w14:textId="77777777" w:rsidR="00782E1C" w:rsidRPr="0046559D" w:rsidRDefault="00782E1C" w:rsidP="0046559D">
            <w:pPr>
              <w:pStyle w:val="tabeltextintabel"/>
              <w:rPr>
                <w:b/>
                <w:bCs/>
                <w:szCs w:val="12"/>
              </w:rPr>
            </w:pPr>
            <w:r w:rsidRPr="0046559D">
              <w:rPr>
                <w:b/>
                <w:bCs/>
                <w:szCs w:val="12"/>
              </w:rPr>
              <w:t>0.003</w:t>
            </w:r>
          </w:p>
        </w:tc>
      </w:tr>
      <w:tr w:rsidR="00782E1C" w:rsidRPr="0046559D" w14:paraId="503D6311" w14:textId="77777777" w:rsidTr="0046559D">
        <w:trPr>
          <w:trHeight w:val="53"/>
        </w:trPr>
        <w:tc>
          <w:tcPr>
            <w:tcW w:w="256" w:type="pct"/>
            <w:hideMark/>
          </w:tcPr>
          <w:p w14:paraId="69FC746A" w14:textId="77777777" w:rsidR="00782E1C" w:rsidRPr="0046559D" w:rsidRDefault="00782E1C" w:rsidP="0046559D">
            <w:pPr>
              <w:pStyle w:val="tabeltextintabel"/>
              <w:rPr>
                <w:szCs w:val="12"/>
              </w:rPr>
            </w:pPr>
            <w:r w:rsidRPr="0046559D">
              <w:rPr>
                <w:szCs w:val="12"/>
              </w:rPr>
              <w:t>4</w:t>
            </w:r>
          </w:p>
        </w:tc>
        <w:tc>
          <w:tcPr>
            <w:tcW w:w="590" w:type="pct"/>
            <w:hideMark/>
          </w:tcPr>
          <w:p w14:paraId="150AF0D6" w14:textId="77777777" w:rsidR="00782E1C" w:rsidRPr="0046559D" w:rsidRDefault="00782E1C" w:rsidP="0046559D">
            <w:pPr>
              <w:pStyle w:val="tabeltextintabel"/>
              <w:rPr>
                <w:szCs w:val="12"/>
              </w:rPr>
            </w:pPr>
            <w:r w:rsidRPr="0046559D">
              <w:rPr>
                <w:szCs w:val="12"/>
              </w:rPr>
              <w:t>201</w:t>
            </w:r>
          </w:p>
        </w:tc>
        <w:tc>
          <w:tcPr>
            <w:tcW w:w="861" w:type="pct"/>
            <w:hideMark/>
          </w:tcPr>
          <w:p w14:paraId="5FC5EB8D" w14:textId="77777777" w:rsidR="00782E1C" w:rsidRPr="0046559D" w:rsidRDefault="00782E1C" w:rsidP="0046559D">
            <w:pPr>
              <w:pStyle w:val="tabeltextintabel"/>
              <w:rPr>
                <w:szCs w:val="12"/>
              </w:rPr>
            </w:pPr>
            <w:r w:rsidRPr="0046559D">
              <w:rPr>
                <w:szCs w:val="12"/>
              </w:rPr>
              <w:t>4,630.70</w:t>
            </w:r>
          </w:p>
        </w:tc>
        <w:tc>
          <w:tcPr>
            <w:tcW w:w="320" w:type="pct"/>
            <w:hideMark/>
          </w:tcPr>
          <w:p w14:paraId="46EA67B3" w14:textId="77777777" w:rsidR="00782E1C" w:rsidRPr="0046559D" w:rsidRDefault="00782E1C" w:rsidP="0046559D">
            <w:pPr>
              <w:pStyle w:val="tabeltextintabel"/>
              <w:rPr>
                <w:szCs w:val="12"/>
              </w:rPr>
            </w:pPr>
            <w:r w:rsidRPr="0046559D">
              <w:rPr>
                <w:szCs w:val="12"/>
              </w:rPr>
              <w:t>1</w:t>
            </w:r>
          </w:p>
        </w:tc>
        <w:tc>
          <w:tcPr>
            <w:tcW w:w="1025" w:type="pct"/>
            <w:hideMark/>
          </w:tcPr>
          <w:p w14:paraId="299911F3" w14:textId="77777777" w:rsidR="00782E1C" w:rsidRPr="0046559D" w:rsidRDefault="00782E1C" w:rsidP="0046559D">
            <w:pPr>
              <w:pStyle w:val="tabeltextintabel"/>
              <w:rPr>
                <w:szCs w:val="12"/>
              </w:rPr>
            </w:pPr>
            <w:r w:rsidRPr="0046559D">
              <w:rPr>
                <w:szCs w:val="12"/>
              </w:rPr>
              <w:t>5.27</w:t>
            </w:r>
          </w:p>
        </w:tc>
        <w:tc>
          <w:tcPr>
            <w:tcW w:w="966" w:type="pct"/>
            <w:hideMark/>
          </w:tcPr>
          <w:p w14:paraId="70525B89" w14:textId="77777777" w:rsidR="00782E1C" w:rsidRPr="0046559D" w:rsidRDefault="00782E1C" w:rsidP="0046559D">
            <w:pPr>
              <w:pStyle w:val="tabeltextintabel"/>
              <w:rPr>
                <w:szCs w:val="12"/>
              </w:rPr>
            </w:pPr>
            <w:r w:rsidRPr="0046559D">
              <w:rPr>
                <w:szCs w:val="12"/>
              </w:rPr>
              <w:t>0.23</w:t>
            </w:r>
          </w:p>
        </w:tc>
        <w:tc>
          <w:tcPr>
            <w:tcW w:w="982" w:type="pct"/>
            <w:hideMark/>
          </w:tcPr>
          <w:p w14:paraId="228E82D1" w14:textId="77777777" w:rsidR="00782E1C" w:rsidRPr="0046559D" w:rsidRDefault="00782E1C" w:rsidP="0046559D">
            <w:pPr>
              <w:pStyle w:val="tabeltextintabel"/>
              <w:rPr>
                <w:szCs w:val="12"/>
              </w:rPr>
            </w:pPr>
            <w:r w:rsidRPr="0046559D">
              <w:rPr>
                <w:szCs w:val="12"/>
              </w:rPr>
              <w:t>0.63</w:t>
            </w:r>
          </w:p>
        </w:tc>
      </w:tr>
      <w:tr w:rsidR="00782E1C" w:rsidRPr="0046559D" w14:paraId="698043B3" w14:textId="77777777" w:rsidTr="0046559D">
        <w:trPr>
          <w:trHeight w:val="53"/>
        </w:trPr>
        <w:tc>
          <w:tcPr>
            <w:tcW w:w="5000" w:type="pct"/>
            <w:gridSpan w:val="7"/>
            <w:hideMark/>
          </w:tcPr>
          <w:p w14:paraId="5E0E6687" w14:textId="77777777" w:rsidR="00782E1C" w:rsidRPr="0046559D" w:rsidRDefault="00782E1C" w:rsidP="0046559D">
            <w:pPr>
              <w:pStyle w:val="tabeltextintabel"/>
              <w:rPr>
                <w:b/>
                <w:bCs/>
                <w:szCs w:val="12"/>
              </w:rPr>
            </w:pPr>
            <w:r w:rsidRPr="0046559D">
              <w:rPr>
                <w:b/>
                <w:bCs/>
                <w:szCs w:val="12"/>
              </w:rPr>
              <w:t>SRT.MCL</w:t>
            </w:r>
          </w:p>
        </w:tc>
      </w:tr>
      <w:tr w:rsidR="00782E1C" w:rsidRPr="0046559D" w14:paraId="61917351" w14:textId="77777777" w:rsidTr="0046559D">
        <w:trPr>
          <w:trHeight w:val="94"/>
        </w:trPr>
        <w:tc>
          <w:tcPr>
            <w:tcW w:w="256" w:type="pct"/>
            <w:hideMark/>
          </w:tcPr>
          <w:p w14:paraId="78B21120" w14:textId="77777777" w:rsidR="00782E1C" w:rsidRPr="0046559D" w:rsidRDefault="00782E1C" w:rsidP="0046559D">
            <w:pPr>
              <w:pStyle w:val="tabeltextintabel"/>
              <w:rPr>
                <w:szCs w:val="12"/>
              </w:rPr>
            </w:pPr>
            <w:r w:rsidRPr="0046559D">
              <w:rPr>
                <w:szCs w:val="12"/>
              </w:rPr>
              <w:t>2</w:t>
            </w:r>
          </w:p>
        </w:tc>
        <w:tc>
          <w:tcPr>
            <w:tcW w:w="590" w:type="pct"/>
            <w:hideMark/>
          </w:tcPr>
          <w:p w14:paraId="6247F66E" w14:textId="77777777" w:rsidR="00782E1C" w:rsidRPr="0046559D" w:rsidRDefault="00782E1C" w:rsidP="0046559D">
            <w:pPr>
              <w:pStyle w:val="tabeltextintabel"/>
              <w:rPr>
                <w:szCs w:val="12"/>
              </w:rPr>
            </w:pPr>
            <w:r w:rsidRPr="0046559D">
              <w:rPr>
                <w:szCs w:val="12"/>
              </w:rPr>
              <w:t>186</w:t>
            </w:r>
          </w:p>
        </w:tc>
        <w:tc>
          <w:tcPr>
            <w:tcW w:w="861" w:type="pct"/>
            <w:hideMark/>
          </w:tcPr>
          <w:p w14:paraId="7DC5B2E6" w14:textId="77777777" w:rsidR="00782E1C" w:rsidRPr="0046559D" w:rsidRDefault="00782E1C" w:rsidP="0046559D">
            <w:pPr>
              <w:pStyle w:val="tabeltextintabel"/>
              <w:rPr>
                <w:szCs w:val="12"/>
              </w:rPr>
            </w:pPr>
            <w:r w:rsidRPr="0046559D">
              <w:rPr>
                <w:szCs w:val="12"/>
              </w:rPr>
              <w:t>2,939,837.0</w:t>
            </w:r>
          </w:p>
        </w:tc>
        <w:tc>
          <w:tcPr>
            <w:tcW w:w="320" w:type="pct"/>
            <w:hideMark/>
          </w:tcPr>
          <w:p w14:paraId="246D12B3" w14:textId="77777777" w:rsidR="00782E1C" w:rsidRPr="0046559D" w:rsidRDefault="00782E1C" w:rsidP="0046559D">
            <w:pPr>
              <w:pStyle w:val="tabeltextintabel"/>
              <w:rPr>
                <w:szCs w:val="12"/>
              </w:rPr>
            </w:pPr>
          </w:p>
        </w:tc>
        <w:tc>
          <w:tcPr>
            <w:tcW w:w="1025" w:type="pct"/>
            <w:hideMark/>
          </w:tcPr>
          <w:p w14:paraId="07731B4C" w14:textId="77777777" w:rsidR="00782E1C" w:rsidRPr="0046559D" w:rsidRDefault="00782E1C" w:rsidP="0046559D">
            <w:pPr>
              <w:pStyle w:val="tabeltextintabel"/>
              <w:rPr>
                <w:szCs w:val="12"/>
              </w:rPr>
            </w:pPr>
          </w:p>
        </w:tc>
        <w:tc>
          <w:tcPr>
            <w:tcW w:w="966" w:type="pct"/>
            <w:hideMark/>
          </w:tcPr>
          <w:p w14:paraId="65EAE3E9" w14:textId="77777777" w:rsidR="00782E1C" w:rsidRPr="0046559D" w:rsidRDefault="00782E1C" w:rsidP="0046559D">
            <w:pPr>
              <w:pStyle w:val="tabeltextintabel"/>
              <w:rPr>
                <w:szCs w:val="12"/>
              </w:rPr>
            </w:pPr>
          </w:p>
        </w:tc>
        <w:tc>
          <w:tcPr>
            <w:tcW w:w="982" w:type="pct"/>
            <w:hideMark/>
          </w:tcPr>
          <w:p w14:paraId="7F364F69" w14:textId="77777777" w:rsidR="00782E1C" w:rsidRPr="0046559D" w:rsidRDefault="00782E1C" w:rsidP="0046559D">
            <w:pPr>
              <w:pStyle w:val="tabeltextintabel"/>
              <w:rPr>
                <w:szCs w:val="12"/>
              </w:rPr>
            </w:pPr>
            <w:r w:rsidRPr="0046559D">
              <w:rPr>
                <w:szCs w:val="12"/>
              </w:rPr>
              <w:t> </w:t>
            </w:r>
          </w:p>
        </w:tc>
      </w:tr>
      <w:tr w:rsidR="00782E1C" w:rsidRPr="0046559D" w14:paraId="128E9E42" w14:textId="77777777" w:rsidTr="0046559D">
        <w:trPr>
          <w:trHeight w:val="68"/>
        </w:trPr>
        <w:tc>
          <w:tcPr>
            <w:tcW w:w="256" w:type="pct"/>
            <w:hideMark/>
          </w:tcPr>
          <w:p w14:paraId="2401D427" w14:textId="77777777" w:rsidR="00782E1C" w:rsidRPr="0046559D" w:rsidRDefault="00782E1C" w:rsidP="0046559D">
            <w:pPr>
              <w:pStyle w:val="tabeltextintabel"/>
              <w:rPr>
                <w:szCs w:val="12"/>
              </w:rPr>
            </w:pPr>
            <w:r w:rsidRPr="0046559D">
              <w:rPr>
                <w:szCs w:val="12"/>
              </w:rPr>
              <w:t>3</w:t>
            </w:r>
          </w:p>
        </w:tc>
        <w:tc>
          <w:tcPr>
            <w:tcW w:w="590" w:type="pct"/>
            <w:hideMark/>
          </w:tcPr>
          <w:p w14:paraId="75349AF4" w14:textId="77777777" w:rsidR="00782E1C" w:rsidRPr="0046559D" w:rsidRDefault="00782E1C" w:rsidP="0046559D">
            <w:pPr>
              <w:pStyle w:val="tabeltextintabel"/>
              <w:rPr>
                <w:szCs w:val="12"/>
              </w:rPr>
            </w:pPr>
            <w:r w:rsidRPr="0046559D">
              <w:rPr>
                <w:szCs w:val="12"/>
              </w:rPr>
              <w:t>185</w:t>
            </w:r>
          </w:p>
        </w:tc>
        <w:tc>
          <w:tcPr>
            <w:tcW w:w="861" w:type="pct"/>
            <w:hideMark/>
          </w:tcPr>
          <w:p w14:paraId="7E298B15" w14:textId="77777777" w:rsidR="00782E1C" w:rsidRPr="0046559D" w:rsidRDefault="00782E1C" w:rsidP="0046559D">
            <w:pPr>
              <w:pStyle w:val="tabeltextintabel"/>
              <w:rPr>
                <w:szCs w:val="12"/>
              </w:rPr>
            </w:pPr>
            <w:r w:rsidRPr="0046559D">
              <w:rPr>
                <w:szCs w:val="12"/>
              </w:rPr>
              <w:t>2,859,400.0</w:t>
            </w:r>
          </w:p>
        </w:tc>
        <w:tc>
          <w:tcPr>
            <w:tcW w:w="320" w:type="pct"/>
            <w:hideMark/>
          </w:tcPr>
          <w:p w14:paraId="1AC99BFE" w14:textId="77777777" w:rsidR="00782E1C" w:rsidRPr="0046559D" w:rsidRDefault="00782E1C" w:rsidP="0046559D">
            <w:pPr>
              <w:pStyle w:val="tabeltextintabel"/>
              <w:rPr>
                <w:szCs w:val="12"/>
              </w:rPr>
            </w:pPr>
            <w:r w:rsidRPr="0046559D">
              <w:rPr>
                <w:szCs w:val="12"/>
              </w:rPr>
              <w:t>1</w:t>
            </w:r>
          </w:p>
        </w:tc>
        <w:tc>
          <w:tcPr>
            <w:tcW w:w="1025" w:type="pct"/>
            <w:hideMark/>
          </w:tcPr>
          <w:p w14:paraId="43722063" w14:textId="77777777" w:rsidR="00782E1C" w:rsidRPr="0046559D" w:rsidRDefault="00782E1C" w:rsidP="0046559D">
            <w:pPr>
              <w:pStyle w:val="tabeltextintabel"/>
              <w:rPr>
                <w:szCs w:val="12"/>
              </w:rPr>
            </w:pPr>
            <w:r w:rsidRPr="0046559D">
              <w:rPr>
                <w:szCs w:val="12"/>
              </w:rPr>
              <w:t>80,437.64</w:t>
            </w:r>
          </w:p>
        </w:tc>
        <w:tc>
          <w:tcPr>
            <w:tcW w:w="966" w:type="pct"/>
            <w:hideMark/>
          </w:tcPr>
          <w:p w14:paraId="0C5149E3" w14:textId="77777777" w:rsidR="00782E1C" w:rsidRPr="0046559D" w:rsidRDefault="00782E1C" w:rsidP="0046559D">
            <w:pPr>
              <w:pStyle w:val="tabeltextintabel"/>
              <w:rPr>
                <w:szCs w:val="12"/>
              </w:rPr>
            </w:pPr>
            <w:r w:rsidRPr="0046559D">
              <w:rPr>
                <w:szCs w:val="12"/>
              </w:rPr>
              <w:t>5.20</w:t>
            </w:r>
          </w:p>
        </w:tc>
        <w:tc>
          <w:tcPr>
            <w:tcW w:w="982" w:type="pct"/>
            <w:hideMark/>
          </w:tcPr>
          <w:p w14:paraId="258C4DBA" w14:textId="77777777" w:rsidR="00782E1C" w:rsidRPr="0046559D" w:rsidRDefault="00782E1C" w:rsidP="0046559D">
            <w:pPr>
              <w:pStyle w:val="tabeltextintabel"/>
              <w:rPr>
                <w:b/>
                <w:bCs/>
                <w:szCs w:val="12"/>
              </w:rPr>
            </w:pPr>
            <w:r w:rsidRPr="0046559D">
              <w:rPr>
                <w:b/>
                <w:bCs/>
                <w:szCs w:val="12"/>
              </w:rPr>
              <w:t>0.02</w:t>
            </w:r>
          </w:p>
        </w:tc>
      </w:tr>
      <w:tr w:rsidR="00782E1C" w:rsidRPr="0046559D" w14:paraId="243518EC" w14:textId="77777777" w:rsidTr="0046559D">
        <w:trPr>
          <w:trHeight w:val="184"/>
        </w:trPr>
        <w:tc>
          <w:tcPr>
            <w:tcW w:w="256" w:type="pct"/>
            <w:hideMark/>
          </w:tcPr>
          <w:p w14:paraId="0459FA9C" w14:textId="77777777" w:rsidR="00782E1C" w:rsidRPr="0046559D" w:rsidRDefault="00782E1C" w:rsidP="0046559D">
            <w:pPr>
              <w:pStyle w:val="tabeltextintabel"/>
              <w:rPr>
                <w:szCs w:val="12"/>
              </w:rPr>
            </w:pPr>
            <w:r w:rsidRPr="0046559D">
              <w:rPr>
                <w:szCs w:val="12"/>
              </w:rPr>
              <w:t>4</w:t>
            </w:r>
          </w:p>
        </w:tc>
        <w:tc>
          <w:tcPr>
            <w:tcW w:w="590" w:type="pct"/>
            <w:hideMark/>
          </w:tcPr>
          <w:p w14:paraId="0AEFE1BB" w14:textId="77777777" w:rsidR="00782E1C" w:rsidRPr="0046559D" w:rsidRDefault="00782E1C" w:rsidP="0046559D">
            <w:pPr>
              <w:pStyle w:val="tabeltextintabel"/>
              <w:rPr>
                <w:szCs w:val="12"/>
              </w:rPr>
            </w:pPr>
            <w:r w:rsidRPr="0046559D">
              <w:rPr>
                <w:szCs w:val="12"/>
              </w:rPr>
              <w:t>183</w:t>
            </w:r>
          </w:p>
        </w:tc>
        <w:tc>
          <w:tcPr>
            <w:tcW w:w="861" w:type="pct"/>
            <w:hideMark/>
          </w:tcPr>
          <w:p w14:paraId="2FB3791C" w14:textId="77777777" w:rsidR="00782E1C" w:rsidRPr="0046559D" w:rsidRDefault="00782E1C" w:rsidP="0046559D">
            <w:pPr>
              <w:pStyle w:val="tabeltextintabel"/>
              <w:rPr>
                <w:szCs w:val="12"/>
              </w:rPr>
            </w:pPr>
            <w:r w:rsidRPr="0046559D">
              <w:rPr>
                <w:szCs w:val="12"/>
              </w:rPr>
              <w:t>2,831,293.0</w:t>
            </w:r>
          </w:p>
        </w:tc>
        <w:tc>
          <w:tcPr>
            <w:tcW w:w="320" w:type="pct"/>
            <w:hideMark/>
          </w:tcPr>
          <w:p w14:paraId="1339E72A" w14:textId="77777777" w:rsidR="00782E1C" w:rsidRPr="0046559D" w:rsidRDefault="00782E1C" w:rsidP="0046559D">
            <w:pPr>
              <w:pStyle w:val="tabeltextintabel"/>
              <w:rPr>
                <w:szCs w:val="12"/>
              </w:rPr>
            </w:pPr>
            <w:r w:rsidRPr="0046559D">
              <w:rPr>
                <w:szCs w:val="12"/>
              </w:rPr>
              <w:t>2</w:t>
            </w:r>
          </w:p>
        </w:tc>
        <w:tc>
          <w:tcPr>
            <w:tcW w:w="1025" w:type="pct"/>
            <w:hideMark/>
          </w:tcPr>
          <w:p w14:paraId="2F65EE61" w14:textId="77777777" w:rsidR="00782E1C" w:rsidRPr="0046559D" w:rsidRDefault="00782E1C" w:rsidP="0046559D">
            <w:pPr>
              <w:pStyle w:val="tabeltextintabel"/>
              <w:rPr>
                <w:szCs w:val="12"/>
              </w:rPr>
            </w:pPr>
            <w:r w:rsidRPr="0046559D">
              <w:rPr>
                <w:szCs w:val="12"/>
              </w:rPr>
              <w:t>28,106.75</w:t>
            </w:r>
          </w:p>
        </w:tc>
        <w:tc>
          <w:tcPr>
            <w:tcW w:w="966" w:type="pct"/>
            <w:hideMark/>
          </w:tcPr>
          <w:p w14:paraId="7476DAF3" w14:textId="77777777" w:rsidR="00782E1C" w:rsidRPr="0046559D" w:rsidRDefault="00782E1C" w:rsidP="0046559D">
            <w:pPr>
              <w:pStyle w:val="tabeltextintabel"/>
              <w:rPr>
                <w:szCs w:val="12"/>
              </w:rPr>
            </w:pPr>
            <w:r w:rsidRPr="0046559D">
              <w:rPr>
                <w:szCs w:val="12"/>
              </w:rPr>
              <w:t>0.91</w:t>
            </w:r>
          </w:p>
        </w:tc>
        <w:tc>
          <w:tcPr>
            <w:tcW w:w="982" w:type="pct"/>
            <w:hideMark/>
          </w:tcPr>
          <w:p w14:paraId="0EBA82B5" w14:textId="77777777" w:rsidR="00782E1C" w:rsidRPr="0046559D" w:rsidRDefault="00782E1C" w:rsidP="0046559D">
            <w:pPr>
              <w:pStyle w:val="tabeltextintabel"/>
              <w:rPr>
                <w:szCs w:val="12"/>
              </w:rPr>
            </w:pPr>
            <w:r w:rsidRPr="0046559D">
              <w:rPr>
                <w:szCs w:val="12"/>
              </w:rPr>
              <w:t>0.41</w:t>
            </w:r>
          </w:p>
        </w:tc>
      </w:tr>
      <w:tr w:rsidR="00782E1C" w:rsidRPr="0046559D" w14:paraId="272E0625" w14:textId="77777777" w:rsidTr="0046559D">
        <w:trPr>
          <w:trHeight w:val="156"/>
        </w:trPr>
        <w:tc>
          <w:tcPr>
            <w:tcW w:w="5000" w:type="pct"/>
            <w:gridSpan w:val="7"/>
            <w:hideMark/>
          </w:tcPr>
          <w:p w14:paraId="2409CDEF" w14:textId="77777777" w:rsidR="00782E1C" w:rsidRPr="0046559D" w:rsidRDefault="00782E1C" w:rsidP="0046559D">
            <w:pPr>
              <w:pStyle w:val="tabeltextintabel"/>
              <w:rPr>
                <w:b/>
                <w:bCs/>
                <w:szCs w:val="12"/>
              </w:rPr>
            </w:pPr>
            <w:r w:rsidRPr="0046559D">
              <w:rPr>
                <w:b/>
                <w:bCs/>
                <w:szCs w:val="12"/>
              </w:rPr>
              <w:t>SRT.PCT</w:t>
            </w:r>
          </w:p>
        </w:tc>
      </w:tr>
      <w:tr w:rsidR="00782E1C" w:rsidRPr="0046559D" w14:paraId="00934633" w14:textId="77777777" w:rsidTr="0046559D">
        <w:trPr>
          <w:trHeight w:val="104"/>
        </w:trPr>
        <w:tc>
          <w:tcPr>
            <w:tcW w:w="256" w:type="pct"/>
            <w:hideMark/>
          </w:tcPr>
          <w:p w14:paraId="2BAE7563" w14:textId="77777777" w:rsidR="00782E1C" w:rsidRPr="0046559D" w:rsidRDefault="00782E1C" w:rsidP="0046559D">
            <w:pPr>
              <w:pStyle w:val="tabeltextintabel"/>
              <w:rPr>
                <w:szCs w:val="12"/>
              </w:rPr>
            </w:pPr>
            <w:r w:rsidRPr="0046559D">
              <w:rPr>
                <w:szCs w:val="12"/>
              </w:rPr>
              <w:t>2</w:t>
            </w:r>
          </w:p>
        </w:tc>
        <w:tc>
          <w:tcPr>
            <w:tcW w:w="590" w:type="pct"/>
            <w:hideMark/>
          </w:tcPr>
          <w:p w14:paraId="5EDA166D" w14:textId="77777777" w:rsidR="00782E1C" w:rsidRPr="0046559D" w:rsidRDefault="00782E1C" w:rsidP="0046559D">
            <w:pPr>
              <w:pStyle w:val="tabeltextintabel"/>
              <w:rPr>
                <w:szCs w:val="12"/>
              </w:rPr>
            </w:pPr>
            <w:r w:rsidRPr="0046559D">
              <w:rPr>
                <w:szCs w:val="12"/>
              </w:rPr>
              <w:t>186</w:t>
            </w:r>
          </w:p>
        </w:tc>
        <w:tc>
          <w:tcPr>
            <w:tcW w:w="861" w:type="pct"/>
            <w:hideMark/>
          </w:tcPr>
          <w:p w14:paraId="6F9B4E07" w14:textId="77777777" w:rsidR="00782E1C" w:rsidRPr="0046559D" w:rsidRDefault="00782E1C" w:rsidP="0046559D">
            <w:pPr>
              <w:pStyle w:val="tabeltextintabel"/>
              <w:rPr>
                <w:szCs w:val="12"/>
              </w:rPr>
            </w:pPr>
            <w:r w:rsidRPr="0046559D">
              <w:rPr>
                <w:szCs w:val="12"/>
              </w:rPr>
              <w:t>4,520.95</w:t>
            </w:r>
          </w:p>
        </w:tc>
        <w:tc>
          <w:tcPr>
            <w:tcW w:w="320" w:type="pct"/>
            <w:hideMark/>
          </w:tcPr>
          <w:p w14:paraId="340D5B1B" w14:textId="77777777" w:rsidR="00782E1C" w:rsidRPr="0046559D" w:rsidRDefault="00782E1C" w:rsidP="0046559D">
            <w:pPr>
              <w:pStyle w:val="tabeltextintabel"/>
              <w:rPr>
                <w:szCs w:val="12"/>
              </w:rPr>
            </w:pPr>
          </w:p>
        </w:tc>
        <w:tc>
          <w:tcPr>
            <w:tcW w:w="1025" w:type="pct"/>
            <w:hideMark/>
          </w:tcPr>
          <w:p w14:paraId="7F6CD852" w14:textId="77777777" w:rsidR="00782E1C" w:rsidRPr="0046559D" w:rsidRDefault="00782E1C" w:rsidP="0046559D">
            <w:pPr>
              <w:pStyle w:val="tabeltextintabel"/>
              <w:rPr>
                <w:szCs w:val="12"/>
              </w:rPr>
            </w:pPr>
          </w:p>
        </w:tc>
        <w:tc>
          <w:tcPr>
            <w:tcW w:w="966" w:type="pct"/>
            <w:hideMark/>
          </w:tcPr>
          <w:p w14:paraId="0DB3C6DD" w14:textId="77777777" w:rsidR="00782E1C" w:rsidRPr="0046559D" w:rsidRDefault="00782E1C" w:rsidP="0046559D">
            <w:pPr>
              <w:pStyle w:val="tabeltextintabel"/>
              <w:rPr>
                <w:szCs w:val="12"/>
              </w:rPr>
            </w:pPr>
          </w:p>
        </w:tc>
        <w:tc>
          <w:tcPr>
            <w:tcW w:w="982" w:type="pct"/>
            <w:hideMark/>
          </w:tcPr>
          <w:p w14:paraId="44E0D68A" w14:textId="77777777" w:rsidR="00782E1C" w:rsidRPr="0046559D" w:rsidRDefault="00782E1C" w:rsidP="0046559D">
            <w:pPr>
              <w:pStyle w:val="tabeltextintabel"/>
              <w:rPr>
                <w:szCs w:val="12"/>
              </w:rPr>
            </w:pPr>
            <w:r w:rsidRPr="0046559D">
              <w:rPr>
                <w:szCs w:val="12"/>
              </w:rPr>
              <w:t> </w:t>
            </w:r>
          </w:p>
        </w:tc>
      </w:tr>
      <w:tr w:rsidR="00782E1C" w:rsidRPr="0046559D" w14:paraId="416F9189" w14:textId="77777777" w:rsidTr="0046559D">
        <w:trPr>
          <w:trHeight w:val="78"/>
        </w:trPr>
        <w:tc>
          <w:tcPr>
            <w:tcW w:w="256" w:type="pct"/>
            <w:hideMark/>
          </w:tcPr>
          <w:p w14:paraId="2CF8D2BE" w14:textId="77777777" w:rsidR="00782E1C" w:rsidRPr="0046559D" w:rsidRDefault="00782E1C" w:rsidP="0046559D">
            <w:pPr>
              <w:pStyle w:val="tabeltextintabel"/>
              <w:rPr>
                <w:szCs w:val="12"/>
              </w:rPr>
            </w:pPr>
            <w:r w:rsidRPr="0046559D">
              <w:rPr>
                <w:szCs w:val="12"/>
              </w:rPr>
              <w:t>3</w:t>
            </w:r>
          </w:p>
        </w:tc>
        <w:tc>
          <w:tcPr>
            <w:tcW w:w="590" w:type="pct"/>
            <w:hideMark/>
          </w:tcPr>
          <w:p w14:paraId="60B9900D" w14:textId="77777777" w:rsidR="00782E1C" w:rsidRPr="0046559D" w:rsidRDefault="00782E1C" w:rsidP="0046559D">
            <w:pPr>
              <w:pStyle w:val="tabeltextintabel"/>
              <w:rPr>
                <w:szCs w:val="12"/>
              </w:rPr>
            </w:pPr>
            <w:r w:rsidRPr="0046559D">
              <w:rPr>
                <w:szCs w:val="12"/>
              </w:rPr>
              <w:t>185</w:t>
            </w:r>
          </w:p>
        </w:tc>
        <w:tc>
          <w:tcPr>
            <w:tcW w:w="861" w:type="pct"/>
            <w:hideMark/>
          </w:tcPr>
          <w:p w14:paraId="49D81D93" w14:textId="77777777" w:rsidR="00782E1C" w:rsidRPr="0046559D" w:rsidRDefault="00782E1C" w:rsidP="0046559D">
            <w:pPr>
              <w:pStyle w:val="tabeltextintabel"/>
              <w:rPr>
                <w:szCs w:val="12"/>
              </w:rPr>
            </w:pPr>
            <w:r w:rsidRPr="0046559D">
              <w:rPr>
                <w:szCs w:val="12"/>
              </w:rPr>
              <w:t>4,376.64</w:t>
            </w:r>
          </w:p>
        </w:tc>
        <w:tc>
          <w:tcPr>
            <w:tcW w:w="320" w:type="pct"/>
            <w:hideMark/>
          </w:tcPr>
          <w:p w14:paraId="02F36048" w14:textId="77777777" w:rsidR="00782E1C" w:rsidRPr="0046559D" w:rsidRDefault="00782E1C" w:rsidP="0046559D">
            <w:pPr>
              <w:pStyle w:val="tabeltextintabel"/>
              <w:rPr>
                <w:szCs w:val="12"/>
              </w:rPr>
            </w:pPr>
            <w:r w:rsidRPr="0046559D">
              <w:rPr>
                <w:szCs w:val="12"/>
              </w:rPr>
              <w:t>1</w:t>
            </w:r>
          </w:p>
        </w:tc>
        <w:tc>
          <w:tcPr>
            <w:tcW w:w="1025" w:type="pct"/>
            <w:hideMark/>
          </w:tcPr>
          <w:p w14:paraId="4DC14F65" w14:textId="77777777" w:rsidR="00782E1C" w:rsidRPr="0046559D" w:rsidRDefault="00782E1C" w:rsidP="0046559D">
            <w:pPr>
              <w:pStyle w:val="tabeltextintabel"/>
              <w:rPr>
                <w:szCs w:val="12"/>
              </w:rPr>
            </w:pPr>
            <w:r w:rsidRPr="0046559D">
              <w:rPr>
                <w:szCs w:val="12"/>
              </w:rPr>
              <w:t>144.31</w:t>
            </w:r>
          </w:p>
        </w:tc>
        <w:tc>
          <w:tcPr>
            <w:tcW w:w="966" w:type="pct"/>
            <w:hideMark/>
          </w:tcPr>
          <w:p w14:paraId="0C0FBA1A" w14:textId="77777777" w:rsidR="00782E1C" w:rsidRPr="0046559D" w:rsidRDefault="00782E1C" w:rsidP="0046559D">
            <w:pPr>
              <w:pStyle w:val="tabeltextintabel"/>
              <w:rPr>
                <w:szCs w:val="12"/>
              </w:rPr>
            </w:pPr>
            <w:r w:rsidRPr="0046559D">
              <w:rPr>
                <w:szCs w:val="12"/>
              </w:rPr>
              <w:t>6.07</w:t>
            </w:r>
          </w:p>
        </w:tc>
        <w:tc>
          <w:tcPr>
            <w:tcW w:w="982" w:type="pct"/>
            <w:hideMark/>
          </w:tcPr>
          <w:p w14:paraId="52632AD8" w14:textId="77777777" w:rsidR="00782E1C" w:rsidRPr="0046559D" w:rsidRDefault="00782E1C" w:rsidP="0046559D">
            <w:pPr>
              <w:pStyle w:val="tabeltextintabel"/>
              <w:rPr>
                <w:b/>
                <w:bCs/>
                <w:szCs w:val="12"/>
              </w:rPr>
            </w:pPr>
            <w:r w:rsidRPr="0046559D">
              <w:rPr>
                <w:b/>
                <w:bCs/>
                <w:szCs w:val="12"/>
              </w:rPr>
              <w:t>0.01</w:t>
            </w:r>
          </w:p>
        </w:tc>
      </w:tr>
      <w:tr w:rsidR="00782E1C" w:rsidRPr="0046559D" w14:paraId="03B4E058" w14:textId="77777777" w:rsidTr="0046559D">
        <w:trPr>
          <w:trHeight w:val="53"/>
        </w:trPr>
        <w:tc>
          <w:tcPr>
            <w:tcW w:w="256" w:type="pct"/>
            <w:hideMark/>
          </w:tcPr>
          <w:p w14:paraId="702F1247" w14:textId="77777777" w:rsidR="00782E1C" w:rsidRPr="0046559D" w:rsidRDefault="00782E1C" w:rsidP="0046559D">
            <w:pPr>
              <w:pStyle w:val="tabeltextintabel"/>
              <w:rPr>
                <w:szCs w:val="12"/>
              </w:rPr>
            </w:pPr>
            <w:r w:rsidRPr="0046559D">
              <w:rPr>
                <w:szCs w:val="12"/>
              </w:rPr>
              <w:t>4</w:t>
            </w:r>
          </w:p>
        </w:tc>
        <w:tc>
          <w:tcPr>
            <w:tcW w:w="590" w:type="pct"/>
            <w:hideMark/>
          </w:tcPr>
          <w:p w14:paraId="58DD2201" w14:textId="77777777" w:rsidR="00782E1C" w:rsidRPr="0046559D" w:rsidRDefault="00782E1C" w:rsidP="0046559D">
            <w:pPr>
              <w:pStyle w:val="tabeltextintabel"/>
              <w:rPr>
                <w:szCs w:val="12"/>
              </w:rPr>
            </w:pPr>
            <w:r w:rsidRPr="0046559D">
              <w:rPr>
                <w:szCs w:val="12"/>
              </w:rPr>
              <w:t>183</w:t>
            </w:r>
          </w:p>
        </w:tc>
        <w:tc>
          <w:tcPr>
            <w:tcW w:w="861" w:type="pct"/>
            <w:hideMark/>
          </w:tcPr>
          <w:p w14:paraId="366E7614" w14:textId="77777777" w:rsidR="00782E1C" w:rsidRPr="0046559D" w:rsidRDefault="00782E1C" w:rsidP="0046559D">
            <w:pPr>
              <w:pStyle w:val="tabeltextintabel"/>
              <w:rPr>
                <w:szCs w:val="12"/>
              </w:rPr>
            </w:pPr>
            <w:r w:rsidRPr="0046559D">
              <w:rPr>
                <w:szCs w:val="12"/>
              </w:rPr>
              <w:t>4,349.56</w:t>
            </w:r>
          </w:p>
        </w:tc>
        <w:tc>
          <w:tcPr>
            <w:tcW w:w="320" w:type="pct"/>
            <w:hideMark/>
          </w:tcPr>
          <w:p w14:paraId="46B49E74" w14:textId="77777777" w:rsidR="00782E1C" w:rsidRPr="0046559D" w:rsidRDefault="00782E1C" w:rsidP="0046559D">
            <w:pPr>
              <w:pStyle w:val="tabeltextintabel"/>
              <w:rPr>
                <w:szCs w:val="12"/>
              </w:rPr>
            </w:pPr>
            <w:r w:rsidRPr="0046559D">
              <w:rPr>
                <w:szCs w:val="12"/>
              </w:rPr>
              <w:t>2</w:t>
            </w:r>
          </w:p>
        </w:tc>
        <w:tc>
          <w:tcPr>
            <w:tcW w:w="1025" w:type="pct"/>
            <w:hideMark/>
          </w:tcPr>
          <w:p w14:paraId="1A2FA308" w14:textId="77777777" w:rsidR="00782E1C" w:rsidRPr="0046559D" w:rsidRDefault="00782E1C" w:rsidP="0046559D">
            <w:pPr>
              <w:pStyle w:val="tabeltextintabel"/>
              <w:rPr>
                <w:szCs w:val="12"/>
              </w:rPr>
            </w:pPr>
            <w:r w:rsidRPr="0046559D">
              <w:rPr>
                <w:szCs w:val="12"/>
              </w:rPr>
              <w:t>27.08</w:t>
            </w:r>
          </w:p>
        </w:tc>
        <w:tc>
          <w:tcPr>
            <w:tcW w:w="966" w:type="pct"/>
            <w:hideMark/>
          </w:tcPr>
          <w:p w14:paraId="308E2A0C" w14:textId="77777777" w:rsidR="00782E1C" w:rsidRPr="0046559D" w:rsidRDefault="00782E1C" w:rsidP="0046559D">
            <w:pPr>
              <w:pStyle w:val="tabeltextintabel"/>
              <w:rPr>
                <w:szCs w:val="12"/>
              </w:rPr>
            </w:pPr>
            <w:r w:rsidRPr="0046559D">
              <w:rPr>
                <w:szCs w:val="12"/>
              </w:rPr>
              <w:t>0.57</w:t>
            </w:r>
          </w:p>
        </w:tc>
        <w:tc>
          <w:tcPr>
            <w:tcW w:w="982" w:type="pct"/>
            <w:hideMark/>
          </w:tcPr>
          <w:p w14:paraId="58EFD46B" w14:textId="77777777" w:rsidR="00782E1C" w:rsidRPr="0046559D" w:rsidRDefault="00782E1C" w:rsidP="0046559D">
            <w:pPr>
              <w:pStyle w:val="tabeltextintabel"/>
              <w:rPr>
                <w:szCs w:val="12"/>
              </w:rPr>
            </w:pPr>
            <w:r w:rsidRPr="0046559D">
              <w:rPr>
                <w:szCs w:val="12"/>
              </w:rPr>
              <w:t>0.57</w:t>
            </w:r>
          </w:p>
        </w:tc>
      </w:tr>
      <w:tr w:rsidR="00782E1C" w:rsidRPr="0046559D" w14:paraId="5F9AE710" w14:textId="77777777" w:rsidTr="0046559D">
        <w:trPr>
          <w:trHeight w:val="130"/>
        </w:trPr>
        <w:tc>
          <w:tcPr>
            <w:tcW w:w="5000" w:type="pct"/>
            <w:gridSpan w:val="7"/>
            <w:hideMark/>
          </w:tcPr>
          <w:p w14:paraId="4D0F50C8" w14:textId="77777777" w:rsidR="00782E1C" w:rsidRPr="0046559D" w:rsidRDefault="00782E1C" w:rsidP="0046559D">
            <w:pPr>
              <w:pStyle w:val="tabeltextintabel"/>
              <w:rPr>
                <w:b/>
                <w:bCs/>
                <w:szCs w:val="12"/>
              </w:rPr>
            </w:pPr>
            <w:r w:rsidRPr="0046559D">
              <w:rPr>
                <w:b/>
                <w:bCs/>
                <w:szCs w:val="12"/>
              </w:rPr>
              <w:t>SST.DEOSAGT</w:t>
            </w:r>
          </w:p>
        </w:tc>
      </w:tr>
      <w:tr w:rsidR="00782E1C" w:rsidRPr="0046559D" w14:paraId="3178F77C" w14:textId="77777777" w:rsidTr="0046559D">
        <w:trPr>
          <w:trHeight w:val="142"/>
        </w:trPr>
        <w:tc>
          <w:tcPr>
            <w:tcW w:w="256" w:type="pct"/>
            <w:hideMark/>
          </w:tcPr>
          <w:p w14:paraId="549F4BEB" w14:textId="77777777" w:rsidR="00782E1C" w:rsidRPr="0046559D" w:rsidRDefault="00782E1C" w:rsidP="0046559D">
            <w:pPr>
              <w:pStyle w:val="tabeltextintabel"/>
              <w:rPr>
                <w:szCs w:val="12"/>
              </w:rPr>
            </w:pPr>
            <w:r w:rsidRPr="0046559D">
              <w:rPr>
                <w:szCs w:val="12"/>
              </w:rPr>
              <w:t>2</w:t>
            </w:r>
          </w:p>
        </w:tc>
        <w:tc>
          <w:tcPr>
            <w:tcW w:w="590" w:type="pct"/>
            <w:hideMark/>
          </w:tcPr>
          <w:p w14:paraId="7E3060EA" w14:textId="77777777" w:rsidR="00782E1C" w:rsidRPr="0046559D" w:rsidRDefault="00782E1C" w:rsidP="0046559D">
            <w:pPr>
              <w:pStyle w:val="tabeltextintabel"/>
              <w:rPr>
                <w:szCs w:val="12"/>
              </w:rPr>
            </w:pPr>
            <w:r w:rsidRPr="0046559D">
              <w:rPr>
                <w:szCs w:val="12"/>
              </w:rPr>
              <w:t>200</w:t>
            </w:r>
          </w:p>
        </w:tc>
        <w:tc>
          <w:tcPr>
            <w:tcW w:w="861" w:type="pct"/>
            <w:hideMark/>
          </w:tcPr>
          <w:p w14:paraId="2102FC74" w14:textId="77777777" w:rsidR="00782E1C" w:rsidRPr="0046559D" w:rsidRDefault="00782E1C" w:rsidP="0046559D">
            <w:pPr>
              <w:pStyle w:val="tabeltextintabel"/>
              <w:rPr>
                <w:szCs w:val="12"/>
              </w:rPr>
            </w:pPr>
            <w:r w:rsidRPr="0046559D">
              <w:rPr>
                <w:szCs w:val="12"/>
              </w:rPr>
              <w:t>25,107.15</w:t>
            </w:r>
          </w:p>
        </w:tc>
        <w:tc>
          <w:tcPr>
            <w:tcW w:w="320" w:type="pct"/>
            <w:hideMark/>
          </w:tcPr>
          <w:p w14:paraId="0A9BA2F8" w14:textId="77777777" w:rsidR="00782E1C" w:rsidRPr="0046559D" w:rsidRDefault="00782E1C" w:rsidP="0046559D">
            <w:pPr>
              <w:pStyle w:val="tabeltextintabel"/>
              <w:rPr>
                <w:szCs w:val="12"/>
              </w:rPr>
            </w:pPr>
          </w:p>
        </w:tc>
        <w:tc>
          <w:tcPr>
            <w:tcW w:w="1025" w:type="pct"/>
            <w:hideMark/>
          </w:tcPr>
          <w:p w14:paraId="0FC7B9BF" w14:textId="77777777" w:rsidR="00782E1C" w:rsidRPr="0046559D" w:rsidRDefault="00782E1C" w:rsidP="0046559D">
            <w:pPr>
              <w:pStyle w:val="tabeltextintabel"/>
              <w:rPr>
                <w:szCs w:val="12"/>
              </w:rPr>
            </w:pPr>
          </w:p>
        </w:tc>
        <w:tc>
          <w:tcPr>
            <w:tcW w:w="966" w:type="pct"/>
            <w:hideMark/>
          </w:tcPr>
          <w:p w14:paraId="7C2D89F5" w14:textId="77777777" w:rsidR="00782E1C" w:rsidRPr="0046559D" w:rsidRDefault="00782E1C" w:rsidP="0046559D">
            <w:pPr>
              <w:pStyle w:val="tabeltextintabel"/>
              <w:rPr>
                <w:szCs w:val="12"/>
              </w:rPr>
            </w:pPr>
          </w:p>
        </w:tc>
        <w:tc>
          <w:tcPr>
            <w:tcW w:w="982" w:type="pct"/>
            <w:hideMark/>
          </w:tcPr>
          <w:p w14:paraId="7A127755" w14:textId="77777777" w:rsidR="00782E1C" w:rsidRPr="0046559D" w:rsidRDefault="00782E1C" w:rsidP="0046559D">
            <w:pPr>
              <w:pStyle w:val="tabeltextintabel"/>
              <w:rPr>
                <w:szCs w:val="12"/>
              </w:rPr>
            </w:pPr>
            <w:r w:rsidRPr="0046559D">
              <w:rPr>
                <w:szCs w:val="12"/>
              </w:rPr>
              <w:t> </w:t>
            </w:r>
          </w:p>
        </w:tc>
      </w:tr>
      <w:tr w:rsidR="00782E1C" w:rsidRPr="0046559D" w14:paraId="72587877" w14:textId="77777777" w:rsidTr="0046559D">
        <w:trPr>
          <w:trHeight w:val="116"/>
        </w:trPr>
        <w:tc>
          <w:tcPr>
            <w:tcW w:w="256" w:type="pct"/>
            <w:hideMark/>
          </w:tcPr>
          <w:p w14:paraId="08BB106A" w14:textId="77777777" w:rsidR="00782E1C" w:rsidRPr="0046559D" w:rsidRDefault="00782E1C" w:rsidP="0046559D">
            <w:pPr>
              <w:pStyle w:val="tabeltextintabel"/>
              <w:rPr>
                <w:szCs w:val="12"/>
              </w:rPr>
            </w:pPr>
            <w:r w:rsidRPr="0046559D">
              <w:rPr>
                <w:szCs w:val="12"/>
              </w:rPr>
              <w:t>3</w:t>
            </w:r>
          </w:p>
        </w:tc>
        <w:tc>
          <w:tcPr>
            <w:tcW w:w="590" w:type="pct"/>
            <w:hideMark/>
          </w:tcPr>
          <w:p w14:paraId="0B71671C" w14:textId="77777777" w:rsidR="00782E1C" w:rsidRPr="0046559D" w:rsidRDefault="00782E1C" w:rsidP="0046559D">
            <w:pPr>
              <w:pStyle w:val="tabeltextintabel"/>
              <w:rPr>
                <w:szCs w:val="12"/>
              </w:rPr>
            </w:pPr>
            <w:r w:rsidRPr="0046559D">
              <w:rPr>
                <w:szCs w:val="12"/>
              </w:rPr>
              <w:t>199</w:t>
            </w:r>
          </w:p>
        </w:tc>
        <w:tc>
          <w:tcPr>
            <w:tcW w:w="861" w:type="pct"/>
            <w:hideMark/>
          </w:tcPr>
          <w:p w14:paraId="188D6448" w14:textId="77777777" w:rsidR="00782E1C" w:rsidRPr="0046559D" w:rsidRDefault="00782E1C" w:rsidP="0046559D">
            <w:pPr>
              <w:pStyle w:val="tabeltextintabel"/>
              <w:rPr>
                <w:szCs w:val="12"/>
              </w:rPr>
            </w:pPr>
            <w:r w:rsidRPr="0046559D">
              <w:rPr>
                <w:szCs w:val="12"/>
              </w:rPr>
              <w:t>24,457.89</w:t>
            </w:r>
          </w:p>
        </w:tc>
        <w:tc>
          <w:tcPr>
            <w:tcW w:w="320" w:type="pct"/>
            <w:hideMark/>
          </w:tcPr>
          <w:p w14:paraId="034CE019" w14:textId="77777777" w:rsidR="00782E1C" w:rsidRPr="0046559D" w:rsidRDefault="00782E1C" w:rsidP="0046559D">
            <w:pPr>
              <w:pStyle w:val="tabeltextintabel"/>
              <w:rPr>
                <w:szCs w:val="12"/>
              </w:rPr>
            </w:pPr>
            <w:r w:rsidRPr="0046559D">
              <w:rPr>
                <w:szCs w:val="12"/>
              </w:rPr>
              <w:t>1</w:t>
            </w:r>
          </w:p>
        </w:tc>
        <w:tc>
          <w:tcPr>
            <w:tcW w:w="1025" w:type="pct"/>
            <w:hideMark/>
          </w:tcPr>
          <w:p w14:paraId="373DCC90" w14:textId="77777777" w:rsidR="00782E1C" w:rsidRPr="0046559D" w:rsidRDefault="00782E1C" w:rsidP="0046559D">
            <w:pPr>
              <w:pStyle w:val="tabeltextintabel"/>
              <w:rPr>
                <w:szCs w:val="12"/>
              </w:rPr>
            </w:pPr>
            <w:r w:rsidRPr="0046559D">
              <w:rPr>
                <w:szCs w:val="12"/>
              </w:rPr>
              <w:t>649.26</w:t>
            </w:r>
          </w:p>
        </w:tc>
        <w:tc>
          <w:tcPr>
            <w:tcW w:w="966" w:type="pct"/>
            <w:hideMark/>
          </w:tcPr>
          <w:p w14:paraId="58DD93F8" w14:textId="77777777" w:rsidR="00782E1C" w:rsidRPr="0046559D" w:rsidRDefault="00782E1C" w:rsidP="0046559D">
            <w:pPr>
              <w:pStyle w:val="tabeltextintabel"/>
              <w:rPr>
                <w:szCs w:val="12"/>
              </w:rPr>
            </w:pPr>
            <w:r w:rsidRPr="0046559D">
              <w:rPr>
                <w:szCs w:val="12"/>
              </w:rPr>
              <w:t>5.27</w:t>
            </w:r>
          </w:p>
        </w:tc>
        <w:tc>
          <w:tcPr>
            <w:tcW w:w="982" w:type="pct"/>
            <w:hideMark/>
          </w:tcPr>
          <w:p w14:paraId="478271E7" w14:textId="77777777" w:rsidR="00782E1C" w:rsidRPr="0046559D" w:rsidRDefault="00782E1C" w:rsidP="0046559D">
            <w:pPr>
              <w:pStyle w:val="tabeltextintabel"/>
              <w:rPr>
                <w:b/>
                <w:bCs/>
                <w:szCs w:val="12"/>
              </w:rPr>
            </w:pPr>
            <w:r w:rsidRPr="0046559D">
              <w:rPr>
                <w:b/>
                <w:bCs/>
                <w:szCs w:val="12"/>
              </w:rPr>
              <w:t>0.02</w:t>
            </w:r>
          </w:p>
        </w:tc>
      </w:tr>
      <w:tr w:rsidR="00782E1C" w:rsidRPr="0046559D" w14:paraId="07D23BE7" w14:textId="77777777" w:rsidTr="0046559D">
        <w:trPr>
          <w:trHeight w:val="89"/>
        </w:trPr>
        <w:tc>
          <w:tcPr>
            <w:tcW w:w="256" w:type="pct"/>
            <w:hideMark/>
          </w:tcPr>
          <w:p w14:paraId="47126D5C" w14:textId="77777777" w:rsidR="00782E1C" w:rsidRPr="0046559D" w:rsidRDefault="00782E1C" w:rsidP="0046559D">
            <w:pPr>
              <w:pStyle w:val="tabeltextintabel"/>
              <w:rPr>
                <w:szCs w:val="12"/>
              </w:rPr>
            </w:pPr>
            <w:r w:rsidRPr="0046559D">
              <w:rPr>
                <w:szCs w:val="12"/>
              </w:rPr>
              <w:t>4</w:t>
            </w:r>
          </w:p>
        </w:tc>
        <w:tc>
          <w:tcPr>
            <w:tcW w:w="590" w:type="pct"/>
            <w:hideMark/>
          </w:tcPr>
          <w:p w14:paraId="28FA2D47" w14:textId="77777777" w:rsidR="00782E1C" w:rsidRPr="0046559D" w:rsidRDefault="00782E1C" w:rsidP="0046559D">
            <w:pPr>
              <w:pStyle w:val="tabeltextintabel"/>
              <w:rPr>
                <w:szCs w:val="12"/>
              </w:rPr>
            </w:pPr>
            <w:r w:rsidRPr="0046559D">
              <w:rPr>
                <w:szCs w:val="12"/>
              </w:rPr>
              <w:t>198</w:t>
            </w:r>
          </w:p>
        </w:tc>
        <w:tc>
          <w:tcPr>
            <w:tcW w:w="861" w:type="pct"/>
            <w:hideMark/>
          </w:tcPr>
          <w:p w14:paraId="20A7C1E1" w14:textId="77777777" w:rsidR="00782E1C" w:rsidRPr="0046559D" w:rsidRDefault="00782E1C" w:rsidP="0046559D">
            <w:pPr>
              <w:pStyle w:val="tabeltextintabel"/>
              <w:rPr>
                <w:szCs w:val="12"/>
              </w:rPr>
            </w:pPr>
            <w:r w:rsidRPr="0046559D">
              <w:rPr>
                <w:szCs w:val="12"/>
              </w:rPr>
              <w:t>24,385.50</w:t>
            </w:r>
          </w:p>
        </w:tc>
        <w:tc>
          <w:tcPr>
            <w:tcW w:w="320" w:type="pct"/>
            <w:hideMark/>
          </w:tcPr>
          <w:p w14:paraId="5EC59A58" w14:textId="77777777" w:rsidR="00782E1C" w:rsidRPr="0046559D" w:rsidRDefault="00782E1C" w:rsidP="0046559D">
            <w:pPr>
              <w:pStyle w:val="tabeltextintabel"/>
              <w:rPr>
                <w:szCs w:val="12"/>
              </w:rPr>
            </w:pPr>
            <w:r w:rsidRPr="0046559D">
              <w:rPr>
                <w:szCs w:val="12"/>
              </w:rPr>
              <w:t>1</w:t>
            </w:r>
          </w:p>
        </w:tc>
        <w:tc>
          <w:tcPr>
            <w:tcW w:w="1025" w:type="pct"/>
            <w:hideMark/>
          </w:tcPr>
          <w:p w14:paraId="5DBF185B" w14:textId="77777777" w:rsidR="00782E1C" w:rsidRPr="0046559D" w:rsidRDefault="00782E1C" w:rsidP="0046559D">
            <w:pPr>
              <w:pStyle w:val="tabeltextintabel"/>
              <w:rPr>
                <w:szCs w:val="12"/>
              </w:rPr>
            </w:pPr>
            <w:r w:rsidRPr="0046559D">
              <w:rPr>
                <w:szCs w:val="12"/>
              </w:rPr>
              <w:t>72.39</w:t>
            </w:r>
          </w:p>
        </w:tc>
        <w:tc>
          <w:tcPr>
            <w:tcW w:w="966" w:type="pct"/>
            <w:hideMark/>
          </w:tcPr>
          <w:p w14:paraId="0716349A" w14:textId="77777777" w:rsidR="00782E1C" w:rsidRPr="0046559D" w:rsidRDefault="00782E1C" w:rsidP="0046559D">
            <w:pPr>
              <w:pStyle w:val="tabeltextintabel"/>
              <w:rPr>
                <w:szCs w:val="12"/>
              </w:rPr>
            </w:pPr>
            <w:r w:rsidRPr="0046559D">
              <w:rPr>
                <w:szCs w:val="12"/>
              </w:rPr>
              <w:t>0.59</w:t>
            </w:r>
          </w:p>
        </w:tc>
        <w:tc>
          <w:tcPr>
            <w:tcW w:w="982" w:type="pct"/>
            <w:hideMark/>
          </w:tcPr>
          <w:p w14:paraId="79ECADBE" w14:textId="77777777" w:rsidR="00782E1C" w:rsidRPr="0046559D" w:rsidRDefault="00782E1C" w:rsidP="0046559D">
            <w:pPr>
              <w:pStyle w:val="tabeltextintabel"/>
              <w:rPr>
                <w:szCs w:val="12"/>
              </w:rPr>
            </w:pPr>
            <w:r w:rsidRPr="0046559D">
              <w:rPr>
                <w:szCs w:val="12"/>
              </w:rPr>
              <w:t>0.44</w:t>
            </w:r>
          </w:p>
        </w:tc>
      </w:tr>
      <w:tr w:rsidR="00782E1C" w:rsidRPr="0046559D" w14:paraId="5DFD8ADD" w14:textId="77777777" w:rsidTr="0046559D">
        <w:trPr>
          <w:trHeight w:val="53"/>
        </w:trPr>
        <w:tc>
          <w:tcPr>
            <w:tcW w:w="5000" w:type="pct"/>
            <w:gridSpan w:val="7"/>
            <w:hideMark/>
          </w:tcPr>
          <w:p w14:paraId="2750B35C" w14:textId="77777777" w:rsidR="00782E1C" w:rsidRPr="0046559D" w:rsidRDefault="00782E1C" w:rsidP="0046559D">
            <w:pPr>
              <w:pStyle w:val="tabeltextintabel"/>
              <w:rPr>
                <w:b/>
                <w:bCs/>
                <w:szCs w:val="12"/>
              </w:rPr>
            </w:pPr>
            <w:r w:rsidRPr="0046559D">
              <w:rPr>
                <w:b/>
                <w:bCs/>
                <w:szCs w:val="12"/>
              </w:rPr>
              <w:t>SST.SSRT</w:t>
            </w:r>
          </w:p>
        </w:tc>
      </w:tr>
      <w:tr w:rsidR="00782E1C" w:rsidRPr="0046559D" w14:paraId="007A4346" w14:textId="77777777" w:rsidTr="0046559D">
        <w:trPr>
          <w:trHeight w:val="180"/>
        </w:trPr>
        <w:tc>
          <w:tcPr>
            <w:tcW w:w="256" w:type="pct"/>
            <w:hideMark/>
          </w:tcPr>
          <w:p w14:paraId="62C53433" w14:textId="77777777" w:rsidR="00782E1C" w:rsidRPr="0046559D" w:rsidRDefault="00782E1C" w:rsidP="0046559D">
            <w:pPr>
              <w:pStyle w:val="tabeltextintabel"/>
              <w:rPr>
                <w:szCs w:val="12"/>
              </w:rPr>
            </w:pPr>
            <w:r w:rsidRPr="0046559D">
              <w:rPr>
                <w:szCs w:val="12"/>
              </w:rPr>
              <w:t>2</w:t>
            </w:r>
          </w:p>
        </w:tc>
        <w:tc>
          <w:tcPr>
            <w:tcW w:w="590" w:type="pct"/>
            <w:hideMark/>
          </w:tcPr>
          <w:p w14:paraId="4270624B" w14:textId="77777777" w:rsidR="00782E1C" w:rsidRPr="0046559D" w:rsidRDefault="00782E1C" w:rsidP="0046559D">
            <w:pPr>
              <w:pStyle w:val="tabeltextintabel"/>
              <w:rPr>
                <w:szCs w:val="12"/>
              </w:rPr>
            </w:pPr>
            <w:r w:rsidRPr="0046559D">
              <w:rPr>
                <w:szCs w:val="12"/>
              </w:rPr>
              <w:t>198</w:t>
            </w:r>
          </w:p>
        </w:tc>
        <w:tc>
          <w:tcPr>
            <w:tcW w:w="861" w:type="pct"/>
            <w:hideMark/>
          </w:tcPr>
          <w:p w14:paraId="6C77A1F2" w14:textId="77777777" w:rsidR="00782E1C" w:rsidRPr="0046559D" w:rsidRDefault="00782E1C" w:rsidP="0046559D">
            <w:pPr>
              <w:pStyle w:val="tabeltextintabel"/>
              <w:rPr>
                <w:szCs w:val="12"/>
              </w:rPr>
            </w:pPr>
            <w:r w:rsidRPr="0046559D">
              <w:rPr>
                <w:szCs w:val="12"/>
              </w:rPr>
              <w:t>1,252,423.0</w:t>
            </w:r>
          </w:p>
        </w:tc>
        <w:tc>
          <w:tcPr>
            <w:tcW w:w="320" w:type="pct"/>
            <w:hideMark/>
          </w:tcPr>
          <w:p w14:paraId="448CC4CA" w14:textId="77777777" w:rsidR="00782E1C" w:rsidRPr="0046559D" w:rsidRDefault="00782E1C" w:rsidP="0046559D">
            <w:pPr>
              <w:pStyle w:val="tabeltextintabel"/>
              <w:rPr>
                <w:szCs w:val="12"/>
              </w:rPr>
            </w:pPr>
          </w:p>
        </w:tc>
        <w:tc>
          <w:tcPr>
            <w:tcW w:w="1025" w:type="pct"/>
            <w:hideMark/>
          </w:tcPr>
          <w:p w14:paraId="6766473B" w14:textId="77777777" w:rsidR="00782E1C" w:rsidRPr="0046559D" w:rsidRDefault="00782E1C" w:rsidP="0046559D">
            <w:pPr>
              <w:pStyle w:val="tabeltextintabel"/>
              <w:rPr>
                <w:szCs w:val="12"/>
              </w:rPr>
            </w:pPr>
          </w:p>
        </w:tc>
        <w:tc>
          <w:tcPr>
            <w:tcW w:w="966" w:type="pct"/>
            <w:hideMark/>
          </w:tcPr>
          <w:p w14:paraId="59C79812" w14:textId="77777777" w:rsidR="00782E1C" w:rsidRPr="0046559D" w:rsidRDefault="00782E1C" w:rsidP="0046559D">
            <w:pPr>
              <w:pStyle w:val="tabeltextintabel"/>
              <w:rPr>
                <w:szCs w:val="12"/>
              </w:rPr>
            </w:pPr>
          </w:p>
        </w:tc>
        <w:tc>
          <w:tcPr>
            <w:tcW w:w="982" w:type="pct"/>
            <w:hideMark/>
          </w:tcPr>
          <w:p w14:paraId="5921CB1F" w14:textId="77777777" w:rsidR="00782E1C" w:rsidRPr="0046559D" w:rsidRDefault="00782E1C" w:rsidP="0046559D">
            <w:pPr>
              <w:pStyle w:val="tabeltextintabel"/>
              <w:rPr>
                <w:szCs w:val="12"/>
              </w:rPr>
            </w:pPr>
            <w:r w:rsidRPr="0046559D">
              <w:rPr>
                <w:szCs w:val="12"/>
              </w:rPr>
              <w:t> </w:t>
            </w:r>
          </w:p>
        </w:tc>
      </w:tr>
      <w:tr w:rsidR="00782E1C" w:rsidRPr="0046559D" w14:paraId="3AE9F26B" w14:textId="77777777" w:rsidTr="0046559D">
        <w:trPr>
          <w:trHeight w:val="125"/>
        </w:trPr>
        <w:tc>
          <w:tcPr>
            <w:tcW w:w="256" w:type="pct"/>
            <w:hideMark/>
          </w:tcPr>
          <w:p w14:paraId="6D739431" w14:textId="77777777" w:rsidR="00782E1C" w:rsidRPr="0046559D" w:rsidRDefault="00782E1C" w:rsidP="0046559D">
            <w:pPr>
              <w:pStyle w:val="tabeltextintabel"/>
              <w:rPr>
                <w:szCs w:val="12"/>
              </w:rPr>
            </w:pPr>
            <w:r w:rsidRPr="0046559D">
              <w:rPr>
                <w:szCs w:val="12"/>
              </w:rPr>
              <w:t>3</w:t>
            </w:r>
          </w:p>
        </w:tc>
        <w:tc>
          <w:tcPr>
            <w:tcW w:w="590" w:type="pct"/>
            <w:hideMark/>
          </w:tcPr>
          <w:p w14:paraId="06090BC0" w14:textId="77777777" w:rsidR="00782E1C" w:rsidRPr="0046559D" w:rsidRDefault="00782E1C" w:rsidP="0046559D">
            <w:pPr>
              <w:pStyle w:val="tabeltextintabel"/>
              <w:rPr>
                <w:szCs w:val="12"/>
              </w:rPr>
            </w:pPr>
            <w:r w:rsidRPr="0046559D">
              <w:rPr>
                <w:szCs w:val="12"/>
              </w:rPr>
              <w:t>197</w:t>
            </w:r>
          </w:p>
        </w:tc>
        <w:tc>
          <w:tcPr>
            <w:tcW w:w="861" w:type="pct"/>
            <w:hideMark/>
          </w:tcPr>
          <w:p w14:paraId="24146BA4" w14:textId="77777777" w:rsidR="00782E1C" w:rsidRPr="0046559D" w:rsidRDefault="00782E1C" w:rsidP="0046559D">
            <w:pPr>
              <w:pStyle w:val="tabeltextintabel"/>
              <w:rPr>
                <w:szCs w:val="12"/>
              </w:rPr>
            </w:pPr>
            <w:r w:rsidRPr="0046559D">
              <w:rPr>
                <w:szCs w:val="12"/>
              </w:rPr>
              <w:t>1,233,307.0</w:t>
            </w:r>
          </w:p>
        </w:tc>
        <w:tc>
          <w:tcPr>
            <w:tcW w:w="320" w:type="pct"/>
            <w:hideMark/>
          </w:tcPr>
          <w:p w14:paraId="3E723078" w14:textId="77777777" w:rsidR="00782E1C" w:rsidRPr="0046559D" w:rsidRDefault="00782E1C" w:rsidP="0046559D">
            <w:pPr>
              <w:pStyle w:val="tabeltextintabel"/>
              <w:rPr>
                <w:szCs w:val="12"/>
              </w:rPr>
            </w:pPr>
            <w:r w:rsidRPr="0046559D">
              <w:rPr>
                <w:szCs w:val="12"/>
              </w:rPr>
              <w:t>1</w:t>
            </w:r>
          </w:p>
        </w:tc>
        <w:tc>
          <w:tcPr>
            <w:tcW w:w="1025" w:type="pct"/>
            <w:hideMark/>
          </w:tcPr>
          <w:p w14:paraId="3DBA46C8" w14:textId="77777777" w:rsidR="00782E1C" w:rsidRPr="0046559D" w:rsidRDefault="00782E1C" w:rsidP="0046559D">
            <w:pPr>
              <w:pStyle w:val="tabeltextintabel"/>
              <w:rPr>
                <w:szCs w:val="12"/>
              </w:rPr>
            </w:pPr>
            <w:r w:rsidRPr="0046559D">
              <w:rPr>
                <w:szCs w:val="12"/>
              </w:rPr>
              <w:t>19,116.90</w:t>
            </w:r>
          </w:p>
        </w:tc>
        <w:tc>
          <w:tcPr>
            <w:tcW w:w="966" w:type="pct"/>
            <w:hideMark/>
          </w:tcPr>
          <w:p w14:paraId="2E3A42AB" w14:textId="77777777" w:rsidR="00782E1C" w:rsidRPr="0046559D" w:rsidRDefault="00782E1C" w:rsidP="0046559D">
            <w:pPr>
              <w:pStyle w:val="tabeltextintabel"/>
              <w:rPr>
                <w:szCs w:val="12"/>
              </w:rPr>
            </w:pPr>
            <w:r w:rsidRPr="0046559D">
              <w:rPr>
                <w:szCs w:val="12"/>
              </w:rPr>
              <w:t>3.02</w:t>
            </w:r>
          </w:p>
        </w:tc>
        <w:tc>
          <w:tcPr>
            <w:tcW w:w="982" w:type="pct"/>
            <w:hideMark/>
          </w:tcPr>
          <w:p w14:paraId="0C1C7610" w14:textId="77777777" w:rsidR="00782E1C" w:rsidRPr="0046559D" w:rsidRDefault="00782E1C" w:rsidP="0046559D">
            <w:pPr>
              <w:pStyle w:val="tabeltextintabel"/>
              <w:rPr>
                <w:b/>
                <w:bCs/>
                <w:szCs w:val="12"/>
              </w:rPr>
            </w:pPr>
            <w:r w:rsidRPr="0046559D">
              <w:rPr>
                <w:b/>
                <w:bCs/>
                <w:szCs w:val="12"/>
              </w:rPr>
              <w:t>0.08</w:t>
            </w:r>
          </w:p>
        </w:tc>
      </w:tr>
      <w:tr w:rsidR="00782E1C" w:rsidRPr="0046559D" w14:paraId="22F9611B" w14:textId="77777777" w:rsidTr="0046559D">
        <w:trPr>
          <w:trHeight w:val="100"/>
        </w:trPr>
        <w:tc>
          <w:tcPr>
            <w:tcW w:w="256" w:type="pct"/>
            <w:hideMark/>
          </w:tcPr>
          <w:p w14:paraId="3C05CBF6" w14:textId="77777777" w:rsidR="00782E1C" w:rsidRPr="0046559D" w:rsidRDefault="00782E1C" w:rsidP="0046559D">
            <w:pPr>
              <w:pStyle w:val="tabeltextintabel"/>
              <w:rPr>
                <w:szCs w:val="12"/>
              </w:rPr>
            </w:pPr>
            <w:r w:rsidRPr="0046559D">
              <w:rPr>
                <w:szCs w:val="12"/>
              </w:rPr>
              <w:t>4</w:t>
            </w:r>
          </w:p>
        </w:tc>
        <w:tc>
          <w:tcPr>
            <w:tcW w:w="590" w:type="pct"/>
            <w:hideMark/>
          </w:tcPr>
          <w:p w14:paraId="456E7515" w14:textId="77777777" w:rsidR="00782E1C" w:rsidRPr="0046559D" w:rsidRDefault="00782E1C" w:rsidP="0046559D">
            <w:pPr>
              <w:pStyle w:val="tabeltextintabel"/>
              <w:rPr>
                <w:szCs w:val="12"/>
              </w:rPr>
            </w:pPr>
            <w:r w:rsidRPr="0046559D">
              <w:rPr>
                <w:szCs w:val="12"/>
              </w:rPr>
              <w:t>195</w:t>
            </w:r>
          </w:p>
        </w:tc>
        <w:tc>
          <w:tcPr>
            <w:tcW w:w="861" w:type="pct"/>
            <w:hideMark/>
          </w:tcPr>
          <w:p w14:paraId="398E82DE" w14:textId="77777777" w:rsidR="00782E1C" w:rsidRPr="0046559D" w:rsidRDefault="00782E1C" w:rsidP="0046559D">
            <w:pPr>
              <w:pStyle w:val="tabeltextintabel"/>
              <w:rPr>
                <w:szCs w:val="12"/>
              </w:rPr>
            </w:pPr>
            <w:r w:rsidRPr="0046559D">
              <w:rPr>
                <w:szCs w:val="12"/>
              </w:rPr>
              <w:t>1,232,680.0</w:t>
            </w:r>
          </w:p>
        </w:tc>
        <w:tc>
          <w:tcPr>
            <w:tcW w:w="320" w:type="pct"/>
            <w:hideMark/>
          </w:tcPr>
          <w:p w14:paraId="2B3F4921" w14:textId="77777777" w:rsidR="00782E1C" w:rsidRPr="0046559D" w:rsidRDefault="00782E1C" w:rsidP="0046559D">
            <w:pPr>
              <w:pStyle w:val="tabeltextintabel"/>
              <w:rPr>
                <w:szCs w:val="12"/>
              </w:rPr>
            </w:pPr>
            <w:r w:rsidRPr="0046559D">
              <w:rPr>
                <w:szCs w:val="12"/>
              </w:rPr>
              <w:t>2</w:t>
            </w:r>
          </w:p>
        </w:tc>
        <w:tc>
          <w:tcPr>
            <w:tcW w:w="1025" w:type="pct"/>
            <w:hideMark/>
          </w:tcPr>
          <w:p w14:paraId="35E53F98" w14:textId="77777777" w:rsidR="00782E1C" w:rsidRPr="0046559D" w:rsidRDefault="00782E1C" w:rsidP="0046559D">
            <w:pPr>
              <w:pStyle w:val="tabeltextintabel"/>
              <w:rPr>
                <w:szCs w:val="12"/>
              </w:rPr>
            </w:pPr>
            <w:r w:rsidRPr="0046559D">
              <w:rPr>
                <w:szCs w:val="12"/>
              </w:rPr>
              <w:t>627.03</w:t>
            </w:r>
          </w:p>
        </w:tc>
        <w:tc>
          <w:tcPr>
            <w:tcW w:w="966" w:type="pct"/>
            <w:hideMark/>
          </w:tcPr>
          <w:p w14:paraId="36C5846F" w14:textId="77777777" w:rsidR="00782E1C" w:rsidRPr="0046559D" w:rsidRDefault="00782E1C" w:rsidP="0046559D">
            <w:pPr>
              <w:pStyle w:val="tabeltextintabel"/>
              <w:rPr>
                <w:szCs w:val="12"/>
              </w:rPr>
            </w:pPr>
            <w:r w:rsidRPr="0046559D">
              <w:rPr>
                <w:szCs w:val="12"/>
              </w:rPr>
              <w:t>0.05</w:t>
            </w:r>
          </w:p>
        </w:tc>
        <w:tc>
          <w:tcPr>
            <w:tcW w:w="982" w:type="pct"/>
            <w:hideMark/>
          </w:tcPr>
          <w:p w14:paraId="52766479" w14:textId="77777777" w:rsidR="00782E1C" w:rsidRPr="0046559D" w:rsidRDefault="00782E1C" w:rsidP="0046559D">
            <w:pPr>
              <w:pStyle w:val="tabeltextintabel"/>
              <w:rPr>
                <w:szCs w:val="12"/>
              </w:rPr>
            </w:pPr>
            <w:r w:rsidRPr="0046559D">
              <w:rPr>
                <w:szCs w:val="12"/>
              </w:rPr>
              <w:t>0.95</w:t>
            </w:r>
          </w:p>
        </w:tc>
      </w:tr>
    </w:tbl>
    <w:p w14:paraId="636D2C90" w14:textId="4435EF80" w:rsidR="00AA5A29" w:rsidRDefault="00AA5A29" w:rsidP="00782E1C">
      <w:pPr>
        <w:widowControl w:val="0"/>
        <w:autoSpaceDE w:val="0"/>
        <w:autoSpaceDN w:val="0"/>
        <w:adjustRightInd w:val="0"/>
        <w:spacing w:after="200" w:line="360" w:lineRule="auto"/>
        <w:rPr>
          <w:rFonts w:ascii="Arial" w:hAnsi="Arial" w:cs="Arial"/>
          <w:sz w:val="15"/>
          <w:szCs w:val="15"/>
        </w:rPr>
      </w:pPr>
      <w:r>
        <w:rPr>
          <w:rFonts w:ascii="Arial" w:hAnsi="Arial" w:cs="Arial"/>
          <w:sz w:val="15"/>
          <w:szCs w:val="15"/>
        </w:rPr>
        <w:t xml:space="preserve"> </w:t>
      </w:r>
      <w:r w:rsidR="001C2A15">
        <w:rPr>
          <w:rFonts w:ascii="Arial" w:hAnsi="Arial" w:cs="Arial"/>
          <w:sz w:val="15"/>
          <w:szCs w:val="15"/>
        </w:rPr>
        <w:t>For abbreviations See Table 9.</w:t>
      </w:r>
    </w:p>
    <w:p w14:paraId="6E5383C6" w14:textId="77777777" w:rsidR="00AA5A29" w:rsidRDefault="00AA5A29" w:rsidP="00782E1C">
      <w:pPr>
        <w:widowControl w:val="0"/>
        <w:autoSpaceDE w:val="0"/>
        <w:autoSpaceDN w:val="0"/>
        <w:adjustRightInd w:val="0"/>
        <w:spacing w:after="200" w:line="360" w:lineRule="auto"/>
        <w:rPr>
          <w:rFonts w:ascii="Arial" w:hAnsi="Arial" w:cs="Arial"/>
          <w:sz w:val="15"/>
          <w:szCs w:val="15"/>
        </w:rPr>
      </w:pPr>
      <w:r>
        <w:rPr>
          <w:rFonts w:ascii="Arial" w:hAnsi="Arial" w:cs="Arial"/>
          <w:sz w:val="15"/>
          <w:szCs w:val="15"/>
        </w:rPr>
        <w:t xml:space="preserve"> </w:t>
      </w:r>
    </w:p>
    <w:p w14:paraId="14F33F9D" w14:textId="77777777" w:rsidR="00AA5A29" w:rsidRDefault="00AA5A29" w:rsidP="00782E1C">
      <w:pPr>
        <w:widowControl w:val="0"/>
        <w:autoSpaceDE w:val="0"/>
        <w:autoSpaceDN w:val="0"/>
        <w:adjustRightInd w:val="0"/>
        <w:spacing w:after="200" w:line="360" w:lineRule="auto"/>
        <w:rPr>
          <w:rFonts w:ascii="Arial" w:hAnsi="Arial" w:cs="Arial"/>
          <w:sz w:val="15"/>
          <w:szCs w:val="15"/>
        </w:rPr>
      </w:pPr>
      <w:r>
        <w:rPr>
          <w:rFonts w:ascii="Arial" w:hAnsi="Arial" w:cs="Arial"/>
          <w:sz w:val="15"/>
          <w:szCs w:val="15"/>
        </w:rPr>
        <w:t xml:space="preserve"> </w:t>
      </w:r>
    </w:p>
    <w:p w14:paraId="4446A6C5" w14:textId="77777777" w:rsidR="00782E1C" w:rsidRDefault="00782E1C" w:rsidP="00782E1C">
      <w:pPr>
        <w:widowControl w:val="0"/>
        <w:autoSpaceDE w:val="0"/>
        <w:autoSpaceDN w:val="0"/>
        <w:adjustRightInd w:val="0"/>
        <w:spacing w:after="200" w:line="360" w:lineRule="auto"/>
        <w:rPr>
          <w:sz w:val="22"/>
          <w:szCs w:val="22"/>
        </w:rPr>
      </w:pPr>
      <w:r>
        <w:rPr>
          <w:noProof/>
        </w:rPr>
        <w:lastRenderedPageBreak/>
        <w:drawing>
          <wp:inline distT="0" distB="0" distL="0" distR="0" wp14:anchorId="1F4F4ED6" wp14:editId="305A7997">
            <wp:extent cx="3875965" cy="6455391"/>
            <wp:effectExtent l="0" t="0" r="0" b="3175"/>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81378" cy="6464406"/>
                    </a:xfrm>
                    <a:prstGeom prst="rect">
                      <a:avLst/>
                    </a:prstGeom>
                    <a:noFill/>
                    <a:ln>
                      <a:noFill/>
                    </a:ln>
                  </pic:spPr>
                </pic:pic>
              </a:graphicData>
            </a:graphic>
          </wp:inline>
        </w:drawing>
      </w:r>
    </w:p>
    <w:p w14:paraId="56C26AAF" w14:textId="4658FE5C" w:rsidR="0046559D" w:rsidRPr="00860AAD" w:rsidRDefault="00320331" w:rsidP="001E6B7D">
      <w:pPr>
        <w:pStyle w:val="picturetextheadline0"/>
        <w:rPr>
          <w:lang w:val="en-GB"/>
        </w:rPr>
      </w:pPr>
      <w:r>
        <w:rPr>
          <w:lang w:val="en-GB"/>
        </w:rPr>
        <w:t>Figure 14</w:t>
      </w:r>
      <w:r w:rsidR="0046559D" w:rsidRPr="00860AAD">
        <w:rPr>
          <w:lang w:val="en-GB"/>
        </w:rPr>
        <w:t>.</w:t>
      </w:r>
    </w:p>
    <w:p w14:paraId="17528085" w14:textId="531938A6" w:rsidR="0046559D" w:rsidRPr="0046559D" w:rsidRDefault="0046559D" w:rsidP="0046559D">
      <w:pPr>
        <w:pStyle w:val="picturetext"/>
        <w:rPr>
          <w:rFonts w:ascii="Times" w:hAnsi="Times" w:cs="Times"/>
        </w:rPr>
      </w:pPr>
      <w:r w:rsidRPr="00782E1C">
        <w:t xml:space="preserve">Age VS CANTAB tests in ADHD and controls. </w:t>
      </w:r>
      <w:r>
        <w:t xml:space="preserve">Diagnosis: </w:t>
      </w:r>
      <w:r w:rsidRPr="00F244F7">
        <w:rPr>
          <w:lang w:val="en-GB" w:eastAsia="en-GB"/>
        </w:rPr>
        <w:drawing>
          <wp:inline distT="0" distB="0" distL="0" distR="0" wp14:anchorId="292953C4" wp14:editId="317F521C">
            <wp:extent cx="409575" cy="123825"/>
            <wp:effectExtent l="0" t="0" r="9525" b="9525"/>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9575" cy="123825"/>
                    </a:xfrm>
                    <a:prstGeom prst="rect">
                      <a:avLst/>
                    </a:prstGeom>
                    <a:noFill/>
                    <a:ln>
                      <a:noFill/>
                    </a:ln>
                  </pic:spPr>
                </pic:pic>
              </a:graphicData>
            </a:graphic>
          </wp:inline>
        </w:drawing>
      </w:r>
      <w:r>
        <w:t xml:space="preserve"> </w:t>
      </w:r>
      <w:r w:rsidRPr="00F244F7">
        <w:rPr>
          <w:lang w:val="en-GB" w:eastAsia="en-GB"/>
        </w:rPr>
        <w:drawing>
          <wp:inline distT="0" distB="0" distL="0" distR="0" wp14:anchorId="7C7DC6B9" wp14:editId="003D9D26">
            <wp:extent cx="409575" cy="142875"/>
            <wp:effectExtent l="0" t="0" r="9525" b="9525"/>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9575" cy="142875"/>
                    </a:xfrm>
                    <a:prstGeom prst="rect">
                      <a:avLst/>
                    </a:prstGeom>
                    <a:noFill/>
                    <a:ln>
                      <a:noFill/>
                    </a:ln>
                  </pic:spPr>
                </pic:pic>
              </a:graphicData>
            </a:graphic>
          </wp:inline>
        </w:drawing>
      </w:r>
      <w:r>
        <w:t xml:space="preserve">. </w:t>
      </w:r>
      <w:r>
        <w:rPr>
          <w:rFonts w:ascii="Times" w:hAnsi="Times" w:cs="Times"/>
        </w:rPr>
        <w:t xml:space="preserve"> </w:t>
      </w:r>
    </w:p>
    <w:p w14:paraId="17A1C4E0" w14:textId="1484DFF3" w:rsidR="009B4505" w:rsidRPr="009B4505" w:rsidRDefault="009B4505" w:rsidP="009B4505">
      <w:pPr>
        <w:pStyle w:val="Heading1"/>
      </w:pPr>
      <w:bookmarkStart w:id="63" w:name="_Toc492391055"/>
      <w:r w:rsidRPr="009B4505">
        <w:lastRenderedPageBreak/>
        <w:t>Discussion</w:t>
      </w:r>
      <w:bookmarkEnd w:id="63"/>
      <w:r w:rsidRPr="009B4505">
        <w:t xml:space="preserve"> </w:t>
      </w:r>
    </w:p>
    <w:p w14:paraId="340A94E0" w14:textId="31B57807" w:rsidR="009B4505" w:rsidRPr="009B4505" w:rsidRDefault="009B4505" w:rsidP="009B4505">
      <w:pPr>
        <w:pStyle w:val="bodytext"/>
        <w:rPr>
          <w:lang w:val="en-US"/>
        </w:rPr>
      </w:pPr>
      <w:r w:rsidRPr="009B4505">
        <w:rPr>
          <w:lang w:val="en-US"/>
        </w:rPr>
        <w:t>Studies I, II, and III are open studies. The aim was to identify possible ABR aberrancies (traits) associated with ADHD and ASD. In Study I and II we investigated possible ABR differ</w:t>
      </w:r>
      <w:r w:rsidR="003D7C54">
        <w:rPr>
          <w:lang w:val="en-US"/>
        </w:rPr>
        <w:t>ences in a young ADHD patients</w:t>
      </w:r>
      <w:r w:rsidRPr="009B4505">
        <w:rPr>
          <w:lang w:val="en-US"/>
        </w:rPr>
        <w:t>. Our approach to this was that young females</w:t>
      </w:r>
      <w:r w:rsidR="00AA5A29">
        <w:rPr>
          <w:lang w:val="en-US"/>
        </w:rPr>
        <w:t xml:space="preserve"> </w:t>
      </w:r>
      <w:r w:rsidRPr="009B4505">
        <w:rPr>
          <w:lang w:val="en-US"/>
        </w:rPr>
        <w:t>and young males differs in clinical ADHD symptoms. Previous research has proposed that young females with ADHD may be more likely to have the inattentive type of ADHD and more internalizing symptoms, while young males, on the other hand, have more hyperactive and aggressive symptoms (Biederman et al., 2002; Biederman &amp; Faraone, 2004; Newcorn et al., 2001). Even though the ADHD prevalence is starting to even out between the genders, there is still a tendency towards a later diagnosis of young females compared to young males (Froehlich et al., 2007; Nøvik et al., 2006). Earlier research has suggested that there are neurodevelopmental di</w:t>
      </w:r>
      <w:r w:rsidR="003D7C54">
        <w:rPr>
          <w:lang w:val="en-US"/>
        </w:rPr>
        <w:t>fferences between the genders (</w:t>
      </w:r>
      <w:r w:rsidRPr="009B4505">
        <w:rPr>
          <w:lang w:val="en-US"/>
        </w:rPr>
        <w:t>Charman et al., 2017; Graetz et al., 2005; Levy et al., 2005; Mahone &amp; Wodka, 2008; Suades-G</w:t>
      </w:r>
      <w:r w:rsidR="00DF35D8">
        <w:rPr>
          <w:lang w:val="en-US"/>
        </w:rPr>
        <w:t>onzález et al., 2017). Further, the</w:t>
      </w:r>
      <w:r w:rsidRPr="009B4505">
        <w:rPr>
          <w:lang w:val="en-US"/>
        </w:rPr>
        <w:t xml:space="preserve"> diagnostic criteria </w:t>
      </w:r>
      <w:r w:rsidR="00DF35D8">
        <w:rPr>
          <w:lang w:val="en-US"/>
        </w:rPr>
        <w:t>and diagnostic procedures</w:t>
      </w:r>
      <w:r w:rsidRPr="009B4505">
        <w:rPr>
          <w:lang w:val="en-US"/>
        </w:rPr>
        <w:t xml:space="preserve"> are defined and designed based on male prototype ADHD symptoms. </w:t>
      </w:r>
    </w:p>
    <w:p w14:paraId="14FE2481" w14:textId="19CA734C" w:rsidR="009B4505" w:rsidRPr="009B4505" w:rsidRDefault="009B4505" w:rsidP="009B4505">
      <w:pPr>
        <w:pStyle w:val="bodytext"/>
        <w:rPr>
          <w:lang w:val="en-US"/>
        </w:rPr>
      </w:pPr>
      <w:r w:rsidRPr="009B4505">
        <w:rPr>
          <w:lang w:val="en-US"/>
        </w:rPr>
        <w:t xml:space="preserve">Previous studies (Puente et al., 2002; Schochat et al., 2002; Vaney et al., 2011) on ABR in children with ADHD have not been able to find clear significant differences in amplitude, peak latencies, or interpeak latencies compared to TD. We decided to study ABR in young individuals with ADHD and compare them to a normed ABR curve, a 3500 Hz curve, and non-clinical individuals. Based on previous studies (Källstrand et al., 2002, 2010), we were interested in five time windows: 2.5–4.0 Ms, 3.3–4.3 Ms, 3.5–7.5 Ms, 4.0–7.5 Ms and 6.0–7.0 Ms. The reason for using a 3500 Hz curve as comparison is that studies on ADHD in children and adults have shown aberrant EEG frequencies when compared to healthy controls (Alba et al., 2015; Loo &amp; Makeig, 2012). </w:t>
      </w:r>
    </w:p>
    <w:p w14:paraId="74CB1525" w14:textId="77777777" w:rsidR="009B4505" w:rsidRPr="009B4505" w:rsidRDefault="009B4505" w:rsidP="009B4505">
      <w:pPr>
        <w:pStyle w:val="bodytext"/>
        <w:rPr>
          <w:lang w:val="en-US"/>
        </w:rPr>
      </w:pPr>
      <w:r w:rsidRPr="009B4505">
        <w:rPr>
          <w:lang w:val="en-US"/>
        </w:rPr>
        <w:t>We started our research project with a study on young ADHD females, Study I, since our primary interest from the beginning was ADHD characteristics in young females. In Study II we were interested in whether our findings were gender specific or not.</w:t>
      </w:r>
    </w:p>
    <w:p w14:paraId="782CCB32" w14:textId="77777777" w:rsidR="009B4505" w:rsidRDefault="009B4505">
      <w:pPr>
        <w:spacing w:after="160" w:line="259" w:lineRule="auto"/>
        <w:rPr>
          <w:rFonts w:eastAsia="Times New Roman"/>
          <w:bCs/>
          <w:i/>
          <w:sz w:val="22"/>
          <w:szCs w:val="28"/>
          <w:lang w:val="en-US"/>
        </w:rPr>
      </w:pPr>
      <w:r>
        <w:rPr>
          <w:lang w:val="en-US"/>
        </w:rPr>
        <w:lastRenderedPageBreak/>
        <w:br w:type="page"/>
      </w:r>
    </w:p>
    <w:p w14:paraId="2DF713B2" w14:textId="0B4A89BE" w:rsidR="009B4505" w:rsidRPr="009B4505" w:rsidRDefault="00DF35D8" w:rsidP="009B4505">
      <w:pPr>
        <w:pStyle w:val="Heading4"/>
        <w:rPr>
          <w:lang w:val="en-US"/>
        </w:rPr>
      </w:pPr>
      <w:r>
        <w:rPr>
          <w:lang w:val="en-US"/>
        </w:rPr>
        <w:lastRenderedPageBreak/>
        <w:t xml:space="preserve">Comments on the main findings of </w:t>
      </w:r>
      <w:r w:rsidR="009B4505" w:rsidRPr="009B4505">
        <w:rPr>
          <w:lang w:val="en-US"/>
        </w:rPr>
        <w:t xml:space="preserve"> Study I and II</w:t>
      </w:r>
    </w:p>
    <w:p w14:paraId="7ABB52D3" w14:textId="06B5DA6B" w:rsidR="009B4505" w:rsidRPr="009B4505" w:rsidRDefault="009B4505" w:rsidP="009B4505">
      <w:pPr>
        <w:pStyle w:val="bodytext"/>
        <w:rPr>
          <w:lang w:val="en-US"/>
        </w:rPr>
      </w:pPr>
      <w:r w:rsidRPr="009B4505">
        <w:rPr>
          <w:lang w:val="en-US"/>
        </w:rPr>
        <w:t xml:space="preserve">We found three aberrant traits in the young female ADHD group (TR6, TR14, TR15) and three traits in the young male ADHD group (TR4, TR5, TR14). </w:t>
      </w:r>
    </w:p>
    <w:p w14:paraId="7F656D92" w14:textId="77777777" w:rsidR="009B4505" w:rsidRPr="009B4505" w:rsidRDefault="009B4505" w:rsidP="009B4505">
      <w:pPr>
        <w:pStyle w:val="bodytext"/>
        <w:rPr>
          <w:lang w:val="en-US"/>
        </w:rPr>
      </w:pPr>
      <w:r w:rsidRPr="009B4505">
        <w:rPr>
          <w:lang w:val="en-US"/>
        </w:rPr>
        <w:t>TR14, which was present in both gender groups, was derived from a higher correlation, when compared to the TD group. The trait corresponds anatomically to the midbrain ranging from the superior olivary complex to the thalamus. TR15, only present in the young female ADHD group, corresponds to the pons area. The female trait TR6, one of the male traits TR4 as well as the co-occurring trait TR14 correlated neuro-anatomically to the thalamic area or in the near proximity. TR5, one of the male traits, corresponds anatomically to the cochlear nucleus, a more peripheral part of the brain.</w:t>
      </w:r>
    </w:p>
    <w:p w14:paraId="7129833B" w14:textId="77777777" w:rsidR="009B4505" w:rsidRPr="009B4505" w:rsidRDefault="009B4505" w:rsidP="009B4505">
      <w:pPr>
        <w:pStyle w:val="bodytext"/>
        <w:rPr>
          <w:lang w:val="en-US"/>
        </w:rPr>
      </w:pPr>
      <w:r w:rsidRPr="009B4505">
        <w:rPr>
          <w:lang w:val="en-US"/>
        </w:rPr>
        <w:t xml:space="preserve">As stated, three of the traits (TR6, TR4, and TR14) corresponded anatomically to thalamic parts of the brainstem. In line with our results, it has previously been described that thalamic dysfunction is involved in symptoms of hyperactivity, inattention, and dysregulation of sleep and wakefulness, all of which are core symptoms of ADHD (Ivanov et al., 2010). </w:t>
      </w:r>
    </w:p>
    <w:p w14:paraId="609C5EC0" w14:textId="72829090" w:rsidR="009B4505" w:rsidRPr="009B4505" w:rsidRDefault="009B4505" w:rsidP="009B4505">
      <w:pPr>
        <w:pStyle w:val="bodytext"/>
        <w:rPr>
          <w:lang w:val="en-US"/>
        </w:rPr>
      </w:pPr>
      <w:r w:rsidRPr="009B4505">
        <w:rPr>
          <w:lang w:val="en-US"/>
        </w:rPr>
        <w:t xml:space="preserve">TR14 corresponded to the midbrain ranging from the superior olivary complex to the thalamus. The superior olivary is the first major site where auditory information from both ears converges and hence an important locus for sound localization, something some ADHD children have problems with. This information is then forwarded to the thalamus, where the transformation of sound source acoustics (frequency, time, and amplitude) begins to form into perceptual features (i.e., acoustic features) (Bartlett, 2013). The central thalamus has been found to play a critical role in regulating arousal, attention, and goal-directed behavior (Mair et al., 2011). The thalamus receives projections from different arousal systems like the locus coeruleus and cholinergic innervation from the basal forebrain (Liu et al., 2015). Through projections from the thalamus, the overall excitability of the cortex during states of attention can be affected. How these crucial interactions are mediated, and the thalamus’s role in them, is still unclear. Wells et al. (2016) have recently identified a gene (PTCHD 1) that seems to modulate the amount of calcium-dependent potassium currents that are essential for the thalamic communication with the rest of the brain. Animal experiments with PTCHD1-deleted mice have shown that these mice made significantly more errors in concentration tests and were also easily distracted and showed hyperactivity, classic ADHD symptoms. Interestingly enough, these mice were also resistant to stimulant medication, that is, methylphenidate (Wells et al., 2016). </w:t>
      </w:r>
      <w:r w:rsidR="003D7C54">
        <w:rPr>
          <w:lang w:val="en-US"/>
        </w:rPr>
        <w:t>One can</w:t>
      </w:r>
      <w:r w:rsidRPr="009B4505">
        <w:rPr>
          <w:lang w:val="en-US"/>
        </w:rPr>
        <w:t xml:space="preserve"> </w:t>
      </w:r>
      <w:r w:rsidRPr="009B4505">
        <w:rPr>
          <w:lang w:val="en-US"/>
        </w:rPr>
        <w:lastRenderedPageBreak/>
        <w:t>assume that thalamus dysfunction is central in understanding ADHD symptoms and that traits located here might be linked to ADHD.</w:t>
      </w:r>
      <w:r w:rsidRPr="009B4505">
        <w:rPr>
          <w:lang w:val="en-US"/>
        </w:rPr>
        <w:tab/>
      </w:r>
    </w:p>
    <w:p w14:paraId="69EBD060" w14:textId="7BFAD1E6" w:rsidR="009B4505" w:rsidRPr="009B4505" w:rsidRDefault="009B4505" w:rsidP="009B4505">
      <w:pPr>
        <w:pStyle w:val="bodytext"/>
        <w:rPr>
          <w:lang w:val="en-US"/>
        </w:rPr>
      </w:pPr>
      <w:r w:rsidRPr="009B4505">
        <w:rPr>
          <w:lang w:val="en-US"/>
        </w:rPr>
        <w:t>The cochlear nucleus, which corresponded to the TR5 in boys with ADHD, is where parts of the auditory temporal processing occur and it is an important locus for sound detection in noisy environments and in selective auditory attention (Fortune &amp; Lurie, 2009); deficits in these aspects of sound pro</w:t>
      </w:r>
      <w:r w:rsidR="00DF35D8">
        <w:rPr>
          <w:lang w:val="en-US"/>
        </w:rPr>
        <w:t>cessing are frequent symptoms of</w:t>
      </w:r>
      <w:r w:rsidRPr="009B4505">
        <w:rPr>
          <w:lang w:val="en-US"/>
        </w:rPr>
        <w:t xml:space="preserve"> ADHD (Strait &amp; Krus, 2011; Söderlund et al., 2007). It would be interesting to see if one could link TR5 to a patient’s self-report questionnaire to see whether these patients report more problems in sound detection and selective auditory attention. Further, follow-up studies could investigate if boys with ADHD have more problems in regulating auditory stimuli, since the trait was only sig</w:t>
      </w:r>
      <w:r w:rsidR="00DF35D8">
        <w:rPr>
          <w:lang w:val="en-US"/>
        </w:rPr>
        <w:t>nificant in the male ADHD group.</w:t>
      </w:r>
    </w:p>
    <w:p w14:paraId="16A5F0E8" w14:textId="60536222" w:rsidR="009B4505" w:rsidRPr="009B4505" w:rsidRDefault="009B4505" w:rsidP="009B4505">
      <w:pPr>
        <w:pStyle w:val="bodytext"/>
        <w:rPr>
          <w:lang w:val="en-US"/>
        </w:rPr>
      </w:pPr>
      <w:r w:rsidRPr="009B4505">
        <w:rPr>
          <w:lang w:val="en-US"/>
        </w:rPr>
        <w:t xml:space="preserve">TR15, only present in females with ADHD, corresponds to the pons area of the brainstem. This aligns with earlier studies that have found higher resting-state activity in MRIs of young patients with ADHD compared to controls, in the same part of the brain (Zang et al., 2007). The pons consists of several nuclei, among these, locus coeruleus. The locus coeruleus is central to the noradrenaline synthesis of the central nervous system. It is involved in attention regulation, sleep and wakefulness, and so forth. The locus coeruleus has an excitatory effect on the neurons it communicates with, that is, areas in the brainstem, cerebellum, hypothalamus, nuclei in the thalamus, and the cortex. Studies have shown </w:t>
      </w:r>
      <w:r w:rsidR="00DF35D8">
        <w:rPr>
          <w:lang w:val="en-US"/>
        </w:rPr>
        <w:t xml:space="preserve">increased </w:t>
      </w:r>
      <w:r w:rsidRPr="009B4505">
        <w:rPr>
          <w:lang w:val="en-US"/>
        </w:rPr>
        <w:t>regulation of locus coeruleus activity by methylphenidates and by atomoxetine (Bari &amp; Aston-Jones, 2013; Devilbiss &amp; Berridge, 2006; Howells et al., 2012), common ADHD medications.</w:t>
      </w:r>
      <w:r w:rsidRPr="009B4505">
        <w:rPr>
          <w:lang w:val="en-US"/>
        </w:rPr>
        <w:tab/>
      </w:r>
    </w:p>
    <w:p w14:paraId="7717BBAF" w14:textId="15F0E9C3" w:rsidR="009B4505" w:rsidRPr="009B4505" w:rsidRDefault="009B4505" w:rsidP="009B4505">
      <w:pPr>
        <w:pStyle w:val="bodytext"/>
        <w:rPr>
          <w:lang w:val="en-US"/>
        </w:rPr>
      </w:pPr>
      <w:r w:rsidRPr="009B4505">
        <w:rPr>
          <w:lang w:val="en-US"/>
        </w:rPr>
        <w:t xml:space="preserve">Taken together, the findings in Study I and II seem to be in line with earlier </w:t>
      </w:r>
      <w:r w:rsidR="003D7C54">
        <w:rPr>
          <w:lang w:val="en-US"/>
        </w:rPr>
        <w:t xml:space="preserve">brain imaging </w:t>
      </w:r>
      <w:r w:rsidRPr="009B4505">
        <w:rPr>
          <w:lang w:val="en-US"/>
        </w:rPr>
        <w:t>studies showing that children with ADHD have abnormalities in their pontine and thalamic regions (Cortese et al., 2013; Ivanov et al., 2010; Dickstein, 2006). Two traits are only present among boys (TR4, TR5), and another two only among girls (TR6, TR15). No further conclusion can be drawn regarding this without verifying the results in further studies. One explanation that could account for some of the differences could be the simple fact that the brainstem is affected by a combination of hormonal and head-size differences (Dehan &amp; Jerger, 1990). An early study (Rosenhall et al., 2003) considered the differences could be an effect partly due to the length of the cochlear nerve and the auditory pathway in the brainstem.</w:t>
      </w:r>
    </w:p>
    <w:p w14:paraId="5729851C" w14:textId="77777777" w:rsidR="009B4505" w:rsidRPr="009B4505" w:rsidRDefault="009B4505" w:rsidP="009B4505">
      <w:pPr>
        <w:pStyle w:val="Heading4"/>
        <w:rPr>
          <w:lang w:val="en-US"/>
        </w:rPr>
      </w:pPr>
      <w:r w:rsidRPr="009B4505">
        <w:rPr>
          <w:lang w:val="en-US"/>
        </w:rPr>
        <w:t xml:space="preserve">Comments on the main findings in Study III </w:t>
      </w:r>
    </w:p>
    <w:p w14:paraId="6EE46853" w14:textId="54592A43" w:rsidR="009B4505" w:rsidRPr="009B4505" w:rsidRDefault="009B4505" w:rsidP="009B4505">
      <w:pPr>
        <w:pStyle w:val="bodytext"/>
        <w:rPr>
          <w:lang w:val="en-US"/>
        </w:rPr>
      </w:pPr>
      <w:r w:rsidRPr="009B4505">
        <w:rPr>
          <w:lang w:val="en-US"/>
        </w:rPr>
        <w:lastRenderedPageBreak/>
        <w:t>The aim of</w:t>
      </w:r>
      <w:r w:rsidR="00AA5A29">
        <w:rPr>
          <w:lang w:val="en-US"/>
        </w:rPr>
        <w:t xml:space="preserve"> </w:t>
      </w:r>
      <w:r w:rsidR="003D7C54">
        <w:rPr>
          <w:lang w:val="en-US"/>
        </w:rPr>
        <w:t xml:space="preserve"> </w:t>
      </w:r>
      <w:r w:rsidRPr="009B4505">
        <w:rPr>
          <w:lang w:val="en-US"/>
        </w:rPr>
        <w:t xml:space="preserve">Study </w:t>
      </w:r>
      <w:r w:rsidR="003D7C54">
        <w:rPr>
          <w:lang w:val="en-US"/>
        </w:rPr>
        <w:t xml:space="preserve">III </w:t>
      </w:r>
      <w:r w:rsidRPr="009B4505">
        <w:rPr>
          <w:lang w:val="en-US"/>
        </w:rPr>
        <w:t>was to study possible ABR alterations in a group of young subjects with ASD. Previous research has mainly focused on abnormal cortex activity in the perception of sound in ASD (Blasi et al., 2015; Hames et al., 2016; Orekhova et al., 2012), but there is preliminary evidence of abnormal brainstem processing responses to auditory stimuli in young patients with ASD (Russo et al., 2008). Further, Guinan (1996) suggested that brainstem abnormalities might be partly responsible for the diffic</w:t>
      </w:r>
      <w:r w:rsidR="00DF35D8">
        <w:rPr>
          <w:lang w:val="en-US"/>
        </w:rPr>
        <w:t>ulties with language and cognitive</w:t>
      </w:r>
      <w:r w:rsidRPr="009B4505">
        <w:rPr>
          <w:lang w:val="en-US"/>
        </w:rPr>
        <w:t xml:space="preserve"> and social development in children with ASD. In line with this, the brainstem in children with ASD has been shown to be smaller and have a slower growth rate than in TD children (Jou et al., 2013). Based on earlier research (Dabbous, 2012; Hitoglou et al., 2010; Kwon et al., 2001; Maziade et al., 2000; Miron et al., 2016; Rosenhall et al., 2004; Roth et al., 2011), we decided to explore possible ABR differences in amplitude and interaural correlation in each of the seven waves. Interaural differences have for a long time been considered to represent brainstem pathology (Hall, 1984), although later studies show that healthy humans use the small interaural differences to locate sound (Undurraga et al., 2016). From earlier studies in cats, we knew that wave amplitude changes are often detected in neurological disorders (Buchwald, 1983).</w:t>
      </w:r>
    </w:p>
    <w:p w14:paraId="4B831A3C" w14:textId="77777777" w:rsidR="009B4505" w:rsidRPr="009B4505" w:rsidRDefault="009B4505" w:rsidP="009B4505">
      <w:pPr>
        <w:pStyle w:val="bodytext"/>
        <w:rPr>
          <w:lang w:val="en-US"/>
        </w:rPr>
      </w:pPr>
      <w:r w:rsidRPr="009B4505">
        <w:rPr>
          <w:lang w:val="en-US"/>
        </w:rPr>
        <w:t xml:space="preserve">We found that the amplitude of wave III was higher in the ASD group compared to the TD group (DV 1). DV 1 corresponded to the pons region. A higher amplitude in ABR indicates that in response to an acoustic stimulus more neurons are firing in that particular area than in the control group (Buchwald, 1983). Autistic children can show difficulties within all the areas involved in the processing of sensory information in the pons region, that is, facial expression, chewing, swallowing, hearing, taste, facial sensation, touch, and pain (APA, 2013). Increased activity in the pons region in ASD is something that has been seen in earlier ASD research (Di Martino et al., 2011; Khalfa et al., 2001; Sajdel-Sulkowska et al., 2011; Suzuki et al., 2013). </w:t>
      </w:r>
    </w:p>
    <w:p w14:paraId="7F9240CA" w14:textId="77777777" w:rsidR="009B4505" w:rsidRPr="009B4505" w:rsidRDefault="009B4505" w:rsidP="009B4505">
      <w:pPr>
        <w:pStyle w:val="bodytext"/>
        <w:rPr>
          <w:lang w:val="en-US"/>
        </w:rPr>
      </w:pPr>
      <w:r w:rsidRPr="009B4505">
        <w:rPr>
          <w:lang w:val="en-US"/>
        </w:rPr>
        <w:t xml:space="preserve">Binaural hearing is essential for directional hearing. Interaural differences, for example, time or level, provide us with the necessary information to locate the positions of sound sources. Auditory input from both ears is thought to fuse in the pons (the superior olivary complex). When the binaural fusion is incomplete, it may result in abnormal dichotic hearing and problems processing auditory input correctly. For example, Undurraga et al. (2016) found that a lower correlation of auditory processing between the left and right ear could indicate more functional processing of sound, since it has been shown that healthy humans use the small interaural differences to locate sound and to detect sound in </w:t>
      </w:r>
      <w:r w:rsidRPr="009B4505">
        <w:rPr>
          <w:lang w:val="en-US"/>
        </w:rPr>
        <w:lastRenderedPageBreak/>
        <w:t>background noise. When looking at the ABR of ASD patients, earlier studies have found a high correlation between the auditory processing of the left and right ears, which has been related to the difficulties in sorting out and managing everyday sounds that are often reported in children with ASD (Alcantara et al., 2004).</w:t>
      </w:r>
    </w:p>
    <w:p w14:paraId="28CC9326" w14:textId="77777777" w:rsidR="009B4505" w:rsidRPr="009B4505" w:rsidRDefault="009B4505" w:rsidP="009B4505">
      <w:pPr>
        <w:pStyle w:val="bodytext"/>
        <w:rPr>
          <w:lang w:val="en-US"/>
        </w:rPr>
      </w:pPr>
      <w:r w:rsidRPr="009B4505">
        <w:rPr>
          <w:lang w:val="en-US"/>
        </w:rPr>
        <w:t>In Study III, the TD males were the only group that differed in interaural correlation by having a lower correlation between the left and right ears in the ABR corresponding to the midbrain. The lower correlation between the left and right ear in the TD male group has to be confirmed in future studies. Interaural time difference has been observed in ASD patients but not in TD patients in studies where the ABR of the genders has not been separated (Rosenhall et al., 2003). Lateral ABR asymmetry of amplitudes and latency has been found in infants (Sininger et al., 1998) but not in adults. The mechanism is unknown, but Sininger et al. (1995) suggested that the left ear of neonates without any correlation to gender might receive greater suppression by contralateral noise. Lateralized function at the cortical level is well established; studies have visualized a more symmetrical processing of language by women and more lateralized processing by men (Shaywitz et al., 1995). The known asymmetry in auditory sensitivity mostly seen in adult men has long been attributed to non-biologic factors such as exposure to traumatizing noise. The finding of lateral asymmetry in ABR in newborns points to a biologic significance of the phenomenon. The anatomical or physiological basis for lateralized function at the brainstem level is not obvious and has not been stated, but one hypothesis could be that there is a difference in innervation density in the auditory pathway, converging in the midbrain. Could the lower correlation in the midbrain region in TD boys be linked to a later found male lateralization at a cortical level? Previous research as well as our findings is inconsistent and incomplete in this area, and there are no conclusions to be made from our finding. As in studies I and II, our results in Study III are based on differences between groups and need to be verified by more studies before one can draw the conclusion that ABR can be a valuable measurement of ASD in one single individual.</w:t>
      </w:r>
    </w:p>
    <w:p w14:paraId="6DBC0BDB" w14:textId="77777777" w:rsidR="009B4505" w:rsidRPr="009B4505" w:rsidRDefault="009B4505" w:rsidP="009B4505">
      <w:pPr>
        <w:pStyle w:val="Heading4"/>
        <w:rPr>
          <w:lang w:val="en-US"/>
        </w:rPr>
      </w:pPr>
      <w:r w:rsidRPr="009B4505">
        <w:rPr>
          <w:lang w:val="en-US"/>
        </w:rPr>
        <w:t xml:space="preserve">Comments on main findings in Study IV </w:t>
      </w:r>
    </w:p>
    <w:p w14:paraId="621FBC3B" w14:textId="1C89CAFD" w:rsidR="009B4505" w:rsidRPr="009B4505" w:rsidRDefault="009B4505" w:rsidP="009B4505">
      <w:pPr>
        <w:pStyle w:val="bodytext"/>
        <w:rPr>
          <w:lang w:val="en-US"/>
        </w:rPr>
      </w:pPr>
      <w:r w:rsidRPr="009B4505">
        <w:rPr>
          <w:lang w:val="en-US"/>
        </w:rPr>
        <w:t xml:space="preserve">In Study IV we examined executive functions in young people with ADHD, expressed as a statistical interaction term in regression modeling. Our hypothesis was that children with ADHD would show deficits on neuropsychological test performance when compared to TD control subjects. This hypothesis was correct in all CANTAB measures except for the test SOC. Our findings are well in line with the fact that SOC has been </w:t>
      </w:r>
      <w:r w:rsidRPr="009B4505">
        <w:rPr>
          <w:lang w:val="en-US"/>
        </w:rPr>
        <w:lastRenderedPageBreak/>
        <w:t>removed from the recommended CANTAB test battery for ADHD; that change occurred in 2015, and SOC was instead recommended for ASD, epilepsy and Huntington’s disease (www.cambridgecognition.com). We found a main effect of ADHD with no significant interaction between ADHD and age in all tests except SOC. This would suggest that the between-group differences represent a deficit. Our results are consistent with findings that children with ADHD have a delayed or deviant brain development (Castellanos et al., 2002; Hoogman et al., 2017; Villemonteix et al., 2015; Wyciszkiewicz et al., 2017). Even though our data show that the ADHD group has a parallel (better with age) but significantly poorer performance on our CANTAB tests, one cannot rule out that the ADHD group would catch up between 17 and 25 years of age. Some researchers state that ADHD children have a brain that matures late but eventually catches up compared to healthy controls (Gogtay et al., 2002; Shaw et al., 2007). According to our CANTAB study,</w:t>
      </w:r>
      <w:r w:rsidR="00AA5A29">
        <w:rPr>
          <w:lang w:val="en-US"/>
        </w:rPr>
        <w:t xml:space="preserve"> </w:t>
      </w:r>
      <w:r w:rsidRPr="009B4505">
        <w:rPr>
          <w:lang w:val="en-US"/>
        </w:rPr>
        <w:t>the so-called developmental deviation model maybe more valid, that is, that ADHD patients do not score normal at any age (Castellano et al., 2002; Halperin &amp; Healey, 2011; Hoogman et al., 2017).</w:t>
      </w:r>
    </w:p>
    <w:p w14:paraId="7684FE05" w14:textId="77777777" w:rsidR="009B4505" w:rsidRPr="009B4505" w:rsidRDefault="009B4505" w:rsidP="009B4505">
      <w:pPr>
        <w:pStyle w:val="bodytext"/>
        <w:rPr>
          <w:lang w:val="en-US"/>
        </w:rPr>
      </w:pPr>
      <w:r w:rsidRPr="009B4505">
        <w:rPr>
          <w:lang w:val="en-US"/>
        </w:rPr>
        <w:t>The clinical utility of ABR and CANTAB</w:t>
      </w:r>
    </w:p>
    <w:p w14:paraId="6711F6CE" w14:textId="77777777" w:rsidR="009B4505" w:rsidRPr="009B4505" w:rsidRDefault="009B4505" w:rsidP="009B4505">
      <w:pPr>
        <w:pStyle w:val="bodytext"/>
        <w:rPr>
          <w:lang w:val="en-US"/>
        </w:rPr>
      </w:pPr>
      <w:r w:rsidRPr="009B4505">
        <w:rPr>
          <w:lang w:val="en-US"/>
        </w:rPr>
        <w:t>All our results are based on observed group differences and cannot therefore, at this stage be transferred to single individuals. Further, to link these differences to neurobiological impairment, more research is needed. In the future RDoC might be a useful tool for identifying ABR aberrancies and linking them to different domains and symptoms, rather than striving to separate ADHD patients from healthy controls. Clearly there is a need for further research to substantiate our ABR findings including replication of our findings.</w:t>
      </w:r>
    </w:p>
    <w:p w14:paraId="373639BE" w14:textId="635A9031" w:rsidR="009B4505" w:rsidRPr="009B4505" w:rsidRDefault="003D7C54" w:rsidP="009B4505">
      <w:pPr>
        <w:pStyle w:val="bodytext"/>
        <w:rPr>
          <w:lang w:val="en-US"/>
        </w:rPr>
      </w:pPr>
      <w:r>
        <w:rPr>
          <w:lang w:val="en-US"/>
        </w:rPr>
        <w:t>Our findings show</w:t>
      </w:r>
      <w:r w:rsidR="009B4505" w:rsidRPr="009B4505">
        <w:rPr>
          <w:lang w:val="en-US"/>
        </w:rPr>
        <w:t xml:space="preserve"> that the CANTAB </w:t>
      </w:r>
      <w:r w:rsidR="00A41C82">
        <w:rPr>
          <w:lang w:val="en-US"/>
        </w:rPr>
        <w:t>could differentiate between ADHD patients and age-matched TD controls which seems to support the utility of CANTAB in children and adolescent with ADHD in clinical and research settings.</w:t>
      </w:r>
      <w:r w:rsidR="009B4505" w:rsidRPr="009B4505">
        <w:rPr>
          <w:lang w:val="en-US"/>
        </w:rPr>
        <w:t xml:space="preserve"> CANTAB is already in use in many CAPs worldwide. </w:t>
      </w:r>
      <w:r w:rsidR="00A41C82">
        <w:rPr>
          <w:lang w:val="en-US"/>
        </w:rPr>
        <w:t>Diagnostic procedures in CAPs are</w:t>
      </w:r>
      <w:r w:rsidR="009B4505" w:rsidRPr="009B4505">
        <w:rPr>
          <w:lang w:val="en-US"/>
        </w:rPr>
        <w:t xml:space="preserve"> delicate and extensive work. CANTAB could be used as a complement-a piece in the great jigsaw puzzle of child and adolescent psychiatry diagnostics.</w:t>
      </w:r>
    </w:p>
    <w:p w14:paraId="3651FFFF" w14:textId="77777777" w:rsidR="009B4505" w:rsidRPr="009B4505" w:rsidRDefault="009B4505" w:rsidP="009B4505">
      <w:pPr>
        <w:pStyle w:val="Heading1"/>
      </w:pPr>
      <w:bookmarkStart w:id="64" w:name="_Toc492391056"/>
      <w:r w:rsidRPr="009B4505">
        <w:lastRenderedPageBreak/>
        <w:t>Limitations</w:t>
      </w:r>
      <w:bookmarkEnd w:id="64"/>
    </w:p>
    <w:p w14:paraId="02D6A88A" w14:textId="77777777" w:rsidR="009B4505" w:rsidRPr="009B4505" w:rsidRDefault="009B4505" w:rsidP="009B4505">
      <w:pPr>
        <w:pStyle w:val="bodytext"/>
        <w:rPr>
          <w:lang w:val="en-US"/>
        </w:rPr>
      </w:pPr>
      <w:r w:rsidRPr="009B4505">
        <w:rPr>
          <w:lang w:val="en-US"/>
        </w:rPr>
        <w:t>Most of the limitations of this thesis are listed in the papers included in the thesis. Here some of the general limitations are discussed.</w:t>
      </w:r>
    </w:p>
    <w:p w14:paraId="000C73E1" w14:textId="77777777" w:rsidR="009B4505" w:rsidRPr="009B4505" w:rsidRDefault="009B4505" w:rsidP="009B4505">
      <w:pPr>
        <w:pStyle w:val="bodytext"/>
        <w:rPr>
          <w:lang w:val="en-US"/>
        </w:rPr>
      </w:pPr>
      <w:r w:rsidRPr="009B4505">
        <w:rPr>
          <w:lang w:val="en-US"/>
        </w:rPr>
        <w:t xml:space="preserve">One limitation of Papers I, II, and III is the relatively small sample size. In addition to this, in Paper III around 30% of the total number of children participating (ASD and TD) were excluded in the first screening due to low quality ABR. Another limitation is that partly the same set of young females is used in Paper I and Paper II, facilitating possible errors being carried forward. </w:t>
      </w:r>
    </w:p>
    <w:p w14:paraId="78C625A0" w14:textId="77777777" w:rsidR="009B4505" w:rsidRDefault="009B4505" w:rsidP="009B4505">
      <w:pPr>
        <w:pStyle w:val="bodytext"/>
        <w:rPr>
          <w:lang w:val="en-US"/>
        </w:rPr>
      </w:pPr>
      <w:r w:rsidRPr="009B4505">
        <w:rPr>
          <w:lang w:val="en-US"/>
        </w:rPr>
        <w:t>One obvious limitation in the same Papers (I, II, and III) is that no clinical comparisons group was included. The first three studies should be seen as trait-defining studies in preparation for a double-blind follow-up study set up during 2017, trying to verify our results.</w:t>
      </w:r>
    </w:p>
    <w:p w14:paraId="5E676712" w14:textId="77777777" w:rsidR="00A41C82" w:rsidRPr="009B4505" w:rsidRDefault="00A41C82" w:rsidP="00A41C82">
      <w:pPr>
        <w:pStyle w:val="bodytext"/>
        <w:rPr>
          <w:lang w:val="en-US"/>
        </w:rPr>
      </w:pPr>
      <w:r w:rsidRPr="009B4505">
        <w:rPr>
          <w:lang w:val="en-US"/>
        </w:rPr>
        <w:t>When analyzing ABR, we have used a time-dependent technique, but there have been suggestions to add spectra analysis to contribute to further understanding of the ABR, especially analyzing latencies (Bywater, 2014. Studies show that the aging process is essentially a peripheral phenomenon that does not involve the central part of the acoustic pathways (Burkard &amp; Sims, 2001; Konrad-Martin et al., 2012).</w:t>
      </w:r>
    </w:p>
    <w:p w14:paraId="429EBA8C" w14:textId="77777777" w:rsidR="00A41C82" w:rsidRPr="009B4505" w:rsidRDefault="00A41C82" w:rsidP="009B4505">
      <w:pPr>
        <w:pStyle w:val="bodytext"/>
        <w:rPr>
          <w:lang w:val="en-US"/>
        </w:rPr>
      </w:pPr>
    </w:p>
    <w:p w14:paraId="649E6660" w14:textId="16916808" w:rsidR="009B4505" w:rsidRPr="009B4505" w:rsidRDefault="009B4505" w:rsidP="009B4505">
      <w:pPr>
        <w:pStyle w:val="bodytext"/>
        <w:rPr>
          <w:lang w:val="en-US"/>
        </w:rPr>
      </w:pPr>
      <w:r w:rsidRPr="009B4505">
        <w:rPr>
          <w:lang w:val="en-US"/>
        </w:rPr>
        <w:t xml:space="preserve">In </w:t>
      </w:r>
      <w:proofErr w:type="gramStart"/>
      <w:r w:rsidRPr="009B4505">
        <w:rPr>
          <w:lang w:val="en-US"/>
        </w:rPr>
        <w:t>Stu</w:t>
      </w:r>
      <w:r w:rsidR="00020EB3">
        <w:rPr>
          <w:lang w:val="en-US"/>
        </w:rPr>
        <w:t>dy</w:t>
      </w:r>
      <w:proofErr w:type="gramEnd"/>
      <w:r w:rsidR="00020EB3">
        <w:rPr>
          <w:lang w:val="en-US"/>
        </w:rPr>
        <w:t xml:space="preserve"> I and II we did not correct</w:t>
      </w:r>
      <w:r w:rsidRPr="009B4505">
        <w:rPr>
          <w:lang w:val="en-US"/>
        </w:rPr>
        <w:t xml:space="preserve"> for multiple comparisons. A strict application of Bonferroni, using all possible time window positions, would lead to dividing all p-values by 400. This, in turn, leads to only TR6 for females and TR14 for males passing as significant (Table 11). As the traits actually were identified individually, based on previous research and specific areas of interest in the ABR curves, such application of Bonferroni could be argued to be too strict. As the per-trait hypotheses, rather, had a maximum of 70 to 120 possible window starting positions, the per trait Bonferroni correction should be multiplying p-values by these instead of 400 (Table 11). The N for Bonferroni is calculated based on the fact that each Ms consists of 20 data points (the resolution of the ABR). With a time window of 2 Ms starting from 2 Ms to 9 Ms, N in Bonferroni will be will be </w:t>
      </w:r>
      <w:r w:rsidRPr="009B4505">
        <w:rPr>
          <w:lang w:val="en-US"/>
        </w:rPr>
        <w:lastRenderedPageBreak/>
        <w:t xml:space="preserve">20 × 5 = 100. This less strict Bonferroni would lead to TR6, TR14, and TR15 for females and TR5 and TR14 for males to be significant, only disqualifying TR4 males from our original data. </w:t>
      </w:r>
    </w:p>
    <w:p w14:paraId="76BDFCB8" w14:textId="77777777" w:rsidR="00AA5A29" w:rsidRDefault="00AA5A29">
      <w:pPr>
        <w:spacing w:after="160" w:line="259" w:lineRule="auto"/>
        <w:rPr>
          <w:rFonts w:ascii="Arial" w:eastAsia="Times New Roman" w:hAnsi="Arial"/>
          <w:b/>
          <w:noProof/>
          <w:sz w:val="14"/>
          <w:lang w:val="en-US"/>
        </w:rPr>
      </w:pPr>
      <w:r>
        <w:rPr>
          <w:lang w:val="en-US"/>
        </w:rPr>
        <w:br w:type="page"/>
      </w:r>
    </w:p>
    <w:p w14:paraId="7318B120" w14:textId="243740CF" w:rsidR="00AA5A29" w:rsidRDefault="00AA5A29" w:rsidP="00AA5A29">
      <w:pPr>
        <w:pStyle w:val="tabeltextheadline"/>
        <w:rPr>
          <w:lang w:val="en-US"/>
        </w:rPr>
      </w:pPr>
      <w:r w:rsidRPr="009B4505">
        <w:rPr>
          <w:lang w:val="en-US"/>
        </w:rPr>
        <w:lastRenderedPageBreak/>
        <w:t xml:space="preserve">Table 11. </w:t>
      </w:r>
    </w:p>
    <w:p w14:paraId="15500127" w14:textId="77777777" w:rsidR="00AA5A29" w:rsidRPr="009B4505" w:rsidRDefault="00AA5A29" w:rsidP="00AA5A29">
      <w:pPr>
        <w:pStyle w:val="tabeltext"/>
      </w:pPr>
      <w:r w:rsidRPr="009B4505">
        <w:t>TR4, TR5. TR6. TR14 and TR15 and their p-values before and after Bonferroni.</w:t>
      </w:r>
    </w:p>
    <w:tbl>
      <w:tblPr>
        <w:tblStyle w:val="TableGridLight"/>
        <w:tblW w:w="5000" w:type="pct"/>
        <w:tblLayout w:type="fixed"/>
        <w:tblLook w:val="04A0" w:firstRow="1" w:lastRow="0" w:firstColumn="1" w:lastColumn="0" w:noHBand="0" w:noVBand="1"/>
      </w:tblPr>
      <w:tblGrid>
        <w:gridCol w:w="563"/>
        <w:gridCol w:w="850"/>
        <w:gridCol w:w="708"/>
        <w:gridCol w:w="608"/>
        <w:gridCol w:w="890"/>
        <w:gridCol w:w="812"/>
        <w:gridCol w:w="746"/>
        <w:gridCol w:w="1112"/>
        <w:gridCol w:w="1015"/>
      </w:tblGrid>
      <w:tr w:rsidR="00AA5A29" w:rsidRPr="001A246D" w14:paraId="330992B3" w14:textId="77777777" w:rsidTr="00AA5A29">
        <w:trPr>
          <w:trHeight w:val="320"/>
        </w:trPr>
        <w:tc>
          <w:tcPr>
            <w:tcW w:w="385" w:type="pct"/>
            <w:shd w:val="clear" w:color="auto" w:fill="D6D2C4" w:themeFill="accent4"/>
            <w:noWrap/>
            <w:hideMark/>
          </w:tcPr>
          <w:p w14:paraId="3948F7A1" w14:textId="77777777" w:rsidR="00AA5A29" w:rsidRPr="009B4505" w:rsidRDefault="00AA5A29" w:rsidP="00AA5A29">
            <w:pPr>
              <w:pStyle w:val="tabeltextintabel"/>
              <w:rPr>
                <w:b/>
                <w:lang w:eastAsia="en-GB"/>
              </w:rPr>
            </w:pPr>
            <w:r w:rsidRPr="009B4505">
              <w:rPr>
                <w:b/>
              </w:rPr>
              <w:t>Trait</w:t>
            </w:r>
          </w:p>
        </w:tc>
        <w:tc>
          <w:tcPr>
            <w:tcW w:w="582" w:type="pct"/>
            <w:shd w:val="clear" w:color="auto" w:fill="D6D2C4" w:themeFill="accent4"/>
            <w:noWrap/>
            <w:hideMark/>
          </w:tcPr>
          <w:p w14:paraId="3F50B9C0" w14:textId="77777777" w:rsidR="00AA5A29" w:rsidRPr="009B4505" w:rsidRDefault="00AA5A29" w:rsidP="00AA5A29">
            <w:pPr>
              <w:pStyle w:val="tabeltextintabel"/>
              <w:rPr>
                <w:b/>
              </w:rPr>
            </w:pPr>
            <w:r w:rsidRPr="009B4505">
              <w:rPr>
                <w:b/>
              </w:rPr>
              <w:t>Female p-values</w:t>
            </w:r>
          </w:p>
        </w:tc>
        <w:tc>
          <w:tcPr>
            <w:tcW w:w="485" w:type="pct"/>
            <w:shd w:val="clear" w:color="auto" w:fill="D6D2C4" w:themeFill="accent4"/>
            <w:noWrap/>
            <w:hideMark/>
          </w:tcPr>
          <w:p w14:paraId="16F2C18F" w14:textId="77777777" w:rsidR="00AA5A29" w:rsidRPr="009B4505" w:rsidRDefault="00AA5A29" w:rsidP="00AA5A29">
            <w:pPr>
              <w:pStyle w:val="tabeltextintabel"/>
              <w:rPr>
                <w:b/>
              </w:rPr>
            </w:pPr>
            <w:r w:rsidRPr="009B4505">
              <w:rPr>
                <w:b/>
              </w:rPr>
              <w:t>Male p-values</w:t>
            </w:r>
          </w:p>
        </w:tc>
        <w:tc>
          <w:tcPr>
            <w:tcW w:w="416" w:type="pct"/>
            <w:shd w:val="clear" w:color="auto" w:fill="D6D2C4" w:themeFill="accent4"/>
            <w:noWrap/>
            <w:hideMark/>
          </w:tcPr>
          <w:p w14:paraId="79F8575F" w14:textId="77777777" w:rsidR="00AA5A29" w:rsidRPr="009B4505" w:rsidRDefault="00AA5A29" w:rsidP="00AA5A29">
            <w:pPr>
              <w:pStyle w:val="tabeltextintabel"/>
              <w:rPr>
                <w:b/>
              </w:rPr>
            </w:pPr>
            <w:r w:rsidRPr="009B4505">
              <w:rPr>
                <w:b/>
              </w:rPr>
              <w:t xml:space="preserve">Bonferroni (N) </w:t>
            </w:r>
          </w:p>
        </w:tc>
        <w:tc>
          <w:tcPr>
            <w:tcW w:w="609" w:type="pct"/>
            <w:shd w:val="clear" w:color="auto" w:fill="D6D2C4" w:themeFill="accent4"/>
            <w:noWrap/>
            <w:hideMark/>
          </w:tcPr>
          <w:p w14:paraId="473CE234" w14:textId="77777777" w:rsidR="00AA5A29" w:rsidRPr="009B4505" w:rsidRDefault="00AA5A29" w:rsidP="00AA5A29">
            <w:pPr>
              <w:pStyle w:val="tabeltextintabel"/>
              <w:rPr>
                <w:b/>
              </w:rPr>
            </w:pPr>
            <w:r w:rsidRPr="009B4505">
              <w:rPr>
                <w:b/>
              </w:rPr>
              <w:t xml:space="preserve">Female Bonferroni </w:t>
            </w:r>
          </w:p>
        </w:tc>
        <w:tc>
          <w:tcPr>
            <w:tcW w:w="556" w:type="pct"/>
            <w:shd w:val="clear" w:color="auto" w:fill="D6D2C4" w:themeFill="accent4"/>
            <w:noWrap/>
            <w:hideMark/>
          </w:tcPr>
          <w:p w14:paraId="05BEC720" w14:textId="77777777" w:rsidR="00AA5A29" w:rsidRPr="009B4505" w:rsidRDefault="00AA5A29" w:rsidP="00AA5A29">
            <w:pPr>
              <w:pStyle w:val="tabeltextintabel"/>
              <w:rPr>
                <w:b/>
              </w:rPr>
            </w:pPr>
            <w:r w:rsidRPr="009B4505">
              <w:rPr>
                <w:b/>
              </w:rPr>
              <w:t xml:space="preserve">Male Bonferroni </w:t>
            </w:r>
          </w:p>
        </w:tc>
        <w:tc>
          <w:tcPr>
            <w:tcW w:w="511" w:type="pct"/>
            <w:shd w:val="clear" w:color="auto" w:fill="D6D2C4" w:themeFill="accent4"/>
            <w:noWrap/>
            <w:hideMark/>
          </w:tcPr>
          <w:p w14:paraId="02E9CF20" w14:textId="77777777" w:rsidR="00AA5A29" w:rsidRPr="009B4505" w:rsidRDefault="00AA5A29" w:rsidP="00AA5A29">
            <w:pPr>
              <w:pStyle w:val="tabeltextintabel"/>
              <w:rPr>
                <w:b/>
              </w:rPr>
            </w:pPr>
            <w:r w:rsidRPr="009B4505">
              <w:rPr>
                <w:b/>
              </w:rPr>
              <w:t>Bonferroni (N)</w:t>
            </w:r>
          </w:p>
        </w:tc>
        <w:tc>
          <w:tcPr>
            <w:tcW w:w="761" w:type="pct"/>
            <w:shd w:val="clear" w:color="auto" w:fill="D6D2C4" w:themeFill="accent4"/>
            <w:noWrap/>
            <w:hideMark/>
          </w:tcPr>
          <w:p w14:paraId="5EBBB073" w14:textId="77777777" w:rsidR="00AA5A29" w:rsidRPr="009B4505" w:rsidRDefault="00AA5A29" w:rsidP="00AA5A29">
            <w:pPr>
              <w:pStyle w:val="tabeltextintabel"/>
              <w:rPr>
                <w:b/>
              </w:rPr>
            </w:pPr>
            <w:r w:rsidRPr="009B4505">
              <w:rPr>
                <w:b/>
              </w:rPr>
              <w:t xml:space="preserve">Female Bonferroni (400) </w:t>
            </w:r>
          </w:p>
        </w:tc>
        <w:tc>
          <w:tcPr>
            <w:tcW w:w="695" w:type="pct"/>
            <w:shd w:val="clear" w:color="auto" w:fill="D6D2C4" w:themeFill="accent4"/>
            <w:noWrap/>
            <w:hideMark/>
          </w:tcPr>
          <w:p w14:paraId="616D23F7" w14:textId="77777777" w:rsidR="00AA5A29" w:rsidRPr="009B4505" w:rsidRDefault="00AA5A29" w:rsidP="00AA5A29">
            <w:pPr>
              <w:pStyle w:val="tabeltextintabel"/>
              <w:rPr>
                <w:b/>
              </w:rPr>
            </w:pPr>
            <w:r w:rsidRPr="009B4505">
              <w:rPr>
                <w:b/>
              </w:rPr>
              <w:t>Male Bonferroni (400)</w:t>
            </w:r>
          </w:p>
        </w:tc>
      </w:tr>
      <w:tr w:rsidR="00AA5A29" w:rsidRPr="001A246D" w14:paraId="128A8976" w14:textId="77777777" w:rsidTr="00AA5A29">
        <w:trPr>
          <w:trHeight w:val="320"/>
        </w:trPr>
        <w:tc>
          <w:tcPr>
            <w:tcW w:w="385" w:type="pct"/>
            <w:noWrap/>
            <w:hideMark/>
          </w:tcPr>
          <w:p w14:paraId="114D99F2" w14:textId="77777777" w:rsidR="00AA5A29" w:rsidRPr="001A246D" w:rsidRDefault="00AA5A29" w:rsidP="00AA5A29">
            <w:pPr>
              <w:pStyle w:val="tabeltextintabel"/>
            </w:pPr>
            <w:r w:rsidRPr="001A246D">
              <w:t xml:space="preserve">TR4 </w:t>
            </w:r>
          </w:p>
        </w:tc>
        <w:tc>
          <w:tcPr>
            <w:tcW w:w="582" w:type="pct"/>
            <w:noWrap/>
            <w:hideMark/>
          </w:tcPr>
          <w:p w14:paraId="6917A63D" w14:textId="77777777" w:rsidR="00AA5A29" w:rsidRPr="001A246D" w:rsidRDefault="00AA5A29" w:rsidP="00AA5A29">
            <w:pPr>
              <w:pStyle w:val="tabeltextintabel"/>
            </w:pPr>
            <w:r w:rsidRPr="001A246D">
              <w:t>0,084</w:t>
            </w:r>
          </w:p>
        </w:tc>
        <w:tc>
          <w:tcPr>
            <w:tcW w:w="485" w:type="pct"/>
            <w:noWrap/>
            <w:hideMark/>
          </w:tcPr>
          <w:p w14:paraId="4B515D62" w14:textId="77777777" w:rsidR="00AA5A29" w:rsidRPr="00F244F7" w:rsidRDefault="00AA5A29" w:rsidP="00AA5A29">
            <w:pPr>
              <w:pStyle w:val="tabeltextintabel"/>
              <w:rPr>
                <w:color w:val="FF0000"/>
              </w:rPr>
            </w:pPr>
            <w:r w:rsidRPr="00F244F7">
              <w:rPr>
                <w:color w:val="FF0000"/>
              </w:rPr>
              <w:t>0,00105</w:t>
            </w:r>
          </w:p>
        </w:tc>
        <w:tc>
          <w:tcPr>
            <w:tcW w:w="416" w:type="pct"/>
            <w:noWrap/>
            <w:hideMark/>
          </w:tcPr>
          <w:p w14:paraId="0B784FAC" w14:textId="77777777" w:rsidR="00AA5A29" w:rsidRPr="001A246D" w:rsidRDefault="00AA5A29" w:rsidP="00AA5A29">
            <w:pPr>
              <w:pStyle w:val="tabeltextintabel"/>
            </w:pPr>
            <w:r w:rsidRPr="001A246D">
              <w:t>100</w:t>
            </w:r>
          </w:p>
        </w:tc>
        <w:tc>
          <w:tcPr>
            <w:tcW w:w="609" w:type="pct"/>
            <w:noWrap/>
            <w:hideMark/>
          </w:tcPr>
          <w:p w14:paraId="21952F83" w14:textId="77777777" w:rsidR="00AA5A29" w:rsidRPr="001A246D" w:rsidRDefault="00AA5A29" w:rsidP="00AA5A29">
            <w:pPr>
              <w:pStyle w:val="tabeltextintabel"/>
            </w:pPr>
            <w:r w:rsidRPr="001A246D">
              <w:t>8.4</w:t>
            </w:r>
          </w:p>
        </w:tc>
        <w:tc>
          <w:tcPr>
            <w:tcW w:w="556" w:type="pct"/>
            <w:noWrap/>
            <w:hideMark/>
          </w:tcPr>
          <w:p w14:paraId="734C66A4" w14:textId="77777777" w:rsidR="00AA5A29" w:rsidRPr="001A246D" w:rsidRDefault="00AA5A29" w:rsidP="00AA5A29">
            <w:pPr>
              <w:pStyle w:val="tabeltextintabel"/>
            </w:pPr>
            <w:r w:rsidRPr="001A246D">
              <w:t>0,105</w:t>
            </w:r>
          </w:p>
        </w:tc>
        <w:tc>
          <w:tcPr>
            <w:tcW w:w="511" w:type="pct"/>
            <w:noWrap/>
            <w:hideMark/>
          </w:tcPr>
          <w:p w14:paraId="550A884E" w14:textId="77777777" w:rsidR="00AA5A29" w:rsidRPr="001A246D" w:rsidRDefault="00AA5A29" w:rsidP="00AA5A29">
            <w:pPr>
              <w:pStyle w:val="tabeltextintabel"/>
            </w:pPr>
            <w:r w:rsidRPr="001A246D">
              <w:t>400</w:t>
            </w:r>
          </w:p>
        </w:tc>
        <w:tc>
          <w:tcPr>
            <w:tcW w:w="761" w:type="pct"/>
            <w:noWrap/>
            <w:hideMark/>
          </w:tcPr>
          <w:p w14:paraId="101BF361" w14:textId="77777777" w:rsidR="00AA5A29" w:rsidRPr="001A246D" w:rsidRDefault="00AA5A29" w:rsidP="00AA5A29">
            <w:pPr>
              <w:pStyle w:val="tabeltextintabel"/>
            </w:pPr>
            <w:r w:rsidRPr="001A246D">
              <w:t>33.6</w:t>
            </w:r>
          </w:p>
        </w:tc>
        <w:tc>
          <w:tcPr>
            <w:tcW w:w="695" w:type="pct"/>
            <w:noWrap/>
            <w:hideMark/>
          </w:tcPr>
          <w:p w14:paraId="1B5477F4" w14:textId="77777777" w:rsidR="00AA5A29" w:rsidRPr="001A246D" w:rsidRDefault="00AA5A29" w:rsidP="00AA5A29">
            <w:pPr>
              <w:pStyle w:val="tabeltextintabel"/>
            </w:pPr>
            <w:r w:rsidRPr="001A246D">
              <w:t>0.42</w:t>
            </w:r>
          </w:p>
        </w:tc>
      </w:tr>
      <w:tr w:rsidR="00AA5A29" w:rsidRPr="001A246D" w14:paraId="7B9BC2DB" w14:textId="77777777" w:rsidTr="00AA5A29">
        <w:trPr>
          <w:trHeight w:val="320"/>
        </w:trPr>
        <w:tc>
          <w:tcPr>
            <w:tcW w:w="385" w:type="pct"/>
            <w:noWrap/>
            <w:hideMark/>
          </w:tcPr>
          <w:p w14:paraId="67C821B9" w14:textId="77777777" w:rsidR="00AA5A29" w:rsidRPr="001A246D" w:rsidRDefault="00AA5A29" w:rsidP="00AA5A29">
            <w:pPr>
              <w:pStyle w:val="tabeltextintabel"/>
            </w:pPr>
            <w:r w:rsidRPr="001A246D">
              <w:t>TR5</w:t>
            </w:r>
          </w:p>
        </w:tc>
        <w:tc>
          <w:tcPr>
            <w:tcW w:w="582" w:type="pct"/>
            <w:noWrap/>
            <w:hideMark/>
          </w:tcPr>
          <w:p w14:paraId="03C29658" w14:textId="77777777" w:rsidR="00AA5A29" w:rsidRPr="001A246D" w:rsidRDefault="00AA5A29" w:rsidP="00AA5A29">
            <w:pPr>
              <w:pStyle w:val="tabeltextintabel"/>
            </w:pPr>
            <w:r w:rsidRPr="001A246D">
              <w:t>0,321</w:t>
            </w:r>
          </w:p>
        </w:tc>
        <w:tc>
          <w:tcPr>
            <w:tcW w:w="485" w:type="pct"/>
            <w:noWrap/>
            <w:hideMark/>
          </w:tcPr>
          <w:p w14:paraId="5B0E632B" w14:textId="77777777" w:rsidR="00AA5A29" w:rsidRPr="00F244F7" w:rsidRDefault="00AA5A29" w:rsidP="00AA5A29">
            <w:pPr>
              <w:pStyle w:val="tabeltextintabel"/>
              <w:rPr>
                <w:color w:val="FF0000"/>
              </w:rPr>
            </w:pPr>
            <w:r w:rsidRPr="00F244F7">
              <w:rPr>
                <w:color w:val="FF0000"/>
              </w:rPr>
              <w:t>0,00027</w:t>
            </w:r>
          </w:p>
        </w:tc>
        <w:tc>
          <w:tcPr>
            <w:tcW w:w="416" w:type="pct"/>
            <w:noWrap/>
            <w:hideMark/>
          </w:tcPr>
          <w:p w14:paraId="51FF411C" w14:textId="77777777" w:rsidR="00AA5A29" w:rsidRPr="001A246D" w:rsidRDefault="00AA5A29" w:rsidP="00AA5A29">
            <w:pPr>
              <w:pStyle w:val="tabeltextintabel"/>
            </w:pPr>
            <w:r w:rsidRPr="001A246D">
              <w:t>110</w:t>
            </w:r>
          </w:p>
        </w:tc>
        <w:tc>
          <w:tcPr>
            <w:tcW w:w="609" w:type="pct"/>
            <w:noWrap/>
            <w:hideMark/>
          </w:tcPr>
          <w:p w14:paraId="4871BCDE" w14:textId="77777777" w:rsidR="00AA5A29" w:rsidRPr="001A246D" w:rsidRDefault="00AA5A29" w:rsidP="00AA5A29">
            <w:pPr>
              <w:pStyle w:val="tabeltextintabel"/>
            </w:pPr>
            <w:r w:rsidRPr="001A246D">
              <w:t>35.31</w:t>
            </w:r>
          </w:p>
        </w:tc>
        <w:tc>
          <w:tcPr>
            <w:tcW w:w="556" w:type="pct"/>
            <w:noWrap/>
            <w:hideMark/>
          </w:tcPr>
          <w:p w14:paraId="4E67677D" w14:textId="77777777" w:rsidR="00AA5A29" w:rsidRPr="001A246D" w:rsidRDefault="00AA5A29" w:rsidP="00AA5A29">
            <w:pPr>
              <w:pStyle w:val="tabeltextintabel"/>
              <w:rPr>
                <w:color w:val="FF0000"/>
              </w:rPr>
            </w:pPr>
            <w:r w:rsidRPr="001A246D">
              <w:rPr>
                <w:color w:val="FF0000"/>
              </w:rPr>
              <w:t>0,0297</w:t>
            </w:r>
          </w:p>
        </w:tc>
        <w:tc>
          <w:tcPr>
            <w:tcW w:w="511" w:type="pct"/>
            <w:noWrap/>
            <w:hideMark/>
          </w:tcPr>
          <w:p w14:paraId="6FFA1441" w14:textId="77777777" w:rsidR="00AA5A29" w:rsidRPr="001A246D" w:rsidRDefault="00AA5A29" w:rsidP="00AA5A29">
            <w:pPr>
              <w:pStyle w:val="tabeltextintabel"/>
            </w:pPr>
            <w:r w:rsidRPr="001A246D">
              <w:t>400</w:t>
            </w:r>
          </w:p>
        </w:tc>
        <w:tc>
          <w:tcPr>
            <w:tcW w:w="761" w:type="pct"/>
            <w:noWrap/>
            <w:hideMark/>
          </w:tcPr>
          <w:p w14:paraId="67E7E664" w14:textId="77777777" w:rsidR="00AA5A29" w:rsidRPr="001A246D" w:rsidRDefault="00AA5A29" w:rsidP="00AA5A29">
            <w:pPr>
              <w:pStyle w:val="tabeltextintabel"/>
            </w:pPr>
            <w:r w:rsidRPr="001A246D">
              <w:t>128.4</w:t>
            </w:r>
          </w:p>
        </w:tc>
        <w:tc>
          <w:tcPr>
            <w:tcW w:w="695" w:type="pct"/>
            <w:noWrap/>
            <w:hideMark/>
          </w:tcPr>
          <w:p w14:paraId="467E7001" w14:textId="77777777" w:rsidR="00AA5A29" w:rsidRPr="001A246D" w:rsidRDefault="00AA5A29" w:rsidP="00AA5A29">
            <w:pPr>
              <w:pStyle w:val="tabeltextintabel"/>
            </w:pPr>
            <w:r w:rsidRPr="001A246D">
              <w:t>0.108</w:t>
            </w:r>
          </w:p>
        </w:tc>
      </w:tr>
      <w:tr w:rsidR="00AA5A29" w:rsidRPr="001A246D" w14:paraId="387B3846" w14:textId="77777777" w:rsidTr="00AA5A29">
        <w:trPr>
          <w:trHeight w:val="293"/>
        </w:trPr>
        <w:tc>
          <w:tcPr>
            <w:tcW w:w="385" w:type="pct"/>
            <w:noWrap/>
            <w:hideMark/>
          </w:tcPr>
          <w:p w14:paraId="218F4C5D" w14:textId="77777777" w:rsidR="00AA5A29" w:rsidRPr="001A246D" w:rsidRDefault="00AA5A29" w:rsidP="00AA5A29">
            <w:pPr>
              <w:pStyle w:val="tabeltextintabel"/>
            </w:pPr>
            <w:r w:rsidRPr="001A246D">
              <w:t>TR6</w:t>
            </w:r>
          </w:p>
        </w:tc>
        <w:tc>
          <w:tcPr>
            <w:tcW w:w="582" w:type="pct"/>
            <w:noWrap/>
            <w:hideMark/>
          </w:tcPr>
          <w:p w14:paraId="1171488E" w14:textId="77777777" w:rsidR="00AA5A29" w:rsidRPr="00F244F7" w:rsidRDefault="00AA5A29" w:rsidP="00AA5A29">
            <w:pPr>
              <w:pStyle w:val="tabeltextintabel"/>
              <w:rPr>
                <w:color w:val="FF0000"/>
              </w:rPr>
            </w:pPr>
            <w:r w:rsidRPr="00F244F7">
              <w:rPr>
                <w:color w:val="FF0000"/>
              </w:rPr>
              <w:t>0,000064</w:t>
            </w:r>
          </w:p>
        </w:tc>
        <w:tc>
          <w:tcPr>
            <w:tcW w:w="485" w:type="pct"/>
            <w:noWrap/>
            <w:hideMark/>
          </w:tcPr>
          <w:p w14:paraId="41F92EFA" w14:textId="77777777" w:rsidR="00AA5A29" w:rsidRPr="001A246D" w:rsidRDefault="00AA5A29" w:rsidP="00AA5A29">
            <w:pPr>
              <w:pStyle w:val="tabeltextintabel"/>
            </w:pPr>
            <w:r w:rsidRPr="001A246D">
              <w:t>0,208</w:t>
            </w:r>
          </w:p>
        </w:tc>
        <w:tc>
          <w:tcPr>
            <w:tcW w:w="416" w:type="pct"/>
            <w:noWrap/>
            <w:hideMark/>
          </w:tcPr>
          <w:p w14:paraId="0F8BF9ED" w14:textId="77777777" w:rsidR="00AA5A29" w:rsidRPr="001A246D" w:rsidRDefault="00AA5A29" w:rsidP="00AA5A29">
            <w:pPr>
              <w:pStyle w:val="tabeltextintabel"/>
            </w:pPr>
            <w:r w:rsidRPr="001A246D">
              <w:t>120</w:t>
            </w:r>
          </w:p>
        </w:tc>
        <w:tc>
          <w:tcPr>
            <w:tcW w:w="609" w:type="pct"/>
            <w:noWrap/>
            <w:hideMark/>
          </w:tcPr>
          <w:p w14:paraId="07FFA90E" w14:textId="77777777" w:rsidR="00AA5A29" w:rsidRPr="001A246D" w:rsidRDefault="00AA5A29" w:rsidP="00AA5A29">
            <w:pPr>
              <w:pStyle w:val="tabeltextintabel"/>
              <w:rPr>
                <w:color w:val="FF0000"/>
              </w:rPr>
            </w:pPr>
            <w:r w:rsidRPr="001A246D">
              <w:rPr>
                <w:color w:val="FF0000"/>
              </w:rPr>
              <w:t>0,00768</w:t>
            </w:r>
          </w:p>
        </w:tc>
        <w:tc>
          <w:tcPr>
            <w:tcW w:w="556" w:type="pct"/>
            <w:noWrap/>
            <w:hideMark/>
          </w:tcPr>
          <w:p w14:paraId="76053B26" w14:textId="77777777" w:rsidR="00AA5A29" w:rsidRPr="001A246D" w:rsidRDefault="00AA5A29" w:rsidP="00AA5A29">
            <w:pPr>
              <w:pStyle w:val="tabeltextintabel"/>
            </w:pPr>
            <w:r w:rsidRPr="001A246D">
              <w:t>24.96</w:t>
            </w:r>
          </w:p>
        </w:tc>
        <w:tc>
          <w:tcPr>
            <w:tcW w:w="511" w:type="pct"/>
            <w:noWrap/>
            <w:hideMark/>
          </w:tcPr>
          <w:p w14:paraId="41BB226E" w14:textId="77777777" w:rsidR="00AA5A29" w:rsidRPr="001A246D" w:rsidRDefault="00AA5A29" w:rsidP="00AA5A29">
            <w:pPr>
              <w:pStyle w:val="tabeltextintabel"/>
            </w:pPr>
            <w:r w:rsidRPr="001A246D">
              <w:t>400</w:t>
            </w:r>
          </w:p>
        </w:tc>
        <w:tc>
          <w:tcPr>
            <w:tcW w:w="761" w:type="pct"/>
            <w:noWrap/>
            <w:hideMark/>
          </w:tcPr>
          <w:p w14:paraId="4324B917" w14:textId="77777777" w:rsidR="00AA5A29" w:rsidRPr="001A246D" w:rsidRDefault="00AA5A29" w:rsidP="00AA5A29">
            <w:pPr>
              <w:pStyle w:val="tabeltextintabel"/>
              <w:rPr>
                <w:color w:val="FF0000"/>
              </w:rPr>
            </w:pPr>
            <w:r w:rsidRPr="001A246D">
              <w:rPr>
                <w:color w:val="FF0000"/>
              </w:rPr>
              <w:t>0.0256</w:t>
            </w:r>
          </w:p>
        </w:tc>
        <w:tc>
          <w:tcPr>
            <w:tcW w:w="695" w:type="pct"/>
            <w:noWrap/>
            <w:hideMark/>
          </w:tcPr>
          <w:p w14:paraId="72DD8D1B" w14:textId="77777777" w:rsidR="00AA5A29" w:rsidRPr="00F244F7" w:rsidRDefault="00AA5A29" w:rsidP="00AA5A29">
            <w:pPr>
              <w:pStyle w:val="tabeltextintabel"/>
            </w:pPr>
            <w:r w:rsidRPr="00F244F7">
              <w:t>83.2</w:t>
            </w:r>
          </w:p>
        </w:tc>
      </w:tr>
      <w:tr w:rsidR="00AA5A29" w:rsidRPr="001A246D" w14:paraId="3AFC1BD5" w14:textId="77777777" w:rsidTr="00AA5A29">
        <w:trPr>
          <w:trHeight w:val="320"/>
        </w:trPr>
        <w:tc>
          <w:tcPr>
            <w:tcW w:w="385" w:type="pct"/>
            <w:noWrap/>
            <w:hideMark/>
          </w:tcPr>
          <w:p w14:paraId="6A2AABD2" w14:textId="77777777" w:rsidR="00AA5A29" w:rsidRPr="001A246D" w:rsidRDefault="00AA5A29" w:rsidP="00AA5A29">
            <w:pPr>
              <w:pStyle w:val="tabeltextintabel"/>
            </w:pPr>
            <w:r w:rsidRPr="001A246D">
              <w:t xml:space="preserve">TR14 </w:t>
            </w:r>
          </w:p>
        </w:tc>
        <w:tc>
          <w:tcPr>
            <w:tcW w:w="582" w:type="pct"/>
            <w:noWrap/>
            <w:hideMark/>
          </w:tcPr>
          <w:p w14:paraId="020E81B1" w14:textId="77777777" w:rsidR="00AA5A29" w:rsidRPr="00F244F7" w:rsidRDefault="00AA5A29" w:rsidP="00AA5A29">
            <w:pPr>
              <w:pStyle w:val="tabeltextintabel"/>
              <w:rPr>
                <w:color w:val="FF0000"/>
              </w:rPr>
            </w:pPr>
            <w:r w:rsidRPr="00F244F7">
              <w:rPr>
                <w:color w:val="FF0000"/>
              </w:rPr>
              <w:t>0,00059</w:t>
            </w:r>
          </w:p>
        </w:tc>
        <w:tc>
          <w:tcPr>
            <w:tcW w:w="485" w:type="pct"/>
            <w:noWrap/>
            <w:hideMark/>
          </w:tcPr>
          <w:p w14:paraId="01921415" w14:textId="77777777" w:rsidR="00AA5A29" w:rsidRPr="00F244F7" w:rsidRDefault="00AA5A29" w:rsidP="00AA5A29">
            <w:pPr>
              <w:pStyle w:val="tabeltextintabel"/>
              <w:rPr>
                <w:color w:val="FF0000"/>
              </w:rPr>
            </w:pPr>
            <w:r w:rsidRPr="00F244F7">
              <w:rPr>
                <w:color w:val="FF0000"/>
              </w:rPr>
              <w:t>0,00013</w:t>
            </w:r>
          </w:p>
        </w:tc>
        <w:tc>
          <w:tcPr>
            <w:tcW w:w="416" w:type="pct"/>
            <w:noWrap/>
            <w:hideMark/>
          </w:tcPr>
          <w:p w14:paraId="5C19269F" w14:textId="77777777" w:rsidR="00AA5A29" w:rsidRPr="001A246D" w:rsidRDefault="00AA5A29" w:rsidP="00AA5A29">
            <w:pPr>
              <w:pStyle w:val="tabeltextintabel"/>
            </w:pPr>
            <w:r w:rsidRPr="001A246D">
              <w:t>70</w:t>
            </w:r>
          </w:p>
        </w:tc>
        <w:tc>
          <w:tcPr>
            <w:tcW w:w="609" w:type="pct"/>
            <w:noWrap/>
            <w:hideMark/>
          </w:tcPr>
          <w:p w14:paraId="4BEB8D0E" w14:textId="77777777" w:rsidR="00AA5A29" w:rsidRPr="001A246D" w:rsidRDefault="00AA5A29" w:rsidP="00AA5A29">
            <w:pPr>
              <w:pStyle w:val="tabeltextintabel"/>
              <w:rPr>
                <w:color w:val="FF0000"/>
              </w:rPr>
            </w:pPr>
            <w:r w:rsidRPr="001A246D">
              <w:rPr>
                <w:color w:val="FF0000"/>
              </w:rPr>
              <w:t>0,0413</w:t>
            </w:r>
          </w:p>
        </w:tc>
        <w:tc>
          <w:tcPr>
            <w:tcW w:w="556" w:type="pct"/>
            <w:noWrap/>
            <w:hideMark/>
          </w:tcPr>
          <w:p w14:paraId="268F1D04" w14:textId="77777777" w:rsidR="00AA5A29" w:rsidRPr="001A246D" w:rsidRDefault="00AA5A29" w:rsidP="00AA5A29">
            <w:pPr>
              <w:pStyle w:val="tabeltextintabel"/>
              <w:rPr>
                <w:color w:val="FF0000"/>
              </w:rPr>
            </w:pPr>
            <w:r w:rsidRPr="001A246D">
              <w:rPr>
                <w:color w:val="FF0000"/>
              </w:rPr>
              <w:t>0,0091</w:t>
            </w:r>
          </w:p>
        </w:tc>
        <w:tc>
          <w:tcPr>
            <w:tcW w:w="511" w:type="pct"/>
            <w:noWrap/>
            <w:hideMark/>
          </w:tcPr>
          <w:p w14:paraId="5B58EE81" w14:textId="77777777" w:rsidR="00AA5A29" w:rsidRPr="001A246D" w:rsidRDefault="00AA5A29" w:rsidP="00AA5A29">
            <w:pPr>
              <w:pStyle w:val="tabeltextintabel"/>
            </w:pPr>
            <w:r w:rsidRPr="001A246D">
              <w:t>400</w:t>
            </w:r>
          </w:p>
        </w:tc>
        <w:tc>
          <w:tcPr>
            <w:tcW w:w="761" w:type="pct"/>
            <w:noWrap/>
            <w:hideMark/>
          </w:tcPr>
          <w:p w14:paraId="7DC2B2B6" w14:textId="77777777" w:rsidR="00AA5A29" w:rsidRPr="001A246D" w:rsidRDefault="00AA5A29" w:rsidP="00AA5A29">
            <w:pPr>
              <w:pStyle w:val="tabeltextintabel"/>
            </w:pPr>
            <w:r w:rsidRPr="001A246D">
              <w:t>0.236</w:t>
            </w:r>
          </w:p>
        </w:tc>
        <w:tc>
          <w:tcPr>
            <w:tcW w:w="695" w:type="pct"/>
            <w:noWrap/>
            <w:hideMark/>
          </w:tcPr>
          <w:p w14:paraId="314EE6E1" w14:textId="77777777" w:rsidR="00AA5A29" w:rsidRPr="00F244F7" w:rsidRDefault="00AA5A29" w:rsidP="00AA5A29">
            <w:pPr>
              <w:pStyle w:val="tabeltextintabel"/>
              <w:rPr>
                <w:color w:val="FF0000"/>
              </w:rPr>
            </w:pPr>
            <w:r w:rsidRPr="00F244F7">
              <w:rPr>
                <w:color w:val="FF0000"/>
              </w:rPr>
              <w:t>0.052</w:t>
            </w:r>
          </w:p>
        </w:tc>
      </w:tr>
      <w:tr w:rsidR="00AA5A29" w:rsidRPr="001A246D" w14:paraId="0EEE0529" w14:textId="77777777" w:rsidTr="00AA5A29">
        <w:trPr>
          <w:trHeight w:val="217"/>
        </w:trPr>
        <w:tc>
          <w:tcPr>
            <w:tcW w:w="385" w:type="pct"/>
            <w:noWrap/>
            <w:hideMark/>
          </w:tcPr>
          <w:p w14:paraId="74C488E7" w14:textId="77777777" w:rsidR="00AA5A29" w:rsidRPr="001A246D" w:rsidRDefault="00AA5A29" w:rsidP="00AA5A29">
            <w:pPr>
              <w:pStyle w:val="tabeltextintabel"/>
            </w:pPr>
            <w:r w:rsidRPr="001A246D">
              <w:t>TR15</w:t>
            </w:r>
          </w:p>
        </w:tc>
        <w:tc>
          <w:tcPr>
            <w:tcW w:w="582" w:type="pct"/>
            <w:noWrap/>
            <w:hideMark/>
          </w:tcPr>
          <w:p w14:paraId="32C4ED8C" w14:textId="77777777" w:rsidR="00AA5A29" w:rsidRPr="00F244F7" w:rsidRDefault="00AA5A29" w:rsidP="00AA5A29">
            <w:pPr>
              <w:pStyle w:val="tabeltextintabel"/>
              <w:rPr>
                <w:color w:val="FF0000"/>
              </w:rPr>
            </w:pPr>
            <w:r w:rsidRPr="00F244F7">
              <w:rPr>
                <w:color w:val="FF0000"/>
              </w:rPr>
              <w:t>0,00035</w:t>
            </w:r>
          </w:p>
        </w:tc>
        <w:tc>
          <w:tcPr>
            <w:tcW w:w="485" w:type="pct"/>
            <w:noWrap/>
            <w:hideMark/>
          </w:tcPr>
          <w:p w14:paraId="47D9CF6D" w14:textId="77777777" w:rsidR="00AA5A29" w:rsidRPr="001A246D" w:rsidRDefault="00AA5A29" w:rsidP="00AA5A29">
            <w:pPr>
              <w:pStyle w:val="tabeltextintabel"/>
            </w:pPr>
            <w:r w:rsidRPr="001A246D">
              <w:t>0,518</w:t>
            </w:r>
          </w:p>
        </w:tc>
        <w:tc>
          <w:tcPr>
            <w:tcW w:w="416" w:type="pct"/>
            <w:noWrap/>
            <w:hideMark/>
          </w:tcPr>
          <w:p w14:paraId="09F771F3" w14:textId="77777777" w:rsidR="00AA5A29" w:rsidRPr="001A246D" w:rsidRDefault="00AA5A29" w:rsidP="00AA5A29">
            <w:pPr>
              <w:pStyle w:val="tabeltextintabel"/>
            </w:pPr>
            <w:r w:rsidRPr="001A246D">
              <w:t>120</w:t>
            </w:r>
          </w:p>
        </w:tc>
        <w:tc>
          <w:tcPr>
            <w:tcW w:w="609" w:type="pct"/>
            <w:noWrap/>
            <w:hideMark/>
          </w:tcPr>
          <w:p w14:paraId="74DB3996" w14:textId="77777777" w:rsidR="00AA5A29" w:rsidRPr="001A246D" w:rsidRDefault="00AA5A29" w:rsidP="00AA5A29">
            <w:pPr>
              <w:pStyle w:val="tabeltextintabel"/>
              <w:rPr>
                <w:color w:val="FF0000"/>
              </w:rPr>
            </w:pPr>
            <w:r w:rsidRPr="001A246D">
              <w:rPr>
                <w:color w:val="FF0000"/>
              </w:rPr>
              <w:t>0,042</w:t>
            </w:r>
          </w:p>
        </w:tc>
        <w:tc>
          <w:tcPr>
            <w:tcW w:w="556" w:type="pct"/>
            <w:noWrap/>
            <w:hideMark/>
          </w:tcPr>
          <w:p w14:paraId="193D262E" w14:textId="77777777" w:rsidR="00AA5A29" w:rsidRPr="001A246D" w:rsidRDefault="00AA5A29" w:rsidP="00AA5A29">
            <w:pPr>
              <w:pStyle w:val="tabeltextintabel"/>
            </w:pPr>
            <w:r w:rsidRPr="001A246D">
              <w:t>62.16</w:t>
            </w:r>
          </w:p>
        </w:tc>
        <w:tc>
          <w:tcPr>
            <w:tcW w:w="511" w:type="pct"/>
            <w:noWrap/>
            <w:hideMark/>
          </w:tcPr>
          <w:p w14:paraId="59EE81C2" w14:textId="77777777" w:rsidR="00AA5A29" w:rsidRPr="001A246D" w:rsidRDefault="00AA5A29" w:rsidP="00AA5A29">
            <w:pPr>
              <w:pStyle w:val="tabeltextintabel"/>
            </w:pPr>
            <w:r w:rsidRPr="001A246D">
              <w:t>400</w:t>
            </w:r>
          </w:p>
        </w:tc>
        <w:tc>
          <w:tcPr>
            <w:tcW w:w="761" w:type="pct"/>
            <w:noWrap/>
            <w:hideMark/>
          </w:tcPr>
          <w:p w14:paraId="2DF4E185" w14:textId="77777777" w:rsidR="00AA5A29" w:rsidRPr="001A246D" w:rsidRDefault="00AA5A29" w:rsidP="00AA5A29">
            <w:pPr>
              <w:pStyle w:val="tabeltextintabel"/>
            </w:pPr>
            <w:r w:rsidRPr="001A246D">
              <w:t>0.14</w:t>
            </w:r>
          </w:p>
        </w:tc>
        <w:tc>
          <w:tcPr>
            <w:tcW w:w="695" w:type="pct"/>
            <w:noWrap/>
            <w:hideMark/>
          </w:tcPr>
          <w:p w14:paraId="267C7054" w14:textId="77777777" w:rsidR="00AA5A29" w:rsidRPr="001A246D" w:rsidRDefault="00AA5A29" w:rsidP="00AA5A29">
            <w:pPr>
              <w:pStyle w:val="tabeltextintabel"/>
            </w:pPr>
            <w:r w:rsidRPr="001A246D">
              <w:t>207.2</w:t>
            </w:r>
          </w:p>
        </w:tc>
      </w:tr>
    </w:tbl>
    <w:p w14:paraId="71950F88" w14:textId="77777777" w:rsidR="00AA5A29" w:rsidRDefault="00AA5A29" w:rsidP="009B4505">
      <w:pPr>
        <w:pStyle w:val="bodytext"/>
        <w:rPr>
          <w:lang w:val="en-US"/>
        </w:rPr>
      </w:pPr>
    </w:p>
    <w:p w14:paraId="70596F94" w14:textId="6350B413" w:rsidR="009B4505" w:rsidRPr="009B4505" w:rsidRDefault="009B4505" w:rsidP="009B4505">
      <w:pPr>
        <w:pStyle w:val="bodytext"/>
        <w:rPr>
          <w:lang w:val="en-US"/>
        </w:rPr>
      </w:pPr>
      <w:r w:rsidRPr="009B4505">
        <w:rPr>
          <w:lang w:val="en-US"/>
        </w:rPr>
        <w:t xml:space="preserve">Another limitation is that only participants in one of our study-groups; the ASD-group in Study III were IQ-tested. In all the other </w:t>
      </w:r>
      <w:proofErr w:type="gramStart"/>
      <w:r w:rsidRPr="009B4505">
        <w:rPr>
          <w:lang w:val="en-US"/>
        </w:rPr>
        <w:t>studies</w:t>
      </w:r>
      <w:proofErr w:type="gramEnd"/>
      <w:r w:rsidRPr="009B4505">
        <w:rPr>
          <w:lang w:val="en-US"/>
        </w:rPr>
        <w:t xml:space="preserve"> there was no know</w:t>
      </w:r>
      <w:r w:rsidR="00020EB3">
        <w:rPr>
          <w:lang w:val="en-US"/>
        </w:rPr>
        <w:t>n</w:t>
      </w:r>
      <w:r w:rsidRPr="009B4505">
        <w:rPr>
          <w:lang w:val="en-US"/>
        </w:rPr>
        <w:t xml:space="preserve"> intellectual disability but of the children were </w:t>
      </w:r>
      <w:r w:rsidR="00A41C82">
        <w:rPr>
          <w:lang w:val="en-US"/>
        </w:rPr>
        <w:t xml:space="preserve">not </w:t>
      </w:r>
      <w:r w:rsidRPr="009B4505">
        <w:rPr>
          <w:lang w:val="en-US"/>
        </w:rPr>
        <w:t>IQ-tested.</w:t>
      </w:r>
    </w:p>
    <w:p w14:paraId="321A7DE6" w14:textId="4DC4407F" w:rsidR="009B4505" w:rsidRPr="009B4505" w:rsidRDefault="009B4505" w:rsidP="009B4505">
      <w:pPr>
        <w:pStyle w:val="bodytext"/>
        <w:rPr>
          <w:lang w:val="en-US"/>
        </w:rPr>
      </w:pPr>
      <w:r w:rsidRPr="009B4505">
        <w:rPr>
          <w:lang w:val="en-US"/>
        </w:rPr>
        <w:t xml:space="preserve">In Paper IV we have a larger sample size, but a limitation is the age span. Participant were 7–17 years of age, and drawing conclusions on developmental trajectories on this age group can be problematic due to the known fact that the brain matures up to the age of 25 years (Arain et al., 2013). Another important limitation is that we have no IQ values for neither of the groups. There are studies showing that testing executive functions is not valuable if not IQ is also taken into consideration (Salthouse, 2005). However, there are </w:t>
      </w:r>
      <w:r w:rsidR="00A41C82">
        <w:rPr>
          <w:lang w:val="en-US"/>
        </w:rPr>
        <w:t xml:space="preserve">conflicting </w:t>
      </w:r>
      <w:r w:rsidRPr="009B4505">
        <w:rPr>
          <w:lang w:val="en-US"/>
        </w:rPr>
        <w:t>s</w:t>
      </w:r>
      <w:r w:rsidR="00A41C82">
        <w:rPr>
          <w:lang w:val="en-US"/>
        </w:rPr>
        <w:t>tudies showing that tested IQ was</w:t>
      </w:r>
      <w:r w:rsidRPr="009B4505">
        <w:rPr>
          <w:lang w:val="en-US"/>
        </w:rPr>
        <w:t xml:space="preserve"> not correlated to tested executive functions (Ardila, 2000; Dennis et al., 2009). Could the parallel developmental trajectories described in this study be a result of a possible lower IQ in the ADHD group? </w:t>
      </w:r>
    </w:p>
    <w:p w14:paraId="68743078" w14:textId="77777777" w:rsidR="00AA5A29" w:rsidRDefault="00AA5A29">
      <w:pPr>
        <w:spacing w:after="160" w:line="259" w:lineRule="auto"/>
        <w:rPr>
          <w:rFonts w:eastAsia="Times New Roman"/>
          <w:sz w:val="22"/>
          <w:lang w:val="en-US"/>
        </w:rPr>
      </w:pPr>
      <w:r>
        <w:rPr>
          <w:lang w:val="en-US"/>
        </w:rPr>
        <w:br w:type="page"/>
      </w:r>
    </w:p>
    <w:p w14:paraId="2A9613DF" w14:textId="432B1FEA" w:rsidR="00AA5A29" w:rsidRPr="00AA5A29" w:rsidRDefault="00AA5A29" w:rsidP="00AA5A29">
      <w:pPr>
        <w:pStyle w:val="Heading1"/>
      </w:pPr>
      <w:bookmarkStart w:id="65" w:name="_Toc492391057"/>
      <w:r w:rsidRPr="00AA5A29">
        <w:lastRenderedPageBreak/>
        <w:t>Future</w:t>
      </w:r>
      <w:bookmarkEnd w:id="65"/>
      <w:r w:rsidRPr="00AA5A29">
        <w:t xml:space="preserve"> </w:t>
      </w:r>
    </w:p>
    <w:p w14:paraId="5A8526D4" w14:textId="77777777" w:rsidR="00AA5A29" w:rsidRPr="00AA5A29" w:rsidRDefault="00AA5A29" w:rsidP="00AA5A29">
      <w:pPr>
        <w:pStyle w:val="Heading4"/>
        <w:rPr>
          <w:lang w:val="en-US"/>
        </w:rPr>
      </w:pPr>
      <w:r w:rsidRPr="00AA5A29">
        <w:rPr>
          <w:lang w:val="en-US"/>
        </w:rPr>
        <w:t>ABR</w:t>
      </w:r>
    </w:p>
    <w:p w14:paraId="24BE6946" w14:textId="2FB8D581" w:rsidR="00AA5A29" w:rsidRPr="00AA5A29" w:rsidRDefault="00020EB3" w:rsidP="00AA5A29">
      <w:pPr>
        <w:pStyle w:val="bodytext"/>
        <w:rPr>
          <w:lang w:val="en-US"/>
        </w:rPr>
      </w:pPr>
      <w:r>
        <w:rPr>
          <w:lang w:val="en-US"/>
        </w:rPr>
        <w:t xml:space="preserve">ABR in psychiatric settings is </w:t>
      </w:r>
      <w:r w:rsidR="00AA5A29" w:rsidRPr="00AA5A29">
        <w:rPr>
          <w:lang w:val="en-US"/>
        </w:rPr>
        <w:t>a quite new technique, and the findings presented in this thesis are based on group differences and cannot at this time be applied to clinical</w:t>
      </w:r>
      <w:r w:rsidR="00AA5A29">
        <w:rPr>
          <w:lang w:val="en-US"/>
        </w:rPr>
        <w:t xml:space="preserve"> use with individual patients. </w:t>
      </w:r>
      <w:r w:rsidR="00AA5A29" w:rsidRPr="00AA5A29">
        <w:rPr>
          <w:lang w:val="en-US"/>
        </w:rPr>
        <w:t>Future research of interest woul</w:t>
      </w:r>
      <w:r w:rsidR="00A41C82">
        <w:rPr>
          <w:lang w:val="en-US"/>
        </w:rPr>
        <w:t>d be to see if the results are</w:t>
      </w:r>
      <w:r w:rsidR="00AA5A29" w:rsidRPr="00AA5A29">
        <w:rPr>
          <w:lang w:val="en-US"/>
        </w:rPr>
        <w:t xml:space="preserve"> replicable. </w:t>
      </w:r>
      <w:r>
        <w:rPr>
          <w:lang w:val="en-US"/>
        </w:rPr>
        <w:t>Further it would be of great interest</w:t>
      </w:r>
      <w:r w:rsidR="00AA5A29" w:rsidRPr="00AA5A29">
        <w:rPr>
          <w:lang w:val="en-US"/>
        </w:rPr>
        <w:t xml:space="preserve"> to investigate whether ADHD medication would decrease the ABR differences between the group of children with ADHD and </w:t>
      </w:r>
      <w:r w:rsidR="00A41C82">
        <w:rPr>
          <w:lang w:val="en-US"/>
        </w:rPr>
        <w:t>TD</w:t>
      </w:r>
      <w:r w:rsidR="00AA5A29" w:rsidRPr="00AA5A29">
        <w:rPr>
          <w:lang w:val="en-US"/>
        </w:rPr>
        <w:t xml:space="preserve"> controls, or to see whether it is possible to predict choice of medical treatment after looking at the patient’s ABR. Another focus of inte</w:t>
      </w:r>
      <w:r>
        <w:rPr>
          <w:lang w:val="en-US"/>
        </w:rPr>
        <w:t>rest would be to see whether different ABR</w:t>
      </w:r>
      <w:r w:rsidR="00AA5A29" w:rsidRPr="00AA5A29">
        <w:rPr>
          <w:lang w:val="en-US"/>
        </w:rPr>
        <w:t xml:space="preserve"> traits can be tied to actual ADHD symptoms. That is, do ADHD patients with a deviant ABR response in TR6, corresponding anatomically to the cochlear nucleus, have more problems in the area of sound detection? </w:t>
      </w:r>
    </w:p>
    <w:p w14:paraId="00492631" w14:textId="59C4D7A0" w:rsidR="00AA5A29" w:rsidRPr="00AA5A29" w:rsidRDefault="00AA5A29" w:rsidP="00AA5A29">
      <w:pPr>
        <w:pStyle w:val="bodytext"/>
        <w:rPr>
          <w:lang w:val="en-US"/>
        </w:rPr>
      </w:pPr>
      <w:r w:rsidRPr="00AA5A29">
        <w:rPr>
          <w:lang w:val="en-US"/>
        </w:rPr>
        <w:t>Regarding ABR and ASD, oversensitivity in ASD patients is a challenge when using ABR. In Paper III we had an approximate exclusion rate of 30% in all groups, due to tensions and movement during testing. Quite a few ASD patients complained about the sound level and about having sensors attached to their foreheads during testing. To avoid such difficulties in the future and hence reduce exclusion rates, it is important to develop test procedures more suitable for individuals with sensory processing difficulties. Future research should also involve measures of different autistic features and symptom severity to explore possible relations to altered ABR in different areas of the brain.</w:t>
      </w:r>
      <w:r>
        <w:rPr>
          <w:lang w:val="en-US"/>
        </w:rPr>
        <w:t xml:space="preserve"> </w:t>
      </w:r>
      <w:r w:rsidRPr="00AA5A29">
        <w:rPr>
          <w:lang w:val="en-US"/>
        </w:rPr>
        <w:t xml:space="preserve">There is a need for further studies on ABR with child and adolescent control subjects with other psychiatric diagnoses to further substantiate our findings. </w:t>
      </w:r>
    </w:p>
    <w:p w14:paraId="114ACA72" w14:textId="77777777" w:rsidR="00AA5A29" w:rsidRPr="00AA5A29" w:rsidRDefault="00AA5A29" w:rsidP="00AA5A29">
      <w:pPr>
        <w:pStyle w:val="bodytext"/>
        <w:rPr>
          <w:lang w:val="en-US"/>
        </w:rPr>
      </w:pPr>
      <w:r w:rsidRPr="00AA5A29">
        <w:rPr>
          <w:lang w:val="en-US"/>
        </w:rPr>
        <w:t xml:space="preserve">We have initiated a double-blind study at the CAP in Eslöv, with the aim to investigate whether ABR could be used to distinguish patients with different diagnoses. My findings in studies I, II, and III have led us to a power analysis based on the two ABR aberrancies named DV1 and DV2 in ASD and TR14 and TR6 in ADHD. This has revealed that we need 27 young females and 35 young males with ADHD, 11 young females and 23 young males with ASD DV1, and 19 young males with ASD DV2 to give us </w:t>
      </w:r>
      <w:r w:rsidRPr="00AA5A29">
        <w:rPr>
          <w:lang w:val="en-US"/>
        </w:rPr>
        <w:lastRenderedPageBreak/>
        <w:t>an 80% power (p &lt; 0.05). According to the diagnostic frequency of ADHD and ASD, we will need approximately 150 patients.</w:t>
      </w:r>
    </w:p>
    <w:p w14:paraId="60133956" w14:textId="77777777" w:rsidR="00AA5A29" w:rsidRDefault="00AA5A29">
      <w:pPr>
        <w:spacing w:after="160" w:line="259" w:lineRule="auto"/>
        <w:rPr>
          <w:rFonts w:eastAsia="Times New Roman"/>
          <w:bCs/>
          <w:i/>
          <w:sz w:val="22"/>
          <w:szCs w:val="28"/>
          <w:lang w:val="en-US"/>
        </w:rPr>
      </w:pPr>
      <w:r>
        <w:rPr>
          <w:lang w:val="en-US"/>
        </w:rPr>
        <w:br w:type="page"/>
      </w:r>
    </w:p>
    <w:p w14:paraId="7D452412" w14:textId="1009B937" w:rsidR="00AA5A29" w:rsidRPr="00AA5A29" w:rsidRDefault="00AA5A29" w:rsidP="00AA5A29">
      <w:pPr>
        <w:pStyle w:val="Heading4"/>
        <w:rPr>
          <w:lang w:val="en-US"/>
        </w:rPr>
      </w:pPr>
      <w:r w:rsidRPr="00AA5A29">
        <w:rPr>
          <w:lang w:val="en-US"/>
        </w:rPr>
        <w:lastRenderedPageBreak/>
        <w:t>CANTAB</w:t>
      </w:r>
    </w:p>
    <w:p w14:paraId="6085B8A2" w14:textId="42EB2496" w:rsidR="00AA5A29" w:rsidRPr="00AA5A29" w:rsidRDefault="00AA5A29" w:rsidP="00AA5A29">
      <w:pPr>
        <w:pStyle w:val="bodytext"/>
        <w:rPr>
          <w:lang w:val="en-US"/>
        </w:rPr>
      </w:pPr>
      <w:r w:rsidRPr="00AA5A29">
        <w:rPr>
          <w:lang w:val="en-US"/>
        </w:rPr>
        <w:t>CANTAB is already a widely used test instrument in both research and clinical practice. The demand for ea</w:t>
      </w:r>
      <w:r w:rsidR="00E21318">
        <w:rPr>
          <w:lang w:val="en-US"/>
        </w:rPr>
        <w:t>sily administered</w:t>
      </w:r>
      <w:r w:rsidRPr="00AA5A29">
        <w:rPr>
          <w:lang w:val="en-US"/>
        </w:rPr>
        <w:t xml:space="preserve"> and accurate neuropsychological tests is rising, and CANTAB can play a role here. Our study proves that the four (SWM, IED, SRT, SST) of the five CANTAB tests we looked at are all </w:t>
      </w:r>
      <w:r w:rsidR="00E21318">
        <w:rPr>
          <w:lang w:val="en-US"/>
        </w:rPr>
        <w:t xml:space="preserve">valid in </w:t>
      </w:r>
      <w:r w:rsidRPr="00AA5A29">
        <w:rPr>
          <w:lang w:val="en-US"/>
        </w:rPr>
        <w:t xml:space="preserve">differentiating between an ADHD population and a control population. </w:t>
      </w:r>
    </w:p>
    <w:p w14:paraId="05091910" w14:textId="77777777" w:rsidR="00AA5A29" w:rsidRPr="00AA5A29" w:rsidRDefault="00AA5A29" w:rsidP="00AA5A29">
      <w:pPr>
        <w:pStyle w:val="Heading4"/>
        <w:rPr>
          <w:lang w:val="en-US"/>
        </w:rPr>
      </w:pPr>
      <w:r w:rsidRPr="00AA5A29">
        <w:rPr>
          <w:lang w:val="en-US"/>
        </w:rPr>
        <w:t>Bayesian network</w:t>
      </w:r>
    </w:p>
    <w:p w14:paraId="65789ABF" w14:textId="0CA867DE" w:rsidR="00AA5A29" w:rsidRDefault="00AA5A29" w:rsidP="00AA5A29">
      <w:pPr>
        <w:pStyle w:val="bodytext"/>
        <w:rPr>
          <w:lang w:val="en-US"/>
        </w:rPr>
      </w:pPr>
      <w:r w:rsidRPr="00AA5A29">
        <w:rPr>
          <w:lang w:val="en-US"/>
        </w:rPr>
        <w:t>A Bayesian network is a probabilistic graphical model that represents a set of variables and their conditional dependencies. For example, a Bayesian network could represent the probabilistic relationships between diseases and symptoms. Given symptoms, the network can be used to compute the probabilities of the presence of various diseases. One could describe a Bayesian network as a statistical graphical model that represents probabilistic conditional relationships between different variables. The Bayesian network structure consists of nodes and edges between nodes that indicate probabilistic conditional dependency. When the joint probability of the nodes is maximized, the Bayesian network describes the data best. As joint probability varies depending on the direction of edges, causes and results may be inferred between the node of interest and directing nodes. Bayesian networks are used to show interdependencies of different parameters of a database of interest. The Bayesian network takes in all variable dependencies at the same time, rather than calculating on the variables in pairs. Bayesian networks have been extensively used in biomedical research (Chavalarias et al., 2016; Lucas et al., 2004), psychology (Field, 2016; Gopnik &amp; Tenenbaum, 2007), and oncology (Montazerhodjat et al., 2017). They are useful tools in medicine to visualize how different symptoms are related to each other (De la Fuente, 2011). We want to look at the probabilistic relation</w:t>
      </w:r>
      <w:r w:rsidR="00E521D0">
        <w:rPr>
          <w:lang w:val="en-US"/>
        </w:rPr>
        <w:t xml:space="preserve">ships between ABR and/or CANTAB and/or 5-15 </w:t>
      </w:r>
      <w:r w:rsidRPr="00AA5A29">
        <w:rPr>
          <w:lang w:val="en-US"/>
        </w:rPr>
        <w:t>in ADHD. The variables we will use are the results of the series of tests mentioned above: ABR (TR5, TR6, TR14, and TR15), CANTAB tests (SOC, IED, SWM, SRT, and S</w:t>
      </w:r>
      <w:r w:rsidR="00E521D0">
        <w:rPr>
          <w:lang w:val="en-US"/>
        </w:rPr>
        <w:t>ST), and the questionnaire 5–15</w:t>
      </w:r>
      <w:r w:rsidRPr="00AA5A29">
        <w:rPr>
          <w:lang w:val="en-US"/>
        </w:rPr>
        <w:t>. The aim of the study is to evaluate a Bayesian network in comparison with normal clinical neuropsychiatric assessment based on neurodevelopmental testing and a clinical history. Results will be published in 2017.</w:t>
      </w:r>
    </w:p>
    <w:p w14:paraId="4ED9890B" w14:textId="77777777" w:rsidR="00AA5A29" w:rsidRDefault="00AA5A29">
      <w:pPr>
        <w:spacing w:after="160" w:line="259" w:lineRule="auto"/>
        <w:rPr>
          <w:rFonts w:eastAsia="Times New Roman"/>
          <w:sz w:val="22"/>
          <w:lang w:val="en-US"/>
        </w:rPr>
      </w:pPr>
      <w:r>
        <w:rPr>
          <w:lang w:val="en-US"/>
        </w:rPr>
        <w:br w:type="page"/>
      </w:r>
    </w:p>
    <w:p w14:paraId="0A6B48F6" w14:textId="3290FB9B" w:rsidR="00AA5A29" w:rsidRPr="00AA5A29" w:rsidRDefault="00AA5A29" w:rsidP="00AA5A29">
      <w:pPr>
        <w:pStyle w:val="Heading1"/>
      </w:pPr>
      <w:bookmarkStart w:id="66" w:name="_Toc492391058"/>
      <w:r w:rsidRPr="00AA5A29">
        <w:lastRenderedPageBreak/>
        <w:t>Acknowledgment</w:t>
      </w:r>
      <w:bookmarkEnd w:id="66"/>
      <w:r w:rsidR="00DA337C">
        <w:t>s</w:t>
      </w:r>
    </w:p>
    <w:p w14:paraId="70AA56E2" w14:textId="71E69439" w:rsidR="00AA5A29" w:rsidRPr="00AA5A29" w:rsidRDefault="00AA5A29" w:rsidP="00AA5A29">
      <w:pPr>
        <w:pStyle w:val="bodytext"/>
      </w:pPr>
      <w:r w:rsidRPr="00AA5A29">
        <w:t>Magnus “the God</w:t>
      </w:r>
      <w:r w:rsidR="00DA337C">
        <w:t xml:space="preserve">father” Lindvall, my supervisor. Thank you </w:t>
      </w:r>
      <w:r w:rsidRPr="00AA5A29">
        <w:t>for all your support. Thank you for everything you have taught me about research and for trying to slow things down a bit. Thank you for all the good laughs and all the wonderful texts and emails back a</w:t>
      </w:r>
      <w:r w:rsidR="00DA337C">
        <w:t>nd forth during these 5.5 years.</w:t>
      </w:r>
      <w:r>
        <w:t xml:space="preserve"> </w:t>
      </w:r>
      <w:r w:rsidR="009E4520" w:rsidRPr="00AA5A29">
        <w:t xml:space="preserve">Thank you for encouraging me to </w:t>
      </w:r>
      <w:r w:rsidR="009E4520">
        <w:t xml:space="preserve">dig into the world of research. </w:t>
      </w:r>
      <w:r w:rsidRPr="00AA5A29">
        <w:t>Yours truly</w:t>
      </w:r>
      <w:r w:rsidR="00DA337C">
        <w:t>,</w:t>
      </w:r>
      <w:r w:rsidRPr="00AA5A29">
        <w:t xml:space="preserve"> “Turbo”</w:t>
      </w:r>
    </w:p>
    <w:p w14:paraId="76A716D8" w14:textId="69B26291" w:rsidR="00AA5A29" w:rsidRPr="00AA5A29" w:rsidRDefault="00AA5A29" w:rsidP="00AA5A29">
      <w:pPr>
        <w:pStyle w:val="bodytext"/>
      </w:pPr>
      <w:r w:rsidRPr="00AA5A29">
        <w:t>Maria Råstam</w:t>
      </w:r>
      <w:r w:rsidR="00DA337C">
        <w:t>,</w:t>
      </w:r>
      <w:r w:rsidRPr="00AA5A29">
        <w:t xml:space="preserve"> my co-supervisor</w:t>
      </w:r>
      <w:r w:rsidR="00DA337C">
        <w:t>. Thank you</w:t>
      </w:r>
      <w:r w:rsidRPr="00AA5A29">
        <w:t xml:space="preserve"> for all your </w:t>
      </w:r>
      <w:r w:rsidR="00B63D63">
        <w:t xml:space="preserve">invaluable </w:t>
      </w:r>
      <w:r w:rsidRPr="00AA5A29">
        <w:t xml:space="preserve">help and support during this process. Thank you for outstanding knowledge in the field of </w:t>
      </w:r>
      <w:r w:rsidR="00B63D63">
        <w:t>Child Psychiatry and NDD in particular</w:t>
      </w:r>
      <w:r w:rsidRPr="00AA5A29">
        <w:t>.</w:t>
      </w:r>
      <w:r w:rsidR="00B63D63">
        <w:t xml:space="preserve"> </w:t>
      </w:r>
      <w:r w:rsidRPr="00AA5A29">
        <w:t xml:space="preserve">Thank you for all interesting </w:t>
      </w:r>
      <w:r w:rsidR="00B63D63">
        <w:t xml:space="preserve">research </w:t>
      </w:r>
      <w:r w:rsidRPr="00AA5A29">
        <w:t>input and for strengthening feminist discussions. You are an amazing role model in so many ways.</w:t>
      </w:r>
      <w:r w:rsidR="00247E05">
        <w:t xml:space="preserve"> Thank you also for the best quote ever “If you want a speech ask a man</w:t>
      </w:r>
      <w:r w:rsidR="00B63D63">
        <w:t>,</w:t>
      </w:r>
      <w:r w:rsidR="00247E05">
        <w:t xml:space="preserve"> if you want something done ask a woman” </w:t>
      </w:r>
    </w:p>
    <w:p w14:paraId="23A55403" w14:textId="11E2F45B" w:rsidR="00AA5A29" w:rsidRPr="00AA5A29" w:rsidRDefault="00AA5A29" w:rsidP="00AA5A29">
      <w:pPr>
        <w:pStyle w:val="bodytext"/>
      </w:pPr>
      <w:r w:rsidRPr="00AA5A29">
        <w:t>Sofia Åkerlund, my co</w:t>
      </w:r>
      <w:r w:rsidR="00DA337C">
        <w:t>-</w:t>
      </w:r>
      <w:r w:rsidRPr="00AA5A29">
        <w:t>writer. Thank you for a</w:t>
      </w:r>
      <w:bookmarkStart w:id="67" w:name="_GoBack"/>
      <w:bookmarkEnd w:id="67"/>
      <w:r w:rsidRPr="00AA5A29">
        <w:t xml:space="preserve"> great cooperation. Thank you for all your </w:t>
      </w:r>
      <w:r w:rsidR="00DA337C">
        <w:t>inestimable</w:t>
      </w:r>
      <w:r w:rsidRPr="00AA5A29">
        <w:t xml:space="preserve"> knowledge in the field of ASD. Thank you for a great co-writing process especially in p</w:t>
      </w:r>
      <w:r w:rsidR="00DA337C">
        <w:t>aper III. I</w:t>
      </w:r>
      <w:r w:rsidRPr="00AA5A29">
        <w:t>t would not have happened without you.</w:t>
      </w:r>
    </w:p>
    <w:p w14:paraId="1BF5B31E" w14:textId="01730F74" w:rsidR="00AA5A29" w:rsidRPr="00AA5A29" w:rsidRDefault="00AA5A29" w:rsidP="00AA5A29">
      <w:pPr>
        <w:pStyle w:val="bodytext"/>
      </w:pPr>
      <w:r w:rsidRPr="00AA5A29">
        <w:t xml:space="preserve">Matti Cervin, my co-writer. Thank you for all your excellent scientific input and for being such a visionary. Thank you for a great co-writing process. </w:t>
      </w:r>
      <w:r w:rsidR="00247E05">
        <w:t xml:space="preserve">Thank you </w:t>
      </w:r>
      <w:r w:rsidR="00DA337C">
        <w:t>for all your hours of proofread</w:t>
      </w:r>
      <w:r w:rsidR="00247E05">
        <w:t>ing.</w:t>
      </w:r>
    </w:p>
    <w:p w14:paraId="67520174" w14:textId="346E71FE" w:rsidR="00AA5A29" w:rsidRPr="00AA5A29" w:rsidRDefault="00AA5A29" w:rsidP="00AA5A29">
      <w:pPr>
        <w:pStyle w:val="bodytext"/>
      </w:pPr>
      <w:r w:rsidRPr="00AA5A29">
        <w:t xml:space="preserve">Viveca Caspersen-Viklund. Thank you for all </w:t>
      </w:r>
      <w:r w:rsidR="00DA337C">
        <w:t>outstanding</w:t>
      </w:r>
      <w:r w:rsidRPr="00AA5A29">
        <w:t xml:space="preserve"> administrative support. </w:t>
      </w:r>
    </w:p>
    <w:p w14:paraId="5F037955" w14:textId="192FB0CB" w:rsidR="00AA5A29" w:rsidRPr="00AA5A29" w:rsidRDefault="00AA5A29" w:rsidP="00AA5A29">
      <w:pPr>
        <w:pStyle w:val="bodytext"/>
      </w:pPr>
      <w:r w:rsidRPr="00AA5A29">
        <w:t xml:space="preserve">I also want to thank my supervisors at BUP; Eva-Lena Palm, Therese Theander, Sophia Eberhard, Linda Welin and at VKP Åsa Westrin for making it possible to do research at Region Skåne </w:t>
      </w:r>
      <w:r w:rsidRPr="00AA5A29">
        <w:rPr>
          <w:i/>
        </w:rPr>
        <w:t>and</w:t>
      </w:r>
      <w:r w:rsidRPr="00AA5A29">
        <w:t xml:space="preserve"> work clinically at the same time.</w:t>
      </w:r>
    </w:p>
    <w:p w14:paraId="31C997E1" w14:textId="25F1B1DF" w:rsidR="00AA5A29" w:rsidRPr="00AA5A29" w:rsidRDefault="00AA5A29" w:rsidP="00AA5A29">
      <w:pPr>
        <w:pStyle w:val="bodytext"/>
      </w:pPr>
      <w:r w:rsidRPr="00AA5A29">
        <w:t>A special thank you to Helge “GG” Löfberg for endless support and encouragement in all my career from being a student in your tutor group to calling ever so often discussion research policies and life in general.</w:t>
      </w:r>
      <w:r w:rsidR="00120A64">
        <w:t xml:space="preserve"> Du </w:t>
      </w:r>
      <w:proofErr w:type="spellStart"/>
      <w:r w:rsidR="00120A64">
        <w:t>är</w:t>
      </w:r>
      <w:proofErr w:type="spellEnd"/>
      <w:r w:rsidR="00120A64">
        <w:t xml:space="preserve"> </w:t>
      </w:r>
      <w:proofErr w:type="spellStart"/>
      <w:r w:rsidR="00120A64">
        <w:t>bäst</w:t>
      </w:r>
      <w:proofErr w:type="spellEnd"/>
      <w:r w:rsidR="00120A64">
        <w:t>!</w:t>
      </w:r>
    </w:p>
    <w:p w14:paraId="756DE871" w14:textId="3A9A1E80" w:rsidR="00AA5A29" w:rsidRPr="00AA5A29" w:rsidRDefault="00AA5A29" w:rsidP="00AA5A29">
      <w:pPr>
        <w:pStyle w:val="bodytext"/>
      </w:pPr>
      <w:r w:rsidRPr="00AA5A29">
        <w:lastRenderedPageBreak/>
        <w:t xml:space="preserve">Thank you to my </w:t>
      </w:r>
      <w:r w:rsidR="00247E05">
        <w:t xml:space="preserve">wonderful </w:t>
      </w:r>
      <w:r w:rsidRPr="00AA5A29">
        <w:t xml:space="preserve">family and </w:t>
      </w:r>
      <w:r w:rsidR="00247E05">
        <w:t xml:space="preserve">amazing </w:t>
      </w:r>
      <w:r w:rsidRPr="00AA5A29">
        <w:t xml:space="preserve">friends for bearing with my complaints about everything not going smooth </w:t>
      </w:r>
      <w:r w:rsidR="00DA337C">
        <w:t>and in 120 km as I want it to</w:t>
      </w:r>
      <w:r w:rsidRPr="00AA5A29">
        <w:t>. Thank you for all the support and love you have given me during this process especially</w:t>
      </w:r>
      <w:r w:rsidR="00DA337C">
        <w:t>,</w:t>
      </w:r>
      <w:r w:rsidRPr="00AA5A29">
        <w:t xml:space="preserve"> now on the finishing line</w:t>
      </w:r>
      <w:r w:rsidR="00DA337C">
        <w:t>. W</w:t>
      </w:r>
      <w:r w:rsidR="000747C9">
        <w:t>hen I needed you most</w:t>
      </w:r>
      <w:r w:rsidR="009E4520">
        <w:t xml:space="preserve"> you were always there</w:t>
      </w:r>
      <w:r w:rsidRPr="00AA5A29">
        <w:t>.</w:t>
      </w:r>
    </w:p>
    <w:p w14:paraId="57707C4F" w14:textId="1D508176" w:rsidR="00AA5A29" w:rsidRDefault="00AA5A29" w:rsidP="00AA5A29">
      <w:pPr>
        <w:pStyle w:val="bodytext"/>
      </w:pPr>
      <w:r w:rsidRPr="00AA5A29">
        <w:t xml:space="preserve">Thank you “The Rolling Stones” for </w:t>
      </w:r>
      <w:r w:rsidR="00A23A4B">
        <w:t>encouraging</w:t>
      </w:r>
      <w:r w:rsidRPr="00AA5A29">
        <w:t xml:space="preserve"> support, for telling me on and on that everything is possible that I can do whatever I </w:t>
      </w:r>
      <w:r w:rsidR="009E4520">
        <w:t xml:space="preserve">want. </w:t>
      </w:r>
    </w:p>
    <w:p w14:paraId="5E9CA078" w14:textId="63BE1528" w:rsidR="00AA5A29" w:rsidRPr="00AA5A29" w:rsidRDefault="00AA5A29" w:rsidP="00AA5A29">
      <w:pPr>
        <w:pStyle w:val="bodytext"/>
      </w:pPr>
      <w:r w:rsidRPr="00AA5A29">
        <w:t xml:space="preserve">Last but not least...All my love to my </w:t>
      </w:r>
      <w:r w:rsidR="00DA337C">
        <w:t>four</w:t>
      </w:r>
      <w:r w:rsidRPr="00AA5A29">
        <w:t xml:space="preserve"> kids. I love you to the moon and back! Ta ingen skit!</w:t>
      </w:r>
    </w:p>
    <w:p w14:paraId="5C41A1F5" w14:textId="77777777" w:rsidR="001E6B7D" w:rsidRDefault="001E6B7D" w:rsidP="00AA5A29">
      <w:pPr>
        <w:pStyle w:val="bodytext"/>
      </w:pPr>
    </w:p>
    <w:p w14:paraId="5CEF17BB" w14:textId="77777777" w:rsidR="001E6B7D" w:rsidRDefault="001E6B7D" w:rsidP="00AA5A29">
      <w:pPr>
        <w:pStyle w:val="bodytext"/>
      </w:pPr>
    </w:p>
    <w:p w14:paraId="5B6E5811" w14:textId="77777777" w:rsidR="001E6B7D" w:rsidRDefault="001E6B7D" w:rsidP="00AA5A29">
      <w:pPr>
        <w:pStyle w:val="bodytext"/>
      </w:pPr>
    </w:p>
    <w:p w14:paraId="33357D09" w14:textId="77777777" w:rsidR="001E6B7D" w:rsidRDefault="001E6B7D" w:rsidP="00AA5A29">
      <w:pPr>
        <w:pStyle w:val="bodytext"/>
      </w:pPr>
    </w:p>
    <w:p w14:paraId="260A9B96" w14:textId="77777777" w:rsidR="001E6B7D" w:rsidRDefault="001E6B7D" w:rsidP="00AA5A29">
      <w:pPr>
        <w:pStyle w:val="bodytext"/>
      </w:pPr>
    </w:p>
    <w:p w14:paraId="0A60E5A1" w14:textId="77777777" w:rsidR="001E6B7D" w:rsidRDefault="001E6B7D" w:rsidP="00AA5A29">
      <w:pPr>
        <w:pStyle w:val="bodytext"/>
      </w:pPr>
    </w:p>
    <w:p w14:paraId="54E5C27E" w14:textId="77777777" w:rsidR="00AA5A29" w:rsidRDefault="00AA5A29" w:rsidP="00AA5A29">
      <w:pPr>
        <w:pStyle w:val="bodytext"/>
      </w:pPr>
      <w:r w:rsidRPr="00AA5A29">
        <w:t>Financial support for this thesis was given by Region Skåne and Stiftelsen Lindhaga.</w:t>
      </w:r>
      <w:r>
        <w:t xml:space="preserve"> </w:t>
      </w:r>
    </w:p>
    <w:p w14:paraId="4801A40C" w14:textId="77777777" w:rsidR="001E6B7D" w:rsidRDefault="001E6B7D" w:rsidP="00AA5A29">
      <w:pPr>
        <w:jc w:val="center"/>
        <w:rPr>
          <w:rFonts w:ascii="Adobe Garamond Pro" w:hAnsi="Adobe Garamond Pro"/>
          <w:sz w:val="28"/>
          <w:szCs w:val="28"/>
          <w:lang w:val="en-US"/>
        </w:rPr>
      </w:pPr>
    </w:p>
    <w:p w14:paraId="01FF4E6F" w14:textId="77777777" w:rsidR="001E6B7D" w:rsidRDefault="001E6B7D" w:rsidP="00AA5A29">
      <w:pPr>
        <w:jc w:val="center"/>
        <w:rPr>
          <w:rFonts w:ascii="Adobe Garamond Pro" w:hAnsi="Adobe Garamond Pro"/>
          <w:sz w:val="28"/>
          <w:szCs w:val="28"/>
          <w:lang w:val="en-US"/>
        </w:rPr>
      </w:pPr>
    </w:p>
    <w:p w14:paraId="3A70A548" w14:textId="77777777" w:rsidR="001E6B7D" w:rsidRDefault="001E6B7D" w:rsidP="00AA5A29">
      <w:pPr>
        <w:jc w:val="center"/>
        <w:rPr>
          <w:rFonts w:ascii="Adobe Garamond Pro" w:hAnsi="Adobe Garamond Pro"/>
          <w:sz w:val="28"/>
          <w:szCs w:val="28"/>
          <w:lang w:val="en-US"/>
        </w:rPr>
      </w:pPr>
    </w:p>
    <w:p w14:paraId="0E819467" w14:textId="77777777" w:rsidR="001E6B7D" w:rsidRDefault="001E6B7D" w:rsidP="00AA5A29">
      <w:pPr>
        <w:jc w:val="center"/>
        <w:rPr>
          <w:rFonts w:ascii="Adobe Garamond Pro" w:hAnsi="Adobe Garamond Pro"/>
          <w:sz w:val="28"/>
          <w:szCs w:val="28"/>
          <w:lang w:val="en-US"/>
        </w:rPr>
      </w:pPr>
    </w:p>
    <w:p w14:paraId="338248E5" w14:textId="77777777" w:rsidR="00AA5A29" w:rsidRPr="001E6B7D" w:rsidRDefault="00AA5A29" w:rsidP="00AA5A29">
      <w:pPr>
        <w:jc w:val="center"/>
        <w:rPr>
          <w:rFonts w:ascii="Adobe Garamond Pro" w:hAnsi="Adobe Garamond Pro"/>
          <w:sz w:val="28"/>
          <w:szCs w:val="28"/>
          <w:lang w:val="en-US"/>
        </w:rPr>
      </w:pPr>
      <w:r w:rsidRPr="001E6B7D">
        <w:rPr>
          <w:rFonts w:ascii="Adobe Garamond Pro" w:hAnsi="Adobe Garamond Pro"/>
          <w:sz w:val="28"/>
          <w:szCs w:val="28"/>
          <w:lang w:val="en-US"/>
        </w:rPr>
        <w:t xml:space="preserve">VEDENSKABEN </w:t>
      </w:r>
    </w:p>
    <w:p w14:paraId="283353EE" w14:textId="77777777" w:rsidR="00AA5A29" w:rsidRPr="00AA5A29" w:rsidRDefault="00AA5A29" w:rsidP="00AA5A29">
      <w:pPr>
        <w:jc w:val="center"/>
        <w:rPr>
          <w:lang w:val="en-US"/>
        </w:rPr>
      </w:pPr>
      <w:r w:rsidRPr="00AA5A29">
        <w:rPr>
          <w:lang w:val="en-US"/>
        </w:rPr>
        <w:t xml:space="preserve"> </w:t>
      </w:r>
    </w:p>
    <w:p w14:paraId="5427AA06" w14:textId="77777777" w:rsidR="00AA5A29" w:rsidRPr="00AA5A29" w:rsidRDefault="00AA5A29" w:rsidP="00AA5A29">
      <w:pPr>
        <w:jc w:val="center"/>
        <w:rPr>
          <w:lang w:val="en-US"/>
        </w:rPr>
      </w:pPr>
      <w:r w:rsidRPr="00AA5A29">
        <w:rPr>
          <w:lang w:val="en-US"/>
        </w:rPr>
        <w:t xml:space="preserve"> </w:t>
      </w:r>
    </w:p>
    <w:p w14:paraId="10B29CD9" w14:textId="77777777" w:rsidR="00AA5A29" w:rsidRPr="00AA5A29" w:rsidRDefault="00AA5A29" w:rsidP="00AA5A29">
      <w:pPr>
        <w:jc w:val="center"/>
        <w:rPr>
          <w:lang w:val="en-US"/>
        </w:rPr>
      </w:pPr>
      <w:r w:rsidRPr="00AA5A29">
        <w:rPr>
          <w:lang w:val="en-US"/>
        </w:rPr>
        <w:t xml:space="preserve"> </w:t>
      </w:r>
    </w:p>
    <w:p w14:paraId="2F37DD31" w14:textId="77777777" w:rsidR="00AA5A29" w:rsidRPr="00AA5A29" w:rsidRDefault="00AA5A29" w:rsidP="00AA5A29">
      <w:pPr>
        <w:jc w:val="center"/>
        <w:rPr>
          <w:lang w:val="en-US"/>
        </w:rPr>
      </w:pPr>
      <w:r w:rsidRPr="00AA5A29">
        <w:rPr>
          <w:lang w:val="en-US"/>
        </w:rPr>
        <w:t xml:space="preserve"> </w:t>
      </w:r>
    </w:p>
    <w:p w14:paraId="0D2D68A9" w14:textId="77777777" w:rsidR="00AA5A29" w:rsidRPr="00AA5A29" w:rsidRDefault="00AA5A29" w:rsidP="00AA5A29">
      <w:pPr>
        <w:jc w:val="center"/>
        <w:rPr>
          <w:lang w:val="en-US"/>
        </w:rPr>
      </w:pPr>
      <w:r w:rsidRPr="00AA5A29">
        <w:rPr>
          <w:lang w:val="en-US"/>
        </w:rPr>
        <w:t xml:space="preserve"> </w:t>
      </w:r>
    </w:p>
    <w:p w14:paraId="2214D64A" w14:textId="77777777" w:rsidR="00AA5A29" w:rsidRPr="00AA5A29" w:rsidRDefault="00AA5A29" w:rsidP="00AA5A29">
      <w:pPr>
        <w:jc w:val="center"/>
        <w:rPr>
          <w:lang w:val="en-US"/>
        </w:rPr>
      </w:pPr>
      <w:r w:rsidRPr="00AA5A29">
        <w:rPr>
          <w:lang w:val="en-US"/>
        </w:rPr>
        <w:t xml:space="preserve"> </w:t>
      </w:r>
    </w:p>
    <w:p w14:paraId="00144D42" w14:textId="09B2DD34" w:rsidR="00AA5A29" w:rsidRDefault="00AA5A29">
      <w:pPr>
        <w:spacing w:after="160" w:line="259" w:lineRule="auto"/>
        <w:rPr>
          <w:rFonts w:eastAsia="Times New Roman"/>
          <w:sz w:val="22"/>
          <w:lang w:val="en-US"/>
        </w:rPr>
      </w:pPr>
      <w:r>
        <w:rPr>
          <w:lang w:val="en-US"/>
        </w:rPr>
        <w:br w:type="page"/>
      </w:r>
    </w:p>
    <w:p w14:paraId="4D819024" w14:textId="77777777" w:rsidR="00AA5A29" w:rsidRDefault="00AA5A29" w:rsidP="00AA5A29">
      <w:pPr>
        <w:pStyle w:val="Heading1"/>
        <w:rPr>
          <w:shd w:val="clear" w:color="auto" w:fill="FFFFFF"/>
        </w:rPr>
      </w:pPr>
      <w:bookmarkStart w:id="68" w:name="_Toc492391059"/>
      <w:commentRangeStart w:id="69"/>
      <w:r w:rsidRPr="00AA5A29">
        <w:rPr>
          <w:shd w:val="clear" w:color="auto" w:fill="FFFFFF"/>
        </w:rPr>
        <w:lastRenderedPageBreak/>
        <w:t>References</w:t>
      </w:r>
      <w:commentRangeEnd w:id="69"/>
      <w:r>
        <w:rPr>
          <w:rStyle w:val="CommentReference"/>
          <w:rFonts w:asciiTheme="minorHAnsi" w:hAnsiTheme="minorHAnsi" w:cstheme="minorBidi"/>
          <w:lang w:eastAsia="en-US"/>
        </w:rPr>
        <w:commentReference w:id="69"/>
      </w:r>
      <w:bookmarkEnd w:id="68"/>
      <w:r>
        <w:rPr>
          <w:shd w:val="clear" w:color="auto" w:fill="FFFFFF"/>
        </w:rPr>
        <w:t xml:space="preserve"> </w:t>
      </w:r>
    </w:p>
    <w:p w14:paraId="1620354A" w14:textId="77777777" w:rsidR="00AA5A29" w:rsidRPr="003B6BE9" w:rsidRDefault="00AA5A29" w:rsidP="00AA5A29">
      <w:pPr>
        <w:pStyle w:val="references"/>
        <w:rPr>
          <w:lang w:val="en-GB"/>
        </w:rPr>
      </w:pPr>
      <w:r w:rsidRPr="003B6BE9">
        <w:rPr>
          <w:shd w:val="clear" w:color="auto" w:fill="FFFFFF"/>
          <w:lang w:val="en-US"/>
        </w:rPr>
        <w:t>Agarwal, R., Goldenberg, M., Perry, R., &amp; Ishak, W. W. (2012). The quality of life of adults with attention deficit hyperactivity disorder: a systematic review.</w:t>
      </w:r>
      <w:r w:rsidRPr="003B6BE9">
        <w:rPr>
          <w:rStyle w:val="apple-converted-space"/>
          <w:color w:val="222222"/>
          <w:sz w:val="28"/>
          <w:szCs w:val="28"/>
          <w:shd w:val="clear" w:color="auto" w:fill="FFFFFF"/>
          <w:lang w:val="en-US"/>
        </w:rPr>
        <w:t> </w:t>
      </w:r>
      <w:r w:rsidRPr="003B6BE9">
        <w:rPr>
          <w:i/>
          <w:iCs/>
          <w:lang w:val="en-US"/>
        </w:rPr>
        <w:t>Innovations in clinical neuroscience</w:t>
      </w:r>
      <w:r w:rsidRPr="003B6BE9">
        <w:rPr>
          <w:shd w:val="clear" w:color="auto" w:fill="FFFFFF"/>
          <w:lang w:val="en-US"/>
        </w:rPr>
        <w:t>,</w:t>
      </w:r>
      <w:r w:rsidRPr="003B6BE9">
        <w:rPr>
          <w:rStyle w:val="apple-converted-space"/>
          <w:color w:val="222222"/>
          <w:sz w:val="28"/>
          <w:szCs w:val="28"/>
          <w:shd w:val="clear" w:color="auto" w:fill="FFFFFF"/>
          <w:lang w:val="en-US"/>
        </w:rPr>
        <w:t> </w:t>
      </w:r>
      <w:r w:rsidRPr="003B6BE9">
        <w:rPr>
          <w:i/>
          <w:iCs/>
          <w:lang w:val="en-US"/>
        </w:rPr>
        <w:t>9</w:t>
      </w:r>
      <w:r w:rsidRPr="003B6BE9">
        <w:rPr>
          <w:shd w:val="clear" w:color="auto" w:fill="FFFFFF"/>
          <w:lang w:val="en-US"/>
        </w:rPr>
        <w:t>(5-6), 10.</w:t>
      </w:r>
      <w:r w:rsidRPr="003B6BE9">
        <w:rPr>
          <w:lang w:val="en-GB"/>
        </w:rPr>
        <w:t xml:space="preserve"> </w:t>
      </w:r>
    </w:p>
    <w:p w14:paraId="2ED77B0F" w14:textId="77777777" w:rsidR="00AA5A29" w:rsidRPr="003B6BE9" w:rsidRDefault="00AA5A29" w:rsidP="00AA5A29">
      <w:pPr>
        <w:pStyle w:val="references"/>
        <w:rPr>
          <w:shd w:val="clear" w:color="auto" w:fill="FFFFFF"/>
          <w:lang w:val="en-US"/>
        </w:rPr>
      </w:pPr>
      <w:r w:rsidRPr="003B6BE9">
        <w:rPr>
          <w:shd w:val="clear" w:color="auto" w:fill="FFFFFF"/>
          <w:lang w:val="en-US"/>
        </w:rPr>
        <w:t xml:space="preserve">Airaksinen, E. M., Michelsson, K., &amp; Jokela, V. (2004). The occurrence of inattention, hyperactivity, impulsivity and coexisting symptoms in a population study of 471 6–8-year old children based on the FTF (Five to Fifteen) questionnaire. </w:t>
      </w:r>
      <w:r w:rsidRPr="003B6BE9">
        <w:rPr>
          <w:i/>
          <w:iCs/>
          <w:lang w:val="en-US"/>
        </w:rPr>
        <w:t>European Child &amp; Adolescent Psychiatry</w:t>
      </w:r>
      <w:r w:rsidRPr="003B6BE9">
        <w:rPr>
          <w:shd w:val="clear" w:color="auto" w:fill="FFFFFF"/>
          <w:lang w:val="en-US"/>
        </w:rPr>
        <w:t xml:space="preserve">, </w:t>
      </w:r>
      <w:r w:rsidRPr="003B6BE9">
        <w:rPr>
          <w:i/>
          <w:iCs/>
          <w:lang w:val="en-US"/>
        </w:rPr>
        <w:t>13</w:t>
      </w:r>
      <w:r w:rsidRPr="003B6BE9">
        <w:rPr>
          <w:shd w:val="clear" w:color="auto" w:fill="FFFFFF"/>
          <w:lang w:val="en-US"/>
        </w:rPr>
        <w:t xml:space="preserve">(3), iii23–iii30. </w:t>
      </w:r>
    </w:p>
    <w:p w14:paraId="4ABF44CD" w14:textId="77777777" w:rsidR="00AA5A29" w:rsidRPr="003B6BE9" w:rsidRDefault="00AA5A29" w:rsidP="00AA5A29">
      <w:pPr>
        <w:pStyle w:val="references"/>
        <w:rPr>
          <w:lang w:val="en-GB"/>
        </w:rPr>
      </w:pPr>
      <w:r w:rsidRPr="003B6BE9">
        <w:rPr>
          <w:shd w:val="clear" w:color="auto" w:fill="FFFFFF"/>
          <w:lang w:val="en-US"/>
        </w:rPr>
        <w:t>Akshoomoff, N., Corsello, C., &amp; Schmidt, H. (2006). The role of the autism diagnostic observation schedule in the assessment of autism spectrum disorders in school and community settings.</w:t>
      </w:r>
      <w:r w:rsidRPr="003B6BE9">
        <w:rPr>
          <w:rStyle w:val="apple-converted-space"/>
          <w:color w:val="222222"/>
          <w:sz w:val="28"/>
          <w:szCs w:val="28"/>
          <w:shd w:val="clear" w:color="auto" w:fill="FFFFFF"/>
          <w:lang w:val="en-US"/>
        </w:rPr>
        <w:t> </w:t>
      </w:r>
      <w:r w:rsidRPr="003B6BE9">
        <w:rPr>
          <w:i/>
          <w:iCs/>
          <w:lang w:val="en-US"/>
        </w:rPr>
        <w:t>The California school psychologist: CASP/California Association of School Psychologists</w:t>
      </w:r>
      <w:r w:rsidRPr="003B6BE9">
        <w:rPr>
          <w:shd w:val="clear" w:color="auto" w:fill="FFFFFF"/>
          <w:lang w:val="en-US"/>
        </w:rPr>
        <w:t>,</w:t>
      </w:r>
      <w:r w:rsidRPr="003B6BE9">
        <w:rPr>
          <w:rStyle w:val="apple-converted-space"/>
          <w:color w:val="222222"/>
          <w:sz w:val="28"/>
          <w:szCs w:val="28"/>
          <w:shd w:val="clear" w:color="auto" w:fill="FFFFFF"/>
          <w:lang w:val="en-US"/>
        </w:rPr>
        <w:t> </w:t>
      </w:r>
      <w:r w:rsidRPr="003B6BE9">
        <w:rPr>
          <w:i/>
          <w:iCs/>
          <w:lang w:val="en-US"/>
        </w:rPr>
        <w:t>11</w:t>
      </w:r>
      <w:r w:rsidRPr="003B6BE9">
        <w:rPr>
          <w:shd w:val="clear" w:color="auto" w:fill="FFFFFF"/>
          <w:lang w:val="en-US"/>
        </w:rPr>
        <w:t>, 7.</w:t>
      </w:r>
      <w:r w:rsidRPr="003B6BE9">
        <w:rPr>
          <w:lang w:val="en-GB"/>
        </w:rPr>
        <w:t xml:space="preserve"> </w:t>
      </w:r>
    </w:p>
    <w:p w14:paraId="15326321" w14:textId="77777777" w:rsidR="00AA5A29" w:rsidRPr="003B6BE9" w:rsidRDefault="00AA5A29" w:rsidP="00AA5A29">
      <w:pPr>
        <w:pStyle w:val="references"/>
        <w:rPr>
          <w:lang w:val="en-US"/>
        </w:rPr>
      </w:pPr>
      <w:r w:rsidRPr="003B6BE9">
        <w:rPr>
          <w:shd w:val="clear" w:color="auto" w:fill="FFFFFF"/>
          <w:lang w:val="en-GB"/>
        </w:rPr>
        <w:t xml:space="preserve">Alba, G., Pereda, E., Mañas, S., Méndez, L. D., González, A., &amp; González, J. J. (2015). </w:t>
      </w:r>
      <w:r w:rsidRPr="003B6BE9">
        <w:rPr>
          <w:shd w:val="clear" w:color="auto" w:fill="FFFFFF"/>
          <w:lang w:val="en-US"/>
        </w:rPr>
        <w:t>Electroencephalography signatures of attention-deficit/hyperactivity disorder: Clinical utility.</w:t>
      </w:r>
      <w:r w:rsidRPr="003B6BE9">
        <w:rPr>
          <w:rStyle w:val="apple-converted-space"/>
          <w:color w:val="222222"/>
          <w:sz w:val="28"/>
          <w:szCs w:val="28"/>
          <w:shd w:val="clear" w:color="auto" w:fill="FFFFFF"/>
          <w:lang w:val="en-US"/>
        </w:rPr>
        <w:t xml:space="preserve"> </w:t>
      </w:r>
      <w:r w:rsidRPr="003B6BE9">
        <w:rPr>
          <w:i/>
          <w:iCs/>
          <w:lang w:val="en-US"/>
        </w:rPr>
        <w:t>Neuropsychiatric Disease and Treatment</w:t>
      </w:r>
      <w:r w:rsidRPr="003B6BE9">
        <w:rPr>
          <w:shd w:val="clear" w:color="auto" w:fill="FFFFFF"/>
          <w:lang w:val="en-US"/>
        </w:rPr>
        <w:t>,</w:t>
      </w:r>
      <w:r w:rsidRPr="003B6BE9">
        <w:rPr>
          <w:rStyle w:val="apple-converted-space"/>
          <w:color w:val="222222"/>
          <w:sz w:val="28"/>
          <w:szCs w:val="28"/>
          <w:shd w:val="clear" w:color="auto" w:fill="FFFFFF"/>
          <w:lang w:val="en-US"/>
        </w:rPr>
        <w:t xml:space="preserve"> </w:t>
      </w:r>
      <w:r w:rsidRPr="003B6BE9">
        <w:rPr>
          <w:i/>
          <w:iCs/>
          <w:lang w:val="en-US"/>
        </w:rPr>
        <w:t>11</w:t>
      </w:r>
      <w:r w:rsidRPr="003B6BE9">
        <w:rPr>
          <w:shd w:val="clear" w:color="auto" w:fill="FFFFFF"/>
          <w:lang w:val="en-US"/>
        </w:rPr>
        <w:t>, 2755.</w:t>
      </w:r>
      <w:r w:rsidRPr="003B6BE9">
        <w:rPr>
          <w:lang w:val="en-US"/>
        </w:rPr>
        <w:t xml:space="preserve"> </w:t>
      </w:r>
    </w:p>
    <w:p w14:paraId="47CE234F" w14:textId="77777777" w:rsidR="00AA5A29" w:rsidRPr="003B6BE9" w:rsidRDefault="00AA5A29" w:rsidP="00AA5A29">
      <w:pPr>
        <w:pStyle w:val="references"/>
        <w:rPr>
          <w:b/>
          <w:lang w:val="en-US"/>
        </w:rPr>
      </w:pPr>
      <w:r w:rsidRPr="003B6BE9">
        <w:rPr>
          <w:color w:val="000000"/>
          <w:lang w:val="en-US"/>
        </w:rPr>
        <w:t xml:space="preserve">Alcantara, J., Weisblatt, E., Moore, B., &amp; Bolton, P. (2004) </w:t>
      </w:r>
      <w:r w:rsidRPr="003B6BE9">
        <w:rPr>
          <w:rFonts w:eastAsia="Arial Unicode MS"/>
          <w:color w:val="000000"/>
          <w:lang w:val="en-US"/>
        </w:rPr>
        <w:t>Speech-in-noise perception in high-functioning individuals with autism or Asperger syndrome</w:t>
      </w:r>
      <w:r w:rsidRPr="003B6BE9">
        <w:rPr>
          <w:color w:val="000000"/>
          <w:lang w:val="en-US"/>
        </w:rPr>
        <w:t xml:space="preserve">. </w:t>
      </w:r>
      <w:r w:rsidRPr="003B6BE9">
        <w:rPr>
          <w:rFonts w:eastAsia="Arial Unicode MS"/>
          <w:i/>
          <w:color w:val="000000"/>
          <w:lang w:val="en-US"/>
        </w:rPr>
        <w:t>Journal of Child Psychology and Psychiatry</w:t>
      </w:r>
      <w:r w:rsidRPr="003B6BE9">
        <w:rPr>
          <w:rFonts w:eastAsia="Arial Unicode MS"/>
          <w:color w:val="000000"/>
          <w:lang w:val="en-US"/>
        </w:rPr>
        <w:t>,</w:t>
      </w:r>
      <w:r w:rsidRPr="003B6BE9">
        <w:rPr>
          <w:rFonts w:eastAsia="Arial Unicode MS"/>
          <w:i/>
          <w:color w:val="000000"/>
          <w:lang w:val="en-US"/>
        </w:rPr>
        <w:t xml:space="preserve"> 45</w:t>
      </w:r>
      <w:r w:rsidRPr="003B6BE9">
        <w:rPr>
          <w:rFonts w:eastAsia="Arial Unicode MS"/>
          <w:color w:val="000000"/>
          <w:lang w:val="en-US"/>
        </w:rPr>
        <w:t>(6), 1107–1114.</w:t>
      </w:r>
      <w:r w:rsidRPr="003B6BE9">
        <w:rPr>
          <w:b/>
          <w:lang w:val="en-US"/>
        </w:rPr>
        <w:t xml:space="preserve"> </w:t>
      </w:r>
    </w:p>
    <w:p w14:paraId="4D8A8C8B" w14:textId="77777777" w:rsidR="00AA5A29" w:rsidRPr="003B6BE9" w:rsidRDefault="00AA5A29" w:rsidP="00AA5A29">
      <w:pPr>
        <w:pStyle w:val="references"/>
        <w:rPr>
          <w:color w:val="000000" w:themeColor="text1"/>
          <w:lang w:val="en-US"/>
        </w:rPr>
      </w:pPr>
      <w:r w:rsidRPr="003B6BE9">
        <w:rPr>
          <w:color w:val="000000" w:themeColor="text1"/>
          <w:lang w:val="en-US"/>
        </w:rPr>
        <w:t xml:space="preserve">American Psychiatric Association. (2013). Diagnostic and statistical manual of mental disorders (5th ed.). Arlington, VA: American Psychiatric Publishing.  </w:t>
      </w:r>
    </w:p>
    <w:p w14:paraId="147360BF" w14:textId="77777777" w:rsidR="00AA5A29" w:rsidRPr="003B6BE9" w:rsidRDefault="00AA5A29" w:rsidP="00AA5A29">
      <w:pPr>
        <w:pStyle w:val="references"/>
        <w:rPr>
          <w:lang w:val="en-US"/>
        </w:rPr>
      </w:pPr>
      <w:r w:rsidRPr="003B6BE9">
        <w:rPr>
          <w:lang w:val="en-US"/>
        </w:rPr>
        <w:t xml:space="preserve">American Psychiatric Association. (1994). Diagnostic and statistical manual of mental disorders. (4th ed.). Washington, DC: </w:t>
      </w:r>
      <w:commentRangeStart w:id="70"/>
      <w:r w:rsidRPr="003B6BE9">
        <w:rPr>
          <w:lang w:val="en-US"/>
        </w:rPr>
        <w:t>Author.</w:t>
      </w:r>
      <w:commentRangeEnd w:id="70"/>
      <w:r w:rsidRPr="003B6BE9">
        <w:rPr>
          <w:rStyle w:val="CommentReference"/>
          <w:rFonts w:cstheme="minorBidi"/>
        </w:rPr>
        <w:commentReference w:id="70"/>
      </w:r>
      <w:r w:rsidRPr="003B6BE9">
        <w:rPr>
          <w:lang w:val="en-US"/>
        </w:rPr>
        <w:t xml:space="preserve"> </w:t>
      </w:r>
    </w:p>
    <w:p w14:paraId="78B34FDE" w14:textId="77777777" w:rsidR="00AA5A29" w:rsidRPr="003B6BE9" w:rsidRDefault="00AA5A29" w:rsidP="00AA5A29">
      <w:pPr>
        <w:pStyle w:val="references"/>
        <w:rPr>
          <w:shd w:val="clear" w:color="auto" w:fill="FFFFFF"/>
          <w:lang w:val="en-US"/>
        </w:rPr>
      </w:pPr>
      <w:r w:rsidRPr="003B6BE9">
        <w:rPr>
          <w:shd w:val="clear" w:color="auto" w:fill="FFFFFF"/>
          <w:lang w:val="en-US"/>
        </w:rPr>
        <w:t xml:space="preserve">Aoyagi, M., Kim, Y., Yokoyama, J., Kiren, T., Suzuki, Y., &amp; Koike, Y. (1990). Head size as a basis of gender difference in the latency of the brainstem auditory-evoked response. </w:t>
      </w:r>
      <w:r w:rsidRPr="003B6BE9">
        <w:rPr>
          <w:i/>
          <w:iCs/>
          <w:lang w:val="en-US"/>
        </w:rPr>
        <w:t>Audiology</w:t>
      </w:r>
      <w:r w:rsidRPr="003B6BE9">
        <w:rPr>
          <w:shd w:val="clear" w:color="auto" w:fill="FFFFFF"/>
          <w:lang w:val="en-US"/>
        </w:rPr>
        <w:t xml:space="preserve">, </w:t>
      </w:r>
      <w:r w:rsidRPr="003B6BE9">
        <w:rPr>
          <w:i/>
          <w:iCs/>
          <w:lang w:val="en-US"/>
        </w:rPr>
        <w:t>29</w:t>
      </w:r>
      <w:r w:rsidRPr="003B6BE9">
        <w:rPr>
          <w:shd w:val="clear" w:color="auto" w:fill="FFFFFF"/>
          <w:lang w:val="en-US"/>
        </w:rPr>
        <w:t xml:space="preserve">(2), 107–112. </w:t>
      </w:r>
    </w:p>
    <w:p w14:paraId="6DF151CE" w14:textId="77777777" w:rsidR="00AA5A29" w:rsidRPr="003B6BE9" w:rsidRDefault="00AA5A29" w:rsidP="00AA5A29">
      <w:pPr>
        <w:pStyle w:val="references"/>
        <w:rPr>
          <w:lang w:val="en-GB"/>
        </w:rPr>
      </w:pPr>
      <w:r w:rsidRPr="003B6BE9">
        <w:rPr>
          <w:shd w:val="clear" w:color="auto" w:fill="FFFFFF"/>
          <w:lang w:val="en-US"/>
        </w:rPr>
        <w:t>Arain, M., Haque, M., Johal, L., Mathur, P., Nel, W., Rais, A., ... &amp; Sharma, S. (2013). Maturation of the adolescent brain.</w:t>
      </w:r>
      <w:r w:rsidRPr="003B6BE9">
        <w:rPr>
          <w:rStyle w:val="apple-converted-space"/>
          <w:color w:val="222222"/>
          <w:sz w:val="28"/>
          <w:szCs w:val="28"/>
          <w:shd w:val="clear" w:color="auto" w:fill="FFFFFF"/>
          <w:lang w:val="en-US"/>
        </w:rPr>
        <w:t> </w:t>
      </w:r>
      <w:r w:rsidRPr="003B6BE9">
        <w:rPr>
          <w:i/>
          <w:iCs/>
          <w:lang w:val="en-US"/>
        </w:rPr>
        <w:t>Neuropsychiatric disease and treatment</w:t>
      </w:r>
      <w:r w:rsidRPr="003B6BE9">
        <w:rPr>
          <w:shd w:val="clear" w:color="auto" w:fill="FFFFFF"/>
          <w:lang w:val="en-US"/>
        </w:rPr>
        <w:t>,</w:t>
      </w:r>
      <w:r w:rsidRPr="003B6BE9">
        <w:rPr>
          <w:rStyle w:val="apple-converted-space"/>
          <w:color w:val="222222"/>
          <w:sz w:val="28"/>
          <w:szCs w:val="28"/>
          <w:shd w:val="clear" w:color="auto" w:fill="FFFFFF"/>
          <w:lang w:val="en-US"/>
        </w:rPr>
        <w:t> </w:t>
      </w:r>
      <w:r w:rsidRPr="003B6BE9">
        <w:rPr>
          <w:i/>
          <w:iCs/>
          <w:lang w:val="en-US"/>
        </w:rPr>
        <w:t>9</w:t>
      </w:r>
      <w:r w:rsidRPr="003B6BE9">
        <w:rPr>
          <w:shd w:val="clear" w:color="auto" w:fill="FFFFFF"/>
          <w:lang w:val="en-US"/>
        </w:rPr>
        <w:t>, 449.</w:t>
      </w:r>
      <w:r w:rsidRPr="003B6BE9">
        <w:rPr>
          <w:lang w:val="en-GB"/>
        </w:rPr>
        <w:t xml:space="preserve"> </w:t>
      </w:r>
    </w:p>
    <w:p w14:paraId="65612458" w14:textId="77777777" w:rsidR="00AA5A29" w:rsidRPr="003B6BE9" w:rsidRDefault="00AA5A29" w:rsidP="00AA5A29">
      <w:pPr>
        <w:pStyle w:val="references"/>
        <w:rPr>
          <w:lang w:val="en-GB"/>
        </w:rPr>
      </w:pPr>
      <w:r w:rsidRPr="003B6BE9">
        <w:rPr>
          <w:shd w:val="clear" w:color="auto" w:fill="FFFFFF"/>
        </w:rPr>
        <w:t xml:space="preserve">Ardila, A., Pineda, D., &amp; Rosselli, M. (2000). </w:t>
      </w:r>
      <w:r w:rsidRPr="003B6BE9">
        <w:rPr>
          <w:shd w:val="clear" w:color="auto" w:fill="FFFFFF"/>
          <w:lang w:val="en-US"/>
        </w:rPr>
        <w:t>Correlation between intelligence test scores and executive function measures.</w:t>
      </w:r>
      <w:r w:rsidRPr="003B6BE9">
        <w:rPr>
          <w:rStyle w:val="apple-converted-space"/>
          <w:color w:val="222222"/>
          <w:sz w:val="28"/>
          <w:szCs w:val="28"/>
          <w:shd w:val="clear" w:color="auto" w:fill="FFFFFF"/>
          <w:lang w:val="en-US"/>
        </w:rPr>
        <w:t> </w:t>
      </w:r>
      <w:r w:rsidRPr="003B6BE9">
        <w:rPr>
          <w:i/>
          <w:iCs/>
          <w:lang w:val="en-US"/>
        </w:rPr>
        <w:t>Archives of clinical neuropsychology</w:t>
      </w:r>
      <w:r w:rsidRPr="003B6BE9">
        <w:rPr>
          <w:shd w:val="clear" w:color="auto" w:fill="FFFFFF"/>
          <w:lang w:val="en-US"/>
        </w:rPr>
        <w:t>,</w:t>
      </w:r>
      <w:r w:rsidRPr="003B6BE9">
        <w:rPr>
          <w:rStyle w:val="apple-converted-space"/>
          <w:color w:val="222222"/>
          <w:sz w:val="28"/>
          <w:szCs w:val="28"/>
          <w:shd w:val="clear" w:color="auto" w:fill="FFFFFF"/>
          <w:lang w:val="en-US"/>
        </w:rPr>
        <w:t> </w:t>
      </w:r>
      <w:r w:rsidRPr="003B6BE9">
        <w:rPr>
          <w:i/>
          <w:iCs/>
          <w:lang w:val="en-US"/>
        </w:rPr>
        <w:t>15</w:t>
      </w:r>
      <w:r w:rsidRPr="003B6BE9">
        <w:rPr>
          <w:shd w:val="clear" w:color="auto" w:fill="FFFFFF"/>
          <w:lang w:val="en-US"/>
        </w:rPr>
        <w:t>(1), 31-36.</w:t>
      </w:r>
      <w:r w:rsidRPr="003B6BE9">
        <w:rPr>
          <w:lang w:val="en-GB"/>
        </w:rPr>
        <w:t xml:space="preserve"> </w:t>
      </w:r>
    </w:p>
    <w:p w14:paraId="7FE9E7AF" w14:textId="77777777" w:rsidR="00AA5A29" w:rsidRPr="003B6BE9" w:rsidRDefault="00AA5A29" w:rsidP="00AA5A29">
      <w:pPr>
        <w:pStyle w:val="references"/>
        <w:rPr>
          <w:lang w:val="en-US"/>
        </w:rPr>
      </w:pPr>
      <w:r w:rsidRPr="003B6BE9">
        <w:rPr>
          <w:shd w:val="clear" w:color="auto" w:fill="FFFFFF"/>
          <w:lang w:val="en-US"/>
        </w:rPr>
        <w:t xml:space="preserve">Aron, A. R., Dowson, J. H., Sahakian, B. J., &amp; Robbins, T. W. (2003). Methylphenidate improves response inhibition in adults with attention-deficit/hyperactivity disorder. </w:t>
      </w:r>
      <w:r w:rsidRPr="003B6BE9">
        <w:rPr>
          <w:i/>
          <w:iCs/>
          <w:lang w:val="en-US"/>
        </w:rPr>
        <w:t>Biological Psychiatry</w:t>
      </w:r>
      <w:r w:rsidRPr="003B6BE9">
        <w:rPr>
          <w:shd w:val="clear" w:color="auto" w:fill="FFFFFF"/>
          <w:lang w:val="en-US"/>
        </w:rPr>
        <w:t xml:space="preserve">, </w:t>
      </w:r>
      <w:r w:rsidRPr="003B6BE9">
        <w:rPr>
          <w:i/>
          <w:iCs/>
          <w:lang w:val="en-US"/>
        </w:rPr>
        <w:t>54</w:t>
      </w:r>
      <w:r w:rsidRPr="003B6BE9">
        <w:rPr>
          <w:shd w:val="clear" w:color="auto" w:fill="FFFFFF"/>
          <w:lang w:val="en-US"/>
        </w:rPr>
        <w:t>(12), 1465–1468.</w:t>
      </w:r>
      <w:r w:rsidRPr="003B6BE9">
        <w:rPr>
          <w:lang w:val="en-US"/>
        </w:rPr>
        <w:t xml:space="preserve"> </w:t>
      </w:r>
    </w:p>
    <w:p w14:paraId="417F1E90" w14:textId="77777777" w:rsidR="00AA5A29" w:rsidRPr="003B6BE9" w:rsidRDefault="00AA5A29" w:rsidP="00AA5A29">
      <w:pPr>
        <w:pStyle w:val="references"/>
        <w:rPr>
          <w:color w:val="000000" w:themeColor="text1"/>
          <w:lang w:val="en-US"/>
        </w:rPr>
      </w:pPr>
      <w:r w:rsidRPr="003B6BE9">
        <w:rPr>
          <w:color w:val="000000" w:themeColor="text1"/>
          <w:lang w:val="en-US"/>
        </w:rPr>
        <w:lastRenderedPageBreak/>
        <w:t xml:space="preserve">Atladottir, H. O., Gyllenberg, D., Langridge, A., Sandin, S., Hansen, S. N., Leonard, H., &amp; Parner, E. T. (2014). The increasing prevalence of reported diagnoses of childhood psychiatric disorders: A descriptive multinational comparison. </w:t>
      </w:r>
      <w:r w:rsidRPr="003B6BE9">
        <w:rPr>
          <w:i/>
          <w:iCs/>
          <w:color w:val="000000" w:themeColor="text1"/>
          <w:lang w:val="en-US"/>
        </w:rPr>
        <w:t>European Child &amp; Adolescent Psychiatry</w:t>
      </w:r>
      <w:r w:rsidRPr="003B6BE9">
        <w:rPr>
          <w:iCs/>
          <w:color w:val="000000" w:themeColor="text1"/>
          <w:lang w:val="en-US"/>
        </w:rPr>
        <w:t>,</w:t>
      </w:r>
      <w:r w:rsidRPr="003B6BE9">
        <w:rPr>
          <w:i/>
          <w:iCs/>
          <w:color w:val="000000" w:themeColor="text1"/>
          <w:lang w:val="en-US"/>
        </w:rPr>
        <w:t xml:space="preserve"> 24</w:t>
      </w:r>
      <w:r w:rsidRPr="003B6BE9">
        <w:rPr>
          <w:color w:val="000000" w:themeColor="text1"/>
          <w:lang w:val="en-US"/>
        </w:rPr>
        <w:t xml:space="preserve">(2), 173–183.  </w:t>
      </w:r>
    </w:p>
    <w:p w14:paraId="37CC7126" w14:textId="77777777" w:rsidR="00AA5A29" w:rsidRPr="003B6BE9" w:rsidRDefault="00AA5A29" w:rsidP="00AA5A29">
      <w:pPr>
        <w:pStyle w:val="references"/>
        <w:rPr>
          <w:lang w:val="en-GB"/>
        </w:rPr>
      </w:pPr>
      <w:r w:rsidRPr="003B6BE9">
        <w:rPr>
          <w:shd w:val="clear" w:color="auto" w:fill="FFFFFF"/>
          <w:lang w:val="en-US"/>
        </w:rPr>
        <w:t>Auyeung, B., Baron-Cohen, S., Wheelwright, S., &amp; Allison, C. (2008). The autism spectrum quotient: Children’s version (AQ-Child).</w:t>
      </w:r>
      <w:r w:rsidRPr="003B6BE9">
        <w:rPr>
          <w:rStyle w:val="apple-converted-space"/>
          <w:color w:val="222222"/>
          <w:sz w:val="28"/>
          <w:szCs w:val="28"/>
          <w:shd w:val="clear" w:color="auto" w:fill="FFFFFF"/>
          <w:lang w:val="en-US"/>
        </w:rPr>
        <w:t> </w:t>
      </w:r>
      <w:r w:rsidRPr="003B6BE9">
        <w:rPr>
          <w:i/>
          <w:iCs/>
          <w:lang w:val="en-US"/>
        </w:rPr>
        <w:t>Journal of autism and developmental disorders</w:t>
      </w:r>
      <w:r w:rsidRPr="003B6BE9">
        <w:rPr>
          <w:shd w:val="clear" w:color="auto" w:fill="FFFFFF"/>
          <w:lang w:val="en-US"/>
        </w:rPr>
        <w:t>,</w:t>
      </w:r>
      <w:r w:rsidRPr="003B6BE9">
        <w:rPr>
          <w:rStyle w:val="apple-converted-space"/>
          <w:color w:val="222222"/>
          <w:sz w:val="28"/>
          <w:szCs w:val="28"/>
          <w:shd w:val="clear" w:color="auto" w:fill="FFFFFF"/>
          <w:lang w:val="en-US"/>
        </w:rPr>
        <w:t> </w:t>
      </w:r>
      <w:r w:rsidRPr="003B6BE9">
        <w:rPr>
          <w:i/>
          <w:iCs/>
          <w:lang w:val="en-US"/>
        </w:rPr>
        <w:t>38</w:t>
      </w:r>
      <w:r w:rsidRPr="003B6BE9">
        <w:rPr>
          <w:shd w:val="clear" w:color="auto" w:fill="FFFFFF"/>
          <w:lang w:val="en-US"/>
        </w:rPr>
        <w:t>(7), 1230-1240.</w:t>
      </w:r>
      <w:r w:rsidRPr="003B6BE9">
        <w:rPr>
          <w:lang w:val="en-GB"/>
        </w:rPr>
        <w:t xml:space="preserve"> </w:t>
      </w:r>
    </w:p>
    <w:p w14:paraId="3B84D102" w14:textId="77777777" w:rsidR="00AA5A29" w:rsidRPr="003B6BE9" w:rsidRDefault="00AA5A29" w:rsidP="00AA5A29">
      <w:pPr>
        <w:pStyle w:val="references"/>
        <w:rPr>
          <w:lang w:val="en-US"/>
        </w:rPr>
      </w:pPr>
      <w:r w:rsidRPr="003B6BE9">
        <w:rPr>
          <w:shd w:val="clear" w:color="auto" w:fill="FFFFFF"/>
          <w:lang w:val="en-US"/>
        </w:rPr>
        <w:t xml:space="preserve">Baker, S. C., Rogers, R. D., Owen, A. M., Frith, C. D., Dolan, R. J., Frackowiak, R. S. J., &amp; Robbins, T. W. (1996). Neural systems engaged by planning: A PET study of the Tower of London task. </w:t>
      </w:r>
      <w:r w:rsidRPr="003B6BE9">
        <w:rPr>
          <w:i/>
          <w:iCs/>
          <w:lang w:val="en-US"/>
        </w:rPr>
        <w:t>Neuropsychologia</w:t>
      </w:r>
      <w:r w:rsidRPr="003B6BE9">
        <w:rPr>
          <w:shd w:val="clear" w:color="auto" w:fill="FFFFFF"/>
          <w:lang w:val="en-US"/>
        </w:rPr>
        <w:t xml:space="preserve">, </w:t>
      </w:r>
      <w:r w:rsidRPr="003B6BE9">
        <w:rPr>
          <w:i/>
          <w:iCs/>
          <w:lang w:val="en-US"/>
        </w:rPr>
        <w:t>34</w:t>
      </w:r>
      <w:r w:rsidRPr="003B6BE9">
        <w:rPr>
          <w:shd w:val="clear" w:color="auto" w:fill="FFFFFF"/>
          <w:lang w:val="en-US"/>
        </w:rPr>
        <w:t>(6), 515–526.</w:t>
      </w:r>
      <w:r w:rsidRPr="003B6BE9">
        <w:rPr>
          <w:lang w:val="en-US"/>
        </w:rPr>
        <w:t xml:space="preserve"> </w:t>
      </w:r>
    </w:p>
    <w:p w14:paraId="195F27A8" w14:textId="77777777" w:rsidR="00AA5A29" w:rsidRPr="003B6BE9" w:rsidRDefault="00AA5A29" w:rsidP="00AA5A29">
      <w:pPr>
        <w:pStyle w:val="references"/>
        <w:rPr>
          <w:lang w:val="en-US"/>
        </w:rPr>
      </w:pPr>
      <w:r w:rsidRPr="003B6BE9">
        <w:rPr>
          <w:shd w:val="clear" w:color="auto" w:fill="FFFFFF"/>
          <w:lang w:val="en-US"/>
        </w:rPr>
        <w:t xml:space="preserve">Baranek, G. T., David, F. J., Poe, M. D., Stone, W. L., &amp; Watson, L. R. (2006). Sensory Experiences Questionnaire: Discriminating sensory features in young children with autism, developmental delays, and typical development. </w:t>
      </w:r>
      <w:r w:rsidRPr="003B6BE9">
        <w:rPr>
          <w:i/>
          <w:iCs/>
          <w:lang w:val="en-US"/>
        </w:rPr>
        <w:t>Journal of Child Psychology and Psychiatry</w:t>
      </w:r>
      <w:r w:rsidRPr="003B6BE9">
        <w:rPr>
          <w:shd w:val="clear" w:color="auto" w:fill="FFFFFF"/>
          <w:lang w:val="en-US"/>
        </w:rPr>
        <w:t xml:space="preserve">, </w:t>
      </w:r>
      <w:r w:rsidRPr="003B6BE9">
        <w:rPr>
          <w:i/>
          <w:iCs/>
          <w:lang w:val="en-US"/>
        </w:rPr>
        <w:t>47</w:t>
      </w:r>
      <w:r w:rsidRPr="003B6BE9">
        <w:rPr>
          <w:shd w:val="clear" w:color="auto" w:fill="FFFFFF"/>
          <w:lang w:val="en-US"/>
        </w:rPr>
        <w:t>(6), 591–601.</w:t>
      </w:r>
      <w:r w:rsidRPr="003B6BE9">
        <w:rPr>
          <w:lang w:val="en-US"/>
        </w:rPr>
        <w:t xml:space="preserve"> </w:t>
      </w:r>
    </w:p>
    <w:p w14:paraId="5ACE9578" w14:textId="77777777" w:rsidR="00AA5A29" w:rsidRPr="003B6BE9" w:rsidRDefault="00AA5A29" w:rsidP="00AA5A29">
      <w:pPr>
        <w:pStyle w:val="references"/>
        <w:rPr>
          <w:lang w:val="en-US"/>
        </w:rPr>
      </w:pPr>
      <w:r w:rsidRPr="003B6BE9">
        <w:rPr>
          <w:shd w:val="clear" w:color="auto" w:fill="FFFFFF"/>
          <w:lang w:val="en-US"/>
        </w:rPr>
        <w:t xml:space="preserve">Barkley, R. A., DuPaul, G. J., &amp; McMurray, M. B. (1990). Comprehensive evaluation of attention deficit disorder with and without hyperactivity as defined by research criteria. </w:t>
      </w:r>
      <w:r w:rsidRPr="003B6BE9">
        <w:rPr>
          <w:i/>
          <w:iCs/>
          <w:lang w:val="en-US"/>
        </w:rPr>
        <w:t>Journal of Consulting and Clinical Psychology</w:t>
      </w:r>
      <w:r w:rsidRPr="003B6BE9">
        <w:rPr>
          <w:shd w:val="clear" w:color="auto" w:fill="FFFFFF"/>
          <w:lang w:val="en-US"/>
        </w:rPr>
        <w:t xml:space="preserve">, </w:t>
      </w:r>
      <w:r w:rsidRPr="003B6BE9">
        <w:rPr>
          <w:i/>
          <w:iCs/>
          <w:lang w:val="en-US"/>
        </w:rPr>
        <w:t>58</w:t>
      </w:r>
      <w:r w:rsidRPr="003B6BE9">
        <w:rPr>
          <w:shd w:val="clear" w:color="auto" w:fill="FFFFFF"/>
          <w:lang w:val="en-US"/>
        </w:rPr>
        <w:t>(6), 775.</w:t>
      </w:r>
      <w:r w:rsidRPr="003B6BE9">
        <w:rPr>
          <w:lang w:val="en-US"/>
        </w:rPr>
        <w:t xml:space="preserve"> </w:t>
      </w:r>
    </w:p>
    <w:p w14:paraId="03C6D623" w14:textId="77777777" w:rsidR="00AA5A29" w:rsidRPr="003B6BE9" w:rsidRDefault="00AA5A29" w:rsidP="00AA5A29">
      <w:pPr>
        <w:pStyle w:val="references"/>
        <w:rPr>
          <w:lang w:val="en-US"/>
        </w:rPr>
      </w:pPr>
      <w:r w:rsidRPr="003B6BE9">
        <w:rPr>
          <w:shd w:val="clear" w:color="auto" w:fill="FFFFFF"/>
          <w:lang w:val="en-US"/>
        </w:rPr>
        <w:t xml:space="preserve">Barkley, R. A., Fischer, M., Smallish, L., &amp; Fletcher, K. (2002). The persistence of attention-deficit/hyperactivity disorder into young adulthood as a function of reporting source and definition of disorder. </w:t>
      </w:r>
      <w:r w:rsidRPr="003B6BE9">
        <w:rPr>
          <w:i/>
          <w:iCs/>
          <w:lang w:val="en-US"/>
        </w:rPr>
        <w:t>Journal of Abnormal Psychology</w:t>
      </w:r>
      <w:r w:rsidRPr="003B6BE9">
        <w:rPr>
          <w:shd w:val="clear" w:color="auto" w:fill="FFFFFF"/>
          <w:lang w:val="en-US"/>
        </w:rPr>
        <w:t xml:space="preserve">, </w:t>
      </w:r>
      <w:r w:rsidRPr="003B6BE9">
        <w:rPr>
          <w:i/>
          <w:iCs/>
          <w:lang w:val="en-US"/>
        </w:rPr>
        <w:t>111</w:t>
      </w:r>
      <w:r w:rsidRPr="003B6BE9">
        <w:rPr>
          <w:shd w:val="clear" w:color="auto" w:fill="FFFFFF"/>
          <w:lang w:val="en-US"/>
        </w:rPr>
        <w:t>(2), 279.</w:t>
      </w:r>
      <w:r w:rsidRPr="003B6BE9">
        <w:rPr>
          <w:lang w:val="en-US"/>
        </w:rPr>
        <w:t xml:space="preserve"> </w:t>
      </w:r>
    </w:p>
    <w:p w14:paraId="0A13BD48" w14:textId="77777777" w:rsidR="00AA5A29" w:rsidRPr="003B6BE9" w:rsidRDefault="00AA5A29" w:rsidP="00AA5A29">
      <w:pPr>
        <w:pStyle w:val="references"/>
        <w:rPr>
          <w:lang w:val="en-US"/>
        </w:rPr>
      </w:pPr>
      <w:r w:rsidRPr="003B6BE9">
        <w:rPr>
          <w:shd w:val="clear" w:color="auto" w:fill="FFFFFF"/>
          <w:lang w:val="en-US"/>
        </w:rPr>
        <w:t>Barnett, J. H., Blackwell, A. D., Sahakian, B. J., &amp; Robbins, T. W. (2016). The Paired Associates Learning (PAL) Test: 30 years of CANTAB translational neuroscience from laboratory to bedside in dementia research.</w:t>
      </w:r>
      <w:commentRangeStart w:id="71"/>
      <w:r w:rsidRPr="003B6BE9">
        <w:rPr>
          <w:shd w:val="clear" w:color="auto" w:fill="FFFFFF"/>
          <w:lang w:val="en-US"/>
        </w:rPr>
        <w:t xml:space="preserve"> </w:t>
      </w:r>
      <w:r w:rsidRPr="003B6BE9">
        <w:rPr>
          <w:i/>
          <w:shd w:val="clear" w:color="auto" w:fill="FFFFFF"/>
          <w:lang w:val="en-US"/>
        </w:rPr>
        <w:t>Current Topics in Behavioral Neurosciences: Translational Neuropsychopharmacology</w:t>
      </w:r>
      <w:r w:rsidRPr="003B6BE9">
        <w:rPr>
          <w:shd w:val="clear" w:color="auto" w:fill="FFFFFF"/>
          <w:lang w:val="en-US"/>
        </w:rPr>
        <w:t xml:space="preserve">, </w:t>
      </w:r>
      <w:r w:rsidRPr="003B6BE9">
        <w:rPr>
          <w:i/>
          <w:shd w:val="clear" w:color="auto" w:fill="FFFFFF"/>
          <w:lang w:val="en-US"/>
        </w:rPr>
        <w:t>28</w:t>
      </w:r>
      <w:r w:rsidRPr="003B6BE9">
        <w:rPr>
          <w:shd w:val="clear" w:color="auto" w:fill="FFFFFF"/>
          <w:lang w:val="en-US"/>
        </w:rPr>
        <w:t>, 449–474.</w:t>
      </w:r>
      <w:commentRangeEnd w:id="71"/>
      <w:r w:rsidRPr="003B6BE9">
        <w:rPr>
          <w:rStyle w:val="CommentReference"/>
          <w:rFonts w:cstheme="minorBidi"/>
          <w:lang w:eastAsia="en-US"/>
        </w:rPr>
        <w:commentReference w:id="71"/>
      </w:r>
      <w:r w:rsidRPr="003B6BE9">
        <w:rPr>
          <w:lang w:val="en-US"/>
        </w:rPr>
        <w:t xml:space="preserve"> </w:t>
      </w:r>
    </w:p>
    <w:p w14:paraId="718B40C2" w14:textId="77777777" w:rsidR="00AA5A29" w:rsidRPr="003B6BE9" w:rsidRDefault="00AA5A29" w:rsidP="00AA5A29">
      <w:pPr>
        <w:pStyle w:val="references"/>
        <w:rPr>
          <w:color w:val="000000" w:themeColor="text1"/>
          <w:lang w:val="en-US"/>
        </w:rPr>
      </w:pPr>
      <w:r w:rsidRPr="003B6BE9">
        <w:rPr>
          <w:color w:val="000000" w:themeColor="text1"/>
          <w:lang w:val="en-US"/>
        </w:rPr>
        <w:t xml:space="preserve">Baron-Cohen, S., Scott, F. J., Allison, C., Williams, J., Bolton, P., Matthews, F. E., &amp; Brayne, C. (2009). Prevalence of autism-spectrum conditions: UK school-based population study. </w:t>
      </w:r>
      <w:r w:rsidRPr="003B6BE9">
        <w:rPr>
          <w:i/>
          <w:iCs/>
          <w:color w:val="000000" w:themeColor="text1"/>
          <w:lang w:val="en-US"/>
        </w:rPr>
        <w:t>The British Journal of Psychiatry</w:t>
      </w:r>
      <w:r w:rsidRPr="003B6BE9">
        <w:rPr>
          <w:iCs/>
          <w:color w:val="000000" w:themeColor="text1"/>
          <w:lang w:val="en-US"/>
        </w:rPr>
        <w:t>,</w:t>
      </w:r>
      <w:r w:rsidRPr="003B6BE9">
        <w:rPr>
          <w:i/>
          <w:iCs/>
          <w:color w:val="000000" w:themeColor="text1"/>
          <w:lang w:val="en-US"/>
        </w:rPr>
        <w:t xml:space="preserve"> 194</w:t>
      </w:r>
      <w:r w:rsidRPr="003B6BE9">
        <w:rPr>
          <w:color w:val="000000" w:themeColor="text1"/>
          <w:lang w:val="en-US"/>
        </w:rPr>
        <w:t xml:space="preserve">(6), 500–509.  </w:t>
      </w:r>
    </w:p>
    <w:p w14:paraId="6A83080B" w14:textId="77777777" w:rsidR="00AA5A29" w:rsidRPr="003B6BE9" w:rsidRDefault="00AA5A29" w:rsidP="00AA5A29">
      <w:pPr>
        <w:pStyle w:val="references"/>
        <w:rPr>
          <w:lang w:val="en-US"/>
        </w:rPr>
      </w:pPr>
      <w:r w:rsidRPr="003B6BE9">
        <w:rPr>
          <w:shd w:val="clear" w:color="auto" w:fill="FFFFFF"/>
          <w:lang w:val="en-US"/>
        </w:rPr>
        <w:t xml:space="preserve">Baron-Cohen, S., Hoekstra, R. A., Knickmeyer, R., &amp; Wheelwright, S. (2006). The autism-spectrum quotient (AQ)—adolescent version. </w:t>
      </w:r>
      <w:r w:rsidRPr="003B6BE9">
        <w:rPr>
          <w:i/>
          <w:iCs/>
          <w:lang w:val="en-US"/>
        </w:rPr>
        <w:t>Journal of Autism and Developmental Disorders</w:t>
      </w:r>
      <w:r w:rsidRPr="003B6BE9">
        <w:rPr>
          <w:shd w:val="clear" w:color="auto" w:fill="FFFFFF"/>
          <w:lang w:val="en-US"/>
        </w:rPr>
        <w:t xml:space="preserve">, </w:t>
      </w:r>
      <w:r w:rsidRPr="003B6BE9">
        <w:rPr>
          <w:i/>
          <w:iCs/>
          <w:lang w:val="en-US"/>
        </w:rPr>
        <w:t>36</w:t>
      </w:r>
      <w:r w:rsidRPr="003B6BE9">
        <w:rPr>
          <w:shd w:val="clear" w:color="auto" w:fill="FFFFFF"/>
          <w:lang w:val="en-US"/>
        </w:rPr>
        <w:t>(3), 343.</w:t>
      </w:r>
      <w:r w:rsidRPr="003B6BE9">
        <w:rPr>
          <w:lang w:val="en-US"/>
        </w:rPr>
        <w:t xml:space="preserve"> </w:t>
      </w:r>
    </w:p>
    <w:p w14:paraId="71E26B8D" w14:textId="77777777" w:rsidR="00AA5A29" w:rsidRPr="003B6BE9" w:rsidRDefault="00AA5A29" w:rsidP="00AA5A29">
      <w:pPr>
        <w:pStyle w:val="references"/>
        <w:rPr>
          <w:shd w:val="clear" w:color="auto" w:fill="FFFFFF"/>
          <w:lang w:val="en-US"/>
        </w:rPr>
      </w:pPr>
      <w:r w:rsidRPr="003B6BE9">
        <w:rPr>
          <w:shd w:val="clear" w:color="auto" w:fill="FFFFFF"/>
          <w:lang w:val="en-US"/>
        </w:rPr>
        <w:t xml:space="preserve">Baron-Cohen, S., Wheelwright, S., Skinner, R., Martin, J., &amp; Clubley, E. (2001). The autism-spectrum quotient (AQ): Evidence from Asperger syndrome/high-functioning autism, males and females, scientists and mathematicians. </w:t>
      </w:r>
      <w:r w:rsidRPr="003B6BE9">
        <w:rPr>
          <w:i/>
          <w:iCs/>
          <w:lang w:val="en-US"/>
        </w:rPr>
        <w:t>Journal of Autism and Developmental Disorders</w:t>
      </w:r>
      <w:r w:rsidRPr="003B6BE9">
        <w:rPr>
          <w:shd w:val="clear" w:color="auto" w:fill="FFFFFF"/>
          <w:lang w:val="en-US"/>
        </w:rPr>
        <w:t xml:space="preserve">, </w:t>
      </w:r>
      <w:r w:rsidRPr="003B6BE9">
        <w:rPr>
          <w:i/>
          <w:iCs/>
          <w:lang w:val="en-US"/>
        </w:rPr>
        <w:t>31</w:t>
      </w:r>
      <w:r w:rsidRPr="003B6BE9">
        <w:rPr>
          <w:shd w:val="clear" w:color="auto" w:fill="FFFFFF"/>
          <w:lang w:val="en-US"/>
        </w:rPr>
        <w:t xml:space="preserve">(1), 5–17. </w:t>
      </w:r>
    </w:p>
    <w:p w14:paraId="6D066BC2" w14:textId="77777777" w:rsidR="00AA5A29" w:rsidRPr="003B6BE9" w:rsidRDefault="00AA5A29" w:rsidP="00AA5A29">
      <w:pPr>
        <w:pStyle w:val="references"/>
        <w:rPr>
          <w:lang w:val="en-GB"/>
        </w:rPr>
      </w:pPr>
      <w:r w:rsidRPr="003B6BE9">
        <w:rPr>
          <w:shd w:val="clear" w:color="auto" w:fill="FFFFFF"/>
          <w:lang w:val="en-GB"/>
        </w:rPr>
        <w:t xml:space="preserve">Bari, A., &amp; Aston-Jones, G. (2013). </w:t>
      </w:r>
      <w:r w:rsidRPr="003B6BE9">
        <w:rPr>
          <w:shd w:val="clear" w:color="auto" w:fill="FFFFFF"/>
          <w:lang w:val="en-US"/>
        </w:rPr>
        <w:t>Atomoxetine modulates spontaneous and sensory-evoked discharge of locus coeruleus noradrenergic neurons.</w:t>
      </w:r>
      <w:r w:rsidRPr="003B6BE9">
        <w:rPr>
          <w:rStyle w:val="apple-converted-space"/>
          <w:color w:val="222222"/>
          <w:sz w:val="28"/>
          <w:szCs w:val="28"/>
          <w:shd w:val="clear" w:color="auto" w:fill="FFFFFF"/>
          <w:lang w:val="en-US"/>
        </w:rPr>
        <w:t> </w:t>
      </w:r>
      <w:r w:rsidRPr="003B6BE9">
        <w:rPr>
          <w:i/>
          <w:iCs/>
          <w:lang w:val="en-US"/>
        </w:rPr>
        <w:t>Neuropharmacology</w:t>
      </w:r>
      <w:r w:rsidRPr="003B6BE9">
        <w:rPr>
          <w:shd w:val="clear" w:color="auto" w:fill="FFFFFF"/>
          <w:lang w:val="en-US"/>
        </w:rPr>
        <w:t>,</w:t>
      </w:r>
      <w:r w:rsidRPr="003B6BE9">
        <w:rPr>
          <w:rStyle w:val="apple-converted-space"/>
          <w:color w:val="222222"/>
          <w:sz w:val="28"/>
          <w:szCs w:val="28"/>
          <w:shd w:val="clear" w:color="auto" w:fill="FFFFFF"/>
          <w:lang w:val="en-US"/>
        </w:rPr>
        <w:t> </w:t>
      </w:r>
      <w:r w:rsidRPr="003B6BE9">
        <w:rPr>
          <w:i/>
          <w:iCs/>
          <w:lang w:val="en-US"/>
        </w:rPr>
        <w:t>64</w:t>
      </w:r>
      <w:r w:rsidRPr="003B6BE9">
        <w:rPr>
          <w:shd w:val="clear" w:color="auto" w:fill="FFFFFF"/>
          <w:lang w:val="en-US"/>
        </w:rPr>
        <w:t>, 53-64.</w:t>
      </w:r>
      <w:r w:rsidRPr="003B6BE9">
        <w:rPr>
          <w:lang w:val="en-GB"/>
        </w:rPr>
        <w:t xml:space="preserve"> </w:t>
      </w:r>
    </w:p>
    <w:p w14:paraId="617B30AE" w14:textId="77777777" w:rsidR="00AA5A29" w:rsidRPr="003B6BE9" w:rsidRDefault="00AA5A29" w:rsidP="00AA5A29">
      <w:pPr>
        <w:pStyle w:val="references"/>
        <w:rPr>
          <w:lang w:val="en-US"/>
        </w:rPr>
      </w:pPr>
      <w:r w:rsidRPr="003B6BE9">
        <w:rPr>
          <w:shd w:val="clear" w:color="auto" w:fill="FFFFFF"/>
          <w:lang w:val="en-US"/>
        </w:rPr>
        <w:lastRenderedPageBreak/>
        <w:t xml:space="preserve">Bartlett, E. L. (2013). The organization and physiology of the auditory thalamus and its role in processing acoustic features important for speech perception. </w:t>
      </w:r>
      <w:r w:rsidRPr="003B6BE9">
        <w:rPr>
          <w:i/>
          <w:iCs/>
          <w:lang w:val="en-US"/>
        </w:rPr>
        <w:t>Brain and Language</w:t>
      </w:r>
      <w:r w:rsidRPr="003B6BE9">
        <w:rPr>
          <w:shd w:val="clear" w:color="auto" w:fill="FFFFFF"/>
          <w:lang w:val="en-US"/>
        </w:rPr>
        <w:t xml:space="preserve">, </w:t>
      </w:r>
      <w:r w:rsidRPr="003B6BE9">
        <w:rPr>
          <w:i/>
          <w:iCs/>
          <w:lang w:val="en-US"/>
        </w:rPr>
        <w:t>126</w:t>
      </w:r>
      <w:r w:rsidRPr="003B6BE9">
        <w:rPr>
          <w:shd w:val="clear" w:color="auto" w:fill="FFFFFF"/>
          <w:lang w:val="en-US"/>
        </w:rPr>
        <w:t>(1), 29–48.</w:t>
      </w:r>
      <w:r w:rsidRPr="003B6BE9">
        <w:rPr>
          <w:lang w:val="en-US"/>
        </w:rPr>
        <w:t xml:space="preserve"> </w:t>
      </w:r>
    </w:p>
    <w:p w14:paraId="103277BA" w14:textId="77777777" w:rsidR="00AA5A29" w:rsidRPr="003B6BE9" w:rsidRDefault="00AA5A29" w:rsidP="00AA5A29">
      <w:pPr>
        <w:pStyle w:val="references"/>
        <w:rPr>
          <w:shd w:val="clear" w:color="auto" w:fill="FFFFFF"/>
          <w:lang w:val="en-US"/>
        </w:rPr>
      </w:pPr>
      <w:r w:rsidRPr="003B6BE9">
        <w:rPr>
          <w:shd w:val="clear" w:color="auto" w:fill="FFFFFF"/>
          <w:lang w:val="en-US"/>
        </w:rPr>
        <w:t xml:space="preserve">Baxter, A. J., Brugha, T. S., Erskine, H. E., Scheurer, R. W., Vos, T., &amp; Scott, J. G. (2015). The epidemiology and global burden of autism spectrum disorders. </w:t>
      </w:r>
      <w:r w:rsidRPr="003B6BE9">
        <w:rPr>
          <w:i/>
          <w:iCs/>
          <w:lang w:val="en-US"/>
        </w:rPr>
        <w:t>Psychological Medicine</w:t>
      </w:r>
      <w:r w:rsidRPr="003B6BE9">
        <w:rPr>
          <w:shd w:val="clear" w:color="auto" w:fill="FFFFFF"/>
          <w:lang w:val="en-US"/>
        </w:rPr>
        <w:t xml:space="preserve">, </w:t>
      </w:r>
      <w:r w:rsidRPr="003B6BE9">
        <w:rPr>
          <w:i/>
          <w:iCs/>
          <w:lang w:val="en-US"/>
        </w:rPr>
        <w:t>45</w:t>
      </w:r>
      <w:r w:rsidRPr="003B6BE9">
        <w:rPr>
          <w:shd w:val="clear" w:color="auto" w:fill="FFFFFF"/>
          <w:lang w:val="en-US"/>
        </w:rPr>
        <w:t xml:space="preserve">(3), 601–613. </w:t>
      </w:r>
    </w:p>
    <w:p w14:paraId="43713901" w14:textId="77777777" w:rsidR="00AA5A29" w:rsidRPr="003B6BE9" w:rsidRDefault="00AA5A29" w:rsidP="00AA5A29">
      <w:pPr>
        <w:pStyle w:val="references"/>
        <w:rPr>
          <w:lang w:val="en-US"/>
        </w:rPr>
      </w:pPr>
      <w:r w:rsidRPr="003B6BE9">
        <w:rPr>
          <w:shd w:val="clear" w:color="auto" w:fill="FFFFFF"/>
          <w:lang w:val="en-US"/>
        </w:rPr>
        <w:t>Berquin, P. C., Giedd, J. N., Jacobsen, L. K., Hamburger, S. D., Krain, A. L., Rapoport, J. L., &amp; Castellanos, F. X. (1998). Cerebellum in attention-deficit hyperactivity disorder: A morphometric MRI study.</w:t>
      </w:r>
      <w:r w:rsidRPr="003B6BE9">
        <w:rPr>
          <w:rStyle w:val="apple-converted-space"/>
          <w:color w:val="222222"/>
          <w:sz w:val="28"/>
          <w:szCs w:val="28"/>
          <w:shd w:val="clear" w:color="auto" w:fill="FFFFFF"/>
          <w:lang w:val="en-US"/>
        </w:rPr>
        <w:t xml:space="preserve"> </w:t>
      </w:r>
      <w:r w:rsidRPr="003B6BE9">
        <w:rPr>
          <w:i/>
          <w:iCs/>
          <w:lang w:val="en-US"/>
        </w:rPr>
        <w:t>Neurology</w:t>
      </w:r>
      <w:r w:rsidRPr="003B6BE9">
        <w:rPr>
          <w:shd w:val="clear" w:color="auto" w:fill="FFFFFF"/>
          <w:lang w:val="en-US"/>
        </w:rPr>
        <w:t>,</w:t>
      </w:r>
      <w:r w:rsidRPr="003B6BE9">
        <w:rPr>
          <w:rStyle w:val="apple-converted-space"/>
          <w:color w:val="222222"/>
          <w:sz w:val="28"/>
          <w:szCs w:val="28"/>
          <w:shd w:val="clear" w:color="auto" w:fill="FFFFFF"/>
          <w:lang w:val="en-US"/>
        </w:rPr>
        <w:t xml:space="preserve"> </w:t>
      </w:r>
      <w:r w:rsidRPr="003B6BE9">
        <w:rPr>
          <w:i/>
          <w:iCs/>
          <w:lang w:val="en-US"/>
        </w:rPr>
        <w:t>50</w:t>
      </w:r>
      <w:r w:rsidRPr="003B6BE9">
        <w:rPr>
          <w:shd w:val="clear" w:color="auto" w:fill="FFFFFF"/>
          <w:lang w:val="en-US"/>
        </w:rPr>
        <w:t>(4), 1087–1093.</w:t>
      </w:r>
      <w:r w:rsidRPr="003B6BE9">
        <w:rPr>
          <w:lang w:val="en-US"/>
        </w:rPr>
        <w:t xml:space="preserve"> </w:t>
      </w:r>
    </w:p>
    <w:p w14:paraId="6C21FC15" w14:textId="77777777" w:rsidR="00AA5A29" w:rsidRPr="003B6BE9" w:rsidRDefault="00AA5A29" w:rsidP="00AA5A29">
      <w:pPr>
        <w:pStyle w:val="references"/>
        <w:rPr>
          <w:lang w:val="en-US"/>
        </w:rPr>
      </w:pPr>
      <w:r w:rsidRPr="003B6BE9">
        <w:rPr>
          <w:shd w:val="clear" w:color="auto" w:fill="FFFFFF"/>
          <w:lang w:val="en-US"/>
        </w:rPr>
        <w:t xml:space="preserve">Biederman, J., &amp; Faraone, S. V. (2004). The Massachusetts General Hospital studies of gender influences on attention-deficit/hyperactivity disorder in youth and relatives. </w:t>
      </w:r>
      <w:r w:rsidRPr="003B6BE9">
        <w:rPr>
          <w:i/>
          <w:iCs/>
          <w:lang w:val="en-US"/>
        </w:rPr>
        <w:t>Psychiatric Clinics of North America</w:t>
      </w:r>
      <w:r w:rsidRPr="003B6BE9">
        <w:rPr>
          <w:shd w:val="clear" w:color="auto" w:fill="FFFFFF"/>
          <w:lang w:val="en-US"/>
        </w:rPr>
        <w:t xml:space="preserve">, </w:t>
      </w:r>
      <w:r w:rsidRPr="003B6BE9">
        <w:rPr>
          <w:i/>
          <w:iCs/>
          <w:lang w:val="en-US"/>
        </w:rPr>
        <w:t>27</w:t>
      </w:r>
      <w:r w:rsidRPr="003B6BE9">
        <w:rPr>
          <w:shd w:val="clear" w:color="auto" w:fill="FFFFFF"/>
          <w:lang w:val="en-US"/>
        </w:rPr>
        <w:t>(2), 225–232.</w:t>
      </w:r>
      <w:r w:rsidRPr="003B6BE9">
        <w:rPr>
          <w:lang w:val="en-US"/>
        </w:rPr>
        <w:t xml:space="preserve"> </w:t>
      </w:r>
    </w:p>
    <w:p w14:paraId="537775D6" w14:textId="77777777" w:rsidR="00AA5A29" w:rsidRPr="003B6BE9" w:rsidRDefault="00AA5A29" w:rsidP="00AA5A29">
      <w:pPr>
        <w:pStyle w:val="references"/>
        <w:rPr>
          <w:lang w:val="en-US"/>
        </w:rPr>
      </w:pPr>
      <w:r w:rsidRPr="003B6BE9">
        <w:rPr>
          <w:rStyle w:val="CommentReference"/>
          <w:rFonts w:cstheme="minorBidi"/>
          <w:lang w:eastAsia="en-US"/>
        </w:rPr>
        <w:commentReference w:id="72"/>
      </w:r>
      <w:r w:rsidRPr="003B6BE9">
        <w:rPr>
          <w:shd w:val="clear" w:color="auto" w:fill="FFFFFF"/>
          <w:lang w:val="en-US"/>
        </w:rPr>
        <w:t xml:space="preserve">Biederman, J., Mick, E., Faraone, S. V., Braaten, E., Doyle, A., Spencer, T., ... Johnson, M. A. (2002). Influence of gender on attention deficit hyperactivity disorder in children referred to a psychiatric clinic. </w:t>
      </w:r>
      <w:r w:rsidRPr="003B6BE9">
        <w:rPr>
          <w:i/>
          <w:iCs/>
          <w:lang w:val="en-US"/>
        </w:rPr>
        <w:t>American Journal of Psychiatry</w:t>
      </w:r>
      <w:r w:rsidRPr="003B6BE9">
        <w:rPr>
          <w:shd w:val="clear" w:color="auto" w:fill="FFFFFF"/>
          <w:lang w:val="en-US"/>
        </w:rPr>
        <w:t xml:space="preserve">, </w:t>
      </w:r>
      <w:r w:rsidRPr="003B6BE9">
        <w:rPr>
          <w:i/>
          <w:iCs/>
          <w:lang w:val="en-US"/>
        </w:rPr>
        <w:t>159</w:t>
      </w:r>
      <w:r w:rsidRPr="003B6BE9">
        <w:rPr>
          <w:shd w:val="clear" w:color="auto" w:fill="FFFFFF"/>
          <w:lang w:val="en-US"/>
        </w:rPr>
        <w:t>(1), 36–42.</w:t>
      </w:r>
      <w:r w:rsidRPr="003B6BE9">
        <w:rPr>
          <w:lang w:val="en-US"/>
        </w:rPr>
        <w:t xml:space="preserve"> </w:t>
      </w:r>
    </w:p>
    <w:p w14:paraId="2D4581FD" w14:textId="77777777" w:rsidR="00AA5A29" w:rsidRPr="003B6BE9" w:rsidRDefault="00AA5A29" w:rsidP="00AA5A29">
      <w:pPr>
        <w:pStyle w:val="references"/>
        <w:rPr>
          <w:lang w:val="en-US"/>
        </w:rPr>
      </w:pPr>
      <w:r w:rsidRPr="003B6BE9">
        <w:rPr>
          <w:shd w:val="clear" w:color="auto" w:fill="FFFFFF"/>
          <w:lang w:val="en-US"/>
        </w:rPr>
        <w:t xml:space="preserve">Biederman, J., Petty, C. R., Fried, R., Wozniak, J., Micco, J. A., Henin, A., ... Caruso, J. (2010). Child behavior checklist clinical scales discriminate referred youth with autism spectrum disorder: A preliminary study. </w:t>
      </w:r>
      <w:r w:rsidRPr="003B6BE9">
        <w:rPr>
          <w:i/>
          <w:iCs/>
          <w:lang w:val="en-US"/>
        </w:rPr>
        <w:t>Journal of Developmental &amp; Behavioral Pediatrics</w:t>
      </w:r>
      <w:r w:rsidRPr="003B6BE9">
        <w:rPr>
          <w:shd w:val="clear" w:color="auto" w:fill="FFFFFF"/>
          <w:lang w:val="en-US"/>
        </w:rPr>
        <w:t xml:space="preserve">, </w:t>
      </w:r>
      <w:r w:rsidRPr="003B6BE9">
        <w:rPr>
          <w:i/>
          <w:iCs/>
          <w:lang w:val="en-US"/>
        </w:rPr>
        <w:t>31</w:t>
      </w:r>
      <w:r w:rsidRPr="003B6BE9">
        <w:rPr>
          <w:shd w:val="clear" w:color="auto" w:fill="FFFFFF"/>
          <w:lang w:val="en-US"/>
        </w:rPr>
        <w:t>(6), 485–490.</w:t>
      </w:r>
      <w:r w:rsidRPr="003B6BE9">
        <w:rPr>
          <w:lang w:val="en-US"/>
        </w:rPr>
        <w:t xml:space="preserve"> </w:t>
      </w:r>
    </w:p>
    <w:p w14:paraId="1DD7D465" w14:textId="77777777" w:rsidR="00AA5A29" w:rsidRPr="003B6BE9" w:rsidRDefault="00AA5A29" w:rsidP="00AA5A29">
      <w:pPr>
        <w:pStyle w:val="references"/>
        <w:rPr>
          <w:lang w:val="en-US"/>
        </w:rPr>
      </w:pPr>
      <w:r w:rsidRPr="003B6BE9">
        <w:rPr>
          <w:shd w:val="clear" w:color="auto" w:fill="FFFFFF"/>
          <w:lang w:val="en-US"/>
        </w:rPr>
        <w:t>Billeci, L., Sicca, F., Maharatna, K., Apicella, F., Narzisi, A., Campatelli, G., ... Muratori, F. (2013). On the application of quantitative EEG for characterizing autistic brain: A systematic review.</w:t>
      </w:r>
      <w:commentRangeStart w:id="73"/>
      <w:r w:rsidRPr="003B6BE9">
        <w:rPr>
          <w:shd w:val="clear" w:color="auto" w:fill="FFFFFF"/>
          <w:lang w:val="en-US"/>
        </w:rPr>
        <w:t xml:space="preserve"> </w:t>
      </w:r>
      <w:r w:rsidRPr="003B6BE9">
        <w:rPr>
          <w:i/>
          <w:shd w:val="clear" w:color="auto" w:fill="FFFFFF"/>
          <w:lang w:val="en-US"/>
        </w:rPr>
        <w:t>Frontiers in Human Neuroscience</w:t>
      </w:r>
      <w:r w:rsidRPr="003B6BE9">
        <w:rPr>
          <w:shd w:val="clear" w:color="auto" w:fill="FFFFFF"/>
          <w:lang w:val="en-US"/>
        </w:rPr>
        <w:t xml:space="preserve">, </w:t>
      </w:r>
      <w:r w:rsidRPr="003B6BE9">
        <w:rPr>
          <w:i/>
          <w:shd w:val="clear" w:color="auto" w:fill="FFFFFF"/>
          <w:lang w:val="en-US"/>
        </w:rPr>
        <w:t>7</w:t>
      </w:r>
      <w:r w:rsidRPr="003B6BE9">
        <w:rPr>
          <w:shd w:val="clear" w:color="auto" w:fill="FFFFFF"/>
          <w:lang w:val="en-US"/>
        </w:rPr>
        <w:t>, 442.</w:t>
      </w:r>
      <w:commentRangeEnd w:id="73"/>
      <w:r w:rsidRPr="003B6BE9">
        <w:rPr>
          <w:rStyle w:val="CommentReference"/>
          <w:rFonts w:cstheme="minorBidi"/>
          <w:lang w:eastAsia="en-US"/>
        </w:rPr>
        <w:commentReference w:id="73"/>
      </w:r>
      <w:r w:rsidRPr="003B6BE9">
        <w:rPr>
          <w:lang w:val="en-US"/>
        </w:rPr>
        <w:t xml:space="preserve"> </w:t>
      </w:r>
    </w:p>
    <w:p w14:paraId="083831EF" w14:textId="77777777" w:rsidR="00AA5A29" w:rsidRPr="003B6BE9" w:rsidRDefault="00AA5A29" w:rsidP="00AA5A29">
      <w:pPr>
        <w:pStyle w:val="references"/>
        <w:rPr>
          <w:color w:val="000000"/>
          <w:lang w:val="en-US"/>
        </w:rPr>
      </w:pPr>
      <w:r w:rsidRPr="003B6BE9">
        <w:rPr>
          <w:color w:val="000000"/>
          <w:lang w:val="en-US"/>
        </w:rPr>
        <w:t xml:space="preserve">Blasi, A., Lloyd-Fox, S., Sethna, V., Brammer, M. J., Mercure, E., Murray, L., … Johnson, M. H. (2015). Atypical processing of voice sounds in infants at risk for autism spectrum disorder. </w:t>
      </w:r>
      <w:r w:rsidRPr="003B6BE9">
        <w:rPr>
          <w:i/>
          <w:color w:val="000000"/>
          <w:lang w:val="en-US"/>
        </w:rPr>
        <w:t>Cortex</w:t>
      </w:r>
      <w:r w:rsidRPr="003B6BE9">
        <w:rPr>
          <w:color w:val="000000"/>
          <w:lang w:val="en-US"/>
        </w:rPr>
        <w:t xml:space="preserve">, </w:t>
      </w:r>
      <w:r w:rsidRPr="003B6BE9">
        <w:rPr>
          <w:i/>
          <w:color w:val="000000"/>
          <w:lang w:val="en-US"/>
        </w:rPr>
        <w:t>71</w:t>
      </w:r>
      <w:r w:rsidRPr="003B6BE9">
        <w:rPr>
          <w:color w:val="000000"/>
          <w:lang w:val="en-US"/>
        </w:rPr>
        <w:t xml:space="preserve">, 122–133.  </w:t>
      </w:r>
    </w:p>
    <w:p w14:paraId="2FBB3BB7" w14:textId="77777777" w:rsidR="00AA5A29" w:rsidRPr="003B6BE9" w:rsidRDefault="00AA5A29" w:rsidP="00AA5A29">
      <w:pPr>
        <w:pStyle w:val="references"/>
        <w:rPr>
          <w:lang w:val="en-US"/>
        </w:rPr>
      </w:pPr>
      <w:r w:rsidRPr="003B6BE9">
        <w:rPr>
          <w:shd w:val="clear" w:color="auto" w:fill="FFFFFF"/>
          <w:lang w:val="en-US"/>
        </w:rPr>
        <w:t xml:space="preserve">Boddaert, N., Chabane, N., Belin, P., Bourgeois, M., Royer, V., Barthelemy, C., ... Zilbovicius, M. (2004). Perception of complex sounds in autism: Abnormal auditory cortical processing in children. </w:t>
      </w:r>
      <w:r w:rsidRPr="003B6BE9">
        <w:rPr>
          <w:i/>
          <w:iCs/>
          <w:lang w:val="en-US"/>
        </w:rPr>
        <w:t>American Journal of Psychiatry</w:t>
      </w:r>
      <w:r w:rsidRPr="003B6BE9">
        <w:rPr>
          <w:shd w:val="clear" w:color="auto" w:fill="FFFFFF"/>
          <w:lang w:val="en-US"/>
        </w:rPr>
        <w:t xml:space="preserve">, </w:t>
      </w:r>
      <w:r w:rsidRPr="003B6BE9">
        <w:rPr>
          <w:i/>
          <w:iCs/>
          <w:lang w:val="en-US"/>
        </w:rPr>
        <w:t>161</w:t>
      </w:r>
      <w:r w:rsidRPr="003B6BE9">
        <w:rPr>
          <w:shd w:val="clear" w:color="auto" w:fill="FFFFFF"/>
          <w:lang w:val="en-US"/>
        </w:rPr>
        <w:t>(11), 2117–2120.</w:t>
      </w:r>
      <w:r w:rsidRPr="003B6BE9">
        <w:rPr>
          <w:lang w:val="en-US"/>
        </w:rPr>
        <w:t xml:space="preserve"> </w:t>
      </w:r>
    </w:p>
    <w:p w14:paraId="285F0E20" w14:textId="77777777" w:rsidR="00AA5A29" w:rsidRPr="003B6BE9" w:rsidRDefault="00AA5A29" w:rsidP="00AA5A29">
      <w:pPr>
        <w:pStyle w:val="references"/>
        <w:rPr>
          <w:lang w:val="en-US"/>
        </w:rPr>
      </w:pPr>
      <w:r w:rsidRPr="003B6BE9">
        <w:rPr>
          <w:shd w:val="clear" w:color="auto" w:fill="FFFFFF"/>
          <w:lang w:val="en-US"/>
        </w:rPr>
        <w:t xml:space="preserve">Bohlin, G., &amp; Janols, L. O. (2004). Behavioural problems and psychiatric symptoms in 5–13 year-old Swedish children—A comparison of parent ratings on the FTF (Five to Fifteen) with the ratings on CBCL (Child Behavior Checklist). </w:t>
      </w:r>
      <w:r w:rsidRPr="003B6BE9">
        <w:rPr>
          <w:i/>
          <w:iCs/>
          <w:lang w:val="en-US"/>
        </w:rPr>
        <w:t>European Child &amp; Adolescent Psychiatry</w:t>
      </w:r>
      <w:r w:rsidRPr="003B6BE9">
        <w:rPr>
          <w:shd w:val="clear" w:color="auto" w:fill="FFFFFF"/>
          <w:lang w:val="en-US"/>
        </w:rPr>
        <w:t xml:space="preserve">, </w:t>
      </w:r>
      <w:r w:rsidRPr="003B6BE9">
        <w:rPr>
          <w:i/>
          <w:iCs/>
          <w:lang w:val="en-US"/>
        </w:rPr>
        <w:t>13</w:t>
      </w:r>
      <w:r w:rsidRPr="003B6BE9">
        <w:rPr>
          <w:iCs/>
          <w:lang w:val="en-US"/>
        </w:rPr>
        <w:t>(Suppl 3)</w:t>
      </w:r>
      <w:r w:rsidRPr="003B6BE9">
        <w:rPr>
          <w:shd w:val="clear" w:color="auto" w:fill="FFFFFF"/>
          <w:lang w:val="en-US"/>
        </w:rPr>
        <w:t>, iii14–iii22.</w:t>
      </w:r>
      <w:r w:rsidRPr="003B6BE9">
        <w:rPr>
          <w:lang w:val="en-US"/>
        </w:rPr>
        <w:t xml:space="preserve"> </w:t>
      </w:r>
    </w:p>
    <w:p w14:paraId="5C9C8857" w14:textId="77777777" w:rsidR="00AA5A29" w:rsidRPr="003B6BE9" w:rsidRDefault="00AA5A29" w:rsidP="00AA5A29">
      <w:pPr>
        <w:pStyle w:val="references"/>
        <w:rPr>
          <w:lang w:val="en-US"/>
        </w:rPr>
      </w:pPr>
      <w:r w:rsidRPr="003B6BE9">
        <w:rPr>
          <w:shd w:val="clear" w:color="auto" w:fill="FFFFFF"/>
          <w:lang w:val="en-US"/>
        </w:rPr>
        <w:t xml:space="preserve">Bomba, M. D., &amp; Pang, E. W. (2004). Cortical auditory evoked potentials in autism: A review. </w:t>
      </w:r>
      <w:r w:rsidRPr="003B6BE9">
        <w:rPr>
          <w:i/>
          <w:iCs/>
          <w:lang w:val="en-US"/>
        </w:rPr>
        <w:t>International Journal of Psychophysiology</w:t>
      </w:r>
      <w:r w:rsidRPr="003B6BE9">
        <w:rPr>
          <w:shd w:val="clear" w:color="auto" w:fill="FFFFFF"/>
          <w:lang w:val="en-US"/>
        </w:rPr>
        <w:t xml:space="preserve">, </w:t>
      </w:r>
      <w:r w:rsidRPr="003B6BE9">
        <w:rPr>
          <w:i/>
          <w:iCs/>
          <w:lang w:val="en-US"/>
        </w:rPr>
        <w:t>53</w:t>
      </w:r>
      <w:r w:rsidRPr="003B6BE9">
        <w:rPr>
          <w:shd w:val="clear" w:color="auto" w:fill="FFFFFF"/>
          <w:lang w:val="en-US"/>
        </w:rPr>
        <w:t>(3), 161–169.</w:t>
      </w:r>
      <w:r w:rsidRPr="003B6BE9">
        <w:rPr>
          <w:lang w:val="en-US"/>
        </w:rPr>
        <w:t xml:space="preserve"> </w:t>
      </w:r>
    </w:p>
    <w:p w14:paraId="36FBB867" w14:textId="77777777" w:rsidR="00AA5A29" w:rsidRPr="003B6BE9" w:rsidRDefault="00AA5A29" w:rsidP="00AA5A29">
      <w:pPr>
        <w:pStyle w:val="references"/>
        <w:rPr>
          <w:lang w:val="en-US"/>
        </w:rPr>
      </w:pPr>
      <w:r w:rsidRPr="003B6BE9">
        <w:rPr>
          <w:shd w:val="clear" w:color="auto" w:fill="FFFFFF"/>
          <w:lang w:val="en-US"/>
        </w:rPr>
        <w:t xml:space="preserve">Bruce, B., Thernlund, G., &amp; Nettelbladt, U. (2006). ADHD and language impairment. </w:t>
      </w:r>
      <w:r w:rsidRPr="003B6BE9">
        <w:rPr>
          <w:i/>
          <w:iCs/>
          <w:lang w:val="en-US"/>
        </w:rPr>
        <w:t>European Child &amp; Adolescent Psychiatry</w:t>
      </w:r>
      <w:r w:rsidRPr="003B6BE9">
        <w:rPr>
          <w:shd w:val="clear" w:color="auto" w:fill="FFFFFF"/>
          <w:lang w:val="en-US"/>
        </w:rPr>
        <w:t xml:space="preserve">, </w:t>
      </w:r>
      <w:r w:rsidRPr="003B6BE9">
        <w:rPr>
          <w:i/>
          <w:iCs/>
          <w:lang w:val="en-US"/>
        </w:rPr>
        <w:t>15</w:t>
      </w:r>
      <w:r w:rsidRPr="003B6BE9">
        <w:rPr>
          <w:shd w:val="clear" w:color="auto" w:fill="FFFFFF"/>
          <w:lang w:val="en-US"/>
        </w:rPr>
        <w:t>(1), 52–60.</w:t>
      </w:r>
      <w:r w:rsidRPr="003B6BE9">
        <w:rPr>
          <w:lang w:val="en-US"/>
        </w:rPr>
        <w:t xml:space="preserve"> </w:t>
      </w:r>
    </w:p>
    <w:p w14:paraId="7147374D" w14:textId="77777777" w:rsidR="00AA5A29" w:rsidRPr="003B6BE9" w:rsidRDefault="00AA5A29" w:rsidP="00AA5A29">
      <w:pPr>
        <w:pStyle w:val="references"/>
        <w:rPr>
          <w:lang w:val="en-GB"/>
        </w:rPr>
      </w:pPr>
      <w:r w:rsidRPr="003B6BE9">
        <w:rPr>
          <w:shd w:val="clear" w:color="auto" w:fill="FFFFFF"/>
          <w:lang w:val="en-US"/>
        </w:rPr>
        <w:lastRenderedPageBreak/>
        <w:t>Buchwald, J. S. (1983). Auditory evoked responses in clinical populations and in the cat.</w:t>
      </w:r>
      <w:r w:rsidRPr="003B6BE9">
        <w:rPr>
          <w:rStyle w:val="apple-converted-space"/>
          <w:color w:val="222222"/>
          <w:sz w:val="28"/>
          <w:szCs w:val="28"/>
          <w:shd w:val="clear" w:color="auto" w:fill="FFFFFF"/>
          <w:lang w:val="en-US"/>
        </w:rPr>
        <w:t> </w:t>
      </w:r>
      <w:r w:rsidRPr="003B6BE9">
        <w:rPr>
          <w:i/>
          <w:iCs/>
          <w:lang w:val="en-US"/>
        </w:rPr>
        <w:t>Auris Nasus Larynx</w:t>
      </w:r>
      <w:r w:rsidRPr="003B6BE9">
        <w:rPr>
          <w:shd w:val="clear" w:color="auto" w:fill="FFFFFF"/>
          <w:lang w:val="en-US"/>
        </w:rPr>
        <w:t>,</w:t>
      </w:r>
      <w:r w:rsidRPr="003B6BE9">
        <w:rPr>
          <w:rStyle w:val="apple-converted-space"/>
          <w:color w:val="222222"/>
          <w:sz w:val="28"/>
          <w:szCs w:val="28"/>
          <w:shd w:val="clear" w:color="auto" w:fill="FFFFFF"/>
          <w:lang w:val="en-US"/>
        </w:rPr>
        <w:t> </w:t>
      </w:r>
      <w:r w:rsidRPr="003B6BE9">
        <w:rPr>
          <w:i/>
          <w:iCs/>
          <w:lang w:val="en-US"/>
        </w:rPr>
        <w:t>10</w:t>
      </w:r>
      <w:r w:rsidRPr="003B6BE9">
        <w:rPr>
          <w:shd w:val="clear" w:color="auto" w:fill="FFFFFF"/>
          <w:lang w:val="en-US"/>
        </w:rPr>
        <w:t>(2), 87-95.</w:t>
      </w:r>
      <w:r w:rsidRPr="003B6BE9">
        <w:rPr>
          <w:lang w:val="en-GB"/>
        </w:rPr>
        <w:t xml:space="preserve"> </w:t>
      </w:r>
    </w:p>
    <w:p w14:paraId="242FEA68" w14:textId="77777777" w:rsidR="00AA5A29" w:rsidRPr="003B6BE9" w:rsidRDefault="00AA5A29" w:rsidP="00AA5A29">
      <w:pPr>
        <w:pStyle w:val="references"/>
        <w:rPr>
          <w:lang w:val="en-US"/>
        </w:rPr>
      </w:pPr>
      <w:r w:rsidRPr="003B6BE9">
        <w:rPr>
          <w:shd w:val="clear" w:color="auto" w:fill="FFFFFF"/>
          <w:lang w:val="en-US"/>
        </w:rPr>
        <w:t xml:space="preserve">Burkard, R. F., &amp; Sims, D. (2001). The human auditory brainstem response to high click rates aging effects. </w:t>
      </w:r>
      <w:r w:rsidRPr="003B6BE9">
        <w:rPr>
          <w:i/>
          <w:iCs/>
          <w:lang w:val="en-US"/>
        </w:rPr>
        <w:t>American Journal of Audiology</w:t>
      </w:r>
      <w:r w:rsidRPr="003B6BE9">
        <w:rPr>
          <w:shd w:val="clear" w:color="auto" w:fill="FFFFFF"/>
          <w:lang w:val="en-US"/>
        </w:rPr>
        <w:t xml:space="preserve">, </w:t>
      </w:r>
      <w:r w:rsidRPr="003B6BE9">
        <w:rPr>
          <w:i/>
          <w:iCs/>
          <w:lang w:val="en-US"/>
        </w:rPr>
        <w:t>10</w:t>
      </w:r>
      <w:r w:rsidRPr="003B6BE9">
        <w:rPr>
          <w:shd w:val="clear" w:color="auto" w:fill="FFFFFF"/>
          <w:lang w:val="en-US"/>
        </w:rPr>
        <w:t>(2), 53–61.</w:t>
      </w:r>
      <w:r w:rsidRPr="003B6BE9">
        <w:rPr>
          <w:lang w:val="en-US"/>
        </w:rPr>
        <w:t xml:space="preserve"> </w:t>
      </w:r>
    </w:p>
    <w:p w14:paraId="0BC6D8C6" w14:textId="77777777" w:rsidR="00AA5A29" w:rsidRPr="003B6BE9" w:rsidRDefault="00AA5A29" w:rsidP="00AA5A29">
      <w:pPr>
        <w:pStyle w:val="references"/>
        <w:rPr>
          <w:color w:val="2A2A2A"/>
          <w:shd w:val="clear" w:color="auto" w:fill="FFFFFF"/>
          <w:lang w:val="en-US"/>
        </w:rPr>
      </w:pPr>
      <w:r w:rsidRPr="003B6BE9">
        <w:rPr>
          <w:color w:val="2A2A2A"/>
          <w:lang w:val="en-US"/>
        </w:rPr>
        <w:t>Bush, G., Valera, E. M., &amp; Seidman, L. J. (2005). Functional neuroimaging of attention-deficit/hyperactivity disorder: A review and suggested future directions</w:t>
      </w:r>
      <w:r w:rsidRPr="003B6BE9">
        <w:rPr>
          <w:color w:val="2A2A2A"/>
          <w:shd w:val="clear" w:color="auto" w:fill="FFFFFF"/>
          <w:lang w:val="en-US"/>
        </w:rPr>
        <w:t xml:space="preserve">, </w:t>
      </w:r>
      <w:r w:rsidRPr="003B6BE9">
        <w:rPr>
          <w:i/>
          <w:iCs/>
          <w:color w:val="2A2A2A"/>
          <w:lang w:val="en-US"/>
        </w:rPr>
        <w:t>Biological Psychiatry</w:t>
      </w:r>
      <w:r w:rsidRPr="003B6BE9">
        <w:rPr>
          <w:color w:val="2A2A2A"/>
          <w:shd w:val="clear" w:color="auto" w:fill="FFFFFF"/>
          <w:lang w:val="en-US"/>
        </w:rPr>
        <w:t xml:space="preserve">, </w:t>
      </w:r>
      <w:r w:rsidRPr="003B6BE9">
        <w:rPr>
          <w:i/>
          <w:color w:val="2A2A2A"/>
          <w:lang w:val="en-US"/>
        </w:rPr>
        <w:t>57</w:t>
      </w:r>
      <w:r w:rsidRPr="003B6BE9">
        <w:rPr>
          <w:color w:val="2A2A2A"/>
          <w:shd w:val="clear" w:color="auto" w:fill="FFFFFF"/>
          <w:lang w:val="en-US"/>
        </w:rPr>
        <w:t xml:space="preserve">, </w:t>
      </w:r>
      <w:r w:rsidRPr="003B6BE9">
        <w:rPr>
          <w:color w:val="2A2A2A"/>
          <w:lang w:val="en-US"/>
        </w:rPr>
        <w:t>1273</w:t>
      </w:r>
      <w:r w:rsidRPr="003B6BE9">
        <w:rPr>
          <w:color w:val="2A2A2A"/>
          <w:shd w:val="clear" w:color="auto" w:fill="FFFFFF"/>
          <w:lang w:val="en-US"/>
        </w:rPr>
        <w:t>–</w:t>
      </w:r>
      <w:r w:rsidRPr="003B6BE9">
        <w:rPr>
          <w:color w:val="2A2A2A"/>
          <w:lang w:val="en-US"/>
        </w:rPr>
        <w:t>1284</w:t>
      </w:r>
      <w:r w:rsidRPr="003B6BE9">
        <w:rPr>
          <w:color w:val="2A2A2A"/>
          <w:shd w:val="clear" w:color="auto" w:fill="FFFFFF"/>
          <w:lang w:val="en-US"/>
        </w:rPr>
        <w:t xml:space="preserve">. </w:t>
      </w:r>
    </w:p>
    <w:p w14:paraId="79A551C4" w14:textId="77777777" w:rsidR="00AA5A29" w:rsidRPr="003B6BE9" w:rsidRDefault="00AA5A29" w:rsidP="00AA5A29">
      <w:pPr>
        <w:pStyle w:val="references"/>
        <w:rPr>
          <w:lang w:val="en-US"/>
        </w:rPr>
      </w:pPr>
      <w:r w:rsidRPr="003B6BE9">
        <w:rPr>
          <w:shd w:val="clear" w:color="auto" w:fill="FFFFFF"/>
          <w:lang w:val="en-US"/>
        </w:rPr>
        <w:t xml:space="preserve">Bussing, R., Fernandez, M., Harwood, M., Hou, W., Garvan, C. W., Eyberg, S. M., &amp; Swanson, J. M. (2008). Parent and teacher SNAP-IV ratings of attention deficit hyperactivity disorder symptoms: Psychometric properties and normative ratings from a school district sample. </w:t>
      </w:r>
      <w:r w:rsidRPr="003B6BE9">
        <w:rPr>
          <w:i/>
          <w:iCs/>
          <w:lang w:val="en-US"/>
        </w:rPr>
        <w:t>Assessment</w:t>
      </w:r>
      <w:r w:rsidRPr="003B6BE9">
        <w:rPr>
          <w:shd w:val="clear" w:color="auto" w:fill="FFFFFF"/>
          <w:lang w:val="en-US"/>
        </w:rPr>
        <w:t xml:space="preserve">, </w:t>
      </w:r>
      <w:r w:rsidRPr="003B6BE9">
        <w:rPr>
          <w:i/>
          <w:iCs/>
          <w:lang w:val="en-US"/>
        </w:rPr>
        <w:t>15</w:t>
      </w:r>
      <w:r w:rsidRPr="003B6BE9">
        <w:rPr>
          <w:shd w:val="clear" w:color="auto" w:fill="FFFFFF"/>
          <w:lang w:val="en-US"/>
        </w:rPr>
        <w:t>(3), 317–328.</w:t>
      </w:r>
      <w:r w:rsidRPr="003B6BE9">
        <w:rPr>
          <w:lang w:val="en-US"/>
        </w:rPr>
        <w:t xml:space="preserve"> </w:t>
      </w:r>
    </w:p>
    <w:p w14:paraId="42F51AF0" w14:textId="77777777" w:rsidR="00AA5A29" w:rsidRPr="003B6BE9" w:rsidRDefault="00AA5A29" w:rsidP="00AA5A29">
      <w:pPr>
        <w:pStyle w:val="references"/>
        <w:rPr>
          <w:lang w:val="en-US"/>
        </w:rPr>
      </w:pPr>
      <w:r w:rsidRPr="003B6BE9">
        <w:rPr>
          <w:shd w:val="clear" w:color="auto" w:fill="FFFFFF"/>
          <w:lang w:val="en-US"/>
        </w:rPr>
        <w:t xml:space="preserve">Butler, M. G., Rafi, S. K., Hossain, W., Stephan, D. A., &amp; Manzardo, A. M. (2015). Whole exome sequencing in females with autism implicates novel and candidate genes. </w:t>
      </w:r>
      <w:r w:rsidRPr="003B6BE9">
        <w:rPr>
          <w:i/>
          <w:iCs/>
          <w:lang w:val="en-US"/>
        </w:rPr>
        <w:t>International Journal of Molecular Sciences</w:t>
      </w:r>
      <w:r w:rsidRPr="003B6BE9">
        <w:rPr>
          <w:shd w:val="clear" w:color="auto" w:fill="FFFFFF"/>
          <w:lang w:val="en-US"/>
        </w:rPr>
        <w:t xml:space="preserve">, </w:t>
      </w:r>
      <w:r w:rsidRPr="003B6BE9">
        <w:rPr>
          <w:i/>
          <w:iCs/>
          <w:lang w:val="en-US"/>
        </w:rPr>
        <w:t>16</w:t>
      </w:r>
      <w:r w:rsidRPr="003B6BE9">
        <w:rPr>
          <w:shd w:val="clear" w:color="auto" w:fill="FFFFFF"/>
          <w:lang w:val="en-US"/>
        </w:rPr>
        <w:t>(1), 1312–1335.</w:t>
      </w:r>
      <w:r w:rsidRPr="003B6BE9">
        <w:rPr>
          <w:lang w:val="en-US"/>
        </w:rPr>
        <w:t xml:space="preserve"> </w:t>
      </w:r>
    </w:p>
    <w:p w14:paraId="28564B00" w14:textId="77777777" w:rsidR="00AA5A29" w:rsidRPr="003B6BE9" w:rsidRDefault="00AA5A29" w:rsidP="00AA5A29">
      <w:pPr>
        <w:pStyle w:val="references"/>
        <w:rPr>
          <w:color w:val="000000"/>
          <w:lang w:val="en-US" w:eastAsia="en-US"/>
        </w:rPr>
      </w:pPr>
      <w:r w:rsidRPr="003B6BE9">
        <w:rPr>
          <w:shd w:val="clear" w:color="auto" w:fill="FFFFFF"/>
          <w:lang w:val="en-US"/>
        </w:rPr>
        <w:t xml:space="preserve">Bywater, E. K. (2014). </w:t>
      </w:r>
      <w:r w:rsidRPr="003B6BE9">
        <w:rPr>
          <w:color w:val="000000"/>
          <w:lang w:val="en-US" w:eastAsia="en-US"/>
        </w:rPr>
        <w:t xml:space="preserve">Features of auditory brainstem response spectral representations as tools for ADHD-diagnostics. Lund: Lund University Press. </w:t>
      </w:r>
    </w:p>
    <w:p w14:paraId="2A50C2C2" w14:textId="77777777" w:rsidR="00AA5A29" w:rsidRPr="003B6BE9" w:rsidRDefault="00AA5A29" w:rsidP="00AA5A29">
      <w:pPr>
        <w:pStyle w:val="references"/>
        <w:rPr>
          <w:shd w:val="clear" w:color="auto" w:fill="FFFFFF"/>
          <w:lang w:val="en-US"/>
        </w:rPr>
      </w:pPr>
      <w:r w:rsidRPr="003B6BE9">
        <w:rPr>
          <w:shd w:val="clear" w:color="auto" w:fill="FFFFFF"/>
          <w:lang w:val="en-US"/>
        </w:rPr>
        <w:t xml:space="preserve">Cambridge Cognition. </w:t>
      </w:r>
      <w:r w:rsidRPr="003B6BE9">
        <w:rPr>
          <w:rFonts w:eastAsiaTheme="minorHAnsi"/>
          <w:sz w:val="24"/>
          <w:szCs w:val="24"/>
          <w:lang w:val="en-US"/>
        </w:rPr>
        <w:t>www.cambridgecognition.com</w:t>
      </w:r>
      <w:r w:rsidRPr="003B6BE9">
        <w:rPr>
          <w:shd w:val="clear" w:color="auto" w:fill="FFFFFF"/>
          <w:lang w:val="en-US"/>
        </w:rPr>
        <w:t xml:space="preserve">. </w:t>
      </w:r>
    </w:p>
    <w:p w14:paraId="456ECC18" w14:textId="77777777" w:rsidR="00AA5A29" w:rsidRPr="003B6BE9" w:rsidRDefault="00AA5A29" w:rsidP="00AA5A29">
      <w:pPr>
        <w:pStyle w:val="references"/>
        <w:rPr>
          <w:lang w:val="en-US"/>
        </w:rPr>
      </w:pPr>
      <w:r w:rsidRPr="003B6BE9">
        <w:rPr>
          <w:shd w:val="clear" w:color="auto" w:fill="FFFFFF"/>
          <w:lang w:val="en-US"/>
        </w:rPr>
        <w:t xml:space="preserve">Casey, B. J., Oliveri, M. E., &amp; Insel, T. (2014). A neurodevelopmental perspective on the research domain criteria (RDoC) framework. </w:t>
      </w:r>
      <w:r w:rsidRPr="003B6BE9">
        <w:rPr>
          <w:i/>
          <w:iCs/>
          <w:lang w:val="en-US"/>
        </w:rPr>
        <w:t>Biological Psychiatry</w:t>
      </w:r>
      <w:r w:rsidRPr="003B6BE9">
        <w:rPr>
          <w:shd w:val="clear" w:color="auto" w:fill="FFFFFF"/>
          <w:lang w:val="en-US"/>
        </w:rPr>
        <w:t xml:space="preserve">, </w:t>
      </w:r>
      <w:r w:rsidRPr="003B6BE9">
        <w:rPr>
          <w:i/>
          <w:iCs/>
          <w:lang w:val="en-US"/>
        </w:rPr>
        <w:t>76</w:t>
      </w:r>
      <w:r w:rsidRPr="003B6BE9">
        <w:rPr>
          <w:shd w:val="clear" w:color="auto" w:fill="FFFFFF"/>
          <w:lang w:val="en-US"/>
        </w:rPr>
        <w:t>(5), 350–353.</w:t>
      </w:r>
      <w:r w:rsidRPr="003B6BE9">
        <w:rPr>
          <w:lang w:val="en-US"/>
        </w:rPr>
        <w:t xml:space="preserve"> </w:t>
      </w:r>
    </w:p>
    <w:p w14:paraId="65E112C6" w14:textId="77777777" w:rsidR="00AA5A29" w:rsidRPr="003B6BE9" w:rsidRDefault="00AA5A29" w:rsidP="00AA5A29">
      <w:pPr>
        <w:pStyle w:val="references"/>
        <w:rPr>
          <w:lang w:val="en-US"/>
        </w:rPr>
      </w:pPr>
      <w:r w:rsidRPr="003B6BE9">
        <w:rPr>
          <w:shd w:val="clear" w:color="auto" w:fill="FFFFFF"/>
          <w:lang w:val="en-US"/>
        </w:rPr>
        <w:t>Castellanos, F. X., Lee, P. P., Sharp, W., Jeffries, N. O., Greenstein, D. K., Clasen, L. S., ... Zijdenbos, A. (2002). Developmental trajectories of brain volume abnormalities in children and adolescents with attention-deficit/hyperactivity disorder.</w:t>
      </w:r>
      <w:r w:rsidRPr="003B6BE9">
        <w:rPr>
          <w:rStyle w:val="apple-converted-space"/>
          <w:color w:val="222222"/>
          <w:sz w:val="28"/>
          <w:szCs w:val="28"/>
          <w:shd w:val="clear" w:color="auto" w:fill="FFFFFF"/>
          <w:lang w:val="en-US"/>
        </w:rPr>
        <w:t xml:space="preserve"> </w:t>
      </w:r>
      <w:r w:rsidRPr="003B6BE9">
        <w:rPr>
          <w:i/>
          <w:iCs/>
          <w:lang w:val="en-US"/>
        </w:rPr>
        <w:t>JAMA</w:t>
      </w:r>
      <w:r w:rsidRPr="003B6BE9">
        <w:rPr>
          <w:shd w:val="clear" w:color="auto" w:fill="FFFFFF"/>
          <w:lang w:val="en-US"/>
        </w:rPr>
        <w:t>,</w:t>
      </w:r>
      <w:r w:rsidRPr="003B6BE9">
        <w:rPr>
          <w:rStyle w:val="apple-converted-space"/>
          <w:color w:val="222222"/>
          <w:sz w:val="28"/>
          <w:szCs w:val="28"/>
          <w:shd w:val="clear" w:color="auto" w:fill="FFFFFF"/>
          <w:lang w:val="en-US"/>
        </w:rPr>
        <w:t xml:space="preserve"> </w:t>
      </w:r>
      <w:r w:rsidRPr="003B6BE9">
        <w:rPr>
          <w:i/>
          <w:iCs/>
          <w:lang w:val="en-US"/>
        </w:rPr>
        <w:t>288</w:t>
      </w:r>
      <w:r w:rsidRPr="003B6BE9">
        <w:rPr>
          <w:shd w:val="clear" w:color="auto" w:fill="FFFFFF"/>
          <w:lang w:val="en-US"/>
        </w:rPr>
        <w:t>(14), 1740–1748.</w:t>
      </w:r>
      <w:r w:rsidRPr="003B6BE9">
        <w:rPr>
          <w:lang w:val="en-US"/>
        </w:rPr>
        <w:t xml:space="preserve"> </w:t>
      </w:r>
    </w:p>
    <w:p w14:paraId="62F3A0DA" w14:textId="77777777" w:rsidR="00AA5A29" w:rsidRPr="003B6BE9" w:rsidRDefault="00AA5A29" w:rsidP="00AA5A29">
      <w:pPr>
        <w:pStyle w:val="references"/>
        <w:rPr>
          <w:lang w:val="en-US"/>
        </w:rPr>
      </w:pPr>
      <w:r w:rsidRPr="003B6BE9">
        <w:rPr>
          <w:shd w:val="clear" w:color="auto" w:fill="FFFFFF"/>
          <w:lang w:val="en-US"/>
        </w:rPr>
        <w:t>Charman, T., Loth, E., Tillmann, J., Crawley, D., Wooldridge, C., Goyard, D., ... Baron-Cohen, S. (2017). The EU-AIMS Longitudinal European Autism Project (LEAP): Clinical characterisation.</w:t>
      </w:r>
      <w:r w:rsidRPr="003B6BE9">
        <w:rPr>
          <w:rStyle w:val="apple-converted-space"/>
          <w:color w:val="222222"/>
          <w:sz w:val="28"/>
          <w:szCs w:val="28"/>
          <w:shd w:val="clear" w:color="auto" w:fill="FFFFFF"/>
          <w:lang w:val="en-US"/>
        </w:rPr>
        <w:t xml:space="preserve"> </w:t>
      </w:r>
      <w:r w:rsidRPr="003B6BE9">
        <w:rPr>
          <w:i/>
          <w:iCs/>
          <w:lang w:val="en-US"/>
        </w:rPr>
        <w:t>Molecular Autism</w:t>
      </w:r>
      <w:r w:rsidRPr="003B6BE9">
        <w:rPr>
          <w:shd w:val="clear" w:color="auto" w:fill="FFFFFF"/>
          <w:lang w:val="en-US"/>
        </w:rPr>
        <w:t>,</w:t>
      </w:r>
      <w:r w:rsidRPr="003B6BE9">
        <w:rPr>
          <w:rStyle w:val="apple-converted-space"/>
          <w:color w:val="222222"/>
          <w:sz w:val="28"/>
          <w:szCs w:val="28"/>
          <w:shd w:val="clear" w:color="auto" w:fill="FFFFFF"/>
          <w:lang w:val="en-US"/>
        </w:rPr>
        <w:t xml:space="preserve"> </w:t>
      </w:r>
      <w:r w:rsidRPr="003B6BE9">
        <w:rPr>
          <w:i/>
          <w:iCs/>
          <w:lang w:val="en-US"/>
        </w:rPr>
        <w:t>8</w:t>
      </w:r>
      <w:r w:rsidRPr="003B6BE9">
        <w:rPr>
          <w:shd w:val="clear" w:color="auto" w:fill="FFFFFF"/>
          <w:lang w:val="en-US"/>
        </w:rPr>
        <w:t>(1), 27.</w:t>
      </w:r>
      <w:r w:rsidRPr="003B6BE9">
        <w:rPr>
          <w:lang w:val="en-US"/>
        </w:rPr>
        <w:t xml:space="preserve"> </w:t>
      </w:r>
    </w:p>
    <w:p w14:paraId="2E44B356" w14:textId="77777777" w:rsidR="00AA5A29" w:rsidRPr="003B6BE9" w:rsidRDefault="00AA5A29" w:rsidP="00AA5A29">
      <w:pPr>
        <w:pStyle w:val="references"/>
        <w:rPr>
          <w:shd w:val="clear" w:color="auto" w:fill="FFFFFF"/>
          <w:lang w:val="en-US"/>
        </w:rPr>
      </w:pPr>
      <w:r w:rsidRPr="003B6BE9">
        <w:rPr>
          <w:shd w:val="clear" w:color="auto" w:fill="FFFFFF"/>
          <w:lang w:val="en-US"/>
        </w:rPr>
        <w:t xml:space="preserve">Chamberlain, S. R., Del Campo, N., Dowson, J., Müller, U., Clark, L., Robbins, T. W., &amp; Sahakian, B. J. (2007). Atomoxetine improved response inhibition in adults with attention deficit/hyperactivity disorder. </w:t>
      </w:r>
      <w:r w:rsidRPr="003B6BE9">
        <w:rPr>
          <w:i/>
          <w:iCs/>
          <w:lang w:val="en-US"/>
        </w:rPr>
        <w:t>Biological Psychiatry</w:t>
      </w:r>
      <w:r w:rsidRPr="003B6BE9">
        <w:rPr>
          <w:shd w:val="clear" w:color="auto" w:fill="FFFFFF"/>
          <w:lang w:val="en-US"/>
        </w:rPr>
        <w:t xml:space="preserve">, </w:t>
      </w:r>
      <w:r w:rsidRPr="003B6BE9">
        <w:rPr>
          <w:i/>
          <w:iCs/>
          <w:lang w:val="en-US"/>
        </w:rPr>
        <w:t>62</w:t>
      </w:r>
      <w:r w:rsidRPr="003B6BE9">
        <w:rPr>
          <w:shd w:val="clear" w:color="auto" w:fill="FFFFFF"/>
          <w:lang w:val="en-US"/>
        </w:rPr>
        <w:t xml:space="preserve">(9), 977–984. </w:t>
      </w:r>
    </w:p>
    <w:p w14:paraId="5A4ADC71" w14:textId="77777777" w:rsidR="00AA5A29" w:rsidRPr="003B6BE9" w:rsidRDefault="00AA5A29" w:rsidP="00AA5A29">
      <w:pPr>
        <w:pStyle w:val="references"/>
        <w:rPr>
          <w:lang w:val="en-US"/>
        </w:rPr>
      </w:pPr>
      <w:r w:rsidRPr="003B6BE9">
        <w:rPr>
          <w:shd w:val="clear" w:color="auto" w:fill="FFFFFF"/>
          <w:lang w:val="en-US"/>
        </w:rPr>
        <w:t>Chavalarias, D., Wallach, J. D., Li, A. H. T., &amp; Ioannidis, J. P. (2016). Evolution of reporting P values in the biomedical literature, 1990–2015.</w:t>
      </w:r>
      <w:r w:rsidRPr="003B6BE9">
        <w:rPr>
          <w:rStyle w:val="apple-converted-space"/>
          <w:color w:val="222222"/>
          <w:sz w:val="28"/>
          <w:szCs w:val="28"/>
          <w:shd w:val="clear" w:color="auto" w:fill="FFFFFF"/>
          <w:lang w:val="en-US"/>
        </w:rPr>
        <w:t xml:space="preserve"> </w:t>
      </w:r>
      <w:r w:rsidRPr="003B6BE9">
        <w:rPr>
          <w:i/>
          <w:iCs/>
          <w:lang w:val="en-US"/>
        </w:rPr>
        <w:t>JAMA</w:t>
      </w:r>
      <w:r w:rsidRPr="003B6BE9">
        <w:rPr>
          <w:shd w:val="clear" w:color="auto" w:fill="FFFFFF"/>
          <w:lang w:val="en-US"/>
        </w:rPr>
        <w:t>,</w:t>
      </w:r>
      <w:r w:rsidRPr="003B6BE9">
        <w:rPr>
          <w:rStyle w:val="apple-converted-space"/>
          <w:color w:val="222222"/>
          <w:sz w:val="28"/>
          <w:szCs w:val="28"/>
          <w:shd w:val="clear" w:color="auto" w:fill="FFFFFF"/>
          <w:lang w:val="en-US"/>
        </w:rPr>
        <w:t xml:space="preserve"> </w:t>
      </w:r>
      <w:r w:rsidRPr="003B6BE9">
        <w:rPr>
          <w:i/>
          <w:iCs/>
          <w:lang w:val="en-US"/>
        </w:rPr>
        <w:t>315</w:t>
      </w:r>
      <w:r w:rsidRPr="003B6BE9">
        <w:rPr>
          <w:shd w:val="clear" w:color="auto" w:fill="FFFFFF"/>
          <w:lang w:val="en-US"/>
        </w:rPr>
        <w:t>(11), 1141–1148.</w:t>
      </w:r>
      <w:r w:rsidRPr="003B6BE9">
        <w:rPr>
          <w:lang w:val="en-US"/>
        </w:rPr>
        <w:t xml:space="preserve"> </w:t>
      </w:r>
    </w:p>
    <w:p w14:paraId="32896AF6" w14:textId="77777777" w:rsidR="00AA5A29" w:rsidRPr="003B6BE9" w:rsidRDefault="00AA5A29" w:rsidP="00AA5A29">
      <w:pPr>
        <w:pStyle w:val="references"/>
        <w:rPr>
          <w:lang w:val="en-US"/>
        </w:rPr>
      </w:pPr>
      <w:r w:rsidRPr="003B6BE9">
        <w:rPr>
          <w:shd w:val="clear" w:color="auto" w:fill="FFFFFF"/>
          <w:lang w:val="en-US"/>
        </w:rPr>
        <w:t xml:space="preserve">Cho, S. C., Kim, B. N., Hong, Y. C., Shin, M. S., Yoo, H. J., Kim, J. W., ... Kim, H. W. (2010). Effect of environmental exposure to lead and tobacco smoke on inattentive and hyperactive symptoms and neurocognitive performance in children. </w:t>
      </w:r>
      <w:r w:rsidRPr="003B6BE9">
        <w:rPr>
          <w:i/>
          <w:iCs/>
          <w:lang w:val="en-US"/>
        </w:rPr>
        <w:t>Journal of Child Psychology and Psychiatry</w:t>
      </w:r>
      <w:r w:rsidRPr="003B6BE9">
        <w:rPr>
          <w:shd w:val="clear" w:color="auto" w:fill="FFFFFF"/>
          <w:lang w:val="en-US"/>
        </w:rPr>
        <w:t xml:space="preserve">, </w:t>
      </w:r>
      <w:r w:rsidRPr="003B6BE9">
        <w:rPr>
          <w:i/>
          <w:iCs/>
          <w:lang w:val="en-US"/>
        </w:rPr>
        <w:t>51</w:t>
      </w:r>
      <w:r w:rsidRPr="003B6BE9">
        <w:rPr>
          <w:shd w:val="clear" w:color="auto" w:fill="FFFFFF"/>
          <w:lang w:val="en-US"/>
        </w:rPr>
        <w:t>(9), 1050–1057.</w:t>
      </w:r>
      <w:r w:rsidRPr="003B6BE9">
        <w:rPr>
          <w:lang w:val="en-US"/>
        </w:rPr>
        <w:t xml:space="preserve"> </w:t>
      </w:r>
    </w:p>
    <w:p w14:paraId="11AB9800" w14:textId="77777777" w:rsidR="00AA5A29" w:rsidRPr="003B6BE9" w:rsidRDefault="00AA5A29" w:rsidP="00AA5A29">
      <w:pPr>
        <w:pStyle w:val="references"/>
        <w:rPr>
          <w:lang w:val="en-US"/>
        </w:rPr>
      </w:pPr>
      <w:r w:rsidRPr="003B6BE9">
        <w:rPr>
          <w:shd w:val="clear" w:color="auto" w:fill="FFFFFF"/>
          <w:lang w:val="en-US"/>
        </w:rPr>
        <w:lastRenderedPageBreak/>
        <w:t xml:space="preserve">Collett, B. R., Ohan, J. L., &amp; Myers, K. M. (2003). Ten-year review of rating scales. V: scales assessing attention-deficit/hyperactivity disorder. </w:t>
      </w:r>
      <w:r w:rsidRPr="003B6BE9">
        <w:rPr>
          <w:i/>
          <w:iCs/>
          <w:lang w:val="en-US"/>
        </w:rPr>
        <w:t>Journal of the American Academy of Child &amp; Adolescent Psychiatry</w:t>
      </w:r>
      <w:r w:rsidRPr="003B6BE9">
        <w:rPr>
          <w:shd w:val="clear" w:color="auto" w:fill="FFFFFF"/>
          <w:lang w:val="en-US"/>
        </w:rPr>
        <w:t xml:space="preserve">, </w:t>
      </w:r>
      <w:r w:rsidRPr="003B6BE9">
        <w:rPr>
          <w:i/>
          <w:iCs/>
          <w:lang w:val="en-US"/>
        </w:rPr>
        <w:t>42</w:t>
      </w:r>
      <w:r w:rsidRPr="003B6BE9">
        <w:rPr>
          <w:shd w:val="clear" w:color="auto" w:fill="FFFFFF"/>
          <w:lang w:val="en-US"/>
        </w:rPr>
        <w:t>(9), 1015–1037.</w:t>
      </w:r>
      <w:r w:rsidRPr="003B6BE9">
        <w:rPr>
          <w:lang w:val="en-US"/>
        </w:rPr>
        <w:t xml:space="preserve"> </w:t>
      </w:r>
    </w:p>
    <w:p w14:paraId="4BDE0F59" w14:textId="77777777" w:rsidR="00AA5A29" w:rsidRPr="003B6BE9" w:rsidRDefault="00AA5A29" w:rsidP="00AA5A29">
      <w:pPr>
        <w:pStyle w:val="references"/>
        <w:rPr>
          <w:shd w:val="clear" w:color="auto" w:fill="FFFFFF"/>
          <w:lang w:val="en-US"/>
        </w:rPr>
      </w:pPr>
      <w:r w:rsidRPr="003B6BE9">
        <w:rPr>
          <w:shd w:val="clear" w:color="auto" w:fill="FFFFFF"/>
        </w:rPr>
        <w:t xml:space="preserve">De Bildt, A., Sytema, S., Ketelaars, C., Kraijer, D., Mulder, E., Volkmar, F., &amp; Minderaa, R. (2004). </w:t>
      </w:r>
      <w:r w:rsidRPr="003B6BE9">
        <w:rPr>
          <w:shd w:val="clear" w:color="auto" w:fill="FFFFFF"/>
          <w:lang w:val="en-US"/>
        </w:rPr>
        <w:t>Interrelationship between autism diagnostic observation schedule-generic (ADOS-G), autism diagnostic interview-revised (ADI-R), and the diagnostic and statistical manual of mental disorders (DSM-IV-TR) classification in children and adolescents with mental retardation.</w:t>
      </w:r>
      <w:r w:rsidRPr="003B6BE9">
        <w:rPr>
          <w:rStyle w:val="apple-converted-space"/>
          <w:color w:val="222222"/>
          <w:sz w:val="28"/>
          <w:szCs w:val="28"/>
          <w:shd w:val="clear" w:color="auto" w:fill="FFFFFF"/>
          <w:lang w:val="en-US"/>
        </w:rPr>
        <w:t> </w:t>
      </w:r>
      <w:r w:rsidRPr="003B6BE9">
        <w:rPr>
          <w:i/>
          <w:iCs/>
          <w:lang w:val="en-US"/>
        </w:rPr>
        <w:t>Journal of autism and developmental disorders</w:t>
      </w:r>
      <w:r w:rsidRPr="003B6BE9">
        <w:rPr>
          <w:shd w:val="clear" w:color="auto" w:fill="FFFFFF"/>
          <w:lang w:val="en-US"/>
        </w:rPr>
        <w:t>,</w:t>
      </w:r>
      <w:r w:rsidRPr="003B6BE9">
        <w:rPr>
          <w:rStyle w:val="apple-converted-space"/>
          <w:color w:val="222222"/>
          <w:sz w:val="28"/>
          <w:szCs w:val="28"/>
          <w:shd w:val="clear" w:color="auto" w:fill="FFFFFF"/>
          <w:lang w:val="en-US"/>
        </w:rPr>
        <w:t> </w:t>
      </w:r>
      <w:r w:rsidRPr="003B6BE9">
        <w:rPr>
          <w:i/>
          <w:iCs/>
          <w:lang w:val="en-US"/>
        </w:rPr>
        <w:t>34</w:t>
      </w:r>
      <w:r w:rsidRPr="003B6BE9">
        <w:rPr>
          <w:shd w:val="clear" w:color="auto" w:fill="FFFFFF"/>
          <w:lang w:val="en-US"/>
        </w:rPr>
        <w:t xml:space="preserve">(2), 129-137. </w:t>
      </w:r>
    </w:p>
    <w:p w14:paraId="0C6E0647" w14:textId="77777777" w:rsidR="00AA5A29" w:rsidRPr="003B6BE9" w:rsidRDefault="00AA5A29" w:rsidP="00AA5A29">
      <w:pPr>
        <w:pStyle w:val="references"/>
        <w:rPr>
          <w:lang w:val="en-GB"/>
        </w:rPr>
      </w:pPr>
      <w:r w:rsidRPr="003B6BE9">
        <w:rPr>
          <w:shd w:val="clear" w:color="auto" w:fill="FFFFFF"/>
          <w:lang w:val="en-US"/>
        </w:rPr>
        <w:t>Dennis, M., Francis, D. J., Cirino, P. T., Schachar, R., Barnes, M. A., &amp; Fletcher, J. M. (2009). Why IQ is not a covariate in cognitive studies of neurodevelopmental disorders.</w:t>
      </w:r>
      <w:r w:rsidRPr="003B6BE9">
        <w:rPr>
          <w:rStyle w:val="apple-converted-space"/>
          <w:color w:val="222222"/>
          <w:sz w:val="28"/>
          <w:szCs w:val="28"/>
          <w:shd w:val="clear" w:color="auto" w:fill="FFFFFF"/>
          <w:lang w:val="en-US"/>
        </w:rPr>
        <w:t> </w:t>
      </w:r>
      <w:r w:rsidRPr="003B6BE9">
        <w:rPr>
          <w:i/>
          <w:iCs/>
          <w:lang w:val="en-US"/>
        </w:rPr>
        <w:t>Journal of the International Neuropsychological Society</w:t>
      </w:r>
      <w:r w:rsidRPr="003B6BE9">
        <w:rPr>
          <w:shd w:val="clear" w:color="auto" w:fill="FFFFFF"/>
          <w:lang w:val="en-US"/>
        </w:rPr>
        <w:t>,</w:t>
      </w:r>
      <w:r w:rsidRPr="003B6BE9">
        <w:rPr>
          <w:rStyle w:val="apple-converted-space"/>
          <w:color w:val="222222"/>
          <w:sz w:val="28"/>
          <w:szCs w:val="28"/>
          <w:shd w:val="clear" w:color="auto" w:fill="FFFFFF"/>
          <w:lang w:val="en-US"/>
        </w:rPr>
        <w:t> </w:t>
      </w:r>
      <w:r w:rsidRPr="003B6BE9">
        <w:rPr>
          <w:i/>
          <w:iCs/>
          <w:lang w:val="en-US"/>
        </w:rPr>
        <w:t>15</w:t>
      </w:r>
      <w:r w:rsidRPr="003B6BE9">
        <w:rPr>
          <w:shd w:val="clear" w:color="auto" w:fill="FFFFFF"/>
          <w:lang w:val="en-US"/>
        </w:rPr>
        <w:t>(3), 331-343.</w:t>
      </w:r>
      <w:r w:rsidRPr="003B6BE9">
        <w:rPr>
          <w:lang w:val="en-GB"/>
        </w:rPr>
        <w:t xml:space="preserve"> </w:t>
      </w:r>
    </w:p>
    <w:p w14:paraId="3BD44DE5" w14:textId="77777777" w:rsidR="00AA5A29" w:rsidRPr="003B6BE9" w:rsidRDefault="00AA5A29" w:rsidP="00AA5A29">
      <w:pPr>
        <w:pStyle w:val="references"/>
        <w:rPr>
          <w:color w:val="000000"/>
          <w:shd w:val="clear" w:color="auto" w:fill="FFFFFF"/>
          <w:lang w:val="en-US"/>
        </w:rPr>
      </w:pPr>
      <w:r w:rsidRPr="003B6BE9">
        <w:rPr>
          <w:color w:val="000000"/>
          <w:shd w:val="clear" w:color="auto" w:fill="FFFFFF"/>
          <w:lang w:val="en-US"/>
        </w:rPr>
        <w:t xml:space="preserve">Food Advisory Committee, U.S. Food and Drug </w:t>
      </w:r>
      <w:r w:rsidRPr="003B6BE9">
        <w:rPr>
          <w:color w:val="000000"/>
          <w:lang w:val="en-US"/>
        </w:rPr>
        <w:t xml:space="preserve">Administration. Interim Toxicology Review Memorandum, September 1, 2010: </w:t>
      </w:r>
      <w:commentRangeStart w:id="74"/>
      <w:r w:rsidRPr="003B6BE9">
        <w:rPr>
          <w:color w:val="000000"/>
          <w:lang w:val="en-US"/>
        </w:rPr>
        <w:t>Artificial Food Colors and ADHD in Childhood and Related Problem Behaviors.</w:t>
      </w:r>
      <w:commentRangeEnd w:id="74"/>
      <w:r w:rsidRPr="003B6BE9">
        <w:rPr>
          <w:rStyle w:val="CommentReference"/>
          <w:rFonts w:cstheme="minorBidi"/>
          <w:lang w:eastAsia="en-US"/>
        </w:rPr>
        <w:commentReference w:id="74"/>
      </w:r>
      <w:r w:rsidRPr="003B6BE9">
        <w:rPr>
          <w:color w:val="000000"/>
          <w:shd w:val="clear" w:color="auto" w:fill="FFFFFF"/>
          <w:lang w:val="en-US"/>
        </w:rPr>
        <w:t xml:space="preserve"> Washington, D.C.: Department of Health &amp; Human Services; 2011.</w:t>
      </w:r>
    </w:p>
    <w:p w14:paraId="60B9B4D2" w14:textId="77777777" w:rsidR="00AA5A29" w:rsidRPr="003B6BE9" w:rsidRDefault="00AA5A29" w:rsidP="00AA5A29">
      <w:pPr>
        <w:pStyle w:val="references"/>
        <w:rPr>
          <w:shd w:val="clear" w:color="auto" w:fill="FFFFFF"/>
          <w:lang w:val="en-US"/>
        </w:rPr>
      </w:pPr>
      <w:r w:rsidRPr="003B6BE9">
        <w:rPr>
          <w:shd w:val="clear" w:color="auto" w:fill="FFFFFF"/>
          <w:lang w:val="en-US"/>
        </w:rPr>
        <w:t xml:space="preserve">Cortese, S., Imperati, D., Zhou, J., Proal, E., Klein, R. G., Mannuzza, S., ... Castellanos, F. X. (2013). White matter alterations at 33-year follow-up in adults with childhood attention-deficit/hyperactivity disorder. </w:t>
      </w:r>
      <w:r w:rsidRPr="003B6BE9">
        <w:rPr>
          <w:i/>
          <w:iCs/>
          <w:lang w:val="en-US"/>
        </w:rPr>
        <w:t>Biological Psychiatry</w:t>
      </w:r>
      <w:r w:rsidRPr="003B6BE9">
        <w:rPr>
          <w:shd w:val="clear" w:color="auto" w:fill="FFFFFF"/>
          <w:lang w:val="en-US"/>
        </w:rPr>
        <w:t xml:space="preserve">, </w:t>
      </w:r>
      <w:r w:rsidRPr="003B6BE9">
        <w:rPr>
          <w:i/>
          <w:iCs/>
          <w:lang w:val="en-US"/>
        </w:rPr>
        <w:t>74</w:t>
      </w:r>
      <w:r w:rsidRPr="003B6BE9">
        <w:rPr>
          <w:shd w:val="clear" w:color="auto" w:fill="FFFFFF"/>
          <w:lang w:val="en-US"/>
        </w:rPr>
        <w:t xml:space="preserve">(8), 591–598. </w:t>
      </w:r>
    </w:p>
    <w:p w14:paraId="6B3FA5A7" w14:textId="77777777" w:rsidR="00AA5A29" w:rsidRPr="003B6BE9" w:rsidRDefault="00AA5A29" w:rsidP="00AA5A29">
      <w:pPr>
        <w:pStyle w:val="references"/>
        <w:rPr>
          <w:shd w:val="clear" w:color="auto" w:fill="FFFFFF"/>
          <w:lang w:val="en-US"/>
        </w:rPr>
      </w:pPr>
      <w:r w:rsidRPr="003B6BE9">
        <w:rPr>
          <w:shd w:val="clear" w:color="auto" w:fill="FFFFFF"/>
          <w:lang w:val="en-US"/>
        </w:rPr>
        <w:t xml:space="preserve">Courchesne, E., Lincoln, A. J., Kilman, B. A., &amp; Galambos, R. (1985). Event-related brain potential correlates of the processing of novel visual and auditory information in autism. </w:t>
      </w:r>
      <w:r w:rsidRPr="003B6BE9">
        <w:rPr>
          <w:i/>
          <w:iCs/>
          <w:lang w:val="en-US"/>
        </w:rPr>
        <w:t>Journal of Autism and Developmental Disorders</w:t>
      </w:r>
      <w:r w:rsidRPr="003B6BE9">
        <w:rPr>
          <w:shd w:val="clear" w:color="auto" w:fill="FFFFFF"/>
          <w:lang w:val="en-US"/>
        </w:rPr>
        <w:t xml:space="preserve">, </w:t>
      </w:r>
      <w:r w:rsidRPr="003B6BE9">
        <w:rPr>
          <w:i/>
          <w:iCs/>
          <w:lang w:val="en-US"/>
        </w:rPr>
        <w:t>15</w:t>
      </w:r>
      <w:r w:rsidRPr="003B6BE9">
        <w:rPr>
          <w:shd w:val="clear" w:color="auto" w:fill="FFFFFF"/>
          <w:lang w:val="en-US"/>
        </w:rPr>
        <w:t xml:space="preserve">(1), 55–76. </w:t>
      </w:r>
    </w:p>
    <w:p w14:paraId="64C0F067" w14:textId="77777777" w:rsidR="00AA5A29" w:rsidRPr="003B6BE9" w:rsidRDefault="00AA5A29" w:rsidP="00AA5A29">
      <w:pPr>
        <w:pStyle w:val="references"/>
        <w:rPr>
          <w:rFonts w:eastAsia="MS Mincho"/>
          <w:color w:val="000000"/>
          <w:lang w:val="en-US"/>
        </w:rPr>
      </w:pPr>
      <w:r w:rsidRPr="003B6BE9">
        <w:rPr>
          <w:color w:val="000000"/>
          <w:lang w:val="en-US"/>
        </w:rPr>
        <w:t xml:space="preserve">Dabbous, A. O. (2012). Characteristics of auditory brainstem response latencies in children with autism spectrum disorders. </w:t>
      </w:r>
      <w:r w:rsidRPr="003B6BE9">
        <w:rPr>
          <w:i/>
          <w:iCs/>
          <w:color w:val="000000"/>
          <w:lang w:val="en-US"/>
        </w:rPr>
        <w:t>Audiological Medicine</w:t>
      </w:r>
      <w:r w:rsidRPr="003B6BE9">
        <w:rPr>
          <w:iCs/>
          <w:color w:val="000000"/>
          <w:lang w:val="en-US"/>
        </w:rPr>
        <w:t>,</w:t>
      </w:r>
      <w:r w:rsidRPr="003B6BE9">
        <w:rPr>
          <w:i/>
          <w:iCs/>
          <w:color w:val="000000"/>
          <w:lang w:val="en-US"/>
        </w:rPr>
        <w:t xml:space="preserve"> 10</w:t>
      </w:r>
      <w:r w:rsidRPr="003B6BE9">
        <w:rPr>
          <w:color w:val="000000"/>
          <w:lang w:val="en-US"/>
        </w:rPr>
        <w:t xml:space="preserve">(3), 122–131. </w:t>
      </w:r>
      <w:r w:rsidRPr="003B6BE9">
        <w:rPr>
          <w:rFonts w:eastAsia="MS Mincho"/>
          <w:color w:val="000000"/>
          <w:lang w:val="en-US"/>
        </w:rPr>
        <w:t xml:space="preserve"> </w:t>
      </w:r>
    </w:p>
    <w:p w14:paraId="45247C09" w14:textId="77777777" w:rsidR="00AA5A29" w:rsidRPr="003B6BE9" w:rsidRDefault="00AA5A29" w:rsidP="00AA5A29">
      <w:pPr>
        <w:pStyle w:val="references"/>
        <w:rPr>
          <w:shd w:val="clear" w:color="auto" w:fill="FFFFFF"/>
          <w:lang w:val="en-US"/>
        </w:rPr>
      </w:pPr>
      <w:r w:rsidRPr="003B6BE9">
        <w:rPr>
          <w:shd w:val="clear" w:color="auto" w:fill="FFFFFF"/>
          <w:lang w:val="en-US"/>
        </w:rPr>
        <w:t xml:space="preserve">de Almeida Ribeiro, P. R., Brasil, F. L., Witkowski, M., Shiman, F., Cipriani, C., Vitiello, N., ... Soekadar, S. R. (2013). Controlling assistive machines in paralysis using brain waves and other biosignals. </w:t>
      </w:r>
      <w:r w:rsidRPr="003B6BE9">
        <w:rPr>
          <w:i/>
          <w:iCs/>
          <w:lang w:val="en-US"/>
        </w:rPr>
        <w:t>Advances in Human-Computer Interaction</w:t>
      </w:r>
      <w:r w:rsidRPr="003B6BE9">
        <w:rPr>
          <w:shd w:val="clear" w:color="auto" w:fill="FFFFFF"/>
          <w:lang w:val="en-US"/>
        </w:rPr>
        <w:t xml:space="preserve">, </w:t>
      </w:r>
      <w:r w:rsidRPr="003B6BE9">
        <w:rPr>
          <w:i/>
          <w:iCs/>
          <w:lang w:val="en-US"/>
        </w:rPr>
        <w:t>2013</w:t>
      </w:r>
      <w:r w:rsidRPr="003B6BE9">
        <w:rPr>
          <w:shd w:val="clear" w:color="auto" w:fill="FFFFFF"/>
          <w:lang w:val="en-US"/>
        </w:rPr>
        <w:t xml:space="preserve">, 3. </w:t>
      </w:r>
    </w:p>
    <w:p w14:paraId="471F90CD" w14:textId="77777777" w:rsidR="00AA5A29" w:rsidRPr="003B6BE9" w:rsidRDefault="00AA5A29" w:rsidP="00AA5A29">
      <w:pPr>
        <w:pStyle w:val="references"/>
        <w:rPr>
          <w:shd w:val="clear" w:color="auto" w:fill="FFFFFF"/>
          <w:lang w:val="en-US"/>
        </w:rPr>
      </w:pPr>
      <w:r w:rsidRPr="003B6BE9">
        <w:rPr>
          <w:shd w:val="clear" w:color="auto" w:fill="FFFFFF"/>
          <w:lang w:val="en-US"/>
        </w:rPr>
        <w:t xml:space="preserve">Dehan, C. P., &amp; Jerger, J. (1990). Analysis of gender differences in the auditory brainstem response. </w:t>
      </w:r>
      <w:r w:rsidRPr="003B6BE9">
        <w:rPr>
          <w:i/>
          <w:iCs/>
          <w:lang w:val="en-US"/>
        </w:rPr>
        <w:t>The Laryngoscope</w:t>
      </w:r>
      <w:r w:rsidRPr="003B6BE9">
        <w:rPr>
          <w:shd w:val="clear" w:color="auto" w:fill="FFFFFF"/>
          <w:lang w:val="en-US"/>
        </w:rPr>
        <w:t xml:space="preserve">, </w:t>
      </w:r>
      <w:r w:rsidRPr="003B6BE9">
        <w:rPr>
          <w:i/>
          <w:iCs/>
          <w:lang w:val="en-US"/>
        </w:rPr>
        <w:t>100</w:t>
      </w:r>
      <w:r w:rsidRPr="003B6BE9">
        <w:rPr>
          <w:shd w:val="clear" w:color="auto" w:fill="FFFFFF"/>
          <w:lang w:val="en-US"/>
        </w:rPr>
        <w:t xml:space="preserve">(1), 18–24. </w:t>
      </w:r>
    </w:p>
    <w:p w14:paraId="082F378A" w14:textId="77777777" w:rsidR="00AA5A29" w:rsidRPr="003B6BE9" w:rsidRDefault="00AA5A29" w:rsidP="00AA5A29">
      <w:pPr>
        <w:pStyle w:val="references"/>
        <w:rPr>
          <w:lang w:val="en-GB"/>
        </w:rPr>
      </w:pPr>
      <w:r w:rsidRPr="00860AAD">
        <w:rPr>
          <w:shd w:val="clear" w:color="auto" w:fill="FFFFFF"/>
          <w:lang w:val="en-GB"/>
        </w:rPr>
        <w:t xml:space="preserve">De la Fuente, J. M., Bengoetxea, E., Navarro, F., Bobes, J., &amp; Alarcón, R. D. (2011). </w:t>
      </w:r>
      <w:r w:rsidRPr="003B6BE9">
        <w:rPr>
          <w:shd w:val="clear" w:color="auto" w:fill="FFFFFF"/>
          <w:lang w:val="en-US"/>
        </w:rPr>
        <w:t>Interconnection between biological abnormalities in borderline personality disorder: use of the Bayesian networks model.</w:t>
      </w:r>
      <w:r w:rsidRPr="003B6BE9">
        <w:rPr>
          <w:rStyle w:val="apple-converted-space"/>
          <w:color w:val="222222"/>
          <w:sz w:val="28"/>
          <w:szCs w:val="28"/>
          <w:shd w:val="clear" w:color="auto" w:fill="FFFFFF"/>
          <w:lang w:val="en-US"/>
        </w:rPr>
        <w:t> </w:t>
      </w:r>
      <w:r w:rsidRPr="003B6BE9">
        <w:rPr>
          <w:i/>
          <w:iCs/>
          <w:lang w:val="en-US"/>
        </w:rPr>
        <w:t>Psychiatry research</w:t>
      </w:r>
      <w:r w:rsidRPr="003B6BE9">
        <w:rPr>
          <w:shd w:val="clear" w:color="auto" w:fill="FFFFFF"/>
          <w:lang w:val="en-US"/>
        </w:rPr>
        <w:t>,</w:t>
      </w:r>
      <w:r w:rsidRPr="003B6BE9">
        <w:rPr>
          <w:rStyle w:val="apple-converted-space"/>
          <w:color w:val="222222"/>
          <w:sz w:val="28"/>
          <w:szCs w:val="28"/>
          <w:shd w:val="clear" w:color="auto" w:fill="FFFFFF"/>
          <w:lang w:val="en-US"/>
        </w:rPr>
        <w:t> </w:t>
      </w:r>
      <w:r w:rsidRPr="003B6BE9">
        <w:rPr>
          <w:i/>
          <w:iCs/>
          <w:lang w:val="en-US"/>
        </w:rPr>
        <w:t>186</w:t>
      </w:r>
      <w:r w:rsidRPr="003B6BE9">
        <w:rPr>
          <w:shd w:val="clear" w:color="auto" w:fill="FFFFFF"/>
          <w:lang w:val="en-US"/>
        </w:rPr>
        <w:t>(2), 315-319.</w:t>
      </w:r>
      <w:r w:rsidRPr="003B6BE9">
        <w:rPr>
          <w:lang w:val="en-GB"/>
        </w:rPr>
        <w:t xml:space="preserve"> </w:t>
      </w:r>
    </w:p>
    <w:p w14:paraId="4FA8BDE6" w14:textId="77777777" w:rsidR="00AA5A29" w:rsidRPr="003B6BE9" w:rsidRDefault="00AA5A29" w:rsidP="00AA5A29">
      <w:pPr>
        <w:pStyle w:val="references"/>
        <w:rPr>
          <w:shd w:val="clear" w:color="auto" w:fill="FFFFFF"/>
          <w:lang w:val="en-US"/>
        </w:rPr>
      </w:pPr>
      <w:r w:rsidRPr="00860AAD">
        <w:rPr>
          <w:shd w:val="clear" w:color="auto" w:fill="FFFFFF"/>
          <w:lang w:val="en-US"/>
        </w:rPr>
        <w:t xml:space="preserve">De Luca, C. R., Wood, S. J., Anderson, V., Buchanan, J. A., Proffitt, T. M., Mahony, K., &amp; Pantelis, C. (2003). </w:t>
      </w:r>
      <w:r w:rsidRPr="003B6BE9">
        <w:rPr>
          <w:shd w:val="clear" w:color="auto" w:fill="FFFFFF"/>
          <w:lang w:val="en-US"/>
        </w:rPr>
        <w:t xml:space="preserve">Normative data from the CANTAB. I: development of executive function over the lifespan. </w:t>
      </w:r>
      <w:r w:rsidRPr="003B6BE9">
        <w:rPr>
          <w:i/>
          <w:iCs/>
          <w:lang w:val="en-US"/>
        </w:rPr>
        <w:t>Journal of Clinical and Experimental Neuropsychology</w:t>
      </w:r>
      <w:r w:rsidRPr="003B6BE9">
        <w:rPr>
          <w:shd w:val="clear" w:color="auto" w:fill="FFFFFF"/>
          <w:lang w:val="en-US"/>
        </w:rPr>
        <w:t xml:space="preserve">, </w:t>
      </w:r>
      <w:r w:rsidRPr="003B6BE9">
        <w:rPr>
          <w:i/>
          <w:iCs/>
          <w:lang w:val="en-US"/>
        </w:rPr>
        <w:t>25</w:t>
      </w:r>
      <w:r w:rsidRPr="003B6BE9">
        <w:rPr>
          <w:shd w:val="clear" w:color="auto" w:fill="FFFFFF"/>
          <w:lang w:val="en-US"/>
        </w:rPr>
        <w:t>(2), 242–254.</w:t>
      </w:r>
    </w:p>
    <w:p w14:paraId="3A9FD222" w14:textId="77777777" w:rsidR="00AA5A29" w:rsidRPr="003B6BE9" w:rsidRDefault="00AA5A29" w:rsidP="00AA5A29">
      <w:pPr>
        <w:pStyle w:val="references"/>
        <w:rPr>
          <w:lang w:val="en-GB"/>
        </w:rPr>
      </w:pPr>
      <w:r w:rsidRPr="003B6BE9">
        <w:rPr>
          <w:shd w:val="clear" w:color="auto" w:fill="FFFFFF"/>
          <w:lang w:val="en-US"/>
        </w:rPr>
        <w:lastRenderedPageBreak/>
        <w:t>Devilbiss, D. M., &amp; Berridge, C. W. (2006). Low-dose methylphenidate actions on tonic and phasic locus coeruleus discharge.</w:t>
      </w:r>
      <w:r w:rsidRPr="003B6BE9">
        <w:rPr>
          <w:rStyle w:val="apple-converted-space"/>
          <w:color w:val="222222"/>
          <w:sz w:val="28"/>
          <w:szCs w:val="28"/>
          <w:shd w:val="clear" w:color="auto" w:fill="FFFFFF"/>
          <w:lang w:val="en-US"/>
        </w:rPr>
        <w:t> </w:t>
      </w:r>
      <w:r w:rsidRPr="003B6BE9">
        <w:rPr>
          <w:i/>
          <w:iCs/>
          <w:lang w:val="en-US"/>
        </w:rPr>
        <w:t>Journal of Pharmacology and Experimental Therapeutics</w:t>
      </w:r>
      <w:r w:rsidRPr="003B6BE9">
        <w:rPr>
          <w:shd w:val="clear" w:color="auto" w:fill="FFFFFF"/>
          <w:lang w:val="en-US"/>
        </w:rPr>
        <w:t>,</w:t>
      </w:r>
      <w:r w:rsidRPr="003B6BE9">
        <w:rPr>
          <w:rStyle w:val="apple-converted-space"/>
          <w:color w:val="222222"/>
          <w:sz w:val="28"/>
          <w:szCs w:val="28"/>
          <w:shd w:val="clear" w:color="auto" w:fill="FFFFFF"/>
          <w:lang w:val="en-US"/>
        </w:rPr>
        <w:t> </w:t>
      </w:r>
      <w:r w:rsidRPr="003B6BE9">
        <w:rPr>
          <w:i/>
          <w:iCs/>
          <w:lang w:val="en-US"/>
        </w:rPr>
        <w:t>319</w:t>
      </w:r>
      <w:r w:rsidRPr="003B6BE9">
        <w:rPr>
          <w:shd w:val="clear" w:color="auto" w:fill="FFFFFF"/>
          <w:lang w:val="en-US"/>
        </w:rPr>
        <w:t>(3), 1327-1335.</w:t>
      </w:r>
      <w:r w:rsidRPr="003B6BE9">
        <w:rPr>
          <w:lang w:val="en-GB"/>
        </w:rPr>
        <w:t xml:space="preserve"> </w:t>
      </w:r>
    </w:p>
    <w:p w14:paraId="4ABAFBA0" w14:textId="77777777" w:rsidR="00AA5A29" w:rsidRPr="003B6BE9" w:rsidRDefault="00AA5A29" w:rsidP="00AA5A29">
      <w:pPr>
        <w:pStyle w:val="references"/>
        <w:rPr>
          <w:color w:val="000000"/>
          <w:lang w:val="en-US"/>
        </w:rPr>
      </w:pPr>
      <w:r w:rsidRPr="003B6BE9">
        <w:rPr>
          <w:color w:val="000000"/>
          <w:lang w:val="en-US"/>
        </w:rPr>
        <w:t>Di Martino, A., Kelly, C., Grzadzinski, R., Zuo, X. N., Mennes, M., Mairena, M. A.,</w:t>
      </w:r>
      <w:r w:rsidRPr="003B6BE9" w:rsidDel="003B423C">
        <w:rPr>
          <w:color w:val="000000"/>
          <w:lang w:val="en-US"/>
        </w:rPr>
        <w:t xml:space="preserve"> </w:t>
      </w:r>
      <w:r w:rsidRPr="003B6BE9">
        <w:rPr>
          <w:color w:val="000000"/>
          <w:lang w:val="en-US"/>
        </w:rPr>
        <w:t xml:space="preserve">… Milham, M. P. (2011). Aberrant striatal functional connectivity in children with autism. </w:t>
      </w:r>
      <w:r w:rsidRPr="003B6BE9">
        <w:rPr>
          <w:i/>
          <w:color w:val="000000"/>
          <w:lang w:val="en-US"/>
        </w:rPr>
        <w:t>Biological Psychiatry</w:t>
      </w:r>
      <w:r w:rsidRPr="003B6BE9">
        <w:rPr>
          <w:color w:val="000000"/>
          <w:lang w:val="en-US"/>
        </w:rPr>
        <w:t>,</w:t>
      </w:r>
      <w:r w:rsidRPr="003B6BE9">
        <w:rPr>
          <w:i/>
          <w:color w:val="000000"/>
          <w:lang w:val="en-US"/>
        </w:rPr>
        <w:t xml:space="preserve"> 69</w:t>
      </w:r>
      <w:r w:rsidRPr="003B6BE9">
        <w:rPr>
          <w:color w:val="000000"/>
          <w:lang w:val="en-US"/>
        </w:rPr>
        <w:t xml:space="preserve">(9), 847–856. </w:t>
      </w:r>
    </w:p>
    <w:p w14:paraId="6A2844BD" w14:textId="77777777" w:rsidR="00AA5A29" w:rsidRPr="003B6BE9" w:rsidRDefault="00AA5A29" w:rsidP="00AA5A29">
      <w:pPr>
        <w:pStyle w:val="references"/>
        <w:rPr>
          <w:shd w:val="clear" w:color="auto" w:fill="FFFFFF"/>
          <w:lang w:val="en-US"/>
        </w:rPr>
      </w:pPr>
      <w:r w:rsidRPr="003B6BE9">
        <w:rPr>
          <w:shd w:val="clear" w:color="auto" w:fill="FFFFFF"/>
          <w:lang w:val="en-US"/>
        </w:rPr>
        <w:t>Dickstein, S. G., Bannon, K., Xavier Castellanos, F., &amp; Milham, M. P. (2006). The neural correlates of attention deficit hyperactivity disorder: An ALE meta</w:t>
      </w:r>
      <w:r w:rsidRPr="003B6BE9">
        <w:rPr>
          <w:rFonts w:ascii="Cambria Math" w:eastAsia="Calibri" w:hAnsi="Cambria Math" w:cs="Cambria Math"/>
          <w:shd w:val="clear" w:color="auto" w:fill="FFFFFF"/>
          <w:lang w:val="en-US"/>
        </w:rPr>
        <w:t>‐</w:t>
      </w:r>
      <w:r w:rsidRPr="003B6BE9">
        <w:rPr>
          <w:shd w:val="clear" w:color="auto" w:fill="FFFFFF"/>
          <w:lang w:val="en-US"/>
        </w:rPr>
        <w:t xml:space="preserve">analysis. </w:t>
      </w:r>
      <w:r w:rsidRPr="003B6BE9">
        <w:rPr>
          <w:i/>
          <w:iCs/>
          <w:lang w:val="en-US"/>
        </w:rPr>
        <w:t>Journal of Child Psychology and Psychiatry</w:t>
      </w:r>
      <w:r w:rsidRPr="003B6BE9">
        <w:rPr>
          <w:shd w:val="clear" w:color="auto" w:fill="FFFFFF"/>
          <w:lang w:val="en-US"/>
        </w:rPr>
        <w:t xml:space="preserve">, </w:t>
      </w:r>
      <w:r w:rsidRPr="003B6BE9">
        <w:rPr>
          <w:i/>
          <w:iCs/>
          <w:lang w:val="en-US"/>
        </w:rPr>
        <w:t>47</w:t>
      </w:r>
      <w:r w:rsidRPr="003B6BE9">
        <w:rPr>
          <w:shd w:val="clear" w:color="auto" w:fill="FFFFFF"/>
          <w:lang w:val="en-US"/>
        </w:rPr>
        <w:t xml:space="preserve">(10), 1051–1062. </w:t>
      </w:r>
    </w:p>
    <w:p w14:paraId="6987A7F8" w14:textId="77777777" w:rsidR="00AA5A29" w:rsidRPr="003B6BE9" w:rsidRDefault="00AA5A29" w:rsidP="00AA5A29">
      <w:pPr>
        <w:pStyle w:val="references"/>
        <w:rPr>
          <w:shd w:val="clear" w:color="auto" w:fill="FFFFFF"/>
        </w:rPr>
      </w:pPr>
      <w:r w:rsidRPr="003B6BE9">
        <w:rPr>
          <w:shd w:val="clear" w:color="auto" w:fill="FFFFFF"/>
          <w:lang w:val="en-US"/>
        </w:rPr>
        <w:t xml:space="preserve">Dooley, J. M. (2006). Tic disorders in childhood. </w:t>
      </w:r>
      <w:r w:rsidRPr="003B6BE9">
        <w:rPr>
          <w:i/>
          <w:iCs/>
        </w:rPr>
        <w:t>Seminars in Pediatric Neurology</w:t>
      </w:r>
      <w:r w:rsidRPr="003B6BE9">
        <w:rPr>
          <w:iCs/>
        </w:rPr>
        <w:t>,</w:t>
      </w:r>
      <w:r w:rsidRPr="003B6BE9">
        <w:rPr>
          <w:shd w:val="clear" w:color="auto" w:fill="FFFFFF"/>
        </w:rPr>
        <w:t xml:space="preserve"> </w:t>
      </w:r>
      <w:r w:rsidRPr="003B6BE9">
        <w:rPr>
          <w:i/>
          <w:shd w:val="clear" w:color="auto" w:fill="FFFFFF"/>
        </w:rPr>
        <w:t>13</w:t>
      </w:r>
      <w:r w:rsidRPr="003B6BE9">
        <w:rPr>
          <w:shd w:val="clear" w:color="auto" w:fill="FFFFFF"/>
        </w:rPr>
        <w:t xml:space="preserve">(4), 231–242. </w:t>
      </w:r>
    </w:p>
    <w:p w14:paraId="06B9F48C" w14:textId="77777777" w:rsidR="00AA5A29" w:rsidRPr="003B6BE9" w:rsidRDefault="00AA5A29" w:rsidP="00AA5A29">
      <w:pPr>
        <w:pStyle w:val="references"/>
        <w:rPr>
          <w:shd w:val="clear" w:color="auto" w:fill="FFFFFF"/>
        </w:rPr>
      </w:pPr>
      <w:r w:rsidRPr="003B6BE9">
        <w:rPr>
          <w:shd w:val="clear" w:color="auto" w:fill="FFFFFF"/>
        </w:rPr>
        <w:t xml:space="preserve">Dunerfeldt, M., Elmund, A. M. R., &amp; Söderström, B. (2010). </w:t>
      </w:r>
      <w:commentRangeStart w:id="75"/>
      <w:r w:rsidRPr="003B6BE9">
        <w:rPr>
          <w:i/>
          <w:iCs/>
        </w:rPr>
        <w:t>Bedömningsinstrument inom BUP i Stockholm: Kartläggning och faktasammanställning</w:t>
      </w:r>
      <w:r w:rsidRPr="003B6BE9">
        <w:rPr>
          <w:shd w:val="clear" w:color="auto" w:fill="FFFFFF"/>
        </w:rPr>
        <w:t>. Barn-och ungdomspsykiatri, Stockholms läns landsting.</w:t>
      </w:r>
      <w:commentRangeEnd w:id="75"/>
      <w:r w:rsidRPr="003B6BE9">
        <w:rPr>
          <w:rStyle w:val="CommentReference"/>
          <w:rFonts w:cstheme="minorBidi"/>
          <w:lang w:eastAsia="en-US"/>
        </w:rPr>
        <w:commentReference w:id="75"/>
      </w:r>
      <w:r w:rsidRPr="003B6BE9">
        <w:rPr>
          <w:shd w:val="clear" w:color="auto" w:fill="FFFFFF"/>
        </w:rPr>
        <w:t xml:space="preserve"> </w:t>
      </w:r>
    </w:p>
    <w:p w14:paraId="140676A4" w14:textId="77777777" w:rsidR="00AA5A29" w:rsidRPr="003B6BE9" w:rsidRDefault="00AA5A29" w:rsidP="00AA5A29">
      <w:pPr>
        <w:pStyle w:val="references"/>
        <w:rPr>
          <w:lang w:val="en-US"/>
        </w:rPr>
      </w:pPr>
      <w:commentRangeStart w:id="76"/>
      <w:r w:rsidRPr="003B6BE9">
        <w:t xml:space="preserve">Durrant, J. D., Sabo, D. L., &amp; Hyre, R. J. (1990). </w:t>
      </w:r>
      <w:r w:rsidRPr="003B6BE9">
        <w:rPr>
          <w:lang w:val="en-US"/>
        </w:rPr>
        <w:t>Gender, head size, and ABRs examined in large clinical sample.</w:t>
      </w:r>
      <w:r w:rsidRPr="003B6BE9">
        <w:rPr>
          <w:rStyle w:val="apple-converted-space"/>
          <w:color w:val="222222"/>
          <w:sz w:val="28"/>
          <w:szCs w:val="28"/>
          <w:lang w:val="en-US"/>
        </w:rPr>
        <w:t xml:space="preserve"> </w:t>
      </w:r>
      <w:r w:rsidRPr="003B6BE9">
        <w:rPr>
          <w:i/>
          <w:iCs/>
          <w:lang w:val="en-US"/>
        </w:rPr>
        <w:t>Ear and Hearing</w:t>
      </w:r>
      <w:r w:rsidRPr="003B6BE9">
        <w:rPr>
          <w:lang w:val="en-US"/>
        </w:rPr>
        <w:t>,</w:t>
      </w:r>
      <w:r w:rsidRPr="003B6BE9">
        <w:rPr>
          <w:rStyle w:val="apple-converted-space"/>
          <w:color w:val="222222"/>
          <w:sz w:val="28"/>
          <w:szCs w:val="28"/>
          <w:lang w:val="en-US"/>
        </w:rPr>
        <w:t xml:space="preserve"> </w:t>
      </w:r>
      <w:r w:rsidRPr="003B6BE9">
        <w:rPr>
          <w:i/>
          <w:iCs/>
          <w:lang w:val="en-US"/>
        </w:rPr>
        <w:t>11</w:t>
      </w:r>
      <w:r w:rsidRPr="003B6BE9">
        <w:rPr>
          <w:lang w:val="en-US"/>
        </w:rPr>
        <w:t>(3), 210–214.</w:t>
      </w:r>
      <w:commentRangeEnd w:id="76"/>
      <w:r w:rsidRPr="003B6BE9">
        <w:rPr>
          <w:rStyle w:val="CommentReference"/>
          <w:rFonts w:cstheme="minorBidi"/>
          <w:lang w:eastAsia="en-US"/>
        </w:rPr>
        <w:commentReference w:id="76"/>
      </w:r>
      <w:r w:rsidRPr="003B6BE9">
        <w:rPr>
          <w:lang w:val="en-US"/>
        </w:rPr>
        <w:t xml:space="preserve"> </w:t>
      </w:r>
    </w:p>
    <w:p w14:paraId="08FB1443" w14:textId="77777777" w:rsidR="00AA5A29" w:rsidRPr="003B6BE9" w:rsidRDefault="00AA5A29" w:rsidP="00AA5A29">
      <w:pPr>
        <w:pStyle w:val="references"/>
        <w:rPr>
          <w:lang w:val="en-US"/>
        </w:rPr>
      </w:pPr>
      <w:r w:rsidRPr="003B6BE9">
        <w:rPr>
          <w:shd w:val="clear" w:color="auto" w:fill="FFFFFF"/>
          <w:lang w:val="en-US"/>
        </w:rPr>
        <w:t xml:space="preserve">Durston, S., &amp; Casey, B. J. (2006). What have we learned about cognitive development from neuroimaging? </w:t>
      </w:r>
      <w:r w:rsidRPr="003B6BE9">
        <w:rPr>
          <w:i/>
          <w:iCs/>
          <w:lang w:val="en-US"/>
        </w:rPr>
        <w:t>Neuropsychologia</w:t>
      </w:r>
      <w:r w:rsidRPr="003B6BE9">
        <w:rPr>
          <w:shd w:val="clear" w:color="auto" w:fill="FFFFFF"/>
          <w:lang w:val="en-US"/>
        </w:rPr>
        <w:t xml:space="preserve">, </w:t>
      </w:r>
      <w:r w:rsidRPr="003B6BE9">
        <w:rPr>
          <w:i/>
          <w:iCs/>
          <w:lang w:val="en-US"/>
        </w:rPr>
        <w:t>44</w:t>
      </w:r>
      <w:r w:rsidRPr="003B6BE9">
        <w:rPr>
          <w:shd w:val="clear" w:color="auto" w:fill="FFFFFF"/>
          <w:lang w:val="en-US"/>
        </w:rPr>
        <w:t>(11), 2149–2157.</w:t>
      </w:r>
      <w:r w:rsidRPr="003B6BE9">
        <w:rPr>
          <w:lang w:val="en-US"/>
        </w:rPr>
        <w:t xml:space="preserve"> </w:t>
      </w:r>
    </w:p>
    <w:p w14:paraId="27FF10A3" w14:textId="77777777" w:rsidR="00AA5A29" w:rsidRPr="003B6BE9" w:rsidRDefault="00AA5A29" w:rsidP="00AA5A29">
      <w:pPr>
        <w:pStyle w:val="references"/>
        <w:rPr>
          <w:lang w:val="en-US"/>
        </w:rPr>
      </w:pPr>
      <w:r w:rsidRPr="003B6BE9">
        <w:rPr>
          <w:shd w:val="clear" w:color="auto" w:fill="FFFFFF"/>
          <w:lang w:val="en-US"/>
        </w:rPr>
        <w:t xml:space="preserve">Faraone, S. V., Biederman, J., &amp; Mick, E. (2006). The age-dependent decline of attention deficit hyperactivity disorder: A meta-analysis of follow-up studies. </w:t>
      </w:r>
      <w:r w:rsidRPr="003B6BE9">
        <w:rPr>
          <w:i/>
          <w:iCs/>
          <w:lang w:val="en-US"/>
        </w:rPr>
        <w:t>Psychological Medicine</w:t>
      </w:r>
      <w:r w:rsidRPr="003B6BE9">
        <w:rPr>
          <w:shd w:val="clear" w:color="auto" w:fill="FFFFFF"/>
          <w:lang w:val="en-US"/>
        </w:rPr>
        <w:t xml:space="preserve">, </w:t>
      </w:r>
      <w:r w:rsidRPr="003B6BE9">
        <w:rPr>
          <w:i/>
          <w:iCs/>
          <w:lang w:val="en-US"/>
        </w:rPr>
        <w:t>36</w:t>
      </w:r>
      <w:r w:rsidRPr="003B6BE9">
        <w:rPr>
          <w:shd w:val="clear" w:color="auto" w:fill="FFFFFF"/>
          <w:lang w:val="en-US"/>
        </w:rPr>
        <w:t>(2), 159–165.</w:t>
      </w:r>
      <w:r w:rsidRPr="003B6BE9">
        <w:rPr>
          <w:lang w:val="en-US"/>
        </w:rPr>
        <w:t xml:space="preserve"> </w:t>
      </w:r>
    </w:p>
    <w:p w14:paraId="223DB38B" w14:textId="77777777" w:rsidR="00AA5A29" w:rsidRPr="003B6BE9" w:rsidRDefault="00AA5A29" w:rsidP="00AA5A29">
      <w:pPr>
        <w:pStyle w:val="references"/>
        <w:rPr>
          <w:lang w:val="en-US"/>
        </w:rPr>
      </w:pPr>
      <w:r w:rsidRPr="003B6BE9">
        <w:rPr>
          <w:shd w:val="clear" w:color="auto" w:fill="FFFFFF"/>
          <w:lang w:val="en-US"/>
        </w:rPr>
        <w:t xml:space="preserve">Faraone, S. V., Perlis, R. H., Doyle, A. E., Smoller, J. W., Goralnick, J. J., Holmgren, M. A., &amp; Sklar, P. (2005). Molecular genetics of attention-deficit/hyperactivity disorder. </w:t>
      </w:r>
      <w:r w:rsidRPr="003B6BE9">
        <w:rPr>
          <w:i/>
          <w:iCs/>
          <w:lang w:val="en-US"/>
        </w:rPr>
        <w:t>Biological Psychiatry</w:t>
      </w:r>
      <w:r w:rsidRPr="003B6BE9">
        <w:rPr>
          <w:shd w:val="clear" w:color="auto" w:fill="FFFFFF"/>
          <w:lang w:val="en-US"/>
        </w:rPr>
        <w:t xml:space="preserve">, </w:t>
      </w:r>
      <w:r w:rsidRPr="003B6BE9">
        <w:rPr>
          <w:i/>
          <w:iCs/>
          <w:lang w:val="en-US"/>
        </w:rPr>
        <w:t>57</w:t>
      </w:r>
      <w:r w:rsidRPr="003B6BE9">
        <w:rPr>
          <w:shd w:val="clear" w:color="auto" w:fill="FFFFFF"/>
          <w:lang w:val="en-US"/>
        </w:rPr>
        <w:t>(11), 1313–1323.</w:t>
      </w:r>
      <w:r w:rsidRPr="003B6BE9">
        <w:rPr>
          <w:lang w:val="en-US"/>
        </w:rPr>
        <w:t xml:space="preserve"> </w:t>
      </w:r>
    </w:p>
    <w:p w14:paraId="6D19B718" w14:textId="77777777" w:rsidR="00AA5A29" w:rsidRPr="003B6BE9" w:rsidRDefault="00AA5A29" w:rsidP="00AA5A29">
      <w:pPr>
        <w:pStyle w:val="references"/>
        <w:rPr>
          <w:shd w:val="clear" w:color="auto" w:fill="FFFFFF"/>
          <w:lang w:val="en-US"/>
        </w:rPr>
      </w:pPr>
      <w:r w:rsidRPr="003B6BE9">
        <w:rPr>
          <w:shd w:val="clear" w:color="auto" w:fill="FFFFFF"/>
          <w:lang w:val="en-US"/>
        </w:rPr>
        <w:t>Field, H. (2016).</w:t>
      </w:r>
      <w:r w:rsidRPr="003B6BE9">
        <w:rPr>
          <w:rStyle w:val="apple-converted-space"/>
          <w:color w:val="222222"/>
          <w:sz w:val="28"/>
          <w:szCs w:val="28"/>
          <w:shd w:val="clear" w:color="auto" w:fill="FFFFFF"/>
          <w:lang w:val="en-US"/>
        </w:rPr>
        <w:t xml:space="preserve"> </w:t>
      </w:r>
      <w:r w:rsidRPr="003B6BE9">
        <w:rPr>
          <w:i/>
          <w:iCs/>
          <w:lang w:val="en-US"/>
        </w:rPr>
        <w:t>Science Without Numbers</w:t>
      </w:r>
      <w:r w:rsidRPr="003B6BE9">
        <w:rPr>
          <w:shd w:val="clear" w:color="auto" w:fill="FFFFFF"/>
          <w:lang w:val="en-US"/>
        </w:rPr>
        <w:t xml:space="preserve">. </w:t>
      </w:r>
      <w:commentRangeStart w:id="77"/>
      <w:r w:rsidRPr="003B6BE9">
        <w:rPr>
          <w:shd w:val="clear" w:color="auto" w:fill="FFFFFF"/>
          <w:lang w:val="en-US"/>
        </w:rPr>
        <w:t>Oxford:</w:t>
      </w:r>
      <w:commentRangeEnd w:id="77"/>
      <w:r w:rsidRPr="003B6BE9">
        <w:rPr>
          <w:rStyle w:val="CommentReference"/>
          <w:sz w:val="28"/>
          <w:szCs w:val="28"/>
          <w:lang w:eastAsia="en-US"/>
        </w:rPr>
        <w:commentReference w:id="77"/>
      </w:r>
      <w:r w:rsidRPr="003B6BE9">
        <w:rPr>
          <w:shd w:val="clear" w:color="auto" w:fill="FFFFFF"/>
          <w:lang w:val="en-US"/>
        </w:rPr>
        <w:t xml:space="preserve"> Oxford University Press. </w:t>
      </w:r>
    </w:p>
    <w:p w14:paraId="1011102A" w14:textId="77777777" w:rsidR="00AA5A29" w:rsidRPr="003B6BE9" w:rsidRDefault="00AA5A29" w:rsidP="00AA5A29">
      <w:pPr>
        <w:pStyle w:val="references"/>
        <w:rPr>
          <w:lang w:val="en-GB"/>
        </w:rPr>
      </w:pPr>
      <w:r w:rsidRPr="003B6BE9">
        <w:rPr>
          <w:shd w:val="clear" w:color="auto" w:fill="FFFFFF"/>
          <w:lang w:val="en-US"/>
        </w:rPr>
        <w:t>Fisher, S. E., Francks, C., McCracken, J. T., McGough, J. J., Marlow, A. J., MacPhie, I. L., ... &amp; Del’Homme, M. (2002). A genomewide scan for loci involved in attention-deficit/hyperactivity disorder.</w:t>
      </w:r>
      <w:r w:rsidRPr="003B6BE9">
        <w:rPr>
          <w:rStyle w:val="apple-converted-space"/>
          <w:color w:val="222222"/>
          <w:sz w:val="28"/>
          <w:szCs w:val="28"/>
          <w:shd w:val="clear" w:color="auto" w:fill="FFFFFF"/>
          <w:lang w:val="en-US"/>
        </w:rPr>
        <w:t> </w:t>
      </w:r>
      <w:r w:rsidRPr="003B6BE9">
        <w:rPr>
          <w:i/>
          <w:iCs/>
          <w:lang w:val="en-US"/>
        </w:rPr>
        <w:t>The American Journal of Human Genetics</w:t>
      </w:r>
      <w:r w:rsidRPr="003B6BE9">
        <w:rPr>
          <w:shd w:val="clear" w:color="auto" w:fill="FFFFFF"/>
          <w:lang w:val="en-US"/>
        </w:rPr>
        <w:t>,</w:t>
      </w:r>
      <w:r w:rsidRPr="003B6BE9">
        <w:rPr>
          <w:rStyle w:val="apple-converted-space"/>
          <w:color w:val="222222"/>
          <w:sz w:val="28"/>
          <w:szCs w:val="28"/>
          <w:shd w:val="clear" w:color="auto" w:fill="FFFFFF"/>
          <w:lang w:val="en-US"/>
        </w:rPr>
        <w:t> </w:t>
      </w:r>
      <w:r w:rsidRPr="003B6BE9">
        <w:rPr>
          <w:i/>
          <w:iCs/>
          <w:lang w:val="en-US"/>
        </w:rPr>
        <w:t>70</w:t>
      </w:r>
      <w:r w:rsidRPr="003B6BE9">
        <w:rPr>
          <w:shd w:val="clear" w:color="auto" w:fill="FFFFFF"/>
          <w:lang w:val="en-US"/>
        </w:rPr>
        <w:t>(5), 1183-1196.</w:t>
      </w:r>
      <w:r w:rsidRPr="003B6BE9">
        <w:rPr>
          <w:lang w:val="en-GB"/>
        </w:rPr>
        <w:t xml:space="preserve"> </w:t>
      </w:r>
    </w:p>
    <w:p w14:paraId="696EAEAA" w14:textId="77777777" w:rsidR="00AA5A29" w:rsidRPr="003B6BE9" w:rsidRDefault="00AA5A29" w:rsidP="00AA5A29">
      <w:pPr>
        <w:pStyle w:val="references"/>
        <w:rPr>
          <w:lang w:val="en-US"/>
        </w:rPr>
      </w:pPr>
      <w:r w:rsidRPr="003B6BE9">
        <w:rPr>
          <w:shd w:val="clear" w:color="auto" w:fill="FFFFFF"/>
          <w:lang w:val="en-US"/>
        </w:rPr>
        <w:t xml:space="preserve">Fombonne, E. (2009). Epidemiology of pervasive developmental disorders. </w:t>
      </w:r>
      <w:r w:rsidRPr="003B6BE9">
        <w:rPr>
          <w:i/>
          <w:iCs/>
          <w:lang w:val="en-US"/>
        </w:rPr>
        <w:t>Pediatric Research</w:t>
      </w:r>
      <w:r w:rsidRPr="003B6BE9">
        <w:rPr>
          <w:shd w:val="clear" w:color="auto" w:fill="FFFFFF"/>
          <w:lang w:val="en-US"/>
        </w:rPr>
        <w:t xml:space="preserve">, </w:t>
      </w:r>
      <w:r w:rsidRPr="003B6BE9">
        <w:rPr>
          <w:i/>
          <w:iCs/>
          <w:lang w:val="en-US"/>
        </w:rPr>
        <w:t>65</w:t>
      </w:r>
      <w:r w:rsidRPr="003B6BE9">
        <w:rPr>
          <w:shd w:val="clear" w:color="auto" w:fill="FFFFFF"/>
          <w:lang w:val="en-US"/>
        </w:rPr>
        <w:t>(6), 591–598.</w:t>
      </w:r>
      <w:r w:rsidRPr="003B6BE9">
        <w:rPr>
          <w:lang w:val="en-US"/>
        </w:rPr>
        <w:t xml:space="preserve"> </w:t>
      </w:r>
    </w:p>
    <w:p w14:paraId="7C1CDD74" w14:textId="77777777" w:rsidR="00AA5A29" w:rsidRPr="003B6BE9" w:rsidRDefault="00AA5A29" w:rsidP="00AA5A29">
      <w:pPr>
        <w:pStyle w:val="references"/>
        <w:rPr>
          <w:lang w:val="en-US"/>
        </w:rPr>
      </w:pPr>
      <w:r w:rsidRPr="003B6BE9">
        <w:rPr>
          <w:shd w:val="clear" w:color="auto" w:fill="FFFFFF"/>
          <w:lang w:val="en-US"/>
        </w:rPr>
        <w:t>Fortune, T., &amp; Lurie, D. I. (2009). Chronic low</w:t>
      </w:r>
      <w:r w:rsidRPr="003B6BE9">
        <w:rPr>
          <w:rFonts w:ascii="Cambria Math" w:eastAsia="Calibri" w:hAnsi="Cambria Math" w:cs="Cambria Math"/>
          <w:shd w:val="clear" w:color="auto" w:fill="FFFFFF"/>
          <w:lang w:val="en-US"/>
        </w:rPr>
        <w:t>‐</w:t>
      </w:r>
      <w:r w:rsidRPr="003B6BE9">
        <w:rPr>
          <w:shd w:val="clear" w:color="auto" w:fill="FFFFFF"/>
          <w:lang w:val="en-US"/>
        </w:rPr>
        <w:t xml:space="preserve">level lead exposure affects the monoaminergic system in the mouse superior olivary complex. </w:t>
      </w:r>
      <w:r w:rsidRPr="003B6BE9">
        <w:rPr>
          <w:i/>
          <w:iCs/>
          <w:lang w:val="en-US"/>
        </w:rPr>
        <w:t>Journal of Comparative Neurology</w:t>
      </w:r>
      <w:r w:rsidRPr="003B6BE9">
        <w:rPr>
          <w:shd w:val="clear" w:color="auto" w:fill="FFFFFF"/>
          <w:lang w:val="en-US"/>
        </w:rPr>
        <w:t xml:space="preserve">, </w:t>
      </w:r>
      <w:r w:rsidRPr="003B6BE9">
        <w:rPr>
          <w:i/>
          <w:iCs/>
          <w:lang w:val="en-US"/>
        </w:rPr>
        <w:t>513</w:t>
      </w:r>
      <w:r w:rsidRPr="003B6BE9">
        <w:rPr>
          <w:shd w:val="clear" w:color="auto" w:fill="FFFFFF"/>
          <w:lang w:val="en-US"/>
        </w:rPr>
        <w:t>(5), 542–558.</w:t>
      </w:r>
      <w:r w:rsidRPr="003B6BE9">
        <w:rPr>
          <w:lang w:val="en-US"/>
        </w:rPr>
        <w:t xml:space="preserve"> </w:t>
      </w:r>
    </w:p>
    <w:p w14:paraId="1B23707F" w14:textId="77777777" w:rsidR="00AA5A29" w:rsidRPr="003B6BE9" w:rsidRDefault="00AA5A29" w:rsidP="00AA5A29">
      <w:pPr>
        <w:pStyle w:val="references"/>
        <w:rPr>
          <w:lang w:val="en-US"/>
        </w:rPr>
      </w:pPr>
      <w:r w:rsidRPr="003B6BE9">
        <w:rPr>
          <w:shd w:val="clear" w:color="auto" w:fill="FFFFFF"/>
          <w:lang w:val="en-US"/>
        </w:rPr>
        <w:t>Fried, R., Hirshfeld-Becker, D., Petty, C., Batchelder, H., &amp; Biederman, J. (2015). How informative is the CANTAB to assess executive functioning in children with ADHD? A controlled study.</w:t>
      </w:r>
      <w:r w:rsidRPr="003B6BE9">
        <w:rPr>
          <w:lang w:val="en-US"/>
        </w:rPr>
        <w:t xml:space="preserve"> </w:t>
      </w:r>
      <w:r w:rsidRPr="003B6BE9">
        <w:rPr>
          <w:i/>
          <w:iCs/>
          <w:lang w:val="en-US"/>
        </w:rPr>
        <w:t>Journal of Attention Disorders</w:t>
      </w:r>
      <w:r w:rsidRPr="003B6BE9">
        <w:rPr>
          <w:shd w:val="clear" w:color="auto" w:fill="FFFFFF"/>
          <w:lang w:val="en-US"/>
        </w:rPr>
        <w:t xml:space="preserve">, </w:t>
      </w:r>
      <w:r w:rsidRPr="003B6BE9">
        <w:rPr>
          <w:i/>
          <w:iCs/>
          <w:lang w:val="en-US"/>
        </w:rPr>
        <w:t>19</w:t>
      </w:r>
      <w:r w:rsidRPr="003B6BE9">
        <w:rPr>
          <w:shd w:val="clear" w:color="auto" w:fill="FFFFFF"/>
          <w:lang w:val="en-US"/>
        </w:rPr>
        <w:t>(6), 468–475.</w:t>
      </w:r>
      <w:r w:rsidRPr="003B6BE9">
        <w:rPr>
          <w:lang w:val="en-US"/>
        </w:rPr>
        <w:t xml:space="preserve"> </w:t>
      </w:r>
    </w:p>
    <w:p w14:paraId="35886558" w14:textId="77777777" w:rsidR="00AA5A29" w:rsidRPr="003B6BE9" w:rsidRDefault="00AA5A29" w:rsidP="00AA5A29">
      <w:pPr>
        <w:pStyle w:val="references"/>
        <w:rPr>
          <w:lang w:val="en-US"/>
        </w:rPr>
      </w:pPr>
      <w:r w:rsidRPr="003B6BE9">
        <w:rPr>
          <w:shd w:val="clear" w:color="auto" w:fill="FFFFFF"/>
          <w:lang w:val="en-US"/>
        </w:rPr>
        <w:t xml:space="preserve">Froehlich, T. E., Lanphear, B. P., Epstein, J. N., Barbaresi, W. J., Katusic, S. K., &amp; Kahn, R. S. (2007). Prevalence, recognition, and treatment of attention-deficit/hyperactivity disorder in a national sample of US children. </w:t>
      </w:r>
      <w:r w:rsidRPr="003B6BE9">
        <w:rPr>
          <w:i/>
          <w:iCs/>
          <w:lang w:val="en-US"/>
        </w:rPr>
        <w:t>Archives of Pediatrics &amp; Adolescent Medicine</w:t>
      </w:r>
      <w:r w:rsidRPr="003B6BE9">
        <w:rPr>
          <w:shd w:val="clear" w:color="auto" w:fill="FFFFFF"/>
          <w:lang w:val="en-US"/>
        </w:rPr>
        <w:t xml:space="preserve">, </w:t>
      </w:r>
      <w:r w:rsidRPr="003B6BE9">
        <w:rPr>
          <w:i/>
          <w:iCs/>
          <w:lang w:val="en-US"/>
        </w:rPr>
        <w:t>161</w:t>
      </w:r>
      <w:r w:rsidRPr="003B6BE9">
        <w:rPr>
          <w:shd w:val="clear" w:color="auto" w:fill="FFFFFF"/>
          <w:lang w:val="en-US"/>
        </w:rPr>
        <w:t>(9), 857–864.</w:t>
      </w:r>
      <w:r w:rsidRPr="003B6BE9">
        <w:rPr>
          <w:lang w:val="en-US"/>
        </w:rPr>
        <w:t xml:space="preserve"> </w:t>
      </w:r>
    </w:p>
    <w:p w14:paraId="65187A75" w14:textId="77777777" w:rsidR="00AA5A29" w:rsidRPr="003B6BE9" w:rsidRDefault="00AA5A29" w:rsidP="00AA5A29">
      <w:pPr>
        <w:pStyle w:val="references"/>
        <w:rPr>
          <w:lang w:val="en-US"/>
        </w:rPr>
      </w:pPr>
      <w:r w:rsidRPr="003B6BE9">
        <w:rPr>
          <w:shd w:val="clear" w:color="auto" w:fill="FFFFFF"/>
          <w:lang w:val="en-US"/>
        </w:rPr>
        <w:lastRenderedPageBreak/>
        <w:t xml:space="preserve">Fujikawa-Brooks, S., Isenberg, A. L., Osann, K., Spence, M. A., &amp; Gage, N. M. (2010). The effect of rate stress on the auditory brainstem response in autism: A preliminary report. </w:t>
      </w:r>
      <w:r w:rsidRPr="003B6BE9">
        <w:rPr>
          <w:i/>
          <w:iCs/>
          <w:lang w:val="en-US"/>
        </w:rPr>
        <w:t>International Journal of Audiology</w:t>
      </w:r>
      <w:r w:rsidRPr="003B6BE9">
        <w:rPr>
          <w:shd w:val="clear" w:color="auto" w:fill="FFFFFF"/>
          <w:lang w:val="en-US"/>
        </w:rPr>
        <w:t xml:space="preserve">, </w:t>
      </w:r>
      <w:r w:rsidRPr="003B6BE9">
        <w:rPr>
          <w:i/>
          <w:iCs/>
          <w:lang w:val="en-US"/>
        </w:rPr>
        <w:t>49</w:t>
      </w:r>
      <w:r w:rsidRPr="003B6BE9">
        <w:rPr>
          <w:shd w:val="clear" w:color="auto" w:fill="FFFFFF"/>
          <w:lang w:val="en-US"/>
        </w:rPr>
        <w:t>(2), 129–140.</w:t>
      </w:r>
      <w:r w:rsidRPr="003B6BE9">
        <w:rPr>
          <w:lang w:val="en-US"/>
        </w:rPr>
        <w:t xml:space="preserve"> </w:t>
      </w:r>
    </w:p>
    <w:p w14:paraId="7368FE10" w14:textId="77777777" w:rsidR="00AA5A29" w:rsidRPr="003B6BE9" w:rsidRDefault="00AA5A29" w:rsidP="00AA5A29">
      <w:pPr>
        <w:pStyle w:val="references"/>
        <w:rPr>
          <w:lang w:val="en-US"/>
        </w:rPr>
      </w:pPr>
      <w:r w:rsidRPr="003B6BE9">
        <w:rPr>
          <w:shd w:val="clear" w:color="auto" w:fill="FFFFFF"/>
          <w:lang w:val="en-US"/>
        </w:rPr>
        <w:t xml:space="preserve">Geschwind, D. H., &amp; Levitt, P. (2007). Autism spectrum disorders: Developmental disconnection syndromes. </w:t>
      </w:r>
      <w:r w:rsidRPr="003B6BE9">
        <w:rPr>
          <w:i/>
          <w:iCs/>
          <w:lang w:val="en-US"/>
        </w:rPr>
        <w:t>Current Opinion in Neurobiology</w:t>
      </w:r>
      <w:r w:rsidRPr="003B6BE9">
        <w:rPr>
          <w:shd w:val="clear" w:color="auto" w:fill="FFFFFF"/>
          <w:lang w:val="en-US"/>
        </w:rPr>
        <w:t xml:space="preserve">, </w:t>
      </w:r>
      <w:r w:rsidRPr="003B6BE9">
        <w:rPr>
          <w:i/>
          <w:iCs/>
          <w:lang w:val="en-US"/>
        </w:rPr>
        <w:t>17</w:t>
      </w:r>
      <w:r w:rsidRPr="003B6BE9">
        <w:rPr>
          <w:shd w:val="clear" w:color="auto" w:fill="FFFFFF"/>
          <w:lang w:val="en-US"/>
        </w:rPr>
        <w:t>(1), 103–111.</w:t>
      </w:r>
      <w:r w:rsidRPr="003B6BE9">
        <w:rPr>
          <w:lang w:val="en-US"/>
        </w:rPr>
        <w:t xml:space="preserve"> </w:t>
      </w:r>
    </w:p>
    <w:p w14:paraId="5C6B5F70" w14:textId="77777777" w:rsidR="00AA5A29" w:rsidRPr="003B6BE9" w:rsidRDefault="00AA5A29" w:rsidP="00AA5A29">
      <w:pPr>
        <w:pStyle w:val="references"/>
        <w:rPr>
          <w:lang w:val="en-US"/>
        </w:rPr>
      </w:pPr>
      <w:r w:rsidRPr="003B6BE9">
        <w:rPr>
          <w:shd w:val="clear" w:color="auto" w:fill="FFFFFF"/>
          <w:lang w:val="en-US"/>
        </w:rPr>
        <w:t xml:space="preserve">Geva, R., &amp; Feldman, R. (2008). A neurobiological model for the effects of early brainstem functioning on the development of behavior and emotion regulation in infants: Implications for prenatal and perinatal risk. </w:t>
      </w:r>
      <w:r w:rsidRPr="003B6BE9">
        <w:rPr>
          <w:i/>
          <w:iCs/>
          <w:lang w:val="en-US"/>
        </w:rPr>
        <w:t>Journal of Child Psychology and Psychiatry</w:t>
      </w:r>
      <w:r w:rsidRPr="003B6BE9">
        <w:rPr>
          <w:shd w:val="clear" w:color="auto" w:fill="FFFFFF"/>
          <w:lang w:val="en-US"/>
        </w:rPr>
        <w:t xml:space="preserve">, </w:t>
      </w:r>
      <w:r w:rsidRPr="003B6BE9">
        <w:rPr>
          <w:i/>
          <w:iCs/>
          <w:lang w:val="en-US"/>
        </w:rPr>
        <w:t>49</w:t>
      </w:r>
      <w:r w:rsidRPr="003B6BE9">
        <w:rPr>
          <w:shd w:val="clear" w:color="auto" w:fill="FFFFFF"/>
          <w:lang w:val="en-US"/>
        </w:rPr>
        <w:t>(10), 1031–1041.</w:t>
      </w:r>
      <w:r w:rsidRPr="003B6BE9">
        <w:rPr>
          <w:lang w:val="en-US"/>
        </w:rPr>
        <w:t xml:space="preserve"> </w:t>
      </w:r>
    </w:p>
    <w:p w14:paraId="158BEDBD" w14:textId="77777777" w:rsidR="00AA5A29" w:rsidRPr="003B6BE9" w:rsidRDefault="00AA5A29" w:rsidP="00AA5A29">
      <w:pPr>
        <w:pStyle w:val="references"/>
        <w:rPr>
          <w:shd w:val="clear" w:color="auto" w:fill="FFFFFF"/>
          <w:lang w:val="en-US"/>
        </w:rPr>
      </w:pPr>
      <w:r w:rsidRPr="003B6BE9">
        <w:rPr>
          <w:shd w:val="clear" w:color="auto" w:fill="FFFFFF"/>
          <w:lang w:val="en-US"/>
        </w:rPr>
        <w:t xml:space="preserve">Gillberg, C. (1983a). Perceptual, motor and attentional deficits in Swedish primary school children. Some child psychiatric aspects. </w:t>
      </w:r>
      <w:r w:rsidRPr="003B6BE9">
        <w:rPr>
          <w:i/>
          <w:iCs/>
          <w:lang w:val="en-US"/>
        </w:rPr>
        <w:t>Journal of Child Psychology and Psychiatry</w:t>
      </w:r>
      <w:r w:rsidRPr="003B6BE9">
        <w:rPr>
          <w:shd w:val="clear" w:color="auto" w:fill="FFFFFF"/>
          <w:lang w:val="en-US"/>
        </w:rPr>
        <w:t xml:space="preserve">, </w:t>
      </w:r>
      <w:r w:rsidRPr="003B6BE9">
        <w:rPr>
          <w:i/>
          <w:iCs/>
          <w:lang w:val="en-US"/>
        </w:rPr>
        <w:t>24</w:t>
      </w:r>
      <w:r w:rsidRPr="003B6BE9">
        <w:rPr>
          <w:shd w:val="clear" w:color="auto" w:fill="FFFFFF"/>
          <w:lang w:val="en-US"/>
        </w:rPr>
        <w:t xml:space="preserve">(3), 377–403. </w:t>
      </w:r>
    </w:p>
    <w:p w14:paraId="1C79AA77" w14:textId="77777777" w:rsidR="00AA5A29" w:rsidRDefault="00AA5A29" w:rsidP="00AA5A29">
      <w:pPr>
        <w:pStyle w:val="references"/>
        <w:rPr>
          <w:lang w:val="en-US"/>
        </w:rPr>
      </w:pPr>
      <w:r w:rsidRPr="003B6BE9">
        <w:rPr>
          <w:shd w:val="clear" w:color="auto" w:fill="FFFFFF"/>
          <w:lang w:val="en-US"/>
        </w:rPr>
        <w:t xml:space="preserve">Gillberg, C. (1983b). Psychotic behaviour in children and young adults in a mental handicap hostel. </w:t>
      </w:r>
      <w:r w:rsidRPr="003B6BE9">
        <w:rPr>
          <w:i/>
          <w:iCs/>
          <w:lang w:val="en-US"/>
        </w:rPr>
        <w:t>Acta Psychiatrica Scandinavica</w:t>
      </w:r>
      <w:r w:rsidRPr="003B6BE9">
        <w:rPr>
          <w:shd w:val="clear" w:color="auto" w:fill="FFFFFF"/>
          <w:lang w:val="en-US"/>
        </w:rPr>
        <w:t xml:space="preserve">, </w:t>
      </w:r>
      <w:r w:rsidRPr="003B6BE9">
        <w:rPr>
          <w:i/>
          <w:iCs/>
          <w:lang w:val="en-US"/>
        </w:rPr>
        <w:t>68</w:t>
      </w:r>
      <w:r w:rsidRPr="003B6BE9">
        <w:rPr>
          <w:shd w:val="clear" w:color="auto" w:fill="FFFFFF"/>
          <w:lang w:val="en-US"/>
        </w:rPr>
        <w:t>(5), 351–358.</w:t>
      </w:r>
      <w:r w:rsidRPr="003B6BE9">
        <w:rPr>
          <w:lang w:val="en-US"/>
        </w:rPr>
        <w:t xml:space="preserve"> </w:t>
      </w:r>
    </w:p>
    <w:p w14:paraId="6BAA5E3A" w14:textId="77777777" w:rsidR="00673FB2" w:rsidRPr="00DF7567" w:rsidRDefault="00673FB2" w:rsidP="00673FB2">
      <w:pPr>
        <w:pStyle w:val="NormalWeb"/>
        <w:rPr>
          <w:sz w:val="28"/>
          <w:szCs w:val="28"/>
        </w:rPr>
      </w:pPr>
      <w:r w:rsidRPr="00DF7567">
        <w:rPr>
          <w:color w:val="000000" w:themeColor="text1"/>
          <w:sz w:val="28"/>
          <w:szCs w:val="28"/>
        </w:rPr>
        <w:t xml:space="preserve">Gillberg C, Rosenhall U and Johansson E (1983) Auditory brainstem responses in childhood psychosis. </w:t>
      </w:r>
      <w:r w:rsidRPr="00DF7567">
        <w:rPr>
          <w:i/>
          <w:iCs/>
          <w:color w:val="000000" w:themeColor="text1"/>
          <w:sz w:val="28"/>
          <w:szCs w:val="28"/>
        </w:rPr>
        <w:t xml:space="preserve">Journal of Autism and Developmental Disorders </w:t>
      </w:r>
      <w:r w:rsidRPr="00DF7567">
        <w:rPr>
          <w:iCs/>
          <w:color w:val="000000" w:themeColor="text1"/>
          <w:sz w:val="28"/>
          <w:szCs w:val="28"/>
        </w:rPr>
        <w:t>13</w:t>
      </w:r>
      <w:r w:rsidRPr="00DF7567">
        <w:rPr>
          <w:color w:val="000000" w:themeColor="text1"/>
          <w:sz w:val="28"/>
          <w:szCs w:val="28"/>
        </w:rPr>
        <w:t>(2): 181-195</w:t>
      </w:r>
    </w:p>
    <w:p w14:paraId="6FCECD64" w14:textId="77777777" w:rsidR="00673FB2" w:rsidRPr="003B6BE9" w:rsidRDefault="00673FB2" w:rsidP="00AA5A29">
      <w:pPr>
        <w:pStyle w:val="references"/>
        <w:rPr>
          <w:lang w:val="en-US"/>
        </w:rPr>
      </w:pPr>
    </w:p>
    <w:p w14:paraId="04C7CD47" w14:textId="77777777" w:rsidR="00AA5A29" w:rsidRPr="003B6BE9" w:rsidRDefault="00AA5A29" w:rsidP="00AA5A29">
      <w:pPr>
        <w:pStyle w:val="references"/>
        <w:rPr>
          <w:lang w:val="en-US"/>
        </w:rPr>
      </w:pPr>
      <w:commentRangeStart w:id="78"/>
      <w:r w:rsidRPr="003B6BE9">
        <w:rPr>
          <w:shd w:val="clear" w:color="auto" w:fill="FFFFFF"/>
          <w:lang w:val="en-US"/>
        </w:rPr>
        <w:t xml:space="preserve">Gillberg, C. </w:t>
      </w:r>
      <w:commentRangeEnd w:id="78"/>
      <w:r w:rsidRPr="003B6BE9">
        <w:rPr>
          <w:rStyle w:val="CommentReference"/>
          <w:rFonts w:cstheme="minorBidi"/>
          <w:lang w:eastAsia="en-US"/>
        </w:rPr>
        <w:commentReference w:id="78"/>
      </w:r>
      <w:r w:rsidRPr="003B6BE9">
        <w:rPr>
          <w:shd w:val="clear" w:color="auto" w:fill="FFFFFF"/>
          <w:lang w:val="en-US"/>
        </w:rPr>
        <w:t xml:space="preserve">(1995). </w:t>
      </w:r>
      <w:r w:rsidRPr="003B6BE9">
        <w:rPr>
          <w:i/>
          <w:iCs/>
          <w:lang w:val="en-US"/>
        </w:rPr>
        <w:t>Clinical Child Neuropsychiatry</w:t>
      </w:r>
      <w:r w:rsidRPr="003B6BE9">
        <w:rPr>
          <w:shd w:val="clear" w:color="auto" w:fill="FFFFFF"/>
          <w:lang w:val="en-US"/>
        </w:rPr>
        <w:t>. Cambridge, UK: Cambridge University Press.</w:t>
      </w:r>
      <w:r w:rsidRPr="003B6BE9">
        <w:rPr>
          <w:lang w:val="en-US"/>
        </w:rPr>
        <w:t xml:space="preserve"> </w:t>
      </w:r>
    </w:p>
    <w:p w14:paraId="216C9BF2" w14:textId="77777777" w:rsidR="00AA5A29" w:rsidRPr="003B6BE9" w:rsidRDefault="00AA5A29" w:rsidP="00AA5A29">
      <w:pPr>
        <w:pStyle w:val="references"/>
        <w:rPr>
          <w:lang w:val="en-US"/>
        </w:rPr>
      </w:pPr>
      <w:r w:rsidRPr="003B6BE9">
        <w:rPr>
          <w:shd w:val="clear" w:color="auto" w:fill="FFFFFF"/>
          <w:lang w:val="en-US"/>
        </w:rPr>
        <w:t xml:space="preserve">Gillberg, C. (2010). The ESSENCE in child psychiatry: Early symptomatic syndromes eliciting neurodevelopmental clinical examinations. </w:t>
      </w:r>
      <w:r w:rsidRPr="003B6BE9">
        <w:rPr>
          <w:i/>
          <w:iCs/>
          <w:lang w:val="en-US"/>
        </w:rPr>
        <w:t>Research in Developmental Disabilities</w:t>
      </w:r>
      <w:r w:rsidRPr="003B6BE9">
        <w:rPr>
          <w:shd w:val="clear" w:color="auto" w:fill="FFFFFF"/>
          <w:lang w:val="en-US"/>
        </w:rPr>
        <w:t xml:space="preserve">, </w:t>
      </w:r>
      <w:r w:rsidRPr="003B6BE9">
        <w:rPr>
          <w:i/>
          <w:iCs/>
          <w:lang w:val="en-US"/>
        </w:rPr>
        <w:t>31</w:t>
      </w:r>
      <w:r w:rsidRPr="003B6BE9">
        <w:rPr>
          <w:shd w:val="clear" w:color="auto" w:fill="FFFFFF"/>
          <w:lang w:val="en-US"/>
        </w:rPr>
        <w:t>(6), 1543–1551.</w:t>
      </w:r>
      <w:r w:rsidRPr="003B6BE9">
        <w:rPr>
          <w:lang w:val="en-US"/>
        </w:rPr>
        <w:t xml:space="preserve"> </w:t>
      </w:r>
    </w:p>
    <w:p w14:paraId="578C6186" w14:textId="77777777" w:rsidR="00AA5A29" w:rsidRPr="003B6BE9" w:rsidRDefault="00AA5A29" w:rsidP="00AA5A29">
      <w:pPr>
        <w:pStyle w:val="references"/>
        <w:rPr>
          <w:lang w:val="en-US"/>
        </w:rPr>
      </w:pPr>
      <w:r w:rsidRPr="003B6BE9">
        <w:rPr>
          <w:shd w:val="clear" w:color="auto" w:fill="FFFFFF"/>
          <w:lang w:val="en-US"/>
        </w:rPr>
        <w:t xml:space="preserve">Gillberg, C., &amp; Kadesjö, B. (2003). Why bother about clumsiness? The implications of having developmental coordination disorder (DCD). </w:t>
      </w:r>
      <w:r w:rsidRPr="003B6BE9">
        <w:rPr>
          <w:i/>
          <w:iCs/>
          <w:lang w:val="en-US"/>
        </w:rPr>
        <w:t>Neural Plasticity</w:t>
      </w:r>
      <w:r w:rsidRPr="003B6BE9">
        <w:rPr>
          <w:shd w:val="clear" w:color="auto" w:fill="FFFFFF"/>
          <w:lang w:val="en-US"/>
        </w:rPr>
        <w:t xml:space="preserve">, </w:t>
      </w:r>
      <w:r w:rsidRPr="003B6BE9">
        <w:rPr>
          <w:i/>
          <w:iCs/>
          <w:lang w:val="en-US"/>
        </w:rPr>
        <w:t>10</w:t>
      </w:r>
      <w:r w:rsidRPr="003B6BE9">
        <w:rPr>
          <w:shd w:val="clear" w:color="auto" w:fill="FFFFFF"/>
          <w:lang w:val="en-US"/>
        </w:rPr>
        <w:t>(1–2), 59–68.</w:t>
      </w:r>
      <w:r w:rsidRPr="003B6BE9">
        <w:rPr>
          <w:lang w:val="en-US"/>
        </w:rPr>
        <w:t xml:space="preserve"> </w:t>
      </w:r>
    </w:p>
    <w:p w14:paraId="1DAA0C2A" w14:textId="77777777" w:rsidR="00AA5A29" w:rsidRPr="003B6BE9" w:rsidRDefault="00AA5A29" w:rsidP="00AA5A29">
      <w:pPr>
        <w:pStyle w:val="references"/>
        <w:rPr>
          <w:shd w:val="clear" w:color="auto" w:fill="FFFFFF"/>
          <w:lang w:val="en-US"/>
        </w:rPr>
      </w:pPr>
      <w:r w:rsidRPr="003B6BE9">
        <w:rPr>
          <w:shd w:val="clear" w:color="auto" w:fill="FFFFFF"/>
        </w:rPr>
        <w:t xml:space="preserve">Gillberg, C., Gillberg, I. C., Rasmussen, P., Kadesjö, B., Söderström, H., Råstam, M., ... </w:t>
      </w:r>
      <w:r w:rsidRPr="003B6BE9">
        <w:rPr>
          <w:shd w:val="clear" w:color="auto" w:fill="FFFFFF"/>
          <w:lang w:val="en-US"/>
        </w:rPr>
        <w:t xml:space="preserve">Niklasson, L. (2004). Co–existing disorders in ADHD–Implications for diagnosis and intervention. </w:t>
      </w:r>
      <w:r w:rsidRPr="003B6BE9">
        <w:rPr>
          <w:i/>
          <w:iCs/>
          <w:lang w:val="en-US"/>
        </w:rPr>
        <w:t>European Child &amp; Adolescent Psychiatry</w:t>
      </w:r>
      <w:r w:rsidRPr="003B6BE9">
        <w:rPr>
          <w:shd w:val="clear" w:color="auto" w:fill="FFFFFF"/>
          <w:lang w:val="en-US"/>
        </w:rPr>
        <w:t xml:space="preserve">, </w:t>
      </w:r>
      <w:r w:rsidRPr="003B6BE9">
        <w:rPr>
          <w:i/>
          <w:iCs/>
          <w:lang w:val="en-US"/>
        </w:rPr>
        <w:t>13</w:t>
      </w:r>
      <w:r w:rsidRPr="003B6BE9">
        <w:rPr>
          <w:shd w:val="clear" w:color="auto" w:fill="FFFFFF"/>
          <w:lang w:val="en-US"/>
        </w:rPr>
        <w:t xml:space="preserve">(1), i80–i92. </w:t>
      </w:r>
    </w:p>
    <w:p w14:paraId="10921CE3" w14:textId="77777777" w:rsidR="00AA5A29" w:rsidRPr="003B6BE9" w:rsidRDefault="00AA5A29" w:rsidP="00AA5A29">
      <w:pPr>
        <w:pStyle w:val="references"/>
        <w:rPr>
          <w:lang w:val="en-GB"/>
        </w:rPr>
      </w:pPr>
      <w:r w:rsidRPr="003B6BE9">
        <w:rPr>
          <w:shd w:val="clear" w:color="auto" w:fill="FFFFFF"/>
          <w:lang w:val="en-GB"/>
        </w:rPr>
        <w:t xml:space="preserve">Gillberg, C., Rosenhall, U., &amp; Johansson, E. (1983). </w:t>
      </w:r>
      <w:r w:rsidRPr="003B6BE9">
        <w:rPr>
          <w:shd w:val="clear" w:color="auto" w:fill="FFFFFF"/>
          <w:lang w:val="en-US"/>
        </w:rPr>
        <w:t>Auditory brainstem responses in childhood psychosis.</w:t>
      </w:r>
      <w:r w:rsidRPr="003B6BE9">
        <w:rPr>
          <w:rStyle w:val="apple-converted-space"/>
          <w:color w:val="222222"/>
          <w:sz w:val="28"/>
          <w:szCs w:val="28"/>
          <w:shd w:val="clear" w:color="auto" w:fill="FFFFFF"/>
          <w:lang w:val="en-US"/>
        </w:rPr>
        <w:t> </w:t>
      </w:r>
      <w:r w:rsidRPr="003B6BE9">
        <w:rPr>
          <w:i/>
          <w:iCs/>
          <w:lang w:val="en-US"/>
        </w:rPr>
        <w:t>Journal of Autism and Developmental Disorders</w:t>
      </w:r>
      <w:r w:rsidRPr="003B6BE9">
        <w:rPr>
          <w:shd w:val="clear" w:color="auto" w:fill="FFFFFF"/>
          <w:lang w:val="en-US"/>
        </w:rPr>
        <w:t>,</w:t>
      </w:r>
      <w:r w:rsidRPr="003B6BE9">
        <w:rPr>
          <w:rStyle w:val="apple-converted-space"/>
          <w:color w:val="222222"/>
          <w:sz w:val="28"/>
          <w:szCs w:val="28"/>
          <w:shd w:val="clear" w:color="auto" w:fill="FFFFFF"/>
          <w:lang w:val="en-US"/>
        </w:rPr>
        <w:t> </w:t>
      </w:r>
      <w:r w:rsidRPr="003B6BE9">
        <w:rPr>
          <w:i/>
          <w:iCs/>
          <w:lang w:val="en-US"/>
        </w:rPr>
        <w:t>13</w:t>
      </w:r>
      <w:r w:rsidRPr="003B6BE9">
        <w:rPr>
          <w:shd w:val="clear" w:color="auto" w:fill="FFFFFF"/>
          <w:lang w:val="en-US"/>
        </w:rPr>
        <w:t>(2), 181-195.</w:t>
      </w:r>
      <w:r w:rsidRPr="003B6BE9">
        <w:rPr>
          <w:lang w:val="en-GB"/>
        </w:rPr>
        <w:t xml:space="preserve"> </w:t>
      </w:r>
    </w:p>
    <w:p w14:paraId="32EAA15E" w14:textId="77777777" w:rsidR="00AA5A29" w:rsidRPr="003B6BE9" w:rsidRDefault="00AA5A29" w:rsidP="00AA5A29">
      <w:pPr>
        <w:pStyle w:val="references"/>
        <w:rPr>
          <w:shd w:val="clear" w:color="auto" w:fill="FFFFFF"/>
          <w:lang w:val="en-US"/>
        </w:rPr>
      </w:pPr>
      <w:r w:rsidRPr="003B6BE9">
        <w:rPr>
          <w:shd w:val="clear" w:color="auto" w:fill="FFFFFF"/>
          <w:lang w:val="en-US"/>
        </w:rPr>
        <w:t xml:space="preserve">Gogtay, N., Giedd, J., &amp; Rapoport, J. L. (2002). Brain development in healthy, hyperactive, and psychotic children. </w:t>
      </w:r>
      <w:r w:rsidRPr="003B6BE9">
        <w:rPr>
          <w:i/>
          <w:iCs/>
          <w:lang w:val="en-US"/>
        </w:rPr>
        <w:t>Archives of Neurology</w:t>
      </w:r>
      <w:r w:rsidRPr="003B6BE9">
        <w:rPr>
          <w:shd w:val="clear" w:color="auto" w:fill="FFFFFF"/>
          <w:lang w:val="en-US"/>
        </w:rPr>
        <w:t xml:space="preserve">, </w:t>
      </w:r>
      <w:r w:rsidRPr="003B6BE9">
        <w:rPr>
          <w:i/>
          <w:iCs/>
          <w:lang w:val="en-US"/>
        </w:rPr>
        <w:t>59</w:t>
      </w:r>
      <w:r w:rsidRPr="003B6BE9">
        <w:rPr>
          <w:shd w:val="clear" w:color="auto" w:fill="FFFFFF"/>
          <w:lang w:val="en-US"/>
        </w:rPr>
        <w:t xml:space="preserve">(8), 1244–1248. </w:t>
      </w:r>
    </w:p>
    <w:p w14:paraId="41F04119" w14:textId="77777777" w:rsidR="00AA5A29" w:rsidRPr="003B6BE9" w:rsidRDefault="00AA5A29" w:rsidP="00AA5A29">
      <w:pPr>
        <w:pStyle w:val="references"/>
        <w:rPr>
          <w:lang w:val="en-US"/>
        </w:rPr>
      </w:pPr>
      <w:r w:rsidRPr="003B6BE9">
        <w:rPr>
          <w:shd w:val="clear" w:color="auto" w:fill="FFFFFF"/>
          <w:lang w:val="en-US"/>
        </w:rPr>
        <w:t>Gopnik, A., &amp; Tenenbaum, J. B. (2007). Bayesian networks, Bayesian learning and cognitive development.</w:t>
      </w:r>
      <w:r w:rsidRPr="003B6BE9">
        <w:rPr>
          <w:rStyle w:val="apple-converted-space"/>
          <w:color w:val="222222"/>
          <w:sz w:val="28"/>
          <w:szCs w:val="28"/>
          <w:shd w:val="clear" w:color="auto" w:fill="FFFFFF"/>
          <w:lang w:val="en-US"/>
        </w:rPr>
        <w:t xml:space="preserve"> </w:t>
      </w:r>
      <w:r w:rsidRPr="003B6BE9">
        <w:rPr>
          <w:i/>
          <w:iCs/>
          <w:lang w:val="en-US"/>
        </w:rPr>
        <w:t>Developmental Science</w:t>
      </w:r>
      <w:r w:rsidRPr="003B6BE9">
        <w:rPr>
          <w:shd w:val="clear" w:color="auto" w:fill="FFFFFF"/>
          <w:lang w:val="en-US"/>
        </w:rPr>
        <w:t>,</w:t>
      </w:r>
      <w:r w:rsidRPr="003B6BE9">
        <w:rPr>
          <w:rStyle w:val="apple-converted-space"/>
          <w:color w:val="222222"/>
          <w:sz w:val="28"/>
          <w:szCs w:val="28"/>
          <w:shd w:val="clear" w:color="auto" w:fill="FFFFFF"/>
          <w:lang w:val="en-US"/>
        </w:rPr>
        <w:t xml:space="preserve"> </w:t>
      </w:r>
      <w:r w:rsidRPr="003B6BE9">
        <w:rPr>
          <w:i/>
          <w:iCs/>
          <w:lang w:val="en-US"/>
        </w:rPr>
        <w:t>10</w:t>
      </w:r>
      <w:r w:rsidRPr="003B6BE9">
        <w:rPr>
          <w:shd w:val="clear" w:color="auto" w:fill="FFFFFF"/>
          <w:lang w:val="en-US"/>
        </w:rPr>
        <w:t>(3), 281–287.</w:t>
      </w:r>
      <w:r w:rsidRPr="003B6BE9">
        <w:rPr>
          <w:lang w:val="en-US"/>
        </w:rPr>
        <w:t xml:space="preserve"> </w:t>
      </w:r>
    </w:p>
    <w:p w14:paraId="085F5354" w14:textId="77777777" w:rsidR="00AA5A29" w:rsidRPr="003B6BE9" w:rsidRDefault="00AA5A29" w:rsidP="00AA5A29">
      <w:pPr>
        <w:pStyle w:val="references"/>
        <w:rPr>
          <w:lang w:val="en-US"/>
        </w:rPr>
      </w:pPr>
      <w:r w:rsidRPr="003B6BE9">
        <w:rPr>
          <w:shd w:val="clear" w:color="auto" w:fill="FFFFFF"/>
          <w:lang w:val="en-US"/>
        </w:rPr>
        <w:lastRenderedPageBreak/>
        <w:t xml:space="preserve">Graetz, B. W., Sawyer, M. G., &amp; Baghurst, P. (2005). Gender differences among children with DSM-IV ADHD in Australia. </w:t>
      </w:r>
      <w:r w:rsidRPr="003B6BE9">
        <w:rPr>
          <w:i/>
          <w:iCs/>
          <w:lang w:val="en-US"/>
        </w:rPr>
        <w:t>Journal of the American Academy of Child &amp; Adolescent Psychiatry</w:t>
      </w:r>
      <w:r w:rsidRPr="003B6BE9">
        <w:rPr>
          <w:shd w:val="clear" w:color="auto" w:fill="FFFFFF"/>
          <w:lang w:val="en-US"/>
        </w:rPr>
        <w:t xml:space="preserve">, </w:t>
      </w:r>
      <w:r w:rsidRPr="003B6BE9">
        <w:rPr>
          <w:i/>
          <w:iCs/>
          <w:lang w:val="en-US"/>
        </w:rPr>
        <w:t>44</w:t>
      </w:r>
      <w:r w:rsidRPr="003B6BE9">
        <w:rPr>
          <w:shd w:val="clear" w:color="auto" w:fill="FFFFFF"/>
          <w:lang w:val="en-US"/>
        </w:rPr>
        <w:t>(2), 159–168.</w:t>
      </w:r>
      <w:r w:rsidRPr="003B6BE9">
        <w:rPr>
          <w:lang w:val="en-US"/>
        </w:rPr>
        <w:t xml:space="preserve"> </w:t>
      </w:r>
    </w:p>
    <w:p w14:paraId="144C1277" w14:textId="77777777" w:rsidR="00AA5A29" w:rsidRPr="003B6BE9" w:rsidRDefault="00AA5A29" w:rsidP="00AA5A29">
      <w:pPr>
        <w:pStyle w:val="references"/>
        <w:rPr>
          <w:color w:val="000000"/>
          <w:lang w:val="en-GB"/>
        </w:rPr>
      </w:pPr>
      <w:r w:rsidRPr="003B6BE9">
        <w:rPr>
          <w:color w:val="000000"/>
          <w:lang w:val="en-US"/>
        </w:rPr>
        <w:t>Guinan, J. J. (1996). Physiology of olivocochlear efferents. In:</w:t>
      </w:r>
      <w:commentRangeStart w:id="79"/>
      <w:r w:rsidRPr="003B6BE9">
        <w:rPr>
          <w:color w:val="000000"/>
          <w:lang w:val="en-US"/>
        </w:rPr>
        <w:t xml:space="preserve"> </w:t>
      </w:r>
      <w:commentRangeEnd w:id="79"/>
      <w:r w:rsidRPr="003B6BE9">
        <w:rPr>
          <w:rStyle w:val="CommentReference"/>
          <w:rFonts w:cstheme="minorBidi"/>
          <w:lang w:eastAsia="en-US"/>
        </w:rPr>
        <w:commentReference w:id="79"/>
      </w:r>
      <w:r w:rsidRPr="003B6BE9">
        <w:rPr>
          <w:i/>
          <w:iCs/>
          <w:color w:val="000000"/>
          <w:lang w:val="en-US"/>
        </w:rPr>
        <w:t xml:space="preserve">Springer Handbook of Auditory Research: The Cochlea </w:t>
      </w:r>
      <w:r w:rsidRPr="003B6BE9">
        <w:rPr>
          <w:iCs/>
          <w:color w:val="000000"/>
          <w:lang w:val="en-US"/>
        </w:rPr>
        <w:t>(pp.</w:t>
      </w:r>
      <w:r w:rsidRPr="003B6BE9">
        <w:rPr>
          <w:i/>
          <w:iCs/>
          <w:color w:val="000000"/>
          <w:lang w:val="en-US"/>
        </w:rPr>
        <w:t xml:space="preserve"> </w:t>
      </w:r>
      <w:r w:rsidRPr="003B6BE9">
        <w:rPr>
          <w:color w:val="000000"/>
          <w:lang w:val="en-US"/>
        </w:rPr>
        <w:t>435–502)</w:t>
      </w:r>
      <w:r w:rsidRPr="003B6BE9">
        <w:rPr>
          <w:i/>
          <w:iCs/>
          <w:color w:val="000000"/>
          <w:lang w:val="en-US"/>
        </w:rPr>
        <w:t>.</w:t>
      </w:r>
      <w:r w:rsidRPr="003B6BE9">
        <w:rPr>
          <w:iCs/>
          <w:color w:val="000000"/>
          <w:lang w:val="en-US"/>
        </w:rPr>
        <w:t xml:space="preserve"> </w:t>
      </w:r>
      <w:r w:rsidRPr="003B6BE9">
        <w:rPr>
          <w:iCs/>
          <w:color w:val="000000"/>
          <w:lang w:val="en-GB"/>
        </w:rPr>
        <w:t>New York: Springer</w:t>
      </w:r>
      <w:r w:rsidRPr="003B6BE9">
        <w:rPr>
          <w:color w:val="000000"/>
          <w:lang w:val="en-GB"/>
        </w:rPr>
        <w:t xml:space="preserve">.  </w:t>
      </w:r>
    </w:p>
    <w:p w14:paraId="06DA9FC1" w14:textId="77777777" w:rsidR="00AA5A29" w:rsidRPr="003B6BE9" w:rsidRDefault="00AA5A29" w:rsidP="00AA5A29">
      <w:pPr>
        <w:pStyle w:val="references"/>
        <w:rPr>
          <w:lang w:val="en-GB"/>
        </w:rPr>
      </w:pPr>
      <w:r w:rsidRPr="003B6BE9">
        <w:rPr>
          <w:shd w:val="clear" w:color="auto" w:fill="FFFFFF"/>
          <w:lang w:val="en-GB"/>
        </w:rPr>
        <w:t xml:space="preserve">Hall, J. W., &amp; Fernandes, M. A. (1984). </w:t>
      </w:r>
      <w:r w:rsidRPr="003B6BE9">
        <w:rPr>
          <w:shd w:val="clear" w:color="auto" w:fill="FFFFFF"/>
          <w:lang w:val="en-US"/>
        </w:rPr>
        <w:t>The role of monaural frequency selectivity in binaural analysis.</w:t>
      </w:r>
      <w:r w:rsidRPr="003B6BE9">
        <w:rPr>
          <w:rStyle w:val="apple-converted-space"/>
          <w:color w:val="222222"/>
          <w:sz w:val="28"/>
          <w:szCs w:val="28"/>
          <w:shd w:val="clear" w:color="auto" w:fill="FFFFFF"/>
          <w:lang w:val="en-US"/>
        </w:rPr>
        <w:t> </w:t>
      </w:r>
      <w:r w:rsidRPr="003B6BE9">
        <w:rPr>
          <w:i/>
          <w:iCs/>
          <w:lang w:val="en-US"/>
        </w:rPr>
        <w:t>The Journal of the Acoustical Society of America</w:t>
      </w:r>
      <w:r w:rsidRPr="003B6BE9">
        <w:rPr>
          <w:shd w:val="clear" w:color="auto" w:fill="FFFFFF"/>
          <w:lang w:val="en-US"/>
        </w:rPr>
        <w:t>,</w:t>
      </w:r>
      <w:r w:rsidRPr="003B6BE9">
        <w:rPr>
          <w:rStyle w:val="apple-converted-space"/>
          <w:color w:val="222222"/>
          <w:sz w:val="28"/>
          <w:szCs w:val="28"/>
          <w:shd w:val="clear" w:color="auto" w:fill="FFFFFF"/>
          <w:lang w:val="en-US"/>
        </w:rPr>
        <w:t> </w:t>
      </w:r>
      <w:r w:rsidRPr="003B6BE9">
        <w:rPr>
          <w:i/>
          <w:iCs/>
          <w:lang w:val="en-US"/>
        </w:rPr>
        <w:t>76</w:t>
      </w:r>
      <w:r w:rsidRPr="003B6BE9">
        <w:rPr>
          <w:shd w:val="clear" w:color="auto" w:fill="FFFFFF"/>
          <w:lang w:val="en-US"/>
        </w:rPr>
        <w:t>(2), 435-439.</w:t>
      </w:r>
      <w:r w:rsidRPr="003B6BE9">
        <w:rPr>
          <w:lang w:val="en-GB"/>
        </w:rPr>
        <w:t xml:space="preserve"> </w:t>
      </w:r>
    </w:p>
    <w:p w14:paraId="10E60C88" w14:textId="77777777" w:rsidR="00AA5A29" w:rsidRPr="003B6BE9" w:rsidRDefault="00AA5A29" w:rsidP="00AA5A29">
      <w:pPr>
        <w:pStyle w:val="references"/>
        <w:rPr>
          <w:shd w:val="clear" w:color="auto" w:fill="FFFFFF"/>
          <w:lang w:val="en-US"/>
        </w:rPr>
      </w:pPr>
      <w:r w:rsidRPr="00860AAD">
        <w:rPr>
          <w:shd w:val="clear" w:color="auto" w:fill="FFFFFF"/>
          <w:lang w:val="en-GB"/>
        </w:rPr>
        <w:t xml:space="preserve">Halleröd, S. L. H., Larson, T., Ståhlberg, O., Carlström, E., Gillberg, C., Anckarsäter, H., ... </w:t>
      </w:r>
      <w:r w:rsidRPr="003B6BE9">
        <w:rPr>
          <w:shd w:val="clear" w:color="auto" w:fill="FFFFFF"/>
          <w:lang w:val="en-US"/>
        </w:rPr>
        <w:t xml:space="preserve">Gillberg, C. (2010). The Autism—Tics, AD/HD and other Comorbidities (A-TAC) telephone interview: Convergence with the Child Behavior Checklist (CBCL). </w:t>
      </w:r>
      <w:r w:rsidRPr="003B6BE9">
        <w:rPr>
          <w:i/>
          <w:iCs/>
          <w:lang w:val="en-US"/>
        </w:rPr>
        <w:t>Nordic Journal of Psychiatry</w:t>
      </w:r>
      <w:r w:rsidRPr="003B6BE9">
        <w:rPr>
          <w:shd w:val="clear" w:color="auto" w:fill="FFFFFF"/>
          <w:lang w:val="en-US"/>
        </w:rPr>
        <w:t xml:space="preserve">, </w:t>
      </w:r>
      <w:r w:rsidRPr="003B6BE9">
        <w:rPr>
          <w:i/>
          <w:iCs/>
          <w:lang w:val="en-US"/>
        </w:rPr>
        <w:t>64</w:t>
      </w:r>
      <w:r w:rsidRPr="003B6BE9">
        <w:rPr>
          <w:shd w:val="clear" w:color="auto" w:fill="FFFFFF"/>
          <w:lang w:val="en-US"/>
        </w:rPr>
        <w:t xml:space="preserve">(3), 218–224. </w:t>
      </w:r>
    </w:p>
    <w:p w14:paraId="6E95208C" w14:textId="77777777" w:rsidR="00AA5A29" w:rsidRPr="003B6BE9" w:rsidRDefault="00AA5A29" w:rsidP="00AA5A29">
      <w:pPr>
        <w:pStyle w:val="references"/>
        <w:rPr>
          <w:lang w:val="en-US"/>
        </w:rPr>
      </w:pPr>
      <w:r w:rsidRPr="003B6BE9">
        <w:rPr>
          <w:shd w:val="clear" w:color="auto" w:fill="FFFFFF"/>
          <w:lang w:val="en-US"/>
        </w:rPr>
        <w:t xml:space="preserve">Halperin, J. M., &amp; Healey, D. M. (2011). The influences of environmental enrichment, cognitive enhancement, and physical exercise on brain development: Can we alter the developmental trajectory of ADHD? </w:t>
      </w:r>
      <w:r w:rsidRPr="003B6BE9">
        <w:rPr>
          <w:i/>
          <w:iCs/>
          <w:lang w:val="en-US"/>
        </w:rPr>
        <w:t>Neuroscience &amp; Biobehavioral Reviews</w:t>
      </w:r>
      <w:r w:rsidRPr="003B6BE9">
        <w:rPr>
          <w:shd w:val="clear" w:color="auto" w:fill="FFFFFF"/>
          <w:lang w:val="en-US"/>
        </w:rPr>
        <w:t xml:space="preserve">, </w:t>
      </w:r>
      <w:r w:rsidRPr="003B6BE9">
        <w:rPr>
          <w:i/>
          <w:iCs/>
          <w:lang w:val="en-US"/>
        </w:rPr>
        <w:t>35</w:t>
      </w:r>
      <w:r w:rsidRPr="003B6BE9">
        <w:rPr>
          <w:shd w:val="clear" w:color="auto" w:fill="FFFFFF"/>
          <w:lang w:val="en-US"/>
        </w:rPr>
        <w:t>(3), 621–634.</w:t>
      </w:r>
      <w:r w:rsidRPr="003B6BE9">
        <w:rPr>
          <w:lang w:val="en-US"/>
        </w:rPr>
        <w:t xml:space="preserve"> </w:t>
      </w:r>
    </w:p>
    <w:p w14:paraId="4B431EDF" w14:textId="77777777" w:rsidR="00AA5A29" w:rsidRPr="003B6BE9" w:rsidRDefault="00AA5A29" w:rsidP="00AA5A29">
      <w:pPr>
        <w:pStyle w:val="references"/>
        <w:rPr>
          <w:color w:val="000000"/>
          <w:lang w:val="en-US"/>
        </w:rPr>
      </w:pPr>
      <w:r w:rsidRPr="003B6BE9">
        <w:rPr>
          <w:color w:val="000000"/>
          <w:lang w:val="en-US"/>
        </w:rPr>
        <w:t xml:space="preserve">Hames, E. C., Murphy, B., Rajmohan, R., Anderson, R. C., Baker, M., Zupancic, S., O’Boyle, M., &amp; Richman, D. (2016). Visual, auditory, and cross modal sensory processing in adults with autism: An EEG power and BOLD fMRI investigation. </w:t>
      </w:r>
      <w:r w:rsidRPr="003B6BE9">
        <w:rPr>
          <w:i/>
          <w:color w:val="000000"/>
          <w:lang w:val="en-US"/>
        </w:rPr>
        <w:t>Frontiers in Human Neuroscience</w:t>
      </w:r>
      <w:r w:rsidRPr="003B6BE9">
        <w:rPr>
          <w:color w:val="000000"/>
          <w:lang w:val="en-US"/>
        </w:rPr>
        <w:t>,</w:t>
      </w:r>
      <w:r w:rsidRPr="003B6BE9">
        <w:rPr>
          <w:i/>
          <w:color w:val="000000"/>
          <w:lang w:val="en-US"/>
        </w:rPr>
        <w:t xml:space="preserve"> 10</w:t>
      </w:r>
      <w:r w:rsidRPr="003B6BE9">
        <w:rPr>
          <w:color w:val="000000"/>
          <w:lang w:val="en-US"/>
        </w:rPr>
        <w:t xml:space="preserve">(167), 1–18. </w:t>
      </w:r>
    </w:p>
    <w:p w14:paraId="620646AE" w14:textId="77777777" w:rsidR="00AA5A29" w:rsidRPr="003B6BE9" w:rsidRDefault="00AA5A29" w:rsidP="00AA5A29">
      <w:pPr>
        <w:pStyle w:val="references"/>
        <w:rPr>
          <w:lang w:val="en-US"/>
        </w:rPr>
      </w:pPr>
      <w:r w:rsidRPr="003B6BE9">
        <w:rPr>
          <w:shd w:val="clear" w:color="auto" w:fill="FFFFFF"/>
          <w:lang w:val="en-US"/>
        </w:rPr>
        <w:t>Hatch, B., Healey, D. M., &amp; Halperin, J. M. (2014). Associations between birth weight and attention</w:t>
      </w:r>
      <w:r w:rsidRPr="003B6BE9">
        <w:rPr>
          <w:rFonts w:ascii="Cambria Math" w:eastAsia="Calibri" w:hAnsi="Cambria Math" w:cs="Cambria Math"/>
          <w:shd w:val="clear" w:color="auto" w:fill="FFFFFF"/>
          <w:lang w:val="en-US"/>
        </w:rPr>
        <w:t>‐</w:t>
      </w:r>
      <w:r w:rsidRPr="003B6BE9">
        <w:rPr>
          <w:shd w:val="clear" w:color="auto" w:fill="FFFFFF"/>
          <w:lang w:val="en-US"/>
        </w:rPr>
        <w:t xml:space="preserve">deficit/hyperactivity disorder symptom severity: Indirect effects via primary neuropsychological functions. </w:t>
      </w:r>
      <w:r w:rsidRPr="003B6BE9">
        <w:rPr>
          <w:i/>
          <w:iCs/>
          <w:lang w:val="en-US"/>
        </w:rPr>
        <w:t>Journal of Child Psychology and Psychiatry</w:t>
      </w:r>
      <w:r w:rsidRPr="003B6BE9">
        <w:rPr>
          <w:shd w:val="clear" w:color="auto" w:fill="FFFFFF"/>
          <w:lang w:val="en-US"/>
        </w:rPr>
        <w:t xml:space="preserve">, </w:t>
      </w:r>
      <w:r w:rsidRPr="003B6BE9">
        <w:rPr>
          <w:i/>
          <w:iCs/>
          <w:lang w:val="en-US"/>
        </w:rPr>
        <w:t>55</w:t>
      </w:r>
      <w:r w:rsidRPr="003B6BE9">
        <w:rPr>
          <w:shd w:val="clear" w:color="auto" w:fill="FFFFFF"/>
          <w:lang w:val="en-US"/>
        </w:rPr>
        <w:t>(4), 384–392.</w:t>
      </w:r>
      <w:r w:rsidRPr="003B6BE9">
        <w:rPr>
          <w:lang w:val="en-US"/>
        </w:rPr>
        <w:t xml:space="preserve"> </w:t>
      </w:r>
    </w:p>
    <w:p w14:paraId="1728F7C7" w14:textId="77777777" w:rsidR="00AA5A29" w:rsidRPr="003B6BE9" w:rsidRDefault="00AA5A29" w:rsidP="00AA5A29">
      <w:pPr>
        <w:pStyle w:val="references"/>
        <w:rPr>
          <w:lang w:val="en-US"/>
        </w:rPr>
      </w:pPr>
      <w:r w:rsidRPr="003B6BE9">
        <w:rPr>
          <w:shd w:val="clear" w:color="auto" w:fill="FFFFFF"/>
          <w:lang w:val="en-US"/>
        </w:rPr>
        <w:t>Hengartner, M. P., &amp; Lehmann, S. N. (2017). Why psychiatric research must abandon traditional diagnostic classification and adopt a fully dimensional scope: Two solutions to a persistent problem.</w:t>
      </w:r>
      <w:r w:rsidRPr="003B6BE9">
        <w:rPr>
          <w:rStyle w:val="apple-converted-space"/>
          <w:color w:val="222222"/>
          <w:sz w:val="28"/>
          <w:szCs w:val="28"/>
          <w:shd w:val="clear" w:color="auto" w:fill="FFFFFF"/>
          <w:lang w:val="en-US"/>
        </w:rPr>
        <w:t xml:space="preserve"> </w:t>
      </w:r>
      <w:r w:rsidRPr="003B6BE9">
        <w:rPr>
          <w:i/>
          <w:iCs/>
          <w:lang w:val="en-US"/>
        </w:rPr>
        <w:t>Frontiers in Psychiatry</w:t>
      </w:r>
      <w:r w:rsidRPr="003B6BE9">
        <w:rPr>
          <w:shd w:val="clear" w:color="auto" w:fill="FFFFFF"/>
          <w:lang w:val="en-US"/>
        </w:rPr>
        <w:t>,</w:t>
      </w:r>
      <w:r w:rsidRPr="003B6BE9">
        <w:rPr>
          <w:rStyle w:val="apple-converted-space"/>
          <w:color w:val="222222"/>
          <w:sz w:val="28"/>
          <w:szCs w:val="28"/>
          <w:shd w:val="clear" w:color="auto" w:fill="FFFFFF"/>
          <w:lang w:val="en-US"/>
        </w:rPr>
        <w:t xml:space="preserve"> </w:t>
      </w:r>
      <w:r w:rsidRPr="003B6BE9">
        <w:rPr>
          <w:i/>
          <w:iCs/>
          <w:lang w:val="en-US"/>
        </w:rPr>
        <w:t>8</w:t>
      </w:r>
      <w:r w:rsidRPr="003B6BE9">
        <w:rPr>
          <w:iCs/>
          <w:lang w:val="en-US"/>
        </w:rPr>
        <w:t>,</w:t>
      </w:r>
      <w:commentRangeStart w:id="80"/>
      <w:r w:rsidRPr="003B6BE9">
        <w:rPr>
          <w:iCs/>
          <w:lang w:val="en-US"/>
        </w:rPr>
        <w:t xml:space="preserve"> 101</w:t>
      </w:r>
      <w:commentRangeEnd w:id="80"/>
      <w:r w:rsidRPr="003B6BE9">
        <w:rPr>
          <w:rStyle w:val="CommentReference"/>
          <w:rFonts w:cstheme="minorBidi"/>
          <w:lang w:eastAsia="en-US"/>
        </w:rPr>
        <w:commentReference w:id="80"/>
      </w:r>
      <w:r w:rsidRPr="003B6BE9">
        <w:rPr>
          <w:shd w:val="clear" w:color="auto" w:fill="FFFFFF"/>
          <w:lang w:val="en-US"/>
        </w:rPr>
        <w:t>.</w:t>
      </w:r>
      <w:r w:rsidRPr="003B6BE9">
        <w:rPr>
          <w:lang w:val="en-US"/>
        </w:rPr>
        <w:t xml:space="preserve"> </w:t>
      </w:r>
    </w:p>
    <w:p w14:paraId="028E9855" w14:textId="77777777" w:rsidR="00AA5A29" w:rsidRPr="003B6BE9" w:rsidRDefault="00AA5A29" w:rsidP="00AA5A29">
      <w:pPr>
        <w:pStyle w:val="references"/>
        <w:rPr>
          <w:color w:val="000000" w:themeColor="text1"/>
          <w:lang w:val="en-US"/>
        </w:rPr>
      </w:pPr>
      <w:r w:rsidRPr="003B6BE9">
        <w:rPr>
          <w:color w:val="000000" w:themeColor="text1"/>
          <w:lang w:val="en-US"/>
        </w:rPr>
        <w:t xml:space="preserve">Hitoglou, M., Ververi, A., Antoniadis, A., &amp; Zafeiriou, D. I. (2010). Childhood autism and auditory system abnormalities. </w:t>
      </w:r>
      <w:r w:rsidRPr="003B6BE9">
        <w:rPr>
          <w:i/>
          <w:iCs/>
          <w:color w:val="000000" w:themeColor="text1"/>
          <w:lang w:val="en-US"/>
        </w:rPr>
        <w:t>Pediatric Neurology</w:t>
      </w:r>
      <w:r w:rsidRPr="003B6BE9">
        <w:rPr>
          <w:iCs/>
          <w:color w:val="000000" w:themeColor="text1"/>
          <w:lang w:val="en-US"/>
        </w:rPr>
        <w:t>,</w:t>
      </w:r>
      <w:r w:rsidRPr="003B6BE9">
        <w:rPr>
          <w:i/>
          <w:iCs/>
          <w:color w:val="000000" w:themeColor="text1"/>
          <w:lang w:val="en-US"/>
        </w:rPr>
        <w:t xml:space="preserve"> 42</w:t>
      </w:r>
      <w:r w:rsidRPr="003B6BE9">
        <w:rPr>
          <w:color w:val="000000" w:themeColor="text1"/>
          <w:lang w:val="en-US"/>
        </w:rPr>
        <w:t xml:space="preserve">(5), 309–314. </w:t>
      </w:r>
    </w:p>
    <w:p w14:paraId="6BF447E9" w14:textId="77777777" w:rsidR="00AA5A29" w:rsidRPr="003B6BE9" w:rsidRDefault="00AA5A29" w:rsidP="00AA5A29">
      <w:pPr>
        <w:pStyle w:val="references"/>
        <w:rPr>
          <w:shd w:val="clear" w:color="auto" w:fill="FFFFFF"/>
          <w:lang w:val="en-US"/>
        </w:rPr>
      </w:pPr>
      <w:r w:rsidRPr="003B6BE9">
        <w:rPr>
          <w:shd w:val="clear" w:color="auto" w:fill="FFFFFF"/>
          <w:lang w:val="en-US"/>
        </w:rPr>
        <w:t xml:space="preserve">Hoogman, M., Bralten, J., Hibar, D. P., Mennes, M., Zwiers, M. P., Schweren, L. S., ... de Zeeuw, P. (2017). Subcortical brain volume differences in participants with attention deficit hyperactivity disorder in children and adults: A cross-sectional mega-analysis. </w:t>
      </w:r>
      <w:r w:rsidRPr="003B6BE9">
        <w:rPr>
          <w:i/>
          <w:iCs/>
          <w:lang w:val="en-US"/>
        </w:rPr>
        <w:t>The Lancet Psychiatry</w:t>
      </w:r>
      <w:r w:rsidRPr="003B6BE9">
        <w:rPr>
          <w:shd w:val="clear" w:color="auto" w:fill="FFFFFF"/>
          <w:lang w:val="en-US"/>
        </w:rPr>
        <w:t xml:space="preserve">, </w:t>
      </w:r>
      <w:r w:rsidRPr="003B6BE9">
        <w:rPr>
          <w:i/>
          <w:iCs/>
          <w:lang w:val="en-US"/>
        </w:rPr>
        <w:t>4</w:t>
      </w:r>
      <w:r w:rsidRPr="003B6BE9">
        <w:rPr>
          <w:shd w:val="clear" w:color="auto" w:fill="FFFFFF"/>
          <w:lang w:val="en-US"/>
        </w:rPr>
        <w:t xml:space="preserve">(4), 310–319. </w:t>
      </w:r>
    </w:p>
    <w:p w14:paraId="0E927EC4" w14:textId="75A7B52C" w:rsidR="00AA5A29" w:rsidRPr="003B6BE9" w:rsidRDefault="00AA5A29" w:rsidP="00AA5A29">
      <w:pPr>
        <w:pStyle w:val="references"/>
        <w:rPr>
          <w:shd w:val="clear" w:color="auto" w:fill="FFFFFF"/>
          <w:lang w:val="en-US"/>
        </w:rPr>
      </w:pPr>
      <w:r w:rsidRPr="003B6BE9">
        <w:rPr>
          <w:shd w:val="clear" w:color="auto" w:fill="FFFFFF"/>
          <w:lang w:val="en-US"/>
        </w:rPr>
        <w:t>Howells, F. M., Stein, D. J., &amp; Russell, V. A. (2012). Synergistic tonic and phasic activity of the locus coeruleus norepinephrine (LC-NE) arousal system is required for optimal attentional performance.</w:t>
      </w:r>
      <w:r w:rsidRPr="003B6BE9">
        <w:rPr>
          <w:rStyle w:val="apple-converted-space"/>
          <w:color w:val="222222"/>
          <w:sz w:val="28"/>
          <w:szCs w:val="28"/>
          <w:shd w:val="clear" w:color="auto" w:fill="FFFFFF"/>
          <w:lang w:val="en-US"/>
        </w:rPr>
        <w:t> </w:t>
      </w:r>
      <w:r w:rsidRPr="003B6BE9">
        <w:rPr>
          <w:i/>
          <w:iCs/>
          <w:lang w:val="en-US"/>
        </w:rPr>
        <w:t>Metabolic brain disease</w:t>
      </w:r>
      <w:r w:rsidRPr="003B6BE9">
        <w:rPr>
          <w:shd w:val="clear" w:color="auto" w:fill="FFFFFF"/>
          <w:lang w:val="en-US"/>
        </w:rPr>
        <w:t>,</w:t>
      </w:r>
      <w:r w:rsidRPr="003B6BE9">
        <w:rPr>
          <w:rStyle w:val="apple-converted-space"/>
          <w:color w:val="222222"/>
          <w:sz w:val="28"/>
          <w:szCs w:val="28"/>
          <w:shd w:val="clear" w:color="auto" w:fill="FFFFFF"/>
          <w:lang w:val="en-US"/>
        </w:rPr>
        <w:t> </w:t>
      </w:r>
      <w:r w:rsidRPr="003B6BE9">
        <w:rPr>
          <w:i/>
          <w:iCs/>
          <w:lang w:val="en-US"/>
        </w:rPr>
        <w:t>27</w:t>
      </w:r>
      <w:r w:rsidRPr="003B6BE9">
        <w:rPr>
          <w:shd w:val="clear" w:color="auto" w:fill="FFFFFF"/>
          <w:lang w:val="en-US"/>
        </w:rPr>
        <w:t>(3), 267-274.</w:t>
      </w:r>
      <w:r w:rsidRPr="003B6BE9">
        <w:rPr>
          <w:lang w:val="en-GB"/>
        </w:rPr>
        <w:t xml:space="preserve"> </w:t>
      </w:r>
    </w:p>
    <w:p w14:paraId="19CD5155" w14:textId="77777777" w:rsidR="00AA5A29" w:rsidRPr="003B6BE9" w:rsidRDefault="00AA5A29" w:rsidP="00AA5A29">
      <w:pPr>
        <w:pStyle w:val="references"/>
        <w:rPr>
          <w:lang w:val="en-US"/>
        </w:rPr>
      </w:pPr>
      <w:r w:rsidRPr="003B6BE9">
        <w:rPr>
          <w:shd w:val="clear" w:color="auto" w:fill="FFFFFF"/>
          <w:lang w:val="en-US"/>
        </w:rPr>
        <w:t xml:space="preserve">Hvoslef-Eide, M., Mar, A. C., Nilsson, S. R. O., Alsiö, J., Heath, C. J., Saksida, L. M., ... Bussey, T. J. (2015). The NEWMEDS rodent touchscreen test battery for cognition relevant to schizophrenia. </w:t>
      </w:r>
      <w:r w:rsidRPr="003B6BE9">
        <w:rPr>
          <w:i/>
          <w:iCs/>
          <w:lang w:val="en-US"/>
        </w:rPr>
        <w:t>Psychopharmacology</w:t>
      </w:r>
      <w:r w:rsidRPr="003B6BE9">
        <w:rPr>
          <w:shd w:val="clear" w:color="auto" w:fill="FFFFFF"/>
          <w:lang w:val="en-US"/>
        </w:rPr>
        <w:t xml:space="preserve">, </w:t>
      </w:r>
      <w:r w:rsidRPr="003B6BE9">
        <w:rPr>
          <w:i/>
          <w:iCs/>
          <w:lang w:val="en-US"/>
        </w:rPr>
        <w:t>232</w:t>
      </w:r>
      <w:r w:rsidRPr="003B6BE9">
        <w:rPr>
          <w:shd w:val="clear" w:color="auto" w:fill="FFFFFF"/>
          <w:lang w:val="en-US"/>
        </w:rPr>
        <w:t>(21–22), 3853–3872.</w:t>
      </w:r>
      <w:r w:rsidRPr="003B6BE9">
        <w:rPr>
          <w:lang w:val="en-US"/>
        </w:rPr>
        <w:t xml:space="preserve"> </w:t>
      </w:r>
    </w:p>
    <w:p w14:paraId="7F3EE622" w14:textId="77777777" w:rsidR="00AA5A29" w:rsidRPr="003B6BE9" w:rsidRDefault="00AA5A29" w:rsidP="00AA5A29">
      <w:pPr>
        <w:pStyle w:val="references"/>
        <w:rPr>
          <w:shd w:val="clear" w:color="auto" w:fill="FFFFFF"/>
          <w:lang w:val="en-US"/>
        </w:rPr>
      </w:pPr>
      <w:r w:rsidRPr="003B6BE9">
        <w:rPr>
          <w:shd w:val="clear" w:color="auto" w:fill="FFFFFF"/>
          <w:lang w:val="en-US"/>
        </w:rPr>
        <w:lastRenderedPageBreak/>
        <w:t xml:space="preserve">Insel, T. R. (2014). The NIMH research domain criteria (RDoC) project: Precision medicine for psychiatry. </w:t>
      </w:r>
      <w:r w:rsidRPr="003B6BE9">
        <w:rPr>
          <w:i/>
          <w:iCs/>
          <w:lang w:val="en-US"/>
        </w:rPr>
        <w:t>American Journal of Psychiatry</w:t>
      </w:r>
      <w:r w:rsidRPr="003B6BE9">
        <w:rPr>
          <w:shd w:val="clear" w:color="auto" w:fill="FFFFFF"/>
          <w:lang w:val="en-US"/>
        </w:rPr>
        <w:t xml:space="preserve">, </w:t>
      </w:r>
      <w:r w:rsidRPr="003B6BE9">
        <w:rPr>
          <w:i/>
          <w:iCs/>
          <w:lang w:val="en-US"/>
        </w:rPr>
        <w:t>171</w:t>
      </w:r>
      <w:r w:rsidRPr="003B6BE9">
        <w:rPr>
          <w:shd w:val="clear" w:color="auto" w:fill="FFFFFF"/>
          <w:lang w:val="en-US"/>
        </w:rPr>
        <w:t xml:space="preserve">(4), 395–397. </w:t>
      </w:r>
    </w:p>
    <w:p w14:paraId="124D2925" w14:textId="77777777" w:rsidR="00AA5A29" w:rsidRPr="003B6BE9" w:rsidRDefault="00AA5A29" w:rsidP="00AA5A29">
      <w:pPr>
        <w:pStyle w:val="references"/>
        <w:rPr>
          <w:lang w:val="en-US"/>
        </w:rPr>
      </w:pPr>
      <w:r w:rsidRPr="003B6BE9">
        <w:rPr>
          <w:shd w:val="clear" w:color="auto" w:fill="FFFFFF"/>
          <w:lang w:val="en-US"/>
        </w:rPr>
        <w:t xml:space="preserve">Insel, T., Cuthbert, B., Garvey, M., Heinssen, R., Pine, D. S., Quinn, K., ... Wang, P. (2010). Research domain criteria (RDoC): Toward a new classification framework for research on mental disorders. </w:t>
      </w:r>
      <w:commentRangeStart w:id="81"/>
      <w:r w:rsidRPr="003B6BE9">
        <w:rPr>
          <w:i/>
          <w:shd w:val="clear" w:color="auto" w:fill="FFFFFF"/>
          <w:lang w:val="en-US"/>
        </w:rPr>
        <w:t>American Journal of Psychiatry</w:t>
      </w:r>
      <w:r w:rsidRPr="003B6BE9">
        <w:rPr>
          <w:shd w:val="clear" w:color="auto" w:fill="FFFFFF"/>
          <w:lang w:val="en-US"/>
        </w:rPr>
        <w:t xml:space="preserve">, </w:t>
      </w:r>
      <w:r w:rsidRPr="003B6BE9">
        <w:rPr>
          <w:i/>
          <w:shd w:val="clear" w:color="auto" w:fill="FFFFFF"/>
          <w:lang w:val="en-US"/>
        </w:rPr>
        <w:t>167</w:t>
      </w:r>
      <w:r w:rsidRPr="003B6BE9">
        <w:rPr>
          <w:shd w:val="clear" w:color="auto" w:fill="FFFFFF"/>
          <w:lang w:val="en-US"/>
        </w:rPr>
        <w:t>(7), 748–751.</w:t>
      </w:r>
      <w:commentRangeEnd w:id="81"/>
      <w:r w:rsidRPr="003B6BE9">
        <w:rPr>
          <w:rStyle w:val="CommentReference"/>
          <w:rFonts w:cstheme="minorBidi"/>
          <w:lang w:eastAsia="en-US"/>
        </w:rPr>
        <w:commentReference w:id="81"/>
      </w:r>
      <w:r w:rsidRPr="003B6BE9">
        <w:rPr>
          <w:lang w:val="en-US"/>
        </w:rPr>
        <w:t xml:space="preserve"> </w:t>
      </w:r>
    </w:p>
    <w:p w14:paraId="16BE736E" w14:textId="77777777" w:rsidR="00AA5A29" w:rsidRPr="003B6BE9" w:rsidRDefault="00AA5A29" w:rsidP="00AA5A29">
      <w:pPr>
        <w:pStyle w:val="references"/>
        <w:rPr>
          <w:lang w:val="en-US"/>
        </w:rPr>
      </w:pPr>
      <w:r w:rsidRPr="003B6BE9">
        <w:rPr>
          <w:shd w:val="clear" w:color="auto" w:fill="FFFFFF"/>
          <w:lang w:val="en-US"/>
        </w:rPr>
        <w:t xml:space="preserve">Ismail, N., &amp; Amin, A. (1999). Auditory brainstem response in attention deficit hyperactivity disorders in children. </w:t>
      </w:r>
      <w:r w:rsidRPr="003B6BE9">
        <w:rPr>
          <w:i/>
          <w:iCs/>
          <w:lang w:val="en-US"/>
        </w:rPr>
        <w:t>Current Psychiatry</w:t>
      </w:r>
      <w:r w:rsidRPr="003B6BE9">
        <w:rPr>
          <w:shd w:val="clear" w:color="auto" w:fill="FFFFFF"/>
          <w:lang w:val="en-US"/>
        </w:rPr>
        <w:t xml:space="preserve">, </w:t>
      </w:r>
      <w:r w:rsidRPr="003B6BE9">
        <w:rPr>
          <w:i/>
          <w:iCs/>
          <w:lang w:val="en-US"/>
        </w:rPr>
        <w:t>6</w:t>
      </w:r>
      <w:r w:rsidRPr="003B6BE9">
        <w:rPr>
          <w:shd w:val="clear" w:color="auto" w:fill="FFFFFF"/>
          <w:lang w:val="en-US"/>
        </w:rPr>
        <w:t>(1), 63–70.</w:t>
      </w:r>
      <w:r w:rsidRPr="003B6BE9">
        <w:rPr>
          <w:lang w:val="en-US"/>
        </w:rPr>
        <w:t xml:space="preserve"> </w:t>
      </w:r>
    </w:p>
    <w:p w14:paraId="349F51DE" w14:textId="162A36F3" w:rsidR="00AA5A29" w:rsidRPr="003B6BE9" w:rsidRDefault="00AA5A29" w:rsidP="00AA5A29">
      <w:pPr>
        <w:pStyle w:val="references"/>
        <w:rPr>
          <w:shd w:val="clear" w:color="auto" w:fill="FFFFFF"/>
          <w:lang w:val="en-US"/>
        </w:rPr>
      </w:pPr>
      <w:r w:rsidRPr="003B6BE9">
        <w:rPr>
          <w:shd w:val="clear" w:color="auto" w:fill="FFFFFF"/>
          <w:lang w:val="en-US"/>
        </w:rPr>
        <w:t xml:space="preserve">Ivanov, I., Bansal, R., Hao, X., Zhu, H., Kellendonk, C., Miller, L., ... Durkin, K. (2010). Morphological abnormalities of the thalamus in youths with attention deficit hyperactivity disorder. </w:t>
      </w:r>
      <w:r w:rsidRPr="003B6BE9">
        <w:rPr>
          <w:i/>
          <w:iCs/>
          <w:lang w:val="en-US"/>
        </w:rPr>
        <w:t>American Journal of Psychiatry</w:t>
      </w:r>
      <w:r w:rsidRPr="003B6BE9">
        <w:rPr>
          <w:shd w:val="clear" w:color="auto" w:fill="FFFFFF"/>
          <w:lang w:val="en-US"/>
        </w:rPr>
        <w:t xml:space="preserve">, </w:t>
      </w:r>
      <w:r w:rsidRPr="003B6BE9">
        <w:rPr>
          <w:i/>
          <w:iCs/>
          <w:lang w:val="en-US"/>
        </w:rPr>
        <w:t>167</w:t>
      </w:r>
      <w:r w:rsidRPr="003B6BE9">
        <w:rPr>
          <w:shd w:val="clear" w:color="auto" w:fill="FFFFFF"/>
          <w:lang w:val="en-US"/>
        </w:rPr>
        <w:t>(4), 397–408.</w:t>
      </w:r>
      <w:r w:rsidRPr="00860AAD">
        <w:rPr>
          <w:rStyle w:val="CommentReference"/>
          <w:rFonts w:cstheme="minorBidi"/>
          <w:lang w:val="en-GB" w:eastAsia="en-US"/>
        </w:rPr>
        <w:t xml:space="preserve"> </w:t>
      </w:r>
      <w:r w:rsidRPr="003B6BE9">
        <w:rPr>
          <w:rStyle w:val="CommentReference"/>
          <w:rFonts w:cstheme="minorBidi"/>
          <w:lang w:eastAsia="en-US"/>
        </w:rPr>
        <w:commentReference w:id="82"/>
      </w:r>
    </w:p>
    <w:p w14:paraId="0CB69D26" w14:textId="77777777" w:rsidR="00AA5A29" w:rsidRPr="003B6BE9" w:rsidRDefault="00AA5A29" w:rsidP="00AA5A29">
      <w:pPr>
        <w:pStyle w:val="references"/>
        <w:rPr>
          <w:shd w:val="clear" w:color="auto" w:fill="FFFFFF"/>
          <w:lang w:val="en-US"/>
        </w:rPr>
      </w:pPr>
      <w:r w:rsidRPr="003B6BE9">
        <w:rPr>
          <w:shd w:val="clear" w:color="auto" w:fill="FFFFFF"/>
          <w:lang w:val="en-US"/>
        </w:rPr>
        <w:t xml:space="preserve">Jewett, D. L., &amp; Williston, J. S. (1971). Auditory-evoked far fields averaged from the scalp of humans. </w:t>
      </w:r>
      <w:r w:rsidRPr="003B6BE9">
        <w:rPr>
          <w:i/>
          <w:iCs/>
          <w:lang w:val="en-US"/>
        </w:rPr>
        <w:t>Brain</w:t>
      </w:r>
      <w:r w:rsidRPr="003B6BE9">
        <w:rPr>
          <w:shd w:val="clear" w:color="auto" w:fill="FFFFFF"/>
          <w:lang w:val="en-US"/>
        </w:rPr>
        <w:t xml:space="preserve">, </w:t>
      </w:r>
      <w:r w:rsidRPr="003B6BE9">
        <w:rPr>
          <w:i/>
          <w:iCs/>
          <w:lang w:val="en-US"/>
        </w:rPr>
        <w:t>94</w:t>
      </w:r>
      <w:r w:rsidRPr="003B6BE9">
        <w:rPr>
          <w:shd w:val="clear" w:color="auto" w:fill="FFFFFF"/>
          <w:lang w:val="en-US"/>
        </w:rPr>
        <w:t xml:space="preserve">(4), 681–696. </w:t>
      </w:r>
    </w:p>
    <w:p w14:paraId="1BD7F44A" w14:textId="77777777" w:rsidR="00AA5A29" w:rsidRPr="003B6BE9" w:rsidRDefault="00AA5A29" w:rsidP="00AA5A29">
      <w:pPr>
        <w:pStyle w:val="references"/>
        <w:rPr>
          <w:lang w:val="en-US"/>
        </w:rPr>
      </w:pPr>
      <w:r w:rsidRPr="003B6BE9">
        <w:rPr>
          <w:shd w:val="clear" w:color="auto" w:fill="FFFFFF"/>
          <w:lang w:val="en-US"/>
        </w:rPr>
        <w:t xml:space="preserve">Johnson, C. P., &amp; Myers, S. M. (2007). Identification and evaluation of children with autism spectrum disorders. </w:t>
      </w:r>
      <w:r w:rsidRPr="003B6BE9">
        <w:rPr>
          <w:i/>
          <w:iCs/>
          <w:lang w:val="en-US"/>
        </w:rPr>
        <w:t>Pediatrics</w:t>
      </w:r>
      <w:r w:rsidRPr="003B6BE9">
        <w:rPr>
          <w:shd w:val="clear" w:color="auto" w:fill="FFFFFF"/>
          <w:lang w:val="en-US"/>
        </w:rPr>
        <w:t xml:space="preserve">, </w:t>
      </w:r>
      <w:r w:rsidRPr="003B6BE9">
        <w:rPr>
          <w:i/>
          <w:iCs/>
          <w:lang w:val="en-US"/>
        </w:rPr>
        <w:t>120</w:t>
      </w:r>
      <w:r w:rsidRPr="003B6BE9">
        <w:rPr>
          <w:shd w:val="clear" w:color="auto" w:fill="FFFFFF"/>
          <w:lang w:val="en-US"/>
        </w:rPr>
        <w:t>(5), 1183–1215.</w:t>
      </w:r>
      <w:r w:rsidRPr="003B6BE9">
        <w:rPr>
          <w:lang w:val="en-US"/>
        </w:rPr>
        <w:t xml:space="preserve"> </w:t>
      </w:r>
    </w:p>
    <w:p w14:paraId="5298AF27" w14:textId="77777777" w:rsidR="00AA5A29" w:rsidRPr="003B6BE9" w:rsidRDefault="00AA5A29" w:rsidP="00AA5A29">
      <w:pPr>
        <w:pStyle w:val="references"/>
        <w:rPr>
          <w:lang w:val="en-US"/>
        </w:rPr>
      </w:pPr>
      <w:r w:rsidRPr="003B6BE9">
        <w:rPr>
          <w:shd w:val="clear" w:color="auto" w:fill="FFFFFF"/>
          <w:lang w:val="en-US"/>
        </w:rPr>
        <w:t xml:space="preserve">Jou, R. J., Frazier, T. W., Keshavan, M. S., Minshew, N. J., &amp; Hardan, A. Y. (2013). A two-year longitudinal pilot MRI study of the brainstem in autism. </w:t>
      </w:r>
      <w:r w:rsidRPr="003B6BE9">
        <w:rPr>
          <w:i/>
          <w:iCs/>
          <w:lang w:val="en-US"/>
        </w:rPr>
        <w:t>Behavioural Brain Research</w:t>
      </w:r>
      <w:r w:rsidRPr="003B6BE9">
        <w:rPr>
          <w:shd w:val="clear" w:color="auto" w:fill="FFFFFF"/>
          <w:lang w:val="en-US"/>
        </w:rPr>
        <w:t xml:space="preserve">, </w:t>
      </w:r>
      <w:r w:rsidRPr="003B6BE9">
        <w:rPr>
          <w:i/>
          <w:iCs/>
          <w:lang w:val="en-US"/>
        </w:rPr>
        <w:t>251</w:t>
      </w:r>
      <w:r w:rsidRPr="003B6BE9">
        <w:rPr>
          <w:shd w:val="clear" w:color="auto" w:fill="FFFFFF"/>
          <w:lang w:val="en-US"/>
        </w:rPr>
        <w:t>, 163–167.</w:t>
      </w:r>
      <w:r w:rsidRPr="003B6BE9">
        <w:rPr>
          <w:lang w:val="en-US"/>
        </w:rPr>
        <w:t xml:space="preserve"> </w:t>
      </w:r>
    </w:p>
    <w:p w14:paraId="5D82F670" w14:textId="77777777" w:rsidR="00AA5A29" w:rsidRPr="003B6BE9" w:rsidRDefault="00AA5A29" w:rsidP="00AA5A29">
      <w:pPr>
        <w:pStyle w:val="references"/>
        <w:rPr>
          <w:lang w:val="en-US"/>
        </w:rPr>
      </w:pPr>
      <w:r w:rsidRPr="003B6BE9">
        <w:rPr>
          <w:shd w:val="clear" w:color="auto" w:fill="FFFFFF"/>
          <w:lang w:val="en-US"/>
        </w:rPr>
        <w:t xml:space="preserve">Kadesjö, B., Janols, L. O., Korkman, M., Mickelsson, K., Strand, G., Trillingsgaard, A., &amp; Gillberg, C. (2004). The FTF (Five to Fifteen): The development of a parent questionnaire for the assessment of ADHD and comorbid conditions. </w:t>
      </w:r>
      <w:r w:rsidRPr="003B6BE9">
        <w:rPr>
          <w:i/>
          <w:iCs/>
          <w:lang w:val="en-US"/>
        </w:rPr>
        <w:t>European Child &amp; Adolescent Psychiatry</w:t>
      </w:r>
      <w:r w:rsidRPr="003B6BE9">
        <w:rPr>
          <w:shd w:val="clear" w:color="auto" w:fill="FFFFFF"/>
          <w:lang w:val="en-US"/>
        </w:rPr>
        <w:t xml:space="preserve">, </w:t>
      </w:r>
      <w:r w:rsidRPr="003B6BE9">
        <w:rPr>
          <w:i/>
          <w:iCs/>
          <w:lang w:val="en-US"/>
        </w:rPr>
        <w:t>13</w:t>
      </w:r>
      <w:r w:rsidRPr="003B6BE9">
        <w:rPr>
          <w:shd w:val="clear" w:color="auto" w:fill="FFFFFF"/>
          <w:lang w:val="en-US"/>
        </w:rPr>
        <w:t>, iii3–iii13.</w:t>
      </w:r>
      <w:r w:rsidRPr="003B6BE9">
        <w:rPr>
          <w:lang w:val="en-US"/>
        </w:rPr>
        <w:t xml:space="preserve"> </w:t>
      </w:r>
    </w:p>
    <w:p w14:paraId="01DA9BC7" w14:textId="77777777" w:rsidR="00AA5A29" w:rsidRPr="003B6BE9" w:rsidRDefault="00AA5A29" w:rsidP="00AA5A29">
      <w:pPr>
        <w:pStyle w:val="references"/>
        <w:rPr>
          <w:lang w:val="en-US"/>
        </w:rPr>
      </w:pPr>
      <w:r w:rsidRPr="003B6BE9">
        <w:rPr>
          <w:shd w:val="clear" w:color="auto" w:fill="FFFFFF"/>
          <w:lang w:val="en-US"/>
        </w:rPr>
        <w:t xml:space="preserve">Källstrand, J., Montnémery, P., Nielzén, S., &amp; Olsson, O. (2002). Auditory masking experiments in schizophrenia. </w:t>
      </w:r>
      <w:r w:rsidRPr="003B6BE9">
        <w:rPr>
          <w:i/>
          <w:iCs/>
          <w:lang w:val="en-US"/>
        </w:rPr>
        <w:t>Psychiatry Research</w:t>
      </w:r>
      <w:r w:rsidRPr="003B6BE9">
        <w:rPr>
          <w:shd w:val="clear" w:color="auto" w:fill="FFFFFF"/>
          <w:lang w:val="en-US"/>
        </w:rPr>
        <w:t xml:space="preserve">, </w:t>
      </w:r>
      <w:r w:rsidRPr="003B6BE9">
        <w:rPr>
          <w:i/>
          <w:iCs/>
          <w:lang w:val="en-US"/>
        </w:rPr>
        <w:t>113</w:t>
      </w:r>
      <w:r w:rsidRPr="003B6BE9">
        <w:rPr>
          <w:shd w:val="clear" w:color="auto" w:fill="FFFFFF"/>
          <w:lang w:val="en-US"/>
        </w:rPr>
        <w:t>(1), 115–125.</w:t>
      </w:r>
      <w:r w:rsidRPr="003B6BE9">
        <w:rPr>
          <w:lang w:val="en-US"/>
        </w:rPr>
        <w:t xml:space="preserve"> </w:t>
      </w:r>
    </w:p>
    <w:p w14:paraId="46F1C0CD" w14:textId="77777777" w:rsidR="00AA5A29" w:rsidRPr="003B6BE9" w:rsidRDefault="00AA5A29" w:rsidP="00AA5A29">
      <w:pPr>
        <w:pStyle w:val="references"/>
        <w:rPr>
          <w:lang w:val="en-US"/>
        </w:rPr>
      </w:pPr>
      <w:r w:rsidRPr="003B6BE9">
        <w:rPr>
          <w:shd w:val="clear" w:color="auto" w:fill="FFFFFF"/>
          <w:lang w:val="en-US"/>
        </w:rPr>
        <w:t xml:space="preserve">Källstrand, J., Olsson, O., Nehlstedt, S. F., Sköld, M. L., &amp; Nielzén, S. (2010). Abnormal auditory forward masking pattern in the brainstem response of individuals with Asperger syndrome. </w:t>
      </w:r>
      <w:r w:rsidRPr="003B6BE9">
        <w:rPr>
          <w:i/>
          <w:iCs/>
          <w:lang w:val="en-US"/>
        </w:rPr>
        <w:t>Neuropsychiatric Disease and Treatment</w:t>
      </w:r>
      <w:r w:rsidRPr="003B6BE9">
        <w:rPr>
          <w:shd w:val="clear" w:color="auto" w:fill="FFFFFF"/>
          <w:lang w:val="en-US"/>
        </w:rPr>
        <w:t xml:space="preserve">, </w:t>
      </w:r>
      <w:r w:rsidRPr="003B6BE9">
        <w:rPr>
          <w:i/>
          <w:iCs/>
          <w:lang w:val="en-US"/>
        </w:rPr>
        <w:t>6</w:t>
      </w:r>
      <w:r w:rsidRPr="003B6BE9">
        <w:rPr>
          <w:shd w:val="clear" w:color="auto" w:fill="FFFFFF"/>
          <w:lang w:val="en-US"/>
        </w:rPr>
        <w:t>, 289–296.</w:t>
      </w:r>
      <w:r w:rsidRPr="003B6BE9">
        <w:rPr>
          <w:lang w:val="en-US"/>
        </w:rPr>
        <w:t xml:space="preserve"> </w:t>
      </w:r>
    </w:p>
    <w:p w14:paraId="61594B06" w14:textId="77777777" w:rsidR="00AA5A29" w:rsidRPr="003B6BE9" w:rsidRDefault="00AA5A29" w:rsidP="00AA5A29">
      <w:pPr>
        <w:pStyle w:val="references"/>
        <w:rPr>
          <w:lang w:val="en-US"/>
        </w:rPr>
      </w:pPr>
      <w:r w:rsidRPr="003B6BE9">
        <w:rPr>
          <w:shd w:val="clear" w:color="auto" w:fill="FFFFFF"/>
          <w:lang w:val="en-US"/>
        </w:rPr>
        <w:t xml:space="preserve">Kanner, L. (1943). Autistic disturbances of affective contact. </w:t>
      </w:r>
      <w:commentRangeStart w:id="83"/>
      <w:r w:rsidRPr="003B6BE9">
        <w:rPr>
          <w:i/>
          <w:shd w:val="clear" w:color="auto" w:fill="FFFFFF"/>
          <w:lang w:val="en-US"/>
        </w:rPr>
        <w:t>Nervous Child: Journal of Psychopathology, Psychotherapy, Mental Hygiene, and Guidance of the Child</w:t>
      </w:r>
      <w:r w:rsidRPr="003B6BE9">
        <w:rPr>
          <w:shd w:val="clear" w:color="auto" w:fill="FFFFFF"/>
          <w:lang w:val="en-US"/>
        </w:rPr>
        <w:t xml:space="preserve">, </w:t>
      </w:r>
      <w:r w:rsidRPr="003B6BE9">
        <w:rPr>
          <w:i/>
          <w:shd w:val="clear" w:color="auto" w:fill="FFFFFF"/>
          <w:lang w:val="en-US"/>
        </w:rPr>
        <w:t>2</w:t>
      </w:r>
      <w:r w:rsidRPr="003B6BE9">
        <w:rPr>
          <w:shd w:val="clear" w:color="auto" w:fill="FFFFFF"/>
          <w:lang w:val="en-US"/>
        </w:rPr>
        <w:t>, 217–250.</w:t>
      </w:r>
      <w:commentRangeEnd w:id="83"/>
      <w:r w:rsidRPr="003B6BE9">
        <w:rPr>
          <w:rStyle w:val="CommentReference"/>
          <w:rFonts w:cstheme="minorBidi"/>
          <w:lang w:eastAsia="en-US"/>
        </w:rPr>
        <w:commentReference w:id="83"/>
      </w:r>
      <w:r w:rsidRPr="003B6BE9">
        <w:rPr>
          <w:lang w:val="en-US"/>
        </w:rPr>
        <w:t xml:space="preserve"> </w:t>
      </w:r>
    </w:p>
    <w:p w14:paraId="4D7C8CA8" w14:textId="77777777" w:rsidR="00AA5A29" w:rsidRPr="003B6BE9" w:rsidRDefault="00AA5A29" w:rsidP="00AA5A29">
      <w:pPr>
        <w:pStyle w:val="references"/>
        <w:rPr>
          <w:lang w:val="en-US"/>
        </w:rPr>
      </w:pPr>
      <w:r w:rsidRPr="003B6BE9">
        <w:rPr>
          <w:shd w:val="clear" w:color="auto" w:fill="FFFFFF"/>
        </w:rPr>
        <w:t xml:space="preserve">Kerekes, N., Falk, Ö., Brändström, S., Anckarsäter, H., Råstam, M., &amp; Hofvander, B. (2017). </w:t>
      </w:r>
      <w:r w:rsidRPr="003B6BE9">
        <w:rPr>
          <w:shd w:val="clear" w:color="auto" w:fill="FFFFFF"/>
          <w:lang w:val="en-US"/>
        </w:rPr>
        <w:t xml:space="preserve">The protective effect of character maturity in child aggressive antisocial behavior. </w:t>
      </w:r>
      <w:r w:rsidRPr="003B6BE9">
        <w:rPr>
          <w:i/>
          <w:iCs/>
          <w:lang w:val="en-US"/>
        </w:rPr>
        <w:t>Comprehensive Psychiatry</w:t>
      </w:r>
      <w:r w:rsidRPr="003B6BE9">
        <w:rPr>
          <w:iCs/>
          <w:lang w:val="en-US"/>
        </w:rPr>
        <w:t>,</w:t>
      </w:r>
      <w:commentRangeStart w:id="84"/>
      <w:r w:rsidRPr="003B6BE9">
        <w:rPr>
          <w:iCs/>
          <w:lang w:val="en-US"/>
        </w:rPr>
        <w:t xml:space="preserve"> </w:t>
      </w:r>
      <w:r w:rsidRPr="003B6BE9">
        <w:rPr>
          <w:i/>
          <w:iCs/>
          <w:lang w:val="en-US"/>
        </w:rPr>
        <w:t>76</w:t>
      </w:r>
      <w:r w:rsidRPr="003B6BE9">
        <w:rPr>
          <w:iCs/>
          <w:lang w:val="en-US"/>
        </w:rPr>
        <w:t>, 129–137</w:t>
      </w:r>
      <w:commentRangeEnd w:id="84"/>
      <w:r w:rsidRPr="003B6BE9">
        <w:rPr>
          <w:rStyle w:val="CommentReference"/>
          <w:rFonts w:cstheme="minorBidi"/>
          <w:lang w:eastAsia="en-US"/>
        </w:rPr>
        <w:commentReference w:id="84"/>
      </w:r>
      <w:r w:rsidRPr="003B6BE9">
        <w:rPr>
          <w:shd w:val="clear" w:color="auto" w:fill="FFFFFF"/>
          <w:lang w:val="en-US"/>
        </w:rPr>
        <w:t>.</w:t>
      </w:r>
      <w:r w:rsidRPr="003B6BE9">
        <w:rPr>
          <w:lang w:val="en-US"/>
        </w:rPr>
        <w:t xml:space="preserve"> </w:t>
      </w:r>
    </w:p>
    <w:p w14:paraId="5A789D26" w14:textId="77777777" w:rsidR="00AA5A29" w:rsidRPr="003B6BE9" w:rsidRDefault="00AA5A29" w:rsidP="00AA5A29">
      <w:pPr>
        <w:pStyle w:val="references"/>
        <w:rPr>
          <w:lang w:val="en-US"/>
        </w:rPr>
      </w:pPr>
      <w:r w:rsidRPr="003B6BE9">
        <w:rPr>
          <w:shd w:val="clear" w:color="auto" w:fill="FFFFFF"/>
          <w:lang w:val="en-US"/>
        </w:rPr>
        <w:t xml:space="preserve">Keshavan, M. S., Giedd, J., Lau, J. Y., Lewis, D. A., &amp; Paus, T. (2014). Changes in the adolescent brain and the pathophysiology of psychotic disorders. </w:t>
      </w:r>
      <w:r w:rsidRPr="003B6BE9">
        <w:rPr>
          <w:i/>
          <w:iCs/>
          <w:lang w:val="en-US"/>
        </w:rPr>
        <w:t>The Lancet Psychiatry</w:t>
      </w:r>
      <w:r w:rsidRPr="003B6BE9">
        <w:rPr>
          <w:shd w:val="clear" w:color="auto" w:fill="FFFFFF"/>
          <w:lang w:val="en-US"/>
        </w:rPr>
        <w:t xml:space="preserve">, </w:t>
      </w:r>
      <w:r w:rsidRPr="003B6BE9">
        <w:rPr>
          <w:i/>
          <w:iCs/>
          <w:lang w:val="en-US"/>
        </w:rPr>
        <w:t>1</w:t>
      </w:r>
      <w:r w:rsidRPr="003B6BE9">
        <w:rPr>
          <w:shd w:val="clear" w:color="auto" w:fill="FFFFFF"/>
          <w:lang w:val="en-US"/>
        </w:rPr>
        <w:t>(7), 549–558.</w:t>
      </w:r>
      <w:r w:rsidRPr="003B6BE9">
        <w:rPr>
          <w:lang w:val="en-US"/>
        </w:rPr>
        <w:t xml:space="preserve"> </w:t>
      </w:r>
    </w:p>
    <w:p w14:paraId="6B3137D1" w14:textId="77777777" w:rsidR="00AA5A29" w:rsidRPr="003B6BE9" w:rsidRDefault="00AA5A29" w:rsidP="00AA5A29">
      <w:pPr>
        <w:pStyle w:val="references"/>
        <w:rPr>
          <w:color w:val="000000" w:themeColor="text1"/>
          <w:lang w:val="en-US"/>
        </w:rPr>
      </w:pPr>
      <w:r w:rsidRPr="003B6BE9">
        <w:rPr>
          <w:color w:val="000000" w:themeColor="text1"/>
          <w:lang w:val="en-US"/>
        </w:rPr>
        <w:t xml:space="preserve">Khalfa, S., Bruneau, N., Rogé, B., Veuillet, E., Adrien, J. L., Barthélémy, C., &amp; Collet, L. (2001). Peripheral auditory asymmetry in infantile autism. </w:t>
      </w:r>
      <w:r w:rsidRPr="003B6BE9">
        <w:rPr>
          <w:i/>
          <w:color w:val="000000" w:themeColor="text1"/>
          <w:lang w:val="en-US"/>
        </w:rPr>
        <w:t>European Journal of Neuroscience</w:t>
      </w:r>
      <w:r w:rsidRPr="003B6BE9">
        <w:rPr>
          <w:color w:val="000000" w:themeColor="text1"/>
          <w:lang w:val="en-US"/>
        </w:rPr>
        <w:t>,</w:t>
      </w:r>
      <w:r w:rsidRPr="003B6BE9">
        <w:rPr>
          <w:i/>
          <w:color w:val="000000" w:themeColor="text1"/>
          <w:lang w:val="en-US"/>
        </w:rPr>
        <w:t xml:space="preserve"> 13</w:t>
      </w:r>
      <w:r w:rsidRPr="003B6BE9">
        <w:rPr>
          <w:color w:val="000000" w:themeColor="text1"/>
          <w:lang w:val="en-US"/>
        </w:rPr>
        <w:t xml:space="preserve">(3), 628–632. </w:t>
      </w:r>
    </w:p>
    <w:p w14:paraId="121EB036" w14:textId="77777777" w:rsidR="00AA5A29" w:rsidRPr="003B6BE9" w:rsidRDefault="00AA5A29" w:rsidP="00AA5A29">
      <w:pPr>
        <w:pStyle w:val="references"/>
        <w:rPr>
          <w:lang w:val="en-US"/>
        </w:rPr>
      </w:pPr>
      <w:r w:rsidRPr="003B6BE9">
        <w:rPr>
          <w:shd w:val="clear" w:color="auto" w:fill="FFFFFF"/>
          <w:lang w:val="en-US"/>
        </w:rPr>
        <w:lastRenderedPageBreak/>
        <w:t>Kieling, R., &amp; Rohde, L. A. (2010). ADHD in children and adults: Diagnosis and prognosis. In</w:t>
      </w:r>
      <w:commentRangeStart w:id="85"/>
      <w:r w:rsidRPr="003B6BE9">
        <w:rPr>
          <w:shd w:val="clear" w:color="auto" w:fill="FFFFFF"/>
          <w:lang w:val="en-US"/>
        </w:rPr>
        <w:t xml:space="preserve"> </w:t>
      </w:r>
      <w:commentRangeEnd w:id="85"/>
      <w:r w:rsidRPr="003B6BE9">
        <w:rPr>
          <w:rStyle w:val="CommentReference"/>
          <w:rFonts w:cstheme="minorBidi"/>
          <w:lang w:eastAsia="en-US"/>
        </w:rPr>
        <w:commentReference w:id="85"/>
      </w:r>
      <w:r w:rsidRPr="003B6BE9">
        <w:rPr>
          <w:i/>
          <w:iCs/>
          <w:lang w:val="en-US"/>
        </w:rPr>
        <w:t>Behavioral Neuroscience of Attention Deficit Hyperactivity Disorder and Its Treatment</w:t>
      </w:r>
      <w:r w:rsidRPr="003B6BE9">
        <w:rPr>
          <w:shd w:val="clear" w:color="auto" w:fill="FFFFFF"/>
          <w:lang w:val="en-US"/>
        </w:rPr>
        <w:t xml:space="preserve"> (pp. 1–16). Berlin: Springer.</w:t>
      </w:r>
      <w:r w:rsidRPr="003B6BE9">
        <w:rPr>
          <w:lang w:val="en-US"/>
        </w:rPr>
        <w:t xml:space="preserve"> </w:t>
      </w:r>
    </w:p>
    <w:p w14:paraId="39583E6F" w14:textId="77777777" w:rsidR="00AA5A29" w:rsidRPr="003B6BE9" w:rsidRDefault="00AA5A29" w:rsidP="00AA5A29">
      <w:pPr>
        <w:pStyle w:val="references"/>
        <w:rPr>
          <w:u w:color="262626"/>
          <w:lang w:val="en-US"/>
        </w:rPr>
      </w:pPr>
      <w:r w:rsidRPr="003B6BE9">
        <w:rPr>
          <w:color w:val="262626"/>
          <w:u w:color="262626"/>
          <w:lang w:val="en-US"/>
        </w:rPr>
        <w:t>Kieling, R.</w:t>
      </w:r>
      <w:r w:rsidRPr="003B6BE9">
        <w:rPr>
          <w:u w:color="262626"/>
          <w:lang w:val="en-US"/>
        </w:rPr>
        <w:t xml:space="preserve">, &amp; </w:t>
      </w:r>
      <w:r w:rsidRPr="003B6BE9">
        <w:rPr>
          <w:color w:val="262626"/>
          <w:u w:color="262626"/>
          <w:lang w:val="en-US"/>
        </w:rPr>
        <w:t>Rohde, L. A</w:t>
      </w:r>
      <w:r w:rsidRPr="003B6BE9">
        <w:rPr>
          <w:u w:color="262626"/>
          <w:lang w:val="en-US"/>
        </w:rPr>
        <w:t xml:space="preserve">. (2012). </w:t>
      </w:r>
      <w:r w:rsidRPr="003B6BE9">
        <w:rPr>
          <w:bCs/>
          <w:u w:color="262626"/>
          <w:lang w:val="en-US"/>
        </w:rPr>
        <w:t xml:space="preserve">ADHD in children and adults: Diagnosis and prognosis. </w:t>
      </w:r>
      <w:r w:rsidRPr="003B6BE9">
        <w:rPr>
          <w:i/>
          <w:color w:val="262626"/>
          <w:u w:color="262626"/>
          <w:lang w:val="en-US"/>
        </w:rPr>
        <w:t>Current Topics in Behavioral Neurosciences</w:t>
      </w:r>
      <w:r w:rsidRPr="003B6BE9">
        <w:rPr>
          <w:color w:val="262626"/>
          <w:u w:color="262626"/>
          <w:lang w:val="en-US"/>
        </w:rPr>
        <w:t>,</w:t>
      </w:r>
      <w:r w:rsidRPr="003B6BE9">
        <w:rPr>
          <w:u w:color="262626"/>
          <w:lang w:val="en-US"/>
        </w:rPr>
        <w:t xml:space="preserve"> </w:t>
      </w:r>
      <w:r w:rsidRPr="003B6BE9">
        <w:rPr>
          <w:i/>
          <w:u w:color="262626"/>
          <w:lang w:val="en-US"/>
        </w:rPr>
        <w:t>9</w:t>
      </w:r>
      <w:r w:rsidRPr="003B6BE9">
        <w:rPr>
          <w:u w:color="262626"/>
          <w:lang w:val="en-US"/>
        </w:rPr>
        <w:t xml:space="preserve">, 1–16.  </w:t>
      </w:r>
    </w:p>
    <w:p w14:paraId="44456B29" w14:textId="77777777" w:rsidR="00AA5A29" w:rsidRPr="003B6BE9" w:rsidRDefault="00AA5A29" w:rsidP="00AA5A29">
      <w:pPr>
        <w:pStyle w:val="references"/>
        <w:rPr>
          <w:color w:val="000000" w:themeColor="text1"/>
          <w:lang w:val="en-US"/>
        </w:rPr>
      </w:pPr>
      <w:r w:rsidRPr="003B6BE9">
        <w:rPr>
          <w:color w:val="000000" w:themeColor="text1"/>
          <w:lang w:val="en-US"/>
        </w:rPr>
        <w:t xml:space="preserve">Kim, Y. S., Leventhal, B. L., Koh, Y. J., Fombonne, E., Laska, E., Lim, E. C., … Grinker, R. R. (2011). Prevalence of autism spectrum disorders in a total population sample. </w:t>
      </w:r>
      <w:r w:rsidRPr="003B6BE9">
        <w:rPr>
          <w:i/>
          <w:iCs/>
          <w:color w:val="000000" w:themeColor="text1"/>
          <w:lang w:val="en-US"/>
        </w:rPr>
        <w:t>American Journal of Psychiatry</w:t>
      </w:r>
      <w:r w:rsidRPr="003B6BE9">
        <w:rPr>
          <w:iCs/>
          <w:color w:val="000000" w:themeColor="text1"/>
          <w:lang w:val="en-US"/>
        </w:rPr>
        <w:t>,</w:t>
      </w:r>
      <w:r w:rsidRPr="003B6BE9">
        <w:rPr>
          <w:i/>
          <w:iCs/>
          <w:color w:val="000000" w:themeColor="text1"/>
          <w:lang w:val="en-US"/>
        </w:rPr>
        <w:t xml:space="preserve"> 168</w:t>
      </w:r>
      <w:r w:rsidRPr="003B6BE9">
        <w:rPr>
          <w:color w:val="000000" w:themeColor="text1"/>
          <w:lang w:val="en-US"/>
        </w:rPr>
        <w:t xml:space="preserve">(9), 904– 912.  </w:t>
      </w:r>
    </w:p>
    <w:p w14:paraId="737C98DF" w14:textId="77777777" w:rsidR="00AA5A29" w:rsidRPr="003B6BE9" w:rsidRDefault="00AA5A29" w:rsidP="00AA5A29">
      <w:pPr>
        <w:pStyle w:val="references"/>
        <w:rPr>
          <w:lang w:val="en-US"/>
        </w:rPr>
      </w:pPr>
      <w:r w:rsidRPr="003B6BE9">
        <w:rPr>
          <w:shd w:val="clear" w:color="auto" w:fill="FFFFFF"/>
          <w:lang w:val="en-US"/>
        </w:rPr>
        <w:t xml:space="preserve">Klin, A. (1993). Auditory brainstem responses in autism: Brainstem dysfunction or peripheral hearing loss? </w:t>
      </w:r>
      <w:r w:rsidRPr="003B6BE9">
        <w:rPr>
          <w:i/>
          <w:iCs/>
          <w:lang w:val="en-US"/>
        </w:rPr>
        <w:t>Journal of Autism and Developmental Disorders</w:t>
      </w:r>
      <w:r w:rsidRPr="003B6BE9">
        <w:rPr>
          <w:shd w:val="clear" w:color="auto" w:fill="FFFFFF"/>
          <w:lang w:val="en-US"/>
        </w:rPr>
        <w:t xml:space="preserve">, </w:t>
      </w:r>
      <w:r w:rsidRPr="003B6BE9">
        <w:rPr>
          <w:i/>
          <w:iCs/>
          <w:lang w:val="en-US"/>
        </w:rPr>
        <w:t>23</w:t>
      </w:r>
      <w:r w:rsidRPr="003B6BE9">
        <w:rPr>
          <w:shd w:val="clear" w:color="auto" w:fill="FFFFFF"/>
          <w:lang w:val="en-US"/>
        </w:rPr>
        <w:t>(1), 15–35.</w:t>
      </w:r>
      <w:r w:rsidRPr="003B6BE9">
        <w:rPr>
          <w:lang w:val="en-US"/>
        </w:rPr>
        <w:t xml:space="preserve"> </w:t>
      </w:r>
    </w:p>
    <w:p w14:paraId="6BBA9685" w14:textId="77777777" w:rsidR="00AA5A29" w:rsidRPr="003B6BE9" w:rsidRDefault="00AA5A29" w:rsidP="00AA5A29">
      <w:pPr>
        <w:pStyle w:val="references"/>
        <w:rPr>
          <w:lang w:val="en-US"/>
        </w:rPr>
      </w:pPr>
      <w:r w:rsidRPr="003B6BE9">
        <w:rPr>
          <w:shd w:val="clear" w:color="auto" w:fill="FFFFFF"/>
          <w:lang w:val="en-US"/>
        </w:rPr>
        <w:t xml:space="preserve">Kolvin, I., Ounsted, C., Humphrey, M., &amp; McNay, A. (1971). The phenomenology of childhood psychoses. </w:t>
      </w:r>
      <w:r w:rsidRPr="003B6BE9">
        <w:rPr>
          <w:i/>
          <w:iCs/>
          <w:lang w:val="en-US"/>
        </w:rPr>
        <w:t>The British Journal of Psychiatry</w:t>
      </w:r>
      <w:r w:rsidRPr="003B6BE9">
        <w:rPr>
          <w:shd w:val="clear" w:color="auto" w:fill="FFFFFF"/>
          <w:lang w:val="en-US"/>
        </w:rPr>
        <w:t xml:space="preserve">, </w:t>
      </w:r>
      <w:r w:rsidRPr="003B6BE9">
        <w:rPr>
          <w:i/>
          <w:iCs/>
          <w:lang w:val="en-US"/>
        </w:rPr>
        <w:t>118</w:t>
      </w:r>
      <w:r w:rsidRPr="003B6BE9">
        <w:rPr>
          <w:shd w:val="clear" w:color="auto" w:fill="FFFFFF"/>
          <w:lang w:val="en-US"/>
        </w:rPr>
        <w:t>(545), 385–395.</w:t>
      </w:r>
      <w:r w:rsidRPr="003B6BE9">
        <w:rPr>
          <w:lang w:val="en-US"/>
        </w:rPr>
        <w:t xml:space="preserve"> </w:t>
      </w:r>
    </w:p>
    <w:p w14:paraId="199A9CCA" w14:textId="77777777" w:rsidR="00AA5A29" w:rsidRPr="003B6BE9" w:rsidRDefault="00AA5A29" w:rsidP="00AA5A29">
      <w:pPr>
        <w:pStyle w:val="references"/>
        <w:rPr>
          <w:lang w:val="en-US"/>
        </w:rPr>
      </w:pPr>
      <w:r w:rsidRPr="003B6BE9">
        <w:rPr>
          <w:shd w:val="clear" w:color="auto" w:fill="FFFFFF"/>
          <w:lang w:val="en-US"/>
        </w:rPr>
        <w:t xml:space="preserve">Konrad-Martin, D., Dille, M. F., McMillan, G., Griest, S., McDermott, D., Fausti, S. A., &amp; Austin, D. F. (2012). Age-related changes in the auditory brainstem response. </w:t>
      </w:r>
      <w:r w:rsidRPr="003B6BE9">
        <w:rPr>
          <w:i/>
          <w:iCs/>
          <w:lang w:val="en-US"/>
        </w:rPr>
        <w:t>Journal of the American Academy of Audiology</w:t>
      </w:r>
      <w:r w:rsidRPr="003B6BE9">
        <w:rPr>
          <w:shd w:val="clear" w:color="auto" w:fill="FFFFFF"/>
          <w:lang w:val="en-US"/>
        </w:rPr>
        <w:t xml:space="preserve">, </w:t>
      </w:r>
      <w:r w:rsidRPr="003B6BE9">
        <w:rPr>
          <w:i/>
          <w:iCs/>
          <w:lang w:val="en-US"/>
        </w:rPr>
        <w:t>23</w:t>
      </w:r>
      <w:r w:rsidRPr="003B6BE9">
        <w:rPr>
          <w:shd w:val="clear" w:color="auto" w:fill="FFFFFF"/>
          <w:lang w:val="en-US"/>
        </w:rPr>
        <w:t>(1), 18–35.</w:t>
      </w:r>
      <w:r w:rsidRPr="003B6BE9">
        <w:rPr>
          <w:lang w:val="en-US"/>
        </w:rPr>
        <w:t xml:space="preserve"> </w:t>
      </w:r>
    </w:p>
    <w:p w14:paraId="7D8964D5" w14:textId="77777777" w:rsidR="00AA5A29" w:rsidRPr="003B6BE9" w:rsidRDefault="00AA5A29" w:rsidP="00AA5A29">
      <w:pPr>
        <w:pStyle w:val="references"/>
      </w:pPr>
      <w:r w:rsidRPr="003B6BE9">
        <w:rPr>
          <w:shd w:val="clear" w:color="auto" w:fill="FFFFFF"/>
          <w:lang w:val="en-US"/>
        </w:rPr>
        <w:t xml:space="preserve">Kooij, S. J., Bejerot, S., Blackwell, A., Caci, H., Casas-Brugué, M., Carpentier, P. J., ... Gaillac, V. (2010). European consensus statement on diagnosis and treatment of adult ADHD: The European Network Adult ADHD. </w:t>
      </w:r>
      <w:r w:rsidRPr="003B6BE9">
        <w:rPr>
          <w:i/>
          <w:iCs/>
        </w:rPr>
        <w:t>BMC Psychiatry</w:t>
      </w:r>
      <w:r w:rsidRPr="003B6BE9">
        <w:rPr>
          <w:shd w:val="clear" w:color="auto" w:fill="FFFFFF"/>
        </w:rPr>
        <w:t xml:space="preserve">, </w:t>
      </w:r>
      <w:r w:rsidRPr="003B6BE9">
        <w:rPr>
          <w:i/>
          <w:iCs/>
        </w:rPr>
        <w:t>10</w:t>
      </w:r>
      <w:r w:rsidRPr="003B6BE9">
        <w:rPr>
          <w:shd w:val="clear" w:color="auto" w:fill="FFFFFF"/>
        </w:rPr>
        <w:t>(1), 67.</w:t>
      </w:r>
      <w:r w:rsidRPr="003B6BE9">
        <w:t xml:space="preserve"> </w:t>
      </w:r>
    </w:p>
    <w:p w14:paraId="410FC89E" w14:textId="77777777" w:rsidR="00AA5A29" w:rsidRPr="003B6BE9" w:rsidRDefault="00AA5A29" w:rsidP="00AA5A29">
      <w:pPr>
        <w:pStyle w:val="references"/>
        <w:rPr>
          <w:lang w:val="en-US"/>
        </w:rPr>
      </w:pPr>
      <w:r w:rsidRPr="003B6BE9">
        <w:rPr>
          <w:shd w:val="clear" w:color="auto" w:fill="FFFFFF"/>
        </w:rPr>
        <w:t xml:space="preserve">Korkman, M., Jaakkola, M., Ahlroth, A., Pesonen, A. E., &amp; Turunen, M. M. (2004). </w:t>
      </w:r>
      <w:r w:rsidRPr="003B6BE9">
        <w:rPr>
          <w:shd w:val="clear" w:color="auto" w:fill="FFFFFF"/>
          <w:lang w:val="en-US"/>
        </w:rPr>
        <w:t xml:space="preserve">Screening of developmental disorders in five-year-olds using the FTF (Five to Fifteen) questionnaire: A validation study. </w:t>
      </w:r>
      <w:r w:rsidRPr="003B6BE9">
        <w:rPr>
          <w:i/>
          <w:iCs/>
          <w:lang w:val="en-US"/>
        </w:rPr>
        <w:t>European Child &amp; Adolescent Psychiatry</w:t>
      </w:r>
      <w:r w:rsidRPr="003B6BE9">
        <w:rPr>
          <w:shd w:val="clear" w:color="auto" w:fill="FFFFFF"/>
          <w:lang w:val="en-US"/>
        </w:rPr>
        <w:t xml:space="preserve">, </w:t>
      </w:r>
      <w:r w:rsidRPr="003B6BE9">
        <w:rPr>
          <w:i/>
          <w:iCs/>
          <w:lang w:val="en-US"/>
        </w:rPr>
        <w:t>13</w:t>
      </w:r>
      <w:r w:rsidRPr="003B6BE9">
        <w:rPr>
          <w:shd w:val="clear" w:color="auto" w:fill="FFFFFF"/>
          <w:lang w:val="en-US"/>
        </w:rPr>
        <w:t>, iii31–iii38.</w:t>
      </w:r>
      <w:r w:rsidRPr="003B6BE9">
        <w:rPr>
          <w:lang w:val="en-US"/>
        </w:rPr>
        <w:t xml:space="preserve"> </w:t>
      </w:r>
    </w:p>
    <w:p w14:paraId="572EEBCE" w14:textId="77777777" w:rsidR="00AA5A29" w:rsidRPr="003B6BE9" w:rsidRDefault="00AA5A29" w:rsidP="00AA5A29">
      <w:pPr>
        <w:pStyle w:val="references"/>
        <w:rPr>
          <w:lang w:val="en-US"/>
        </w:rPr>
      </w:pPr>
      <w:r w:rsidRPr="003B6BE9">
        <w:rPr>
          <w:shd w:val="clear" w:color="auto" w:fill="FFFFFF"/>
          <w:lang w:val="en-US"/>
        </w:rPr>
        <w:t xml:space="preserve">Kovess, V., Keyes, K. M., Hamilton, A., Pez, O., Bitfoi, A., Koç, C., ... Otten, R. (2015). Maternal smoking and offspring inattention and hyperactivity: Results from a cross-national European survey. </w:t>
      </w:r>
      <w:r w:rsidRPr="003B6BE9">
        <w:rPr>
          <w:i/>
          <w:iCs/>
          <w:lang w:val="en-US"/>
        </w:rPr>
        <w:t>European Child &amp; Adolescent Psychiatry</w:t>
      </w:r>
      <w:r w:rsidRPr="003B6BE9">
        <w:rPr>
          <w:shd w:val="clear" w:color="auto" w:fill="FFFFFF"/>
          <w:lang w:val="en-US"/>
        </w:rPr>
        <w:t xml:space="preserve">, </w:t>
      </w:r>
      <w:r w:rsidRPr="003B6BE9">
        <w:rPr>
          <w:i/>
          <w:iCs/>
          <w:lang w:val="en-US"/>
        </w:rPr>
        <w:t>24</w:t>
      </w:r>
      <w:r w:rsidRPr="003B6BE9">
        <w:rPr>
          <w:shd w:val="clear" w:color="auto" w:fill="FFFFFF"/>
          <w:lang w:val="en-US"/>
        </w:rPr>
        <w:t>(8), 919–929.</w:t>
      </w:r>
      <w:r w:rsidRPr="003B6BE9">
        <w:rPr>
          <w:lang w:val="en-US"/>
        </w:rPr>
        <w:t xml:space="preserve"> </w:t>
      </w:r>
    </w:p>
    <w:p w14:paraId="66519B20" w14:textId="77777777" w:rsidR="00AA5A29" w:rsidRPr="003B6BE9" w:rsidRDefault="00AA5A29" w:rsidP="00AA5A29">
      <w:pPr>
        <w:pStyle w:val="references"/>
        <w:rPr>
          <w:lang w:val="en-US"/>
        </w:rPr>
      </w:pPr>
      <w:r w:rsidRPr="003B6BE9">
        <w:rPr>
          <w:shd w:val="clear" w:color="auto" w:fill="FFFFFF"/>
          <w:lang w:val="en-US"/>
        </w:rPr>
        <w:t xml:space="preserve">Kutcher, S., Aman, M., Brooks, S. J., Buitelaar, J., van Daalen, E., Fegert, J., ... Kusumakar, V. (2004). International consensus statement on attention-deficit/hyperactivity disorder (ADHD) and disruptive behaviour disorders (DBDs): Clinical implications and treatment practice suggestions. </w:t>
      </w:r>
      <w:r w:rsidRPr="003B6BE9">
        <w:rPr>
          <w:i/>
          <w:iCs/>
          <w:lang w:val="en-US"/>
        </w:rPr>
        <w:t>European Neuropsychopharmacology</w:t>
      </w:r>
      <w:r w:rsidRPr="003B6BE9">
        <w:rPr>
          <w:shd w:val="clear" w:color="auto" w:fill="FFFFFF"/>
          <w:lang w:val="en-US"/>
        </w:rPr>
        <w:t xml:space="preserve">, </w:t>
      </w:r>
      <w:r w:rsidRPr="003B6BE9">
        <w:rPr>
          <w:i/>
          <w:iCs/>
          <w:lang w:val="en-US"/>
        </w:rPr>
        <w:t>14</w:t>
      </w:r>
      <w:r w:rsidRPr="003B6BE9">
        <w:rPr>
          <w:shd w:val="clear" w:color="auto" w:fill="FFFFFF"/>
          <w:lang w:val="en-US"/>
        </w:rPr>
        <w:t>(1), 11–28.</w:t>
      </w:r>
      <w:r w:rsidRPr="003B6BE9">
        <w:rPr>
          <w:lang w:val="en-US"/>
        </w:rPr>
        <w:t xml:space="preserve"> </w:t>
      </w:r>
    </w:p>
    <w:p w14:paraId="4DCE79A1" w14:textId="77777777" w:rsidR="00AA5A29" w:rsidRPr="003B6BE9" w:rsidRDefault="00AA5A29" w:rsidP="00AA5A29">
      <w:pPr>
        <w:pStyle w:val="references"/>
        <w:rPr>
          <w:lang w:val="en-US"/>
        </w:rPr>
      </w:pPr>
      <w:r w:rsidRPr="003B6BE9">
        <w:rPr>
          <w:shd w:val="clear" w:color="auto" w:fill="FFFFFF"/>
          <w:lang w:val="en-US"/>
        </w:rPr>
        <w:t xml:space="preserve">Kwon, S., Kim, J., Choe, B. H., Ko, C., &amp; Park, S. (2007). Electrophysiologic assessment of central auditory processing by auditory brainstem responses in children with autism spectrum disorders. </w:t>
      </w:r>
      <w:r w:rsidRPr="003B6BE9">
        <w:rPr>
          <w:i/>
          <w:iCs/>
          <w:lang w:val="en-US"/>
        </w:rPr>
        <w:t>Journal of Korean Medical Science</w:t>
      </w:r>
      <w:r w:rsidRPr="003B6BE9">
        <w:rPr>
          <w:shd w:val="clear" w:color="auto" w:fill="FFFFFF"/>
          <w:lang w:val="en-US"/>
        </w:rPr>
        <w:t xml:space="preserve">, </w:t>
      </w:r>
      <w:r w:rsidRPr="003B6BE9">
        <w:rPr>
          <w:i/>
          <w:iCs/>
          <w:lang w:val="en-US"/>
        </w:rPr>
        <w:t>22</w:t>
      </w:r>
      <w:r w:rsidRPr="003B6BE9">
        <w:rPr>
          <w:shd w:val="clear" w:color="auto" w:fill="FFFFFF"/>
          <w:lang w:val="en-US"/>
        </w:rPr>
        <w:t>(4), 656–659.</w:t>
      </w:r>
      <w:r w:rsidRPr="003B6BE9">
        <w:rPr>
          <w:lang w:val="en-US"/>
        </w:rPr>
        <w:t xml:space="preserve"> </w:t>
      </w:r>
    </w:p>
    <w:p w14:paraId="426F572E" w14:textId="77777777" w:rsidR="00AA5A29" w:rsidRPr="003B6BE9" w:rsidRDefault="00AA5A29" w:rsidP="00AA5A29">
      <w:pPr>
        <w:pStyle w:val="references"/>
        <w:rPr>
          <w:lang w:val="en-US"/>
        </w:rPr>
      </w:pPr>
      <w:r w:rsidRPr="003B6BE9">
        <w:rPr>
          <w:shd w:val="clear" w:color="auto" w:fill="FFFFFF"/>
          <w:lang w:val="en-US"/>
        </w:rPr>
        <w:t xml:space="preserve">Lahat, E., Avital, E., Ban, J., Berkovitch, M., Arlazoroff, A., &amp; Aladjem, M. (1995). BAEP studies in children with attention deficit disorder. </w:t>
      </w:r>
      <w:r w:rsidRPr="003B6BE9">
        <w:rPr>
          <w:i/>
          <w:iCs/>
          <w:lang w:val="en-US"/>
        </w:rPr>
        <w:t>Developmental Medicine &amp; Child Neurology</w:t>
      </w:r>
      <w:r w:rsidRPr="003B6BE9">
        <w:rPr>
          <w:shd w:val="clear" w:color="auto" w:fill="FFFFFF"/>
          <w:lang w:val="en-US"/>
        </w:rPr>
        <w:t xml:space="preserve">, </w:t>
      </w:r>
      <w:r w:rsidRPr="003B6BE9">
        <w:rPr>
          <w:i/>
          <w:iCs/>
          <w:lang w:val="en-US"/>
        </w:rPr>
        <w:t>37</w:t>
      </w:r>
      <w:r w:rsidRPr="003B6BE9">
        <w:rPr>
          <w:shd w:val="clear" w:color="auto" w:fill="FFFFFF"/>
          <w:lang w:val="en-US"/>
        </w:rPr>
        <w:t>(2), 119–123.</w:t>
      </w:r>
      <w:r w:rsidRPr="003B6BE9">
        <w:rPr>
          <w:lang w:val="en-US"/>
        </w:rPr>
        <w:t xml:space="preserve"> </w:t>
      </w:r>
    </w:p>
    <w:p w14:paraId="23313E87" w14:textId="77777777" w:rsidR="00AA5A29" w:rsidRPr="003B6BE9" w:rsidRDefault="00AA5A29" w:rsidP="00AA5A29">
      <w:pPr>
        <w:pStyle w:val="references"/>
        <w:rPr>
          <w:lang w:val="en-US"/>
        </w:rPr>
      </w:pPr>
      <w:r w:rsidRPr="003B6BE9">
        <w:rPr>
          <w:shd w:val="clear" w:color="auto" w:fill="FFFFFF"/>
        </w:rPr>
        <w:t xml:space="preserve">Larson, T., Lundström, S., Nilsson, T., Selinus, E. N., Råstam, M., Lichtenstein, P., ... </w:t>
      </w:r>
      <w:r w:rsidRPr="003B6BE9">
        <w:rPr>
          <w:shd w:val="clear" w:color="auto" w:fill="FFFFFF"/>
          <w:lang w:val="en-US"/>
        </w:rPr>
        <w:t xml:space="preserve">Kerekes, N. (2013). Predictive properties of the A-TAC inventory when </w:t>
      </w:r>
      <w:r w:rsidRPr="003B6BE9">
        <w:rPr>
          <w:shd w:val="clear" w:color="auto" w:fill="FFFFFF"/>
          <w:lang w:val="en-US"/>
        </w:rPr>
        <w:lastRenderedPageBreak/>
        <w:t xml:space="preserve">screening for childhood-onset neurodevelopmental problems in a population-based sample. </w:t>
      </w:r>
      <w:r w:rsidRPr="003B6BE9">
        <w:rPr>
          <w:i/>
          <w:iCs/>
          <w:lang w:val="en-US"/>
        </w:rPr>
        <w:t>BMC Psychiatry</w:t>
      </w:r>
      <w:r w:rsidRPr="003B6BE9">
        <w:rPr>
          <w:shd w:val="clear" w:color="auto" w:fill="FFFFFF"/>
          <w:lang w:val="en-US"/>
        </w:rPr>
        <w:t xml:space="preserve">, </w:t>
      </w:r>
      <w:r w:rsidRPr="003B6BE9">
        <w:rPr>
          <w:i/>
          <w:iCs/>
          <w:lang w:val="en-US"/>
        </w:rPr>
        <w:t>13</w:t>
      </w:r>
      <w:r w:rsidRPr="003B6BE9">
        <w:rPr>
          <w:shd w:val="clear" w:color="auto" w:fill="FFFFFF"/>
          <w:lang w:val="en-US"/>
        </w:rPr>
        <w:t>(1), 233.</w:t>
      </w:r>
      <w:r w:rsidRPr="003B6BE9">
        <w:rPr>
          <w:lang w:val="en-US"/>
        </w:rPr>
        <w:t xml:space="preserve"> </w:t>
      </w:r>
    </w:p>
    <w:p w14:paraId="1C614FDF" w14:textId="77777777" w:rsidR="00AA5A29" w:rsidRPr="003B6BE9" w:rsidRDefault="00AA5A29" w:rsidP="00AA5A29">
      <w:pPr>
        <w:pStyle w:val="references"/>
        <w:rPr>
          <w:shd w:val="clear" w:color="auto" w:fill="FFFFFF"/>
          <w:lang w:val="en-US"/>
        </w:rPr>
      </w:pPr>
      <w:r w:rsidRPr="003B6BE9">
        <w:rPr>
          <w:shd w:val="clear" w:color="auto" w:fill="FFFFFF"/>
          <w:lang w:val="en-US"/>
        </w:rPr>
        <w:t>Larsson, H., Anckarsater, H., Råstam, M., Chang, Z., &amp; Lichtenstein, P. (2012). Childhood attention</w:t>
      </w:r>
      <w:r w:rsidRPr="003B6BE9">
        <w:rPr>
          <w:rFonts w:ascii="Cambria Math" w:eastAsia="Calibri" w:hAnsi="Cambria Math" w:cs="Cambria Math"/>
          <w:shd w:val="clear" w:color="auto" w:fill="FFFFFF"/>
          <w:lang w:val="en-US"/>
        </w:rPr>
        <w:t>‐</w:t>
      </w:r>
      <w:r w:rsidRPr="003B6BE9">
        <w:rPr>
          <w:shd w:val="clear" w:color="auto" w:fill="FFFFFF"/>
          <w:lang w:val="en-US"/>
        </w:rPr>
        <w:t xml:space="preserve">deficit hyperactivity disorder as an extreme of a continuous trait: A quantitative genetic study of 8,500 twin pairs. </w:t>
      </w:r>
      <w:r w:rsidRPr="003B6BE9">
        <w:rPr>
          <w:i/>
          <w:iCs/>
          <w:lang w:val="en-US"/>
        </w:rPr>
        <w:t>Journal of Child Psychology and Psychiatry</w:t>
      </w:r>
      <w:r w:rsidRPr="003B6BE9">
        <w:rPr>
          <w:shd w:val="clear" w:color="auto" w:fill="FFFFFF"/>
          <w:lang w:val="en-US"/>
        </w:rPr>
        <w:t xml:space="preserve">, </w:t>
      </w:r>
      <w:r w:rsidRPr="003B6BE9">
        <w:rPr>
          <w:i/>
          <w:iCs/>
          <w:lang w:val="en-US"/>
        </w:rPr>
        <w:t>53</w:t>
      </w:r>
      <w:r w:rsidRPr="003B6BE9">
        <w:rPr>
          <w:shd w:val="clear" w:color="auto" w:fill="FFFFFF"/>
          <w:lang w:val="en-US"/>
        </w:rPr>
        <w:t xml:space="preserve">(1), 73–80. </w:t>
      </w:r>
    </w:p>
    <w:p w14:paraId="0B030AE6" w14:textId="6F7AD993" w:rsidR="00AA5A29" w:rsidRPr="003B6BE9" w:rsidRDefault="00AA5A29" w:rsidP="00AA5A29">
      <w:pPr>
        <w:pStyle w:val="references"/>
        <w:rPr>
          <w:shd w:val="clear" w:color="auto" w:fill="FFFFFF"/>
          <w:lang w:val="en-US"/>
        </w:rPr>
      </w:pPr>
      <w:r w:rsidRPr="003B6BE9">
        <w:rPr>
          <w:shd w:val="clear" w:color="auto" w:fill="FFFFFF"/>
          <w:lang w:val="en-US"/>
        </w:rPr>
        <w:t>Leblond, C. S., Nava, C., Polge, A., Gauthier, J., Huguet, G., Lumbroso, S., ... &amp; Pinto, D. (2014). Meta-analysis of SHANK mutations in autism spectrum disorders: a gradient of severity in cognitive impairments.</w:t>
      </w:r>
      <w:r w:rsidRPr="003B6BE9">
        <w:rPr>
          <w:rStyle w:val="apple-converted-space"/>
          <w:color w:val="222222"/>
          <w:sz w:val="28"/>
          <w:szCs w:val="28"/>
          <w:shd w:val="clear" w:color="auto" w:fill="FFFFFF"/>
          <w:lang w:val="en-US"/>
        </w:rPr>
        <w:t xml:space="preserve"> </w:t>
      </w:r>
      <w:r w:rsidRPr="003B6BE9">
        <w:rPr>
          <w:i/>
          <w:iCs/>
          <w:lang w:val="en-US"/>
        </w:rPr>
        <w:t>PLoS genetics</w:t>
      </w:r>
      <w:r w:rsidRPr="003B6BE9">
        <w:rPr>
          <w:shd w:val="clear" w:color="auto" w:fill="FFFFFF"/>
          <w:lang w:val="en-US"/>
        </w:rPr>
        <w:t>,</w:t>
      </w:r>
      <w:r w:rsidRPr="003B6BE9">
        <w:rPr>
          <w:i/>
          <w:iCs/>
          <w:lang w:val="en-US"/>
        </w:rPr>
        <w:t xml:space="preserve"> 10</w:t>
      </w:r>
      <w:r w:rsidRPr="003B6BE9">
        <w:rPr>
          <w:shd w:val="clear" w:color="auto" w:fill="FFFFFF"/>
          <w:lang w:val="en-US"/>
        </w:rPr>
        <w:t>(9), e1004580.</w:t>
      </w:r>
      <w:r w:rsidRPr="003B6BE9">
        <w:rPr>
          <w:lang w:val="en-GB"/>
        </w:rPr>
        <w:t xml:space="preserve"> </w:t>
      </w:r>
    </w:p>
    <w:p w14:paraId="32B3FF54" w14:textId="77777777" w:rsidR="00AA5A29" w:rsidRPr="003B6BE9" w:rsidRDefault="00AA5A29" w:rsidP="00AA5A29">
      <w:pPr>
        <w:pStyle w:val="references"/>
        <w:rPr>
          <w:lang w:val="en-US"/>
        </w:rPr>
      </w:pPr>
      <w:r w:rsidRPr="003B6BE9">
        <w:rPr>
          <w:shd w:val="clear" w:color="auto" w:fill="FFFFFF"/>
          <w:lang w:val="en-US"/>
        </w:rPr>
        <w:t xml:space="preserve">Lee, A. C. H., Owen, A. M., Rogers, R. D., Sahakian, B. J., &amp; Robbins, T. W. (2000). Utility of CANTAB in functional neuroimaging. </w:t>
      </w:r>
      <w:r w:rsidRPr="003B6BE9">
        <w:rPr>
          <w:i/>
          <w:iCs/>
          <w:lang w:val="en-US"/>
        </w:rPr>
        <w:t>Functional Neuroimaging in Child Psychiatry</w:t>
      </w:r>
      <w:r w:rsidRPr="003B6BE9">
        <w:rPr>
          <w:shd w:val="clear" w:color="auto" w:fill="FFFFFF"/>
          <w:lang w:val="en-US"/>
        </w:rPr>
        <w:t>, 366–378.</w:t>
      </w:r>
      <w:r w:rsidRPr="003B6BE9">
        <w:rPr>
          <w:lang w:val="en-US"/>
        </w:rPr>
        <w:t xml:space="preserve"> </w:t>
      </w:r>
    </w:p>
    <w:p w14:paraId="2B581536" w14:textId="77777777" w:rsidR="00AA5A29" w:rsidRPr="003B6BE9" w:rsidRDefault="00AA5A29" w:rsidP="00AA5A29">
      <w:pPr>
        <w:pStyle w:val="references"/>
        <w:rPr>
          <w:lang w:val="en-US"/>
        </w:rPr>
      </w:pPr>
      <w:r w:rsidRPr="003B6BE9">
        <w:rPr>
          <w:shd w:val="clear" w:color="auto" w:fill="FFFFFF"/>
          <w:lang w:val="en-US"/>
        </w:rPr>
        <w:t xml:space="preserve">Lefebvre, A., Beggiato, A., Bourgeron, T., &amp; Toro, R. (2015). Neuroanatomical diversity of corpus callosum and brain volume in autism: Meta-analysis, analysis of the Autism Brain Imaging Data Exchange project, and simulation. </w:t>
      </w:r>
      <w:r w:rsidRPr="003B6BE9">
        <w:rPr>
          <w:i/>
          <w:iCs/>
          <w:lang w:val="en-US"/>
        </w:rPr>
        <w:t>Biological Psychiatry</w:t>
      </w:r>
      <w:r w:rsidRPr="003B6BE9">
        <w:rPr>
          <w:shd w:val="clear" w:color="auto" w:fill="FFFFFF"/>
          <w:lang w:val="en-US"/>
        </w:rPr>
        <w:t xml:space="preserve">, </w:t>
      </w:r>
      <w:r w:rsidRPr="003B6BE9">
        <w:rPr>
          <w:i/>
          <w:iCs/>
          <w:lang w:val="en-US"/>
        </w:rPr>
        <w:t>78</w:t>
      </w:r>
      <w:r w:rsidRPr="003B6BE9">
        <w:rPr>
          <w:shd w:val="clear" w:color="auto" w:fill="FFFFFF"/>
          <w:lang w:val="en-US"/>
        </w:rPr>
        <w:t>(2), 126–134.</w:t>
      </w:r>
      <w:r w:rsidRPr="003B6BE9">
        <w:rPr>
          <w:lang w:val="en-US"/>
        </w:rPr>
        <w:t xml:space="preserve"> </w:t>
      </w:r>
    </w:p>
    <w:p w14:paraId="4346FC6F" w14:textId="77777777" w:rsidR="00AA5A29" w:rsidRPr="003B6BE9" w:rsidRDefault="00AA5A29" w:rsidP="00AA5A29">
      <w:pPr>
        <w:pStyle w:val="references"/>
        <w:rPr>
          <w:lang w:val="en-US"/>
        </w:rPr>
      </w:pPr>
      <w:r w:rsidRPr="003B6BE9">
        <w:rPr>
          <w:shd w:val="clear" w:color="auto" w:fill="FFFFFF"/>
          <w:lang w:val="en-US"/>
        </w:rPr>
        <w:t xml:space="preserve">Levy, F., Hay, D. A., Bennett, K. S., &amp; Mcstephen, M. (2005). Gender differences in ADHD subtype comorbidity. </w:t>
      </w:r>
      <w:r w:rsidRPr="003B6BE9">
        <w:rPr>
          <w:i/>
          <w:iCs/>
          <w:lang w:val="en-US"/>
        </w:rPr>
        <w:t>Journal of the American Academy of Child &amp; Adolescent Psychiatry</w:t>
      </w:r>
      <w:r w:rsidRPr="003B6BE9">
        <w:rPr>
          <w:shd w:val="clear" w:color="auto" w:fill="FFFFFF"/>
          <w:lang w:val="en-US"/>
        </w:rPr>
        <w:t xml:space="preserve">, </w:t>
      </w:r>
      <w:r w:rsidRPr="003B6BE9">
        <w:rPr>
          <w:i/>
          <w:iCs/>
          <w:lang w:val="en-US"/>
        </w:rPr>
        <w:t>44</w:t>
      </w:r>
      <w:r w:rsidRPr="003B6BE9">
        <w:rPr>
          <w:shd w:val="clear" w:color="auto" w:fill="FFFFFF"/>
          <w:lang w:val="en-US"/>
        </w:rPr>
        <w:t>(4), 368–376.</w:t>
      </w:r>
      <w:r w:rsidRPr="003B6BE9">
        <w:rPr>
          <w:lang w:val="en-US"/>
        </w:rPr>
        <w:t xml:space="preserve"> </w:t>
      </w:r>
    </w:p>
    <w:p w14:paraId="125B178E" w14:textId="77777777" w:rsidR="00AA5A29" w:rsidRPr="003B6BE9" w:rsidRDefault="00AA5A29" w:rsidP="00AA5A29">
      <w:pPr>
        <w:pStyle w:val="references"/>
        <w:rPr>
          <w:lang w:val="en-US"/>
        </w:rPr>
      </w:pPr>
      <w:r w:rsidRPr="003B6BE9">
        <w:rPr>
          <w:shd w:val="clear" w:color="auto" w:fill="FFFFFF"/>
          <w:lang w:val="en-US"/>
        </w:rPr>
        <w:t xml:space="preserve">Li, D., Sham, P. C., Owen, M. J., &amp; He, L. (2006). Meta-analysis shows significant association between dopamine system genes and attention deficit hyperactivity disorder (ADHD). </w:t>
      </w:r>
      <w:r w:rsidRPr="003B6BE9">
        <w:rPr>
          <w:i/>
          <w:iCs/>
          <w:lang w:val="en-US"/>
        </w:rPr>
        <w:t>Human Molecular Genetics</w:t>
      </w:r>
      <w:r w:rsidRPr="003B6BE9">
        <w:rPr>
          <w:shd w:val="clear" w:color="auto" w:fill="FFFFFF"/>
          <w:lang w:val="en-US"/>
        </w:rPr>
        <w:t xml:space="preserve">, </w:t>
      </w:r>
      <w:r w:rsidRPr="003B6BE9">
        <w:rPr>
          <w:i/>
          <w:iCs/>
          <w:lang w:val="en-US"/>
        </w:rPr>
        <w:t>15</w:t>
      </w:r>
      <w:r w:rsidRPr="003B6BE9">
        <w:rPr>
          <w:shd w:val="clear" w:color="auto" w:fill="FFFFFF"/>
          <w:lang w:val="en-US"/>
        </w:rPr>
        <w:t>(14), 2276–2284.</w:t>
      </w:r>
      <w:r w:rsidRPr="003B6BE9">
        <w:rPr>
          <w:lang w:val="en-US"/>
        </w:rPr>
        <w:t xml:space="preserve"> </w:t>
      </w:r>
    </w:p>
    <w:p w14:paraId="56CA1739" w14:textId="77777777" w:rsidR="00AA5A29" w:rsidRPr="003B6BE9" w:rsidRDefault="00AA5A29" w:rsidP="00AA5A29">
      <w:pPr>
        <w:pStyle w:val="references"/>
        <w:rPr>
          <w:shd w:val="clear" w:color="auto" w:fill="FFFFFF"/>
          <w:lang w:val="en-US"/>
        </w:rPr>
      </w:pPr>
      <w:r w:rsidRPr="003B6BE9">
        <w:rPr>
          <w:shd w:val="clear" w:color="auto" w:fill="FFFFFF"/>
          <w:lang w:val="en-US"/>
        </w:rPr>
        <w:t>Liotti, M., Pliszka, S. R., Perez, R., Luus, B., Glahn, D., &amp; Semrud</w:t>
      </w:r>
      <w:r w:rsidRPr="003B6BE9">
        <w:rPr>
          <w:rFonts w:ascii="Cambria Math" w:eastAsia="Calibri" w:hAnsi="Cambria Math" w:cs="Cambria Math"/>
          <w:shd w:val="clear" w:color="auto" w:fill="FFFFFF"/>
          <w:lang w:val="en-US"/>
        </w:rPr>
        <w:t>‐</w:t>
      </w:r>
      <w:r w:rsidRPr="003B6BE9">
        <w:rPr>
          <w:shd w:val="clear" w:color="auto" w:fill="FFFFFF"/>
          <w:lang w:val="en-US"/>
        </w:rPr>
        <w:t xml:space="preserve">Clikeman, M. (2007). Electrophysiological correlates of response inhibition in children and adolescents with ADHD: Influence of gender, age, and previous treatment history. </w:t>
      </w:r>
      <w:r w:rsidRPr="003B6BE9">
        <w:rPr>
          <w:i/>
          <w:iCs/>
          <w:lang w:val="en-US"/>
        </w:rPr>
        <w:t>Psychophysiology</w:t>
      </w:r>
      <w:r w:rsidRPr="003B6BE9">
        <w:rPr>
          <w:shd w:val="clear" w:color="auto" w:fill="FFFFFF"/>
          <w:lang w:val="en-US"/>
        </w:rPr>
        <w:t xml:space="preserve">, </w:t>
      </w:r>
      <w:r w:rsidRPr="003B6BE9">
        <w:rPr>
          <w:i/>
          <w:iCs/>
          <w:lang w:val="en-US"/>
        </w:rPr>
        <w:t>44</w:t>
      </w:r>
      <w:r w:rsidRPr="003B6BE9">
        <w:rPr>
          <w:shd w:val="clear" w:color="auto" w:fill="FFFFFF"/>
          <w:lang w:val="en-US"/>
        </w:rPr>
        <w:t xml:space="preserve">(6), 936–948. </w:t>
      </w:r>
    </w:p>
    <w:p w14:paraId="1E8BB95D" w14:textId="77777777" w:rsidR="00AA5A29" w:rsidRPr="003B6BE9" w:rsidRDefault="00AA5A29" w:rsidP="00AA5A29">
      <w:pPr>
        <w:pStyle w:val="references"/>
        <w:rPr>
          <w:lang w:val="en-US"/>
        </w:rPr>
      </w:pPr>
      <w:r w:rsidRPr="003B6BE9">
        <w:rPr>
          <w:shd w:val="clear" w:color="auto" w:fill="FFFFFF"/>
          <w:lang w:val="en-US"/>
        </w:rPr>
        <w:t>Liu, J., Lee, H. J., Weitz, A. J., Fang, Z., Lin, P., Choy, M., ... Schiff, N. (2015). Frequency-selective control of cortical and subcortical networks by central thalamus.</w:t>
      </w:r>
      <w:r w:rsidRPr="003B6BE9">
        <w:rPr>
          <w:rStyle w:val="apple-converted-space"/>
          <w:color w:val="222222"/>
          <w:sz w:val="28"/>
          <w:szCs w:val="28"/>
          <w:shd w:val="clear" w:color="auto" w:fill="FFFFFF"/>
          <w:lang w:val="en-US"/>
        </w:rPr>
        <w:t xml:space="preserve"> </w:t>
      </w:r>
      <w:r w:rsidRPr="003B6BE9">
        <w:rPr>
          <w:i/>
          <w:iCs/>
          <w:lang w:val="en-US"/>
        </w:rPr>
        <w:t>Elife</w:t>
      </w:r>
      <w:r w:rsidRPr="003B6BE9">
        <w:rPr>
          <w:shd w:val="clear" w:color="auto" w:fill="FFFFFF"/>
          <w:lang w:val="en-US"/>
        </w:rPr>
        <w:t>,</w:t>
      </w:r>
      <w:r w:rsidRPr="003B6BE9">
        <w:rPr>
          <w:rStyle w:val="apple-converted-space"/>
          <w:color w:val="222222"/>
          <w:sz w:val="28"/>
          <w:szCs w:val="28"/>
          <w:shd w:val="clear" w:color="auto" w:fill="FFFFFF"/>
          <w:lang w:val="en-US"/>
        </w:rPr>
        <w:t xml:space="preserve"> </w:t>
      </w:r>
      <w:r w:rsidRPr="003B6BE9">
        <w:rPr>
          <w:i/>
          <w:iCs/>
          <w:lang w:val="en-US"/>
        </w:rPr>
        <w:t>4</w:t>
      </w:r>
      <w:r w:rsidRPr="003B6BE9">
        <w:rPr>
          <w:shd w:val="clear" w:color="auto" w:fill="FFFFFF"/>
          <w:lang w:val="en-US"/>
        </w:rPr>
        <w:t>, e09215.</w:t>
      </w:r>
      <w:r w:rsidRPr="003B6BE9">
        <w:rPr>
          <w:lang w:val="en-US"/>
        </w:rPr>
        <w:t xml:space="preserve"> </w:t>
      </w:r>
    </w:p>
    <w:p w14:paraId="131F89ED" w14:textId="77777777" w:rsidR="00AA5A29" w:rsidRPr="003B6BE9" w:rsidRDefault="00AA5A29" w:rsidP="00AA5A29">
      <w:pPr>
        <w:pStyle w:val="references"/>
        <w:rPr>
          <w:shd w:val="clear" w:color="auto" w:fill="FFFFFF"/>
          <w:lang w:val="en-US"/>
        </w:rPr>
      </w:pPr>
      <w:r w:rsidRPr="003B6BE9">
        <w:rPr>
          <w:shd w:val="clear" w:color="auto" w:fill="FFFFFF"/>
          <w:lang w:val="en-US"/>
        </w:rPr>
        <w:t xml:space="preserve">Loh, P. R., Bhatia, G., Gusev, A., Finucane, H. K., Bulik-Sullivan, B. K., Pollack, S. J., ... </w:t>
      </w:r>
      <w:commentRangeStart w:id="86"/>
      <w:r w:rsidRPr="003B6BE9">
        <w:rPr>
          <w:shd w:val="clear" w:color="auto" w:fill="FFFFFF"/>
          <w:lang w:val="en-US"/>
        </w:rPr>
        <w:t xml:space="preserve">O’Donovan, M. C. </w:t>
      </w:r>
      <w:commentRangeEnd w:id="86"/>
      <w:r w:rsidRPr="003B6BE9">
        <w:rPr>
          <w:rStyle w:val="CommentReference"/>
          <w:rFonts w:cstheme="minorBidi"/>
          <w:lang w:eastAsia="en-US"/>
        </w:rPr>
        <w:commentReference w:id="86"/>
      </w:r>
      <w:r w:rsidRPr="003B6BE9">
        <w:rPr>
          <w:shd w:val="clear" w:color="auto" w:fill="FFFFFF"/>
          <w:lang w:val="en-US"/>
        </w:rPr>
        <w:t xml:space="preserve">(2015). Contrasting genetic architectures of schizophrenia and other complex diseases using fast variance-components analysis. </w:t>
      </w:r>
      <w:r w:rsidRPr="003B6BE9">
        <w:rPr>
          <w:i/>
          <w:iCs/>
          <w:lang w:val="en-US"/>
        </w:rPr>
        <w:t>Nature Genetics</w:t>
      </w:r>
      <w:r w:rsidRPr="003B6BE9">
        <w:rPr>
          <w:iCs/>
          <w:lang w:val="en-US"/>
        </w:rPr>
        <w:t xml:space="preserve">, </w:t>
      </w:r>
      <w:r w:rsidRPr="003B6BE9">
        <w:rPr>
          <w:i/>
          <w:iCs/>
          <w:lang w:val="en-US"/>
        </w:rPr>
        <w:t>47</w:t>
      </w:r>
      <w:r w:rsidRPr="003B6BE9">
        <w:rPr>
          <w:iCs/>
          <w:lang w:val="en-US"/>
        </w:rPr>
        <w:t>(12), 1385–1392</w:t>
      </w:r>
      <w:r w:rsidRPr="003B6BE9">
        <w:rPr>
          <w:shd w:val="clear" w:color="auto" w:fill="FFFFFF"/>
          <w:lang w:val="en-US"/>
        </w:rPr>
        <w:t xml:space="preserve">. </w:t>
      </w:r>
    </w:p>
    <w:p w14:paraId="2A393CBA" w14:textId="77777777" w:rsidR="00AA5A29" w:rsidRPr="003B6BE9" w:rsidRDefault="00AA5A29" w:rsidP="00AA5A29">
      <w:pPr>
        <w:pStyle w:val="references"/>
        <w:rPr>
          <w:lang w:val="en-US"/>
        </w:rPr>
      </w:pPr>
      <w:r w:rsidRPr="003B6BE9">
        <w:rPr>
          <w:shd w:val="clear" w:color="auto" w:fill="FFFFFF"/>
          <w:lang w:val="en-US"/>
        </w:rPr>
        <w:t>Loo, S. K., &amp; Makeig, S. (2012). Clinical utility of EEG in attention-deficit/hyperactivity disorder: A research update.</w:t>
      </w:r>
      <w:r w:rsidRPr="003B6BE9">
        <w:rPr>
          <w:rStyle w:val="apple-converted-space"/>
          <w:color w:val="222222"/>
          <w:sz w:val="28"/>
          <w:szCs w:val="28"/>
          <w:shd w:val="clear" w:color="auto" w:fill="FFFFFF"/>
          <w:lang w:val="en-US"/>
        </w:rPr>
        <w:t xml:space="preserve"> </w:t>
      </w:r>
      <w:r w:rsidRPr="003B6BE9">
        <w:rPr>
          <w:i/>
          <w:iCs/>
          <w:lang w:val="en-US"/>
        </w:rPr>
        <w:t>Neurotherapeutics</w:t>
      </w:r>
      <w:r w:rsidRPr="003B6BE9">
        <w:rPr>
          <w:shd w:val="clear" w:color="auto" w:fill="FFFFFF"/>
          <w:lang w:val="en-US"/>
        </w:rPr>
        <w:t xml:space="preserve">, </w:t>
      </w:r>
      <w:r w:rsidRPr="003B6BE9">
        <w:rPr>
          <w:i/>
          <w:shd w:val="clear" w:color="auto" w:fill="FFFFFF"/>
          <w:lang w:val="en-US"/>
        </w:rPr>
        <w:t>9</w:t>
      </w:r>
      <w:r w:rsidRPr="003B6BE9">
        <w:rPr>
          <w:shd w:val="clear" w:color="auto" w:fill="FFFFFF"/>
          <w:lang w:val="en-US"/>
        </w:rPr>
        <w:t>(3), 1–19.</w:t>
      </w:r>
      <w:r w:rsidRPr="003B6BE9">
        <w:rPr>
          <w:lang w:val="en-US"/>
        </w:rPr>
        <w:t xml:space="preserve"> </w:t>
      </w:r>
    </w:p>
    <w:p w14:paraId="2D91C1BC" w14:textId="77777777" w:rsidR="00AA5A29" w:rsidRPr="003B6BE9" w:rsidRDefault="00AA5A29" w:rsidP="00AA5A29">
      <w:pPr>
        <w:pStyle w:val="references"/>
        <w:rPr>
          <w:lang w:val="en-US"/>
        </w:rPr>
      </w:pPr>
      <w:r w:rsidRPr="003B6BE9">
        <w:rPr>
          <w:shd w:val="clear" w:color="auto" w:fill="FFFFFF"/>
          <w:lang w:val="en-US"/>
        </w:rPr>
        <w:t>López-Escámez, J. A., Salguero, G., &amp; Salinero, J. (1998). Age and sex differences in latencies of waves I, III and V in auditory brainstem response of normal hearing subjects.</w:t>
      </w:r>
      <w:r w:rsidRPr="003B6BE9">
        <w:rPr>
          <w:rStyle w:val="apple-converted-space"/>
          <w:color w:val="222222"/>
          <w:sz w:val="28"/>
          <w:szCs w:val="28"/>
          <w:shd w:val="clear" w:color="auto" w:fill="FFFFFF"/>
          <w:lang w:val="en-US"/>
        </w:rPr>
        <w:t xml:space="preserve"> </w:t>
      </w:r>
      <w:r w:rsidRPr="003B6BE9">
        <w:rPr>
          <w:i/>
          <w:iCs/>
          <w:lang w:val="en-US"/>
        </w:rPr>
        <w:t>Acta Oto-Rhino-Laryngologica Belgica</w:t>
      </w:r>
      <w:r w:rsidRPr="003B6BE9">
        <w:rPr>
          <w:shd w:val="clear" w:color="auto" w:fill="FFFFFF"/>
          <w:lang w:val="en-US"/>
        </w:rPr>
        <w:t>,</w:t>
      </w:r>
      <w:r w:rsidRPr="003B6BE9">
        <w:rPr>
          <w:rStyle w:val="apple-converted-space"/>
          <w:color w:val="222222"/>
          <w:sz w:val="28"/>
          <w:szCs w:val="28"/>
          <w:shd w:val="clear" w:color="auto" w:fill="FFFFFF"/>
          <w:lang w:val="en-US"/>
        </w:rPr>
        <w:t xml:space="preserve"> </w:t>
      </w:r>
      <w:r w:rsidRPr="003B6BE9">
        <w:rPr>
          <w:i/>
          <w:iCs/>
          <w:lang w:val="en-US"/>
        </w:rPr>
        <w:t>53</w:t>
      </w:r>
      <w:r w:rsidRPr="003B6BE9">
        <w:rPr>
          <w:shd w:val="clear" w:color="auto" w:fill="FFFFFF"/>
          <w:lang w:val="en-US"/>
        </w:rPr>
        <w:t>(2), 109–115.</w:t>
      </w:r>
      <w:r w:rsidRPr="003B6BE9">
        <w:rPr>
          <w:lang w:val="en-US"/>
        </w:rPr>
        <w:t xml:space="preserve"> </w:t>
      </w:r>
    </w:p>
    <w:p w14:paraId="71BF47E7" w14:textId="77777777" w:rsidR="00AA5A29" w:rsidRPr="003B6BE9" w:rsidRDefault="00AA5A29" w:rsidP="00AA5A29">
      <w:pPr>
        <w:pStyle w:val="references"/>
        <w:rPr>
          <w:lang w:val="en-US"/>
        </w:rPr>
      </w:pPr>
      <w:r w:rsidRPr="003B6BE9">
        <w:rPr>
          <w:shd w:val="clear" w:color="auto" w:fill="FFFFFF"/>
          <w:lang w:val="en-US"/>
        </w:rPr>
        <w:lastRenderedPageBreak/>
        <w:t xml:space="preserve">Lord, C., Risi, S., Lambrecht, L., Cook, E. H., Leventhal, B. L., DiLavore, P. C., ... Rutter, M. (2000). The Autism Diagnostic Observation Schedule—Generic: A standard measure of social and communication deficits associated with the spectrum of autism. </w:t>
      </w:r>
      <w:r w:rsidRPr="003B6BE9">
        <w:rPr>
          <w:i/>
          <w:iCs/>
          <w:lang w:val="en-US"/>
        </w:rPr>
        <w:t>Journal of Autism and Developmental Disorders</w:t>
      </w:r>
      <w:r w:rsidRPr="003B6BE9">
        <w:rPr>
          <w:shd w:val="clear" w:color="auto" w:fill="FFFFFF"/>
          <w:lang w:val="en-US"/>
        </w:rPr>
        <w:t xml:space="preserve">, </w:t>
      </w:r>
      <w:r w:rsidRPr="003B6BE9">
        <w:rPr>
          <w:i/>
          <w:iCs/>
          <w:lang w:val="en-US"/>
        </w:rPr>
        <w:t>30</w:t>
      </w:r>
      <w:r w:rsidRPr="003B6BE9">
        <w:rPr>
          <w:shd w:val="clear" w:color="auto" w:fill="FFFFFF"/>
          <w:lang w:val="en-US"/>
        </w:rPr>
        <w:t>(3), 205–223.</w:t>
      </w:r>
      <w:r w:rsidRPr="003B6BE9">
        <w:rPr>
          <w:lang w:val="en-US"/>
        </w:rPr>
        <w:t xml:space="preserve"> </w:t>
      </w:r>
    </w:p>
    <w:p w14:paraId="0913028D" w14:textId="77777777" w:rsidR="00AA5A29" w:rsidRPr="003B6BE9" w:rsidRDefault="00AA5A29" w:rsidP="00AA5A29">
      <w:pPr>
        <w:pStyle w:val="references"/>
      </w:pPr>
      <w:r w:rsidRPr="003B6BE9">
        <w:rPr>
          <w:shd w:val="clear" w:color="auto" w:fill="FFFFFF"/>
          <w:lang w:val="en-US"/>
        </w:rPr>
        <w:t xml:space="preserve">Lowe, C., &amp; Rabbitt, P. (1998). Test/re-test reliability of the CANTAB and ISPOCD neuropsychological batteries: Theoretical and practical issues. </w:t>
      </w:r>
      <w:r w:rsidRPr="003B6BE9">
        <w:rPr>
          <w:i/>
          <w:iCs/>
        </w:rPr>
        <w:t>Neuropsychologia</w:t>
      </w:r>
      <w:r w:rsidRPr="003B6BE9">
        <w:rPr>
          <w:shd w:val="clear" w:color="auto" w:fill="FFFFFF"/>
        </w:rPr>
        <w:t xml:space="preserve">, </w:t>
      </w:r>
      <w:r w:rsidRPr="003B6BE9">
        <w:rPr>
          <w:i/>
          <w:iCs/>
        </w:rPr>
        <w:t>36</w:t>
      </w:r>
      <w:r w:rsidRPr="003B6BE9">
        <w:rPr>
          <w:shd w:val="clear" w:color="auto" w:fill="FFFFFF"/>
        </w:rPr>
        <w:t>(9), 915–923.</w:t>
      </w:r>
      <w:r w:rsidRPr="003B6BE9">
        <w:t xml:space="preserve"> </w:t>
      </w:r>
    </w:p>
    <w:p w14:paraId="2D377FB8" w14:textId="523652CA" w:rsidR="00AA5A29" w:rsidRPr="003B6BE9" w:rsidRDefault="00AA5A29" w:rsidP="00AA5A29">
      <w:pPr>
        <w:pStyle w:val="references"/>
        <w:rPr>
          <w:lang w:val="en-GB"/>
        </w:rPr>
      </w:pPr>
      <w:r w:rsidRPr="003B6BE9">
        <w:rPr>
          <w:shd w:val="clear" w:color="auto" w:fill="FFFFFF"/>
        </w:rPr>
        <w:t xml:space="preserve">Lucas, P. J., van der Gaag, L. C., &amp; Abu-Hanna, A. (2004). </w:t>
      </w:r>
      <w:r w:rsidRPr="003B6BE9">
        <w:rPr>
          <w:shd w:val="clear" w:color="auto" w:fill="FFFFFF"/>
          <w:lang w:val="en-US"/>
        </w:rPr>
        <w:t>Bayesian networks in biomedicine and health-care.</w:t>
      </w:r>
      <w:r w:rsidRPr="003B6BE9">
        <w:rPr>
          <w:rStyle w:val="apple-converted-space"/>
          <w:color w:val="222222"/>
          <w:sz w:val="28"/>
          <w:szCs w:val="28"/>
          <w:shd w:val="clear" w:color="auto" w:fill="FFFFFF"/>
          <w:lang w:val="en-US"/>
        </w:rPr>
        <w:t xml:space="preserve"> </w:t>
      </w:r>
      <w:r w:rsidRPr="003B6BE9">
        <w:rPr>
          <w:i/>
          <w:iCs/>
          <w:lang w:val="en-GB"/>
        </w:rPr>
        <w:t>Artificial Intelligence in Medicine</w:t>
      </w:r>
      <w:r w:rsidRPr="003B6BE9">
        <w:rPr>
          <w:shd w:val="clear" w:color="auto" w:fill="FFFFFF"/>
          <w:lang w:val="en-GB"/>
        </w:rPr>
        <w:t>,</w:t>
      </w:r>
      <w:r w:rsidRPr="003B6BE9">
        <w:rPr>
          <w:rStyle w:val="apple-converted-space"/>
          <w:color w:val="222222"/>
          <w:sz w:val="28"/>
          <w:szCs w:val="28"/>
          <w:shd w:val="clear" w:color="auto" w:fill="FFFFFF"/>
          <w:lang w:val="en-US"/>
        </w:rPr>
        <w:t xml:space="preserve"> </w:t>
      </w:r>
      <w:r w:rsidRPr="003B6BE9">
        <w:rPr>
          <w:i/>
          <w:iCs/>
          <w:lang w:val="en-GB"/>
        </w:rPr>
        <w:t>30</w:t>
      </w:r>
      <w:r w:rsidRPr="003B6BE9">
        <w:rPr>
          <w:shd w:val="clear" w:color="auto" w:fill="FFFFFF"/>
          <w:lang w:val="en-GB"/>
        </w:rPr>
        <w:t>(3), 201–214.</w:t>
      </w:r>
    </w:p>
    <w:p w14:paraId="235B8EAD" w14:textId="77777777" w:rsidR="00AA5A29" w:rsidRPr="003B6BE9" w:rsidRDefault="00AA5A29" w:rsidP="00AA5A29">
      <w:pPr>
        <w:pStyle w:val="references"/>
        <w:rPr>
          <w:lang w:val="en-GB"/>
        </w:rPr>
      </w:pPr>
      <w:r w:rsidRPr="003B6BE9">
        <w:rPr>
          <w:shd w:val="clear" w:color="auto" w:fill="FFFFFF"/>
          <w:lang w:val="en-US"/>
        </w:rPr>
        <w:t>Luciana, M. (2003). Practitioner review: computerized assessment of neuropsychological function in children: clinical and research applications of the Cambridge Neuropsychological Testing Automated Battery (CANTAB).</w:t>
      </w:r>
      <w:r w:rsidRPr="003B6BE9">
        <w:rPr>
          <w:rStyle w:val="apple-converted-space"/>
          <w:color w:val="222222"/>
          <w:sz w:val="28"/>
          <w:szCs w:val="28"/>
          <w:shd w:val="clear" w:color="auto" w:fill="FFFFFF"/>
          <w:lang w:val="en-US"/>
        </w:rPr>
        <w:t> </w:t>
      </w:r>
      <w:r w:rsidRPr="003B6BE9">
        <w:rPr>
          <w:i/>
          <w:iCs/>
          <w:lang w:val="en-US"/>
        </w:rPr>
        <w:t>Journal of Child Psychology and Psychiatry</w:t>
      </w:r>
      <w:r w:rsidRPr="003B6BE9">
        <w:rPr>
          <w:shd w:val="clear" w:color="auto" w:fill="FFFFFF"/>
          <w:lang w:val="en-US"/>
        </w:rPr>
        <w:t>,</w:t>
      </w:r>
      <w:r w:rsidRPr="003B6BE9">
        <w:rPr>
          <w:rStyle w:val="apple-converted-space"/>
          <w:color w:val="222222"/>
          <w:sz w:val="28"/>
          <w:szCs w:val="28"/>
          <w:shd w:val="clear" w:color="auto" w:fill="FFFFFF"/>
          <w:lang w:val="en-US"/>
        </w:rPr>
        <w:t> </w:t>
      </w:r>
      <w:r w:rsidRPr="003B6BE9">
        <w:rPr>
          <w:i/>
          <w:iCs/>
          <w:lang w:val="en-US"/>
        </w:rPr>
        <w:t>44</w:t>
      </w:r>
      <w:r w:rsidRPr="003B6BE9">
        <w:rPr>
          <w:shd w:val="clear" w:color="auto" w:fill="FFFFFF"/>
          <w:lang w:val="en-US"/>
        </w:rPr>
        <w:t>(5), 649-663.</w:t>
      </w:r>
      <w:r w:rsidRPr="003B6BE9">
        <w:rPr>
          <w:lang w:val="en-GB"/>
        </w:rPr>
        <w:t xml:space="preserve"> </w:t>
      </w:r>
    </w:p>
    <w:p w14:paraId="0096FFF5" w14:textId="77777777" w:rsidR="00AA5A29" w:rsidRPr="003B6BE9" w:rsidRDefault="00AA5A29" w:rsidP="00AA5A29">
      <w:pPr>
        <w:pStyle w:val="references"/>
        <w:rPr>
          <w:lang w:val="en-GB"/>
        </w:rPr>
      </w:pPr>
      <w:r w:rsidRPr="003B6BE9">
        <w:rPr>
          <w:shd w:val="clear" w:color="auto" w:fill="FFFFFF"/>
          <w:lang w:val="en-US"/>
        </w:rPr>
        <w:t>Luciana, M., &amp; Nelson, C. A. (2002). Assessment of neuropsychological function through use of the Cambridge Neuropsychological Testing Automated Battery: performance in 4-to 12-year-old children.</w:t>
      </w:r>
      <w:r w:rsidRPr="003B6BE9">
        <w:rPr>
          <w:rStyle w:val="apple-converted-space"/>
          <w:color w:val="222222"/>
          <w:sz w:val="28"/>
          <w:szCs w:val="28"/>
          <w:shd w:val="clear" w:color="auto" w:fill="FFFFFF"/>
          <w:lang w:val="en-US"/>
        </w:rPr>
        <w:t> </w:t>
      </w:r>
      <w:r w:rsidRPr="003B6BE9">
        <w:rPr>
          <w:i/>
          <w:iCs/>
          <w:lang w:val="en-US"/>
        </w:rPr>
        <w:t>Developmental neuropsychology</w:t>
      </w:r>
      <w:r w:rsidRPr="003B6BE9">
        <w:rPr>
          <w:shd w:val="clear" w:color="auto" w:fill="FFFFFF"/>
          <w:lang w:val="en-US"/>
        </w:rPr>
        <w:t>,</w:t>
      </w:r>
      <w:r w:rsidRPr="003B6BE9">
        <w:rPr>
          <w:rStyle w:val="apple-converted-space"/>
          <w:color w:val="222222"/>
          <w:sz w:val="28"/>
          <w:szCs w:val="28"/>
          <w:shd w:val="clear" w:color="auto" w:fill="FFFFFF"/>
          <w:lang w:val="en-US"/>
        </w:rPr>
        <w:t> </w:t>
      </w:r>
      <w:r w:rsidRPr="003B6BE9">
        <w:rPr>
          <w:i/>
          <w:iCs/>
          <w:lang w:val="en-US"/>
        </w:rPr>
        <w:t>22</w:t>
      </w:r>
      <w:r w:rsidRPr="003B6BE9">
        <w:rPr>
          <w:shd w:val="clear" w:color="auto" w:fill="FFFFFF"/>
          <w:lang w:val="en-US"/>
        </w:rPr>
        <w:t>(3), 595-624.</w:t>
      </w:r>
      <w:r w:rsidRPr="003B6BE9">
        <w:rPr>
          <w:lang w:val="en-GB"/>
        </w:rPr>
        <w:t xml:space="preserve"> </w:t>
      </w:r>
    </w:p>
    <w:p w14:paraId="042CD306" w14:textId="77777777" w:rsidR="00AA5A29" w:rsidRPr="003B6BE9" w:rsidRDefault="00AA5A29" w:rsidP="00AA5A29">
      <w:pPr>
        <w:pStyle w:val="references"/>
        <w:rPr>
          <w:lang w:val="en-US"/>
        </w:rPr>
      </w:pPr>
      <w:r w:rsidRPr="003B6BE9">
        <w:rPr>
          <w:shd w:val="clear" w:color="auto" w:fill="FFFFFF"/>
          <w:lang w:val="en-GB"/>
        </w:rPr>
        <w:t xml:space="preserve">Lundström, S., Chang, Z., Råstam, M., Gillberg, C., Larsson, H., Anckarsäter, H., &amp; Lichtenstein, P. (2012). </w:t>
      </w:r>
      <w:r w:rsidRPr="003B6BE9">
        <w:rPr>
          <w:shd w:val="clear" w:color="auto" w:fill="FFFFFF"/>
          <w:lang w:val="en-US"/>
        </w:rPr>
        <w:t xml:space="preserve">Autism spectrum disorders and autistic like traits: Similar etiology in the extreme end and the normal variation. </w:t>
      </w:r>
      <w:r w:rsidRPr="003B6BE9">
        <w:rPr>
          <w:i/>
          <w:iCs/>
          <w:lang w:val="en-US"/>
        </w:rPr>
        <w:t>Archives of General Psychiatry</w:t>
      </w:r>
      <w:r w:rsidRPr="003B6BE9">
        <w:rPr>
          <w:shd w:val="clear" w:color="auto" w:fill="FFFFFF"/>
          <w:lang w:val="en-US"/>
        </w:rPr>
        <w:t xml:space="preserve">, </w:t>
      </w:r>
      <w:r w:rsidRPr="003B6BE9">
        <w:rPr>
          <w:i/>
          <w:iCs/>
          <w:lang w:val="en-US"/>
        </w:rPr>
        <w:t>69</w:t>
      </w:r>
      <w:r w:rsidRPr="003B6BE9">
        <w:rPr>
          <w:shd w:val="clear" w:color="auto" w:fill="FFFFFF"/>
          <w:lang w:val="en-US"/>
        </w:rPr>
        <w:t>(1), 46–52.</w:t>
      </w:r>
      <w:r w:rsidRPr="003B6BE9">
        <w:rPr>
          <w:lang w:val="en-US"/>
        </w:rPr>
        <w:t xml:space="preserve"> </w:t>
      </w:r>
    </w:p>
    <w:p w14:paraId="3FE7BD27" w14:textId="77777777" w:rsidR="00AA5A29" w:rsidRPr="003B6BE9" w:rsidRDefault="00AA5A29" w:rsidP="00AA5A29">
      <w:pPr>
        <w:pStyle w:val="references"/>
        <w:rPr>
          <w:lang w:val="en-US"/>
        </w:rPr>
      </w:pPr>
      <w:r w:rsidRPr="003B6BE9">
        <w:rPr>
          <w:shd w:val="clear" w:color="auto" w:fill="FFFFFF"/>
          <w:lang w:val="en-US"/>
        </w:rPr>
        <w:t xml:space="preserve">Mahone, E. M., &amp; Wodka, E. L. (2008). The neurobiological profile of girls with ADHD. </w:t>
      </w:r>
      <w:r w:rsidRPr="003B6BE9">
        <w:rPr>
          <w:i/>
          <w:iCs/>
          <w:lang w:val="en-US"/>
        </w:rPr>
        <w:t>Developmental Disabilities Research Reviews</w:t>
      </w:r>
      <w:r w:rsidRPr="003B6BE9">
        <w:rPr>
          <w:shd w:val="clear" w:color="auto" w:fill="FFFFFF"/>
          <w:lang w:val="en-US"/>
        </w:rPr>
        <w:t xml:space="preserve">, </w:t>
      </w:r>
      <w:r w:rsidRPr="003B6BE9">
        <w:rPr>
          <w:i/>
          <w:iCs/>
          <w:lang w:val="en-US"/>
        </w:rPr>
        <w:t>14</w:t>
      </w:r>
      <w:r w:rsidRPr="003B6BE9">
        <w:rPr>
          <w:shd w:val="clear" w:color="auto" w:fill="FFFFFF"/>
          <w:lang w:val="en-US"/>
        </w:rPr>
        <w:t>(4), 276–</w:t>
      </w:r>
      <w:commentRangeStart w:id="87"/>
      <w:r w:rsidRPr="003B6BE9">
        <w:rPr>
          <w:shd w:val="clear" w:color="auto" w:fill="FFFFFF"/>
          <w:lang w:val="en-US"/>
        </w:rPr>
        <w:t>284</w:t>
      </w:r>
      <w:commentRangeEnd w:id="87"/>
      <w:r w:rsidRPr="003B6BE9">
        <w:rPr>
          <w:rStyle w:val="CommentReference"/>
          <w:rFonts w:cstheme="minorBidi"/>
          <w:lang w:eastAsia="en-US"/>
        </w:rPr>
        <w:commentReference w:id="87"/>
      </w:r>
      <w:r w:rsidRPr="003B6BE9">
        <w:rPr>
          <w:shd w:val="clear" w:color="auto" w:fill="FFFFFF"/>
          <w:lang w:val="en-US"/>
        </w:rPr>
        <w:t>.</w:t>
      </w:r>
      <w:r w:rsidRPr="003B6BE9">
        <w:rPr>
          <w:lang w:val="en-US"/>
        </w:rPr>
        <w:t xml:space="preserve"> </w:t>
      </w:r>
    </w:p>
    <w:p w14:paraId="7C058150" w14:textId="77777777" w:rsidR="00AA5A29" w:rsidRPr="003B6BE9" w:rsidRDefault="00AA5A29" w:rsidP="00AA5A29">
      <w:pPr>
        <w:pStyle w:val="references"/>
        <w:rPr>
          <w:lang w:val="en-US"/>
        </w:rPr>
      </w:pPr>
      <w:r w:rsidRPr="003B6BE9">
        <w:rPr>
          <w:shd w:val="clear" w:color="auto" w:fill="FFFFFF"/>
          <w:lang w:val="en-US"/>
        </w:rPr>
        <w:t>Mair, R. G., Onos, K. D., &amp; Hembrook, J. R. (2011). Cognitive activation by central thalamic stimulation: The Yerkes-Dodson law revisited.</w:t>
      </w:r>
      <w:r w:rsidRPr="003B6BE9">
        <w:rPr>
          <w:rStyle w:val="apple-converted-space"/>
          <w:color w:val="222222"/>
          <w:sz w:val="28"/>
          <w:szCs w:val="28"/>
          <w:shd w:val="clear" w:color="auto" w:fill="FFFFFF"/>
          <w:lang w:val="en-US"/>
        </w:rPr>
        <w:t xml:space="preserve"> </w:t>
      </w:r>
      <w:r w:rsidRPr="003B6BE9">
        <w:rPr>
          <w:i/>
          <w:iCs/>
          <w:lang w:val="en-US"/>
        </w:rPr>
        <w:t>Dose-response</w:t>
      </w:r>
      <w:r w:rsidRPr="003B6BE9">
        <w:rPr>
          <w:shd w:val="clear" w:color="auto" w:fill="FFFFFF"/>
          <w:lang w:val="en-US"/>
        </w:rPr>
        <w:t>,</w:t>
      </w:r>
      <w:r w:rsidRPr="003B6BE9">
        <w:rPr>
          <w:rStyle w:val="apple-converted-space"/>
          <w:color w:val="222222"/>
          <w:sz w:val="28"/>
          <w:szCs w:val="28"/>
          <w:shd w:val="clear" w:color="auto" w:fill="FFFFFF"/>
          <w:lang w:val="en-US"/>
        </w:rPr>
        <w:t xml:space="preserve"> </w:t>
      </w:r>
      <w:r w:rsidRPr="003B6BE9">
        <w:rPr>
          <w:i/>
          <w:iCs/>
          <w:lang w:val="en-US"/>
        </w:rPr>
        <w:t>9</w:t>
      </w:r>
      <w:r w:rsidRPr="003B6BE9">
        <w:rPr>
          <w:shd w:val="clear" w:color="auto" w:fill="FFFFFF"/>
          <w:lang w:val="en-US"/>
        </w:rPr>
        <w:t>(3), 313–331.</w:t>
      </w:r>
      <w:r w:rsidRPr="003B6BE9">
        <w:rPr>
          <w:lang w:val="en-US"/>
        </w:rPr>
        <w:t xml:space="preserve"> </w:t>
      </w:r>
    </w:p>
    <w:p w14:paraId="5596537D" w14:textId="77777777" w:rsidR="00AA5A29" w:rsidRPr="003B6BE9" w:rsidRDefault="00AA5A29" w:rsidP="00AA5A29">
      <w:pPr>
        <w:pStyle w:val="references"/>
        <w:rPr>
          <w:color w:val="000000"/>
          <w:lang w:val="en-US"/>
        </w:rPr>
      </w:pPr>
      <w:r w:rsidRPr="003B6BE9">
        <w:rPr>
          <w:color w:val="000000"/>
          <w:lang w:val="en-US"/>
        </w:rPr>
        <w:t xml:space="preserve">Maziade, M., Mérette, C., Cayer, M., Roy, M., Szatmari, P., Côté, R. &amp; Thivierge, J. (2000). Prolongation of brainstem auditory-evoked responses in autistic probands and their unaffected relatives. </w:t>
      </w:r>
      <w:r w:rsidRPr="003B6BE9">
        <w:rPr>
          <w:i/>
          <w:iCs/>
          <w:color w:val="000000"/>
          <w:lang w:val="en-US"/>
        </w:rPr>
        <w:t>Archives of General Psychiatry</w:t>
      </w:r>
      <w:r w:rsidRPr="003B6BE9">
        <w:rPr>
          <w:iCs/>
          <w:color w:val="000000"/>
          <w:lang w:val="en-US"/>
        </w:rPr>
        <w:t>,</w:t>
      </w:r>
      <w:r w:rsidRPr="003B6BE9">
        <w:rPr>
          <w:i/>
          <w:iCs/>
          <w:color w:val="000000"/>
          <w:lang w:val="en-US"/>
        </w:rPr>
        <w:t xml:space="preserve"> 57</w:t>
      </w:r>
      <w:r w:rsidRPr="003B6BE9">
        <w:rPr>
          <w:color w:val="000000"/>
          <w:lang w:val="en-US"/>
        </w:rPr>
        <w:t xml:space="preserve">(11), 1077–1083.  </w:t>
      </w:r>
    </w:p>
    <w:p w14:paraId="40B6B807" w14:textId="77777777" w:rsidR="00AA5A29" w:rsidRPr="003B6BE9" w:rsidRDefault="00AA5A29" w:rsidP="00AA5A29">
      <w:pPr>
        <w:pStyle w:val="references"/>
        <w:rPr>
          <w:lang w:val="en-US"/>
        </w:rPr>
      </w:pPr>
      <w:r w:rsidRPr="003B6BE9">
        <w:rPr>
          <w:shd w:val="clear" w:color="auto" w:fill="FFFFFF"/>
          <w:lang w:val="en-US"/>
        </w:rPr>
        <w:t xml:space="preserve">Micera, S., Carrozza, M. C., Beccai, L., Vecchi, F., &amp; Dario, P. (2006). Hybrid bionic systems for the replacement of hand function. </w:t>
      </w:r>
      <w:r w:rsidRPr="003B6BE9">
        <w:rPr>
          <w:i/>
          <w:iCs/>
          <w:lang w:val="en-US"/>
        </w:rPr>
        <w:t>Proceedings of the IEEE</w:t>
      </w:r>
      <w:r w:rsidRPr="003B6BE9">
        <w:rPr>
          <w:shd w:val="clear" w:color="auto" w:fill="FFFFFF"/>
          <w:lang w:val="en-US"/>
        </w:rPr>
        <w:t xml:space="preserve">, </w:t>
      </w:r>
      <w:r w:rsidRPr="003B6BE9">
        <w:rPr>
          <w:i/>
          <w:iCs/>
          <w:lang w:val="en-US"/>
        </w:rPr>
        <w:t>94</w:t>
      </w:r>
      <w:r w:rsidRPr="003B6BE9">
        <w:rPr>
          <w:shd w:val="clear" w:color="auto" w:fill="FFFFFF"/>
          <w:lang w:val="en-US"/>
        </w:rPr>
        <w:t>(9), 1752–1762.</w:t>
      </w:r>
      <w:r w:rsidRPr="003B6BE9">
        <w:rPr>
          <w:lang w:val="en-US"/>
        </w:rPr>
        <w:t xml:space="preserve"> </w:t>
      </w:r>
    </w:p>
    <w:p w14:paraId="7A1C7AFC" w14:textId="77777777" w:rsidR="00AA5A29" w:rsidRPr="003B6BE9" w:rsidRDefault="00AA5A29" w:rsidP="00AA5A29">
      <w:pPr>
        <w:pStyle w:val="references"/>
        <w:rPr>
          <w:shd w:val="clear" w:color="auto" w:fill="FFFFFF"/>
          <w:lang w:val="en-US"/>
        </w:rPr>
      </w:pPr>
      <w:r w:rsidRPr="003B6BE9">
        <w:rPr>
          <w:shd w:val="clear" w:color="auto" w:fill="FFFFFF"/>
          <w:lang w:val="en-US"/>
        </w:rPr>
        <w:t xml:space="preserve">Minshew, N. J. (1991). Indices of neural function in autism: Clinical and biologic implications. </w:t>
      </w:r>
      <w:r w:rsidRPr="003B6BE9">
        <w:rPr>
          <w:i/>
          <w:iCs/>
          <w:lang w:val="en-US"/>
        </w:rPr>
        <w:t>Pediatrics</w:t>
      </w:r>
      <w:r w:rsidRPr="003B6BE9">
        <w:rPr>
          <w:shd w:val="clear" w:color="auto" w:fill="FFFFFF"/>
          <w:lang w:val="en-US"/>
        </w:rPr>
        <w:t xml:space="preserve">, </w:t>
      </w:r>
      <w:r w:rsidRPr="003B6BE9">
        <w:rPr>
          <w:i/>
          <w:iCs/>
          <w:lang w:val="en-US"/>
        </w:rPr>
        <w:t>87</w:t>
      </w:r>
      <w:r w:rsidRPr="003B6BE9">
        <w:rPr>
          <w:shd w:val="clear" w:color="auto" w:fill="FFFFFF"/>
          <w:lang w:val="en-US"/>
        </w:rPr>
        <w:t xml:space="preserve">(5), 774–780. </w:t>
      </w:r>
    </w:p>
    <w:p w14:paraId="6FACF315" w14:textId="77777777" w:rsidR="00AA5A29" w:rsidRPr="003B6BE9" w:rsidRDefault="00AA5A29" w:rsidP="00AA5A29">
      <w:pPr>
        <w:pStyle w:val="references"/>
        <w:rPr>
          <w:color w:val="000000"/>
          <w:lang w:val="en-US"/>
        </w:rPr>
      </w:pPr>
      <w:r w:rsidRPr="003B6BE9">
        <w:rPr>
          <w:color w:val="000000"/>
          <w:lang w:val="en-US"/>
        </w:rPr>
        <w:t xml:space="preserve">Miron, O., Ari-Even, R. D., Gabis, L. V., Henkin, Y., Shefer, S., Dinstein, I., Geva, R. (2016). Prolonged auditory brainstem responses in infants with autism. </w:t>
      </w:r>
      <w:r w:rsidRPr="003B6BE9">
        <w:rPr>
          <w:i/>
          <w:iCs/>
          <w:color w:val="000000"/>
          <w:lang w:val="en-US"/>
        </w:rPr>
        <w:t>Autism Research</w:t>
      </w:r>
      <w:r w:rsidRPr="003B6BE9">
        <w:rPr>
          <w:iCs/>
          <w:color w:val="000000"/>
          <w:lang w:val="en-US"/>
        </w:rPr>
        <w:t>,</w:t>
      </w:r>
      <w:r w:rsidRPr="003B6BE9">
        <w:rPr>
          <w:i/>
          <w:iCs/>
          <w:color w:val="000000"/>
          <w:lang w:val="en-US"/>
        </w:rPr>
        <w:t xml:space="preserve"> 9</w:t>
      </w:r>
      <w:r w:rsidRPr="003B6BE9">
        <w:rPr>
          <w:iCs/>
          <w:color w:val="000000"/>
          <w:lang w:val="en-US"/>
        </w:rPr>
        <w:t>(6</w:t>
      </w:r>
      <w:r w:rsidRPr="003B6BE9">
        <w:rPr>
          <w:color w:val="000000"/>
          <w:lang w:val="en-US"/>
        </w:rPr>
        <w:t xml:space="preserve">), 689–695.  </w:t>
      </w:r>
    </w:p>
    <w:p w14:paraId="7D1F42B6" w14:textId="77777777" w:rsidR="00AA5A29" w:rsidRPr="003B6BE9" w:rsidRDefault="00AA5A29" w:rsidP="00AA5A29">
      <w:pPr>
        <w:pStyle w:val="references"/>
        <w:rPr>
          <w:shd w:val="clear" w:color="auto" w:fill="FFFFFF"/>
          <w:lang w:val="en-US"/>
        </w:rPr>
      </w:pPr>
      <w:r w:rsidRPr="003B6BE9">
        <w:rPr>
          <w:shd w:val="clear" w:color="auto" w:fill="FFFFFF"/>
          <w:lang w:val="en-US"/>
        </w:rPr>
        <w:t xml:space="preserve">Moffitt, T. E., Houts, R., Asherson, P., Belsky, D. W., Corcoran, D. L., Hammerle, M., ... Poulton, R. (2015). Is adult ADHD a childhood-onset </w:t>
      </w:r>
      <w:r w:rsidRPr="003B6BE9">
        <w:rPr>
          <w:shd w:val="clear" w:color="auto" w:fill="FFFFFF"/>
          <w:lang w:val="en-US"/>
        </w:rPr>
        <w:lastRenderedPageBreak/>
        <w:t xml:space="preserve">neurodevelopmental disorder? Evidence from a four-decade longitudinal cohort study. </w:t>
      </w:r>
      <w:r w:rsidRPr="003B6BE9">
        <w:rPr>
          <w:i/>
          <w:iCs/>
          <w:lang w:val="en-US"/>
        </w:rPr>
        <w:t>American Journal of Psychiatry</w:t>
      </w:r>
      <w:r w:rsidRPr="003B6BE9">
        <w:rPr>
          <w:shd w:val="clear" w:color="auto" w:fill="FFFFFF"/>
          <w:lang w:val="en-US"/>
        </w:rPr>
        <w:t xml:space="preserve">, </w:t>
      </w:r>
      <w:r w:rsidRPr="003B6BE9">
        <w:rPr>
          <w:i/>
          <w:iCs/>
          <w:lang w:val="en-US"/>
        </w:rPr>
        <w:t>172</w:t>
      </w:r>
      <w:r w:rsidRPr="003B6BE9">
        <w:rPr>
          <w:shd w:val="clear" w:color="auto" w:fill="FFFFFF"/>
          <w:lang w:val="en-US"/>
        </w:rPr>
        <w:t xml:space="preserve">(10), 967–977. </w:t>
      </w:r>
    </w:p>
    <w:p w14:paraId="016F069C" w14:textId="77777777" w:rsidR="00AA5A29" w:rsidRPr="003B6BE9" w:rsidRDefault="00AA5A29" w:rsidP="00AA5A29">
      <w:pPr>
        <w:pStyle w:val="references"/>
        <w:rPr>
          <w:lang w:val="en-CA" w:eastAsia="en-US"/>
        </w:rPr>
      </w:pPr>
      <w:r w:rsidRPr="003B6BE9">
        <w:rPr>
          <w:shd w:val="clear" w:color="auto" w:fill="FFFFFF"/>
          <w:lang w:val="en-US"/>
        </w:rPr>
        <w:t xml:space="preserve">Montazerhodjat, V., Chaudhuri, S. E., Sargent, D. J., &amp; Lo, A. W. (2017). Use of Bayesian decision analysis to minimize harm in patient-centered randomized clinical trials in oncology. </w:t>
      </w:r>
      <w:r w:rsidRPr="003B6BE9">
        <w:rPr>
          <w:i/>
          <w:iCs/>
          <w:lang w:val="en-US"/>
        </w:rPr>
        <w:t>JAMA Oncology</w:t>
      </w:r>
      <w:r w:rsidRPr="003B6BE9">
        <w:rPr>
          <w:shd w:val="clear" w:color="auto" w:fill="FFFFFF"/>
          <w:lang w:val="en-US"/>
        </w:rPr>
        <w:t xml:space="preserve">. Advance online publication. </w:t>
      </w:r>
      <w:r w:rsidRPr="003B6BE9">
        <w:rPr>
          <w:color w:val="000000"/>
          <w:shd w:val="clear" w:color="auto" w:fill="FFFFFF"/>
          <w:lang w:val="en-CA" w:eastAsia="en-US"/>
        </w:rPr>
        <w:t>doi:10.1001/jamaoncol.2017.0123</w:t>
      </w:r>
      <w:r w:rsidRPr="003B6BE9">
        <w:rPr>
          <w:lang w:val="en-CA" w:eastAsia="en-US"/>
        </w:rPr>
        <w:t xml:space="preserve"> </w:t>
      </w:r>
    </w:p>
    <w:p w14:paraId="60C5BFBF" w14:textId="77777777" w:rsidR="00AA5A29" w:rsidRPr="003B6BE9" w:rsidRDefault="00AA5A29" w:rsidP="00AA5A29">
      <w:pPr>
        <w:pStyle w:val="references"/>
        <w:rPr>
          <w:lang w:val="en-US"/>
        </w:rPr>
      </w:pPr>
      <w:r w:rsidRPr="003B6BE9">
        <w:rPr>
          <w:shd w:val="clear" w:color="auto" w:fill="FFFFFF"/>
          <w:lang w:val="en-US"/>
        </w:rPr>
        <w:t xml:space="preserve">Moore, J. K., &amp; Linthicum, F. H., Jr. (2007). The human auditory system: A timeline of development. </w:t>
      </w:r>
      <w:r w:rsidRPr="003B6BE9">
        <w:rPr>
          <w:i/>
          <w:iCs/>
          <w:lang w:val="en-US"/>
        </w:rPr>
        <w:t>International Journal of Audiology</w:t>
      </w:r>
      <w:r w:rsidRPr="003B6BE9">
        <w:rPr>
          <w:shd w:val="clear" w:color="auto" w:fill="FFFFFF"/>
          <w:lang w:val="en-US"/>
        </w:rPr>
        <w:t xml:space="preserve">, </w:t>
      </w:r>
      <w:r w:rsidRPr="003B6BE9">
        <w:rPr>
          <w:i/>
          <w:iCs/>
          <w:lang w:val="en-US"/>
        </w:rPr>
        <w:t>46</w:t>
      </w:r>
      <w:r w:rsidRPr="003B6BE9">
        <w:rPr>
          <w:shd w:val="clear" w:color="auto" w:fill="FFFFFF"/>
          <w:lang w:val="en-US"/>
        </w:rPr>
        <w:t>(9), 460–478.</w:t>
      </w:r>
      <w:r w:rsidRPr="003B6BE9">
        <w:rPr>
          <w:lang w:val="en-US"/>
        </w:rPr>
        <w:t xml:space="preserve"> </w:t>
      </w:r>
    </w:p>
    <w:p w14:paraId="1FB96CB9" w14:textId="77777777" w:rsidR="00AA5A29" w:rsidRPr="003B6BE9" w:rsidRDefault="00AA5A29" w:rsidP="00AA5A29">
      <w:pPr>
        <w:pStyle w:val="references"/>
        <w:rPr>
          <w:lang w:val="en-US"/>
        </w:rPr>
      </w:pPr>
      <w:r w:rsidRPr="003B6BE9">
        <w:rPr>
          <w:shd w:val="clear" w:color="auto" w:fill="FFFFFF"/>
          <w:lang w:val="en-US"/>
        </w:rPr>
        <w:t xml:space="preserve">Morris, S. E., &amp; Cuthbert, B. N. (2012). Research domain criteria: Cognitive systems, neural circuits, and dimensions of behavior. </w:t>
      </w:r>
      <w:r w:rsidRPr="003B6BE9">
        <w:rPr>
          <w:i/>
          <w:iCs/>
          <w:lang w:val="en-US"/>
        </w:rPr>
        <w:t>Dialogues in Clinical Neuroscience</w:t>
      </w:r>
      <w:r w:rsidRPr="003B6BE9">
        <w:rPr>
          <w:shd w:val="clear" w:color="auto" w:fill="FFFFFF"/>
          <w:lang w:val="en-US"/>
        </w:rPr>
        <w:t xml:space="preserve">, </w:t>
      </w:r>
      <w:r w:rsidRPr="003B6BE9">
        <w:rPr>
          <w:i/>
          <w:iCs/>
          <w:lang w:val="en-US"/>
        </w:rPr>
        <w:t>14</w:t>
      </w:r>
      <w:r w:rsidRPr="003B6BE9">
        <w:rPr>
          <w:shd w:val="clear" w:color="auto" w:fill="FFFFFF"/>
          <w:lang w:val="en-US"/>
        </w:rPr>
        <w:t>(1), 29–37.</w:t>
      </w:r>
      <w:r w:rsidRPr="003B6BE9">
        <w:rPr>
          <w:lang w:val="en-US"/>
        </w:rPr>
        <w:t xml:space="preserve"> </w:t>
      </w:r>
    </w:p>
    <w:p w14:paraId="5C5DBA28" w14:textId="77777777" w:rsidR="00AA5A29" w:rsidRPr="003B6BE9" w:rsidRDefault="00AA5A29" w:rsidP="00AA5A29">
      <w:pPr>
        <w:pStyle w:val="references"/>
        <w:rPr>
          <w:lang w:val="en-US"/>
        </w:rPr>
      </w:pPr>
      <w:r w:rsidRPr="003B6BE9">
        <w:rPr>
          <w:shd w:val="clear" w:color="auto" w:fill="FFFFFF"/>
          <w:lang w:val="en-US"/>
        </w:rPr>
        <w:t xml:space="preserve">Møsller, A. R., Jannetta, P. J., &amp; Møsller, M. B. (1981). Neural generators of brainstem evoked potentials results from human intracranial recordings. </w:t>
      </w:r>
      <w:r w:rsidRPr="003B6BE9">
        <w:rPr>
          <w:i/>
          <w:iCs/>
          <w:lang w:val="en-US"/>
        </w:rPr>
        <w:t>Annals of Otology, Rhinology &amp; Laryngology</w:t>
      </w:r>
      <w:r w:rsidRPr="003B6BE9">
        <w:rPr>
          <w:shd w:val="clear" w:color="auto" w:fill="FFFFFF"/>
          <w:lang w:val="en-US"/>
        </w:rPr>
        <w:t xml:space="preserve">, </w:t>
      </w:r>
      <w:r w:rsidRPr="003B6BE9">
        <w:rPr>
          <w:i/>
          <w:iCs/>
          <w:lang w:val="en-US"/>
        </w:rPr>
        <w:t>90</w:t>
      </w:r>
      <w:r w:rsidRPr="003B6BE9">
        <w:rPr>
          <w:shd w:val="clear" w:color="auto" w:fill="FFFFFF"/>
          <w:lang w:val="en-US"/>
        </w:rPr>
        <w:t>(6), 591–596.</w:t>
      </w:r>
      <w:r w:rsidRPr="003B6BE9">
        <w:rPr>
          <w:lang w:val="en-US"/>
        </w:rPr>
        <w:t xml:space="preserve"> </w:t>
      </w:r>
    </w:p>
    <w:p w14:paraId="3BC7065B" w14:textId="77777777" w:rsidR="00AA5A29" w:rsidRPr="003B6BE9" w:rsidRDefault="00AA5A29" w:rsidP="00AA5A29">
      <w:pPr>
        <w:pStyle w:val="references"/>
        <w:rPr>
          <w:lang w:val="en-US"/>
        </w:rPr>
      </w:pPr>
      <w:r w:rsidRPr="003B6BE9">
        <w:rPr>
          <w:shd w:val="clear" w:color="auto" w:fill="FFFFFF"/>
          <w:lang w:val="en-US"/>
        </w:rPr>
        <w:t xml:space="preserve">Musiek, F. E., &amp; Berge, B. E. (1998). How electrophysiologic tests of central auditory processing influence management. In F. Bess (Ed.), </w:t>
      </w:r>
      <w:r w:rsidRPr="003B6BE9">
        <w:rPr>
          <w:i/>
          <w:iCs/>
          <w:lang w:val="en-US"/>
        </w:rPr>
        <w:t>Children with Hearing Impairment</w:t>
      </w:r>
      <w:r w:rsidRPr="003B6BE9">
        <w:rPr>
          <w:shd w:val="clear" w:color="auto" w:fill="FFFFFF"/>
          <w:lang w:val="en-US"/>
        </w:rPr>
        <w:t xml:space="preserve"> (pp. 145–161), Nashville, TN: Vanderbilt Bill Wilkerson Center Press.</w:t>
      </w:r>
      <w:r w:rsidRPr="003B6BE9">
        <w:rPr>
          <w:lang w:val="en-US"/>
        </w:rPr>
        <w:t xml:space="preserve"> </w:t>
      </w:r>
    </w:p>
    <w:p w14:paraId="39E556DE" w14:textId="77777777" w:rsidR="00AA5A29" w:rsidRPr="003B6BE9" w:rsidRDefault="00AA5A29" w:rsidP="00AA5A29">
      <w:pPr>
        <w:pStyle w:val="references"/>
        <w:rPr>
          <w:lang w:val="en-US"/>
        </w:rPr>
      </w:pPr>
      <w:r w:rsidRPr="003B6BE9">
        <w:rPr>
          <w:shd w:val="clear" w:color="auto" w:fill="FFFFFF"/>
        </w:rPr>
        <w:t xml:space="preserve">Musiek, F. E., &amp; Lee, W. W. (1995). </w:t>
      </w:r>
      <w:r w:rsidRPr="003B6BE9">
        <w:rPr>
          <w:shd w:val="clear" w:color="auto" w:fill="FFFFFF"/>
          <w:lang w:val="en-US"/>
        </w:rPr>
        <w:t xml:space="preserve">The auditory brain stem response in patients with brain stem or cochlear pathology. </w:t>
      </w:r>
      <w:r w:rsidRPr="003B6BE9">
        <w:rPr>
          <w:i/>
          <w:iCs/>
          <w:lang w:val="en-US"/>
        </w:rPr>
        <w:t>Ear and Hearing</w:t>
      </w:r>
      <w:r w:rsidRPr="003B6BE9">
        <w:rPr>
          <w:shd w:val="clear" w:color="auto" w:fill="FFFFFF"/>
          <w:lang w:val="en-US"/>
        </w:rPr>
        <w:t xml:space="preserve">, </w:t>
      </w:r>
      <w:r w:rsidRPr="003B6BE9">
        <w:rPr>
          <w:i/>
          <w:iCs/>
          <w:lang w:val="en-US"/>
        </w:rPr>
        <w:t>16</w:t>
      </w:r>
      <w:r w:rsidRPr="003B6BE9">
        <w:rPr>
          <w:shd w:val="clear" w:color="auto" w:fill="FFFFFF"/>
          <w:lang w:val="en-US"/>
        </w:rPr>
        <w:t>(6), 631–636.</w:t>
      </w:r>
      <w:r w:rsidRPr="003B6BE9">
        <w:rPr>
          <w:lang w:val="en-US"/>
        </w:rPr>
        <w:t xml:space="preserve"> </w:t>
      </w:r>
    </w:p>
    <w:p w14:paraId="66058A53" w14:textId="5D4BA427" w:rsidR="00AA5A29" w:rsidRPr="003B6BE9" w:rsidRDefault="00AA5A29" w:rsidP="00AA5A29">
      <w:pPr>
        <w:pStyle w:val="references"/>
        <w:rPr>
          <w:lang w:val="en-US"/>
        </w:rPr>
      </w:pPr>
      <w:r w:rsidRPr="003B6BE9">
        <w:rPr>
          <w:shd w:val="clear" w:color="auto" w:fill="FFFFFF"/>
          <w:lang w:val="en-US"/>
        </w:rPr>
        <w:t xml:space="preserve">Newcorn, J. H., Halperin, J. M., Jensen, P. S., Abikoff, H. B., Arnold, L. E., Cantwell, D. P., ... Hechtman, L. (2001). Symptom profiles in children with ADHD: Effects of comorbidity and gender. </w:t>
      </w:r>
      <w:r w:rsidRPr="003B6BE9">
        <w:rPr>
          <w:i/>
          <w:iCs/>
          <w:lang w:val="en-US"/>
        </w:rPr>
        <w:t>Journal of the American Academy of Child &amp; Adolescent Psychiatry</w:t>
      </w:r>
      <w:r w:rsidRPr="003B6BE9">
        <w:rPr>
          <w:shd w:val="clear" w:color="auto" w:fill="FFFFFF"/>
          <w:lang w:val="en-US"/>
        </w:rPr>
        <w:t xml:space="preserve">, </w:t>
      </w:r>
      <w:r w:rsidRPr="003B6BE9">
        <w:rPr>
          <w:i/>
          <w:iCs/>
          <w:lang w:val="en-US"/>
        </w:rPr>
        <w:t>40</w:t>
      </w:r>
      <w:r w:rsidRPr="003B6BE9">
        <w:rPr>
          <w:shd w:val="clear" w:color="auto" w:fill="FFFFFF"/>
          <w:lang w:val="en-US"/>
        </w:rPr>
        <w:t>(2), 137–146.</w:t>
      </w:r>
    </w:p>
    <w:p w14:paraId="40E90FD8" w14:textId="765C910C" w:rsidR="00AA5A29" w:rsidRPr="003B6BE9" w:rsidRDefault="00AA5A29" w:rsidP="00AA5A29">
      <w:pPr>
        <w:pStyle w:val="references"/>
        <w:rPr>
          <w:lang w:val="en-US"/>
        </w:rPr>
      </w:pPr>
      <w:r w:rsidRPr="003B6BE9">
        <w:rPr>
          <w:rStyle w:val="CommentReference"/>
          <w:rFonts w:cstheme="minorBidi"/>
          <w:lang w:eastAsia="en-US"/>
        </w:rPr>
        <w:commentReference w:id="88"/>
      </w:r>
      <w:r w:rsidRPr="00860AAD">
        <w:rPr>
          <w:shd w:val="clear" w:color="auto" w:fill="FFFFFF"/>
          <w:lang w:val="en-GB"/>
        </w:rPr>
        <w:t xml:space="preserve">Ni, H. C., Shang, C. Y., Gau, S. S. F., Lin, Y. J., Huang, H. C., &amp; Yang, L. K. (2013). </w:t>
      </w:r>
      <w:r w:rsidRPr="003B6BE9">
        <w:rPr>
          <w:shd w:val="clear" w:color="auto" w:fill="FFFFFF"/>
          <w:lang w:val="en-US"/>
        </w:rPr>
        <w:t xml:space="preserve">A head-to-head randomized clinical trial of methylphenidate and atomoxetine treatment for executive function in adults with attention-deficit hyperactivity disorder. </w:t>
      </w:r>
      <w:r w:rsidRPr="003B6BE9">
        <w:rPr>
          <w:i/>
          <w:iCs/>
          <w:lang w:val="en-US"/>
        </w:rPr>
        <w:t>International Journal of Neuropsychopharmacology</w:t>
      </w:r>
      <w:r w:rsidRPr="003B6BE9">
        <w:rPr>
          <w:shd w:val="clear" w:color="auto" w:fill="FFFFFF"/>
          <w:lang w:val="en-US"/>
        </w:rPr>
        <w:t xml:space="preserve">, </w:t>
      </w:r>
      <w:r w:rsidRPr="003B6BE9">
        <w:rPr>
          <w:i/>
          <w:iCs/>
          <w:lang w:val="en-US"/>
        </w:rPr>
        <w:t>16</w:t>
      </w:r>
      <w:r w:rsidRPr="003B6BE9">
        <w:rPr>
          <w:shd w:val="clear" w:color="auto" w:fill="FFFFFF"/>
          <w:lang w:val="en-US"/>
        </w:rPr>
        <w:t>(9), 1959–1973.</w:t>
      </w:r>
      <w:r w:rsidRPr="003B6BE9">
        <w:rPr>
          <w:lang w:val="en-US"/>
        </w:rPr>
        <w:t xml:space="preserve"> </w:t>
      </w:r>
    </w:p>
    <w:p w14:paraId="684A8E5A" w14:textId="77777777" w:rsidR="00AA5A29" w:rsidRPr="003B6BE9" w:rsidRDefault="00AA5A29" w:rsidP="00AA5A29">
      <w:pPr>
        <w:pStyle w:val="references"/>
        <w:rPr>
          <w:lang w:val="en-US"/>
        </w:rPr>
      </w:pPr>
      <w:r w:rsidRPr="003B6BE9">
        <w:rPr>
          <w:shd w:val="clear" w:color="auto" w:fill="FFFFFF"/>
          <w:lang w:val="en-US"/>
        </w:rPr>
        <w:t xml:space="preserve">Nicolescu, R., Petcu, C., Cordeanu, A., Fabritius, K., Schlumpf, M., Krebs, R., ... Winneke, G. (2010). Environmental exposure to lead, but not other neurotoxic metals, relates to core elements of ADHD in Romanian children: Performance and questionnaire data. </w:t>
      </w:r>
      <w:r w:rsidRPr="003B6BE9">
        <w:rPr>
          <w:i/>
          <w:iCs/>
          <w:lang w:val="en-US"/>
        </w:rPr>
        <w:t>Environmental Research</w:t>
      </w:r>
      <w:r w:rsidRPr="003B6BE9">
        <w:rPr>
          <w:shd w:val="clear" w:color="auto" w:fill="FFFFFF"/>
          <w:lang w:val="en-US"/>
        </w:rPr>
        <w:t xml:space="preserve">, </w:t>
      </w:r>
      <w:r w:rsidRPr="003B6BE9">
        <w:rPr>
          <w:i/>
          <w:iCs/>
          <w:lang w:val="en-US"/>
        </w:rPr>
        <w:t>110</w:t>
      </w:r>
      <w:r w:rsidRPr="003B6BE9">
        <w:rPr>
          <w:shd w:val="clear" w:color="auto" w:fill="FFFFFF"/>
          <w:lang w:val="en-US"/>
        </w:rPr>
        <w:t>(5), 476–483.</w:t>
      </w:r>
      <w:r w:rsidRPr="003B6BE9">
        <w:rPr>
          <w:lang w:val="en-US"/>
        </w:rPr>
        <w:t xml:space="preserve"> </w:t>
      </w:r>
    </w:p>
    <w:p w14:paraId="405F6132" w14:textId="77777777" w:rsidR="00AA5A29" w:rsidRPr="003B6BE9" w:rsidRDefault="00AA5A29" w:rsidP="00AA5A29">
      <w:pPr>
        <w:pStyle w:val="references"/>
        <w:rPr>
          <w:lang w:val="en-US"/>
        </w:rPr>
      </w:pPr>
      <w:r w:rsidRPr="003B6BE9">
        <w:rPr>
          <w:shd w:val="clear" w:color="auto" w:fill="FFFFFF"/>
          <w:lang w:val="en-US"/>
        </w:rPr>
        <w:t>Nigg, J. T., Nikolas, M., Mark Knottnerus, G., Cavanagh, K., &amp; Friderici, K. (2010). Confirmation and extension of association of blood lead with attention</w:t>
      </w:r>
      <w:r w:rsidRPr="003B6BE9">
        <w:rPr>
          <w:rFonts w:ascii="Cambria Math" w:eastAsia="Calibri" w:hAnsi="Cambria Math" w:cs="Cambria Math"/>
          <w:shd w:val="clear" w:color="auto" w:fill="FFFFFF"/>
          <w:lang w:val="en-US"/>
        </w:rPr>
        <w:t>‐</w:t>
      </w:r>
      <w:r w:rsidRPr="003B6BE9">
        <w:rPr>
          <w:shd w:val="clear" w:color="auto" w:fill="FFFFFF"/>
          <w:lang w:val="en-US"/>
        </w:rPr>
        <w:t>deficit/hyperactivity disorder (ADHD) and ADHD symptom domains at population</w:t>
      </w:r>
      <w:r w:rsidRPr="003B6BE9">
        <w:rPr>
          <w:rFonts w:ascii="Cambria Math" w:eastAsia="Calibri" w:hAnsi="Cambria Math" w:cs="Cambria Math"/>
          <w:shd w:val="clear" w:color="auto" w:fill="FFFFFF"/>
          <w:lang w:val="en-US"/>
        </w:rPr>
        <w:t>‐</w:t>
      </w:r>
      <w:r w:rsidRPr="003B6BE9">
        <w:rPr>
          <w:shd w:val="clear" w:color="auto" w:fill="FFFFFF"/>
          <w:lang w:val="en-US"/>
        </w:rPr>
        <w:t xml:space="preserve">typical exposure levels. </w:t>
      </w:r>
      <w:r w:rsidRPr="003B6BE9">
        <w:rPr>
          <w:i/>
          <w:iCs/>
          <w:lang w:val="en-US"/>
        </w:rPr>
        <w:t>Journal of Child Psychology and Psychiatry</w:t>
      </w:r>
      <w:r w:rsidRPr="003B6BE9">
        <w:rPr>
          <w:shd w:val="clear" w:color="auto" w:fill="FFFFFF"/>
          <w:lang w:val="en-US"/>
        </w:rPr>
        <w:t xml:space="preserve">, </w:t>
      </w:r>
      <w:r w:rsidRPr="003B6BE9">
        <w:rPr>
          <w:i/>
          <w:iCs/>
          <w:lang w:val="en-US"/>
        </w:rPr>
        <w:t>51</w:t>
      </w:r>
      <w:r w:rsidRPr="003B6BE9">
        <w:rPr>
          <w:shd w:val="clear" w:color="auto" w:fill="FFFFFF"/>
          <w:lang w:val="en-US"/>
        </w:rPr>
        <w:t>(1), 58–65.</w:t>
      </w:r>
      <w:r w:rsidRPr="003B6BE9">
        <w:rPr>
          <w:lang w:val="en-US"/>
        </w:rPr>
        <w:t xml:space="preserve"> </w:t>
      </w:r>
    </w:p>
    <w:p w14:paraId="48A57431" w14:textId="77777777" w:rsidR="00AA5A29" w:rsidRPr="003B6BE9" w:rsidRDefault="00AA5A29" w:rsidP="00AA5A29">
      <w:pPr>
        <w:pStyle w:val="references"/>
        <w:rPr>
          <w:shd w:val="clear" w:color="auto" w:fill="FFFFFF"/>
          <w:lang w:val="en-US"/>
        </w:rPr>
      </w:pPr>
      <w:r w:rsidRPr="003B6BE9">
        <w:rPr>
          <w:shd w:val="clear" w:color="auto" w:fill="FFFFFF"/>
          <w:lang w:val="en-US"/>
        </w:rPr>
        <w:t xml:space="preserve">Nomura, Y., Marks, D. J., &amp; Halperin, J. M. (2010). Prenatal exposure to maternal and paternal smoking on attention deficit hyperactivity disorders symptoms and diagnosis in offspring. </w:t>
      </w:r>
      <w:r w:rsidRPr="003B6BE9">
        <w:rPr>
          <w:i/>
          <w:iCs/>
          <w:lang w:val="en-US"/>
        </w:rPr>
        <w:t>Journal of Nervous and Mental Disease</w:t>
      </w:r>
      <w:r w:rsidRPr="003B6BE9">
        <w:rPr>
          <w:shd w:val="clear" w:color="auto" w:fill="FFFFFF"/>
          <w:lang w:val="en-US"/>
        </w:rPr>
        <w:t xml:space="preserve">, </w:t>
      </w:r>
      <w:r w:rsidRPr="003B6BE9">
        <w:rPr>
          <w:i/>
          <w:iCs/>
          <w:lang w:val="en-US"/>
        </w:rPr>
        <w:t>198</w:t>
      </w:r>
      <w:r w:rsidRPr="003B6BE9">
        <w:rPr>
          <w:shd w:val="clear" w:color="auto" w:fill="FFFFFF"/>
          <w:lang w:val="en-US"/>
        </w:rPr>
        <w:t xml:space="preserve">(9), 672. </w:t>
      </w:r>
    </w:p>
    <w:p w14:paraId="3072220A" w14:textId="77777777" w:rsidR="00AA5A29" w:rsidRPr="003B6BE9" w:rsidRDefault="00AA5A29" w:rsidP="00AA5A29">
      <w:pPr>
        <w:pStyle w:val="references"/>
        <w:rPr>
          <w:shd w:val="clear" w:color="auto" w:fill="FFFFFF"/>
          <w:lang w:val="en-US"/>
        </w:rPr>
      </w:pPr>
      <w:r w:rsidRPr="003B6BE9">
        <w:rPr>
          <w:shd w:val="clear" w:color="auto" w:fill="FFFFFF"/>
          <w:lang w:val="en-US"/>
        </w:rPr>
        <w:lastRenderedPageBreak/>
        <w:t xml:space="preserve">Nøvik, T. S., Hervas, A., Ralston, S. J., Dalsgaard, S., Rodrigues Pereira, R., &amp; Lorenzo, M. J. (2006). Influence of gender on attention-deficit/hyperactivity disorder in Europe–ADORE. </w:t>
      </w:r>
      <w:r w:rsidRPr="003B6BE9">
        <w:rPr>
          <w:i/>
          <w:iCs/>
          <w:lang w:val="en-US"/>
        </w:rPr>
        <w:t>European Child &amp; Adolescent Psychiatry</w:t>
      </w:r>
      <w:r w:rsidRPr="003B6BE9">
        <w:rPr>
          <w:shd w:val="clear" w:color="auto" w:fill="FFFFFF"/>
          <w:lang w:val="en-US"/>
        </w:rPr>
        <w:t xml:space="preserve">, </w:t>
      </w:r>
      <w:r w:rsidRPr="003B6BE9">
        <w:rPr>
          <w:i/>
          <w:iCs/>
          <w:lang w:val="en-US"/>
        </w:rPr>
        <w:t>15</w:t>
      </w:r>
      <w:r w:rsidRPr="003B6BE9">
        <w:rPr>
          <w:shd w:val="clear" w:color="auto" w:fill="FFFFFF"/>
          <w:lang w:val="en-US"/>
        </w:rPr>
        <w:t xml:space="preserve">, i15–i24. </w:t>
      </w:r>
    </w:p>
    <w:p w14:paraId="3ABDC094" w14:textId="77777777" w:rsidR="00AA5A29" w:rsidRPr="003B6BE9" w:rsidRDefault="00AA5A29" w:rsidP="00AA5A29">
      <w:pPr>
        <w:pStyle w:val="references"/>
        <w:rPr>
          <w:lang w:val="en-US"/>
        </w:rPr>
      </w:pPr>
      <w:r w:rsidRPr="003B6BE9">
        <w:rPr>
          <w:shd w:val="clear" w:color="auto" w:fill="FFFFFF"/>
          <w:lang w:val="en-US"/>
        </w:rPr>
        <w:t xml:space="preserve">O’Hearn, K. (2013). Brainstem auditory evoked responses in autism (BAERs). In F. R. Volkmar (Ed.), </w:t>
      </w:r>
      <w:r w:rsidRPr="003B6BE9">
        <w:rPr>
          <w:i/>
          <w:iCs/>
          <w:lang w:val="en-US"/>
        </w:rPr>
        <w:t>Encyclopedia of Autism Spectrum Disorders</w:t>
      </w:r>
      <w:r w:rsidRPr="003B6BE9">
        <w:rPr>
          <w:shd w:val="clear" w:color="auto" w:fill="FFFFFF"/>
          <w:lang w:val="en-US"/>
        </w:rPr>
        <w:t xml:space="preserve"> (pp. 470–475). New York, NY: Springer.</w:t>
      </w:r>
      <w:r w:rsidRPr="003B6BE9">
        <w:rPr>
          <w:lang w:val="en-US"/>
        </w:rPr>
        <w:t xml:space="preserve"> </w:t>
      </w:r>
    </w:p>
    <w:p w14:paraId="6B33AA58" w14:textId="2590B007" w:rsidR="00AA5A29" w:rsidRPr="003B6BE9" w:rsidRDefault="00AA5A29" w:rsidP="00AA5A29">
      <w:pPr>
        <w:pStyle w:val="references"/>
        <w:rPr>
          <w:shd w:val="clear" w:color="auto" w:fill="FFFFFF"/>
        </w:rPr>
      </w:pPr>
      <w:r w:rsidRPr="003B6BE9">
        <w:rPr>
          <w:shd w:val="clear" w:color="auto" w:fill="FFFFFF"/>
          <w:lang w:val="en-US"/>
        </w:rPr>
        <w:t xml:space="preserve">Okhrei, A. G., Kutsenko, T. V., &amp; Makarchouk, N. E. (2012). Specificity of auditory cognitive evoked potentials in musicians. </w:t>
      </w:r>
      <w:r w:rsidRPr="003B6BE9">
        <w:rPr>
          <w:i/>
          <w:iCs/>
        </w:rPr>
        <w:t>Neurophysiology</w:t>
      </w:r>
      <w:r w:rsidRPr="003B6BE9">
        <w:rPr>
          <w:shd w:val="clear" w:color="auto" w:fill="FFFFFF"/>
        </w:rPr>
        <w:t xml:space="preserve">, </w:t>
      </w:r>
      <w:r w:rsidRPr="003B6BE9">
        <w:rPr>
          <w:i/>
          <w:iCs/>
        </w:rPr>
        <w:t>43</w:t>
      </w:r>
      <w:r w:rsidRPr="003B6BE9">
        <w:rPr>
          <w:shd w:val="clear" w:color="auto" w:fill="FFFFFF"/>
        </w:rPr>
        <w:t>(6), 507–509.</w:t>
      </w:r>
    </w:p>
    <w:p w14:paraId="1F3BDBA3" w14:textId="560F8164" w:rsidR="00AA5A29" w:rsidRPr="003B6BE9" w:rsidRDefault="00AA5A29" w:rsidP="00AA5A29">
      <w:pPr>
        <w:pStyle w:val="references"/>
        <w:rPr>
          <w:color w:val="000000" w:themeColor="text1"/>
          <w:lang w:val="en-US"/>
        </w:rPr>
      </w:pPr>
      <w:r w:rsidRPr="003B6BE9">
        <w:rPr>
          <w:shd w:val="clear" w:color="auto" w:fill="FFFFFF"/>
        </w:rPr>
        <w:t xml:space="preserve">Orekhova, E. V., Tsetlin, M. M., Butorina, A. V., Novikova, S. I., Gratchev, V. V., Sokolov, P. A., ... </w:t>
      </w:r>
      <w:r w:rsidRPr="003B6BE9">
        <w:rPr>
          <w:shd w:val="clear" w:color="auto" w:fill="FFFFFF"/>
          <w:lang w:val="en-US"/>
        </w:rPr>
        <w:t xml:space="preserve">Stroganova, T. A. (2012). Auditory cortex responses to clicks and sensory modulation difficulties in children with autism spectrum disorders (ASD). </w:t>
      </w:r>
      <w:r w:rsidRPr="003B6BE9">
        <w:rPr>
          <w:i/>
          <w:iCs/>
          <w:lang w:val="en-US"/>
        </w:rPr>
        <w:t>PLoS One</w:t>
      </w:r>
      <w:r w:rsidRPr="003B6BE9">
        <w:rPr>
          <w:shd w:val="clear" w:color="auto" w:fill="FFFFFF"/>
          <w:lang w:val="en-US"/>
        </w:rPr>
        <w:t xml:space="preserve">, </w:t>
      </w:r>
      <w:r w:rsidRPr="003B6BE9">
        <w:rPr>
          <w:i/>
          <w:iCs/>
          <w:lang w:val="en-US"/>
        </w:rPr>
        <w:t>7</w:t>
      </w:r>
      <w:r w:rsidRPr="003B6BE9">
        <w:rPr>
          <w:shd w:val="clear" w:color="auto" w:fill="FFFFFF"/>
          <w:lang w:val="en-US"/>
        </w:rPr>
        <w:t>(6), e39906.</w:t>
      </w:r>
      <w:r w:rsidRPr="00860AAD">
        <w:rPr>
          <w:rStyle w:val="CommentReference"/>
          <w:rFonts w:cstheme="minorBidi"/>
          <w:lang w:val="en-GB" w:eastAsia="en-US"/>
        </w:rPr>
        <w:t xml:space="preserve"> </w:t>
      </w:r>
      <w:r w:rsidRPr="003B6BE9">
        <w:rPr>
          <w:rStyle w:val="CommentReference"/>
          <w:rFonts w:cstheme="minorBidi"/>
          <w:lang w:eastAsia="en-US"/>
        </w:rPr>
        <w:commentReference w:id="89"/>
      </w:r>
      <w:r w:rsidRPr="003B6BE9">
        <w:rPr>
          <w:color w:val="000000" w:themeColor="text1"/>
          <w:lang w:val="en-US"/>
        </w:rPr>
        <w:t xml:space="preserve"> </w:t>
      </w:r>
    </w:p>
    <w:p w14:paraId="1AFCF255" w14:textId="77777777" w:rsidR="00AA5A29" w:rsidRPr="003B6BE9" w:rsidRDefault="00AA5A29" w:rsidP="00AA5A29">
      <w:pPr>
        <w:pStyle w:val="references"/>
        <w:rPr>
          <w:lang w:val="en-US"/>
        </w:rPr>
      </w:pPr>
      <w:r w:rsidRPr="003B6BE9">
        <w:rPr>
          <w:shd w:val="clear" w:color="auto" w:fill="FFFFFF"/>
          <w:lang w:val="en-US"/>
        </w:rPr>
        <w:t xml:space="preserve">Ornitz, E. M. (1983). The functional neuroanatomy of infantile autism. </w:t>
      </w:r>
      <w:r w:rsidRPr="003B6BE9">
        <w:rPr>
          <w:i/>
          <w:iCs/>
          <w:lang w:val="en-US"/>
        </w:rPr>
        <w:t>International Journal of Neuroscience</w:t>
      </w:r>
      <w:r w:rsidRPr="003B6BE9">
        <w:rPr>
          <w:shd w:val="clear" w:color="auto" w:fill="FFFFFF"/>
          <w:lang w:val="en-US"/>
        </w:rPr>
        <w:t xml:space="preserve">, </w:t>
      </w:r>
      <w:r w:rsidRPr="003B6BE9">
        <w:rPr>
          <w:i/>
          <w:iCs/>
          <w:lang w:val="en-US"/>
        </w:rPr>
        <w:t>19</w:t>
      </w:r>
      <w:r w:rsidRPr="003B6BE9">
        <w:rPr>
          <w:shd w:val="clear" w:color="auto" w:fill="FFFFFF"/>
          <w:lang w:val="en-US"/>
        </w:rPr>
        <w:t>(1–4), 85–124.</w:t>
      </w:r>
      <w:r w:rsidRPr="003B6BE9">
        <w:rPr>
          <w:lang w:val="en-US"/>
        </w:rPr>
        <w:t xml:space="preserve"> </w:t>
      </w:r>
    </w:p>
    <w:p w14:paraId="36E02ADF" w14:textId="77777777" w:rsidR="00AA5A29" w:rsidRPr="003B6BE9" w:rsidRDefault="00AA5A29" w:rsidP="00AA5A29">
      <w:pPr>
        <w:pStyle w:val="references"/>
        <w:rPr>
          <w:lang w:val="en-US"/>
        </w:rPr>
      </w:pPr>
      <w:r w:rsidRPr="003B6BE9">
        <w:rPr>
          <w:shd w:val="clear" w:color="auto" w:fill="FFFFFF"/>
          <w:lang w:val="en-US"/>
        </w:rPr>
        <w:t xml:space="preserve">Owen, A. M., Downes, J. J., Sahakian, B. J., Polkey, C. E., &amp; Robbins, T. W. (1990). Planning and spatial working memory following frontal lobe lesions in man. </w:t>
      </w:r>
      <w:r w:rsidRPr="003B6BE9">
        <w:rPr>
          <w:i/>
          <w:iCs/>
          <w:lang w:val="en-US"/>
        </w:rPr>
        <w:t>Neuropsychologia</w:t>
      </w:r>
      <w:r w:rsidRPr="003B6BE9">
        <w:rPr>
          <w:shd w:val="clear" w:color="auto" w:fill="FFFFFF"/>
          <w:lang w:val="en-US"/>
        </w:rPr>
        <w:t xml:space="preserve">, </w:t>
      </w:r>
      <w:r w:rsidRPr="003B6BE9">
        <w:rPr>
          <w:i/>
          <w:iCs/>
          <w:lang w:val="en-US"/>
        </w:rPr>
        <w:t>28</w:t>
      </w:r>
      <w:r w:rsidRPr="003B6BE9">
        <w:rPr>
          <w:shd w:val="clear" w:color="auto" w:fill="FFFFFF"/>
          <w:lang w:val="en-US"/>
        </w:rPr>
        <w:t>(10), 1021–1034.</w:t>
      </w:r>
      <w:r w:rsidRPr="003B6BE9">
        <w:rPr>
          <w:lang w:val="en-US"/>
        </w:rPr>
        <w:t xml:space="preserve"> </w:t>
      </w:r>
    </w:p>
    <w:p w14:paraId="40CFD0A1" w14:textId="77777777" w:rsidR="00AA5A29" w:rsidRPr="003B6BE9" w:rsidRDefault="00AA5A29" w:rsidP="00AA5A29">
      <w:pPr>
        <w:pStyle w:val="references"/>
        <w:rPr>
          <w:lang w:val="en-US"/>
        </w:rPr>
      </w:pPr>
      <w:r w:rsidRPr="003B6BE9">
        <w:rPr>
          <w:shd w:val="clear" w:color="auto" w:fill="FFFFFF"/>
          <w:lang w:val="en-US"/>
        </w:rPr>
        <w:t xml:space="preserve">Palade, S., &amp; Benga, I. (2007). Neuropsychological impairments on the CANTAB test battery: Case reports of children with frontal and temporal lobe epilepsy. </w:t>
      </w:r>
      <w:r w:rsidRPr="003B6BE9">
        <w:rPr>
          <w:i/>
          <w:iCs/>
          <w:lang w:val="en-US"/>
        </w:rPr>
        <w:t>Cognitie, Creier, Comportament/Cognition, Brain, Behavior</w:t>
      </w:r>
      <w:r w:rsidRPr="003B6BE9">
        <w:rPr>
          <w:shd w:val="clear" w:color="auto" w:fill="FFFFFF"/>
          <w:lang w:val="en-US"/>
        </w:rPr>
        <w:t xml:space="preserve">, </w:t>
      </w:r>
      <w:r w:rsidRPr="003B6BE9">
        <w:rPr>
          <w:i/>
          <w:iCs/>
          <w:lang w:val="en-US"/>
        </w:rPr>
        <w:t>11</w:t>
      </w:r>
      <w:r w:rsidRPr="003B6BE9">
        <w:rPr>
          <w:shd w:val="clear" w:color="auto" w:fill="FFFFFF"/>
          <w:lang w:val="en-US"/>
        </w:rPr>
        <w:t>(3), 539–552.</w:t>
      </w:r>
      <w:r w:rsidRPr="003B6BE9">
        <w:rPr>
          <w:lang w:val="en-US"/>
        </w:rPr>
        <w:t xml:space="preserve"> </w:t>
      </w:r>
    </w:p>
    <w:p w14:paraId="7669B2A6" w14:textId="77777777" w:rsidR="00AA5A29" w:rsidRPr="003B6BE9" w:rsidRDefault="00AA5A29" w:rsidP="00AA5A29">
      <w:pPr>
        <w:pStyle w:val="references"/>
        <w:rPr>
          <w:lang w:val="en-US"/>
        </w:rPr>
      </w:pPr>
      <w:r w:rsidRPr="003B6BE9">
        <w:rPr>
          <w:shd w:val="clear" w:color="auto" w:fill="FFFFFF"/>
          <w:lang w:val="en-US"/>
        </w:rPr>
        <w:t xml:space="preserve">Palmer, E. D., &amp; Finger, S. (2001). An early description of ADHD (inattentive subtype): Dr. Alexander Crichton and “Mental Restlessness” (1798). </w:t>
      </w:r>
      <w:r w:rsidRPr="003B6BE9">
        <w:rPr>
          <w:i/>
          <w:iCs/>
          <w:lang w:val="en-US"/>
        </w:rPr>
        <w:t>Child Psychology and Psychiatry Review</w:t>
      </w:r>
      <w:r w:rsidRPr="003B6BE9">
        <w:rPr>
          <w:shd w:val="clear" w:color="auto" w:fill="FFFFFF"/>
          <w:lang w:val="en-US"/>
        </w:rPr>
        <w:t xml:space="preserve">, </w:t>
      </w:r>
      <w:r w:rsidRPr="003B6BE9">
        <w:rPr>
          <w:i/>
          <w:iCs/>
          <w:lang w:val="en-US"/>
        </w:rPr>
        <w:t>6</w:t>
      </w:r>
      <w:r w:rsidRPr="003B6BE9">
        <w:rPr>
          <w:shd w:val="clear" w:color="auto" w:fill="FFFFFF"/>
          <w:lang w:val="en-US"/>
        </w:rPr>
        <w:t>(2), 66–73.</w:t>
      </w:r>
      <w:r w:rsidRPr="003B6BE9">
        <w:rPr>
          <w:lang w:val="en-US"/>
        </w:rPr>
        <w:t xml:space="preserve"> </w:t>
      </w:r>
    </w:p>
    <w:p w14:paraId="634D9438" w14:textId="77777777" w:rsidR="00AA5A29" w:rsidRPr="003B6BE9" w:rsidRDefault="00AA5A29" w:rsidP="00AA5A29">
      <w:pPr>
        <w:pStyle w:val="references"/>
        <w:rPr>
          <w:lang w:val="en-US"/>
        </w:rPr>
      </w:pPr>
      <w:r w:rsidRPr="003B6BE9">
        <w:rPr>
          <w:shd w:val="clear" w:color="auto" w:fill="FFFFFF"/>
          <w:lang w:val="en-US"/>
        </w:rPr>
        <w:t xml:space="preserve">Pantelis, C., Barnes, T. R., Nelson, H. E., Tanner, S., Weatherley, L., Owen, A. M., &amp; Robbins, T. W. (1997). Frontal-striatal cognitive deficits in patients with chronic schizophrenia. </w:t>
      </w:r>
      <w:r w:rsidRPr="003B6BE9">
        <w:rPr>
          <w:i/>
          <w:iCs/>
          <w:lang w:val="en-US"/>
        </w:rPr>
        <w:t>Brain</w:t>
      </w:r>
      <w:r w:rsidRPr="003B6BE9">
        <w:rPr>
          <w:shd w:val="clear" w:color="auto" w:fill="FFFFFF"/>
          <w:lang w:val="en-US"/>
        </w:rPr>
        <w:t xml:space="preserve">, </w:t>
      </w:r>
      <w:r w:rsidRPr="003B6BE9">
        <w:rPr>
          <w:i/>
          <w:iCs/>
          <w:lang w:val="en-US"/>
        </w:rPr>
        <w:t>120</w:t>
      </w:r>
      <w:r w:rsidRPr="003B6BE9">
        <w:rPr>
          <w:shd w:val="clear" w:color="auto" w:fill="FFFFFF"/>
          <w:lang w:val="en-US"/>
        </w:rPr>
        <w:t>(10), 1823–1843.</w:t>
      </w:r>
      <w:r w:rsidRPr="003B6BE9">
        <w:rPr>
          <w:lang w:val="en-US"/>
        </w:rPr>
        <w:t xml:space="preserve"> </w:t>
      </w:r>
    </w:p>
    <w:p w14:paraId="43CAAFA2" w14:textId="77777777" w:rsidR="00AA5A29" w:rsidRPr="003B6BE9" w:rsidRDefault="00AA5A29" w:rsidP="00AA5A29">
      <w:pPr>
        <w:pStyle w:val="references"/>
        <w:rPr>
          <w:lang w:val="en-US"/>
        </w:rPr>
      </w:pPr>
      <w:r w:rsidRPr="003B6BE9">
        <w:rPr>
          <w:shd w:val="clear" w:color="auto" w:fill="FFFFFF"/>
        </w:rPr>
        <w:t xml:space="preserve">Parkkonen, L., Fujiki, N., &amp; Mäkelä, J. P. (2009). </w:t>
      </w:r>
      <w:r w:rsidRPr="003B6BE9">
        <w:rPr>
          <w:shd w:val="clear" w:color="auto" w:fill="FFFFFF"/>
          <w:lang w:val="en-US"/>
        </w:rPr>
        <w:t xml:space="preserve">Sources of auditory brainstem responses revisited: Contribution by magnetoencephalography. </w:t>
      </w:r>
      <w:r w:rsidRPr="003B6BE9">
        <w:rPr>
          <w:i/>
          <w:iCs/>
          <w:lang w:val="en-US"/>
        </w:rPr>
        <w:t>Human Brain Mapping</w:t>
      </w:r>
      <w:r w:rsidRPr="003B6BE9">
        <w:rPr>
          <w:shd w:val="clear" w:color="auto" w:fill="FFFFFF"/>
          <w:lang w:val="en-US"/>
        </w:rPr>
        <w:t xml:space="preserve">, </w:t>
      </w:r>
      <w:r w:rsidRPr="003B6BE9">
        <w:rPr>
          <w:i/>
          <w:iCs/>
          <w:lang w:val="en-US"/>
        </w:rPr>
        <w:t>30</w:t>
      </w:r>
      <w:r w:rsidRPr="003B6BE9">
        <w:rPr>
          <w:shd w:val="clear" w:color="auto" w:fill="FFFFFF"/>
          <w:lang w:val="en-US"/>
        </w:rPr>
        <w:t>(6), 1772–1782.</w:t>
      </w:r>
      <w:r w:rsidRPr="003B6BE9">
        <w:rPr>
          <w:lang w:val="en-US"/>
        </w:rPr>
        <w:t xml:space="preserve"> </w:t>
      </w:r>
    </w:p>
    <w:p w14:paraId="693039AB" w14:textId="77777777" w:rsidR="00AA5A29" w:rsidRPr="003B6BE9" w:rsidRDefault="00AA5A29" w:rsidP="00AA5A29">
      <w:pPr>
        <w:pStyle w:val="references"/>
        <w:rPr>
          <w:lang w:val="en-US"/>
        </w:rPr>
      </w:pPr>
      <w:r w:rsidRPr="003B6BE9">
        <w:rPr>
          <w:shd w:val="clear" w:color="auto" w:fill="FFFFFF"/>
          <w:lang w:val="en-US"/>
        </w:rPr>
        <w:t xml:space="preserve">Perou, R., Bitsko, R. H., Blumberg, S. J., Pastor, P., Ghandour, R. M., Gfroerer, J. C., ... Parks, S. E. (2013). Mental health surveillance among children—United States, 2005–2011. </w:t>
      </w:r>
      <w:r w:rsidRPr="003B6BE9">
        <w:rPr>
          <w:i/>
          <w:iCs/>
          <w:lang w:val="en-US"/>
        </w:rPr>
        <w:t>Morbidity and Mortality Weekly Report: Surveillance Summaries</w:t>
      </w:r>
      <w:r w:rsidRPr="003B6BE9">
        <w:rPr>
          <w:iCs/>
          <w:lang w:val="en-US"/>
        </w:rPr>
        <w:t xml:space="preserve"> (Washington, DC)</w:t>
      </w:r>
      <w:r w:rsidRPr="003B6BE9">
        <w:rPr>
          <w:shd w:val="clear" w:color="auto" w:fill="FFFFFF"/>
          <w:lang w:val="en-US"/>
        </w:rPr>
        <w:t xml:space="preserve">, </w:t>
      </w:r>
      <w:r w:rsidRPr="003B6BE9">
        <w:rPr>
          <w:i/>
          <w:iCs/>
          <w:lang w:val="en-US"/>
        </w:rPr>
        <w:t>62</w:t>
      </w:r>
      <w:r w:rsidRPr="003B6BE9">
        <w:rPr>
          <w:shd w:val="clear" w:color="auto" w:fill="FFFFFF"/>
          <w:lang w:val="en-US"/>
        </w:rPr>
        <w:t>(Suppl 2), 1–35.</w:t>
      </w:r>
      <w:r w:rsidRPr="003B6BE9">
        <w:rPr>
          <w:lang w:val="en-US"/>
        </w:rPr>
        <w:t xml:space="preserve"> </w:t>
      </w:r>
    </w:p>
    <w:p w14:paraId="696EDE5E" w14:textId="77777777" w:rsidR="00AA5A29" w:rsidRPr="003B6BE9" w:rsidRDefault="00AA5A29" w:rsidP="00AA5A29">
      <w:pPr>
        <w:pStyle w:val="references"/>
        <w:rPr>
          <w:lang w:val="en-US"/>
        </w:rPr>
      </w:pPr>
      <w:r w:rsidRPr="003B6BE9">
        <w:rPr>
          <w:shd w:val="clear" w:color="auto" w:fill="FFFFFF"/>
        </w:rPr>
        <w:t xml:space="preserve">Polanczyk, G., &amp; Rohde, L. A. (2007). </w:t>
      </w:r>
      <w:r w:rsidRPr="003B6BE9">
        <w:rPr>
          <w:shd w:val="clear" w:color="auto" w:fill="FFFFFF"/>
          <w:lang w:val="en-US"/>
        </w:rPr>
        <w:t xml:space="preserve">Epidemiology of attention-deficit/hyperactivity disorder across the lifespan. </w:t>
      </w:r>
      <w:r w:rsidRPr="003B6BE9">
        <w:rPr>
          <w:i/>
          <w:iCs/>
          <w:lang w:val="en-US"/>
        </w:rPr>
        <w:t>Current Opinion in Psychiatry</w:t>
      </w:r>
      <w:r w:rsidRPr="003B6BE9">
        <w:rPr>
          <w:shd w:val="clear" w:color="auto" w:fill="FFFFFF"/>
          <w:lang w:val="en-US"/>
        </w:rPr>
        <w:t xml:space="preserve">, </w:t>
      </w:r>
      <w:r w:rsidRPr="003B6BE9">
        <w:rPr>
          <w:i/>
          <w:iCs/>
          <w:lang w:val="en-US"/>
        </w:rPr>
        <w:t>20</w:t>
      </w:r>
      <w:r w:rsidRPr="003B6BE9">
        <w:rPr>
          <w:shd w:val="clear" w:color="auto" w:fill="FFFFFF"/>
          <w:lang w:val="en-US"/>
        </w:rPr>
        <w:t>(4), 386–392.</w:t>
      </w:r>
      <w:r w:rsidRPr="003B6BE9">
        <w:rPr>
          <w:lang w:val="en-US"/>
        </w:rPr>
        <w:t xml:space="preserve"> </w:t>
      </w:r>
    </w:p>
    <w:p w14:paraId="3C69E2E7" w14:textId="77777777" w:rsidR="00AA5A29" w:rsidRPr="003B6BE9" w:rsidRDefault="00AA5A29" w:rsidP="00AA5A29">
      <w:pPr>
        <w:pStyle w:val="references"/>
        <w:rPr>
          <w:shd w:val="clear" w:color="auto" w:fill="FFFFFF"/>
          <w:lang w:val="en-US"/>
        </w:rPr>
      </w:pPr>
      <w:r w:rsidRPr="003B6BE9">
        <w:rPr>
          <w:shd w:val="clear" w:color="auto" w:fill="FFFFFF"/>
          <w:lang w:val="en-US"/>
        </w:rPr>
        <w:t xml:space="preserve">Puente, A., Ysunza, A., Pamplona, M., Silva-Rojas, A., &amp; Lara, C. (2002). Short latency and long latency auditory evoked responses in children with </w:t>
      </w:r>
      <w:r w:rsidRPr="003B6BE9">
        <w:rPr>
          <w:shd w:val="clear" w:color="auto" w:fill="FFFFFF"/>
          <w:lang w:val="en-US"/>
        </w:rPr>
        <w:lastRenderedPageBreak/>
        <w:t xml:space="preserve">attention deficit disorder. </w:t>
      </w:r>
      <w:r w:rsidRPr="003B6BE9">
        <w:rPr>
          <w:i/>
          <w:iCs/>
          <w:lang w:val="en-US"/>
        </w:rPr>
        <w:t>International Journal of Pediatric Otorhinolaryngology</w:t>
      </w:r>
      <w:r w:rsidRPr="003B6BE9">
        <w:rPr>
          <w:shd w:val="clear" w:color="auto" w:fill="FFFFFF"/>
          <w:lang w:val="en-US"/>
        </w:rPr>
        <w:t xml:space="preserve">, </w:t>
      </w:r>
      <w:r w:rsidRPr="003B6BE9">
        <w:rPr>
          <w:i/>
          <w:iCs/>
          <w:lang w:val="en-US"/>
        </w:rPr>
        <w:t>62</w:t>
      </w:r>
      <w:r w:rsidRPr="003B6BE9">
        <w:rPr>
          <w:shd w:val="clear" w:color="auto" w:fill="FFFFFF"/>
          <w:lang w:val="en-US"/>
        </w:rPr>
        <w:t xml:space="preserve">(1), 45–51. </w:t>
      </w:r>
    </w:p>
    <w:p w14:paraId="11F2EAE7" w14:textId="24897AEA" w:rsidR="00AA5A29" w:rsidRPr="003B6BE9" w:rsidRDefault="00AA5A29" w:rsidP="00AA5A29">
      <w:pPr>
        <w:pStyle w:val="references"/>
        <w:rPr>
          <w:shd w:val="clear" w:color="auto" w:fill="FFFFFF"/>
          <w:lang w:val="en-US"/>
        </w:rPr>
      </w:pPr>
      <w:r w:rsidRPr="003B6BE9">
        <w:rPr>
          <w:shd w:val="clear" w:color="auto" w:fill="FFFFFF"/>
          <w:lang w:val="en-US"/>
        </w:rPr>
        <w:t>Quinn, P. O., &amp; Madhoo, M. (2014). A review of attention-deficit/hyperactivity disorder in women and girls: uncovering this hidden diagnosis.</w:t>
      </w:r>
      <w:r w:rsidRPr="003B6BE9">
        <w:rPr>
          <w:rStyle w:val="apple-converted-space"/>
          <w:color w:val="222222"/>
          <w:sz w:val="28"/>
          <w:szCs w:val="28"/>
          <w:shd w:val="clear" w:color="auto" w:fill="FFFFFF"/>
          <w:lang w:val="en-US"/>
        </w:rPr>
        <w:t xml:space="preserve"> </w:t>
      </w:r>
      <w:r w:rsidRPr="003B6BE9">
        <w:rPr>
          <w:i/>
          <w:iCs/>
          <w:lang w:val="en-US"/>
        </w:rPr>
        <w:t>The primary care companion for CNS disorders</w:t>
      </w:r>
      <w:r w:rsidRPr="003B6BE9">
        <w:rPr>
          <w:shd w:val="clear" w:color="auto" w:fill="FFFFFF"/>
          <w:lang w:val="en-US"/>
        </w:rPr>
        <w:t>,</w:t>
      </w:r>
      <w:r w:rsidRPr="003B6BE9">
        <w:rPr>
          <w:rStyle w:val="apple-converted-space"/>
          <w:color w:val="222222"/>
          <w:sz w:val="28"/>
          <w:szCs w:val="28"/>
          <w:shd w:val="clear" w:color="auto" w:fill="FFFFFF"/>
          <w:lang w:val="en-US"/>
        </w:rPr>
        <w:t xml:space="preserve"> </w:t>
      </w:r>
      <w:r w:rsidRPr="003B6BE9">
        <w:rPr>
          <w:i/>
          <w:iCs/>
          <w:lang w:val="en-US"/>
        </w:rPr>
        <w:t>16</w:t>
      </w:r>
      <w:r w:rsidRPr="003B6BE9">
        <w:rPr>
          <w:shd w:val="clear" w:color="auto" w:fill="FFFFFF"/>
          <w:lang w:val="en-US"/>
        </w:rPr>
        <w:t>(3).</w:t>
      </w:r>
      <w:r w:rsidRPr="003B6BE9">
        <w:rPr>
          <w:lang w:val="en-GB"/>
        </w:rPr>
        <w:t xml:space="preserve"> </w:t>
      </w:r>
    </w:p>
    <w:p w14:paraId="70DC2C7F" w14:textId="77777777" w:rsidR="00AA5A29" w:rsidRPr="003B6BE9" w:rsidRDefault="00AA5A29" w:rsidP="00AA5A29">
      <w:pPr>
        <w:pStyle w:val="references"/>
        <w:rPr>
          <w:lang w:val="en-US"/>
        </w:rPr>
      </w:pPr>
      <w:r w:rsidRPr="003B6BE9">
        <w:rPr>
          <w:shd w:val="clear" w:color="auto" w:fill="FFFFFF"/>
          <w:lang w:val="en-US"/>
        </w:rPr>
        <w:t xml:space="preserve">Reaven, J. A., Hepburn, S. L., &amp; Ross, R. G. (2008). Use of the ADOS and ADI-R in children with psychosis: Importance of clinical judgment. </w:t>
      </w:r>
      <w:r w:rsidRPr="003B6BE9">
        <w:rPr>
          <w:i/>
          <w:iCs/>
          <w:lang w:val="en-US"/>
        </w:rPr>
        <w:t>Clinical Child Psychology and Psychiatry</w:t>
      </w:r>
      <w:r w:rsidRPr="003B6BE9">
        <w:rPr>
          <w:shd w:val="clear" w:color="auto" w:fill="FFFFFF"/>
          <w:lang w:val="en-US"/>
        </w:rPr>
        <w:t xml:space="preserve">, </w:t>
      </w:r>
      <w:r w:rsidRPr="003B6BE9">
        <w:rPr>
          <w:i/>
          <w:iCs/>
          <w:lang w:val="en-US"/>
        </w:rPr>
        <w:t>13</w:t>
      </w:r>
      <w:r w:rsidRPr="003B6BE9">
        <w:rPr>
          <w:shd w:val="clear" w:color="auto" w:fill="FFFFFF"/>
          <w:lang w:val="en-US"/>
        </w:rPr>
        <w:t>(1), 81–94.</w:t>
      </w:r>
      <w:r w:rsidRPr="003B6BE9">
        <w:rPr>
          <w:lang w:val="en-US"/>
        </w:rPr>
        <w:t xml:space="preserve"> </w:t>
      </w:r>
    </w:p>
    <w:p w14:paraId="1495E0F2" w14:textId="3F1F5D87" w:rsidR="00AA5A29" w:rsidRPr="003B6BE9" w:rsidRDefault="00AA5A29" w:rsidP="00AA5A29">
      <w:pPr>
        <w:pStyle w:val="references"/>
        <w:rPr>
          <w:shd w:val="clear" w:color="auto" w:fill="FFFFFF"/>
          <w:lang w:val="en-US"/>
        </w:rPr>
      </w:pPr>
      <w:r w:rsidRPr="003B6BE9">
        <w:rPr>
          <w:shd w:val="clear" w:color="auto" w:fill="FFFFFF"/>
          <w:lang w:val="en-US"/>
        </w:rPr>
        <w:t xml:space="preserve">Rhodes, S. M., Coghill, D. R., &amp; Matthews, K. (2005). Neuropsychological functioning in stimulant-naive boys with hyperkinetic disorder. </w:t>
      </w:r>
      <w:r w:rsidRPr="003B6BE9">
        <w:rPr>
          <w:i/>
          <w:iCs/>
          <w:lang w:val="en-US"/>
        </w:rPr>
        <w:t>Psychological Medicine</w:t>
      </w:r>
      <w:r w:rsidRPr="003B6BE9">
        <w:rPr>
          <w:shd w:val="clear" w:color="auto" w:fill="FFFFFF"/>
          <w:lang w:val="en-US"/>
        </w:rPr>
        <w:t xml:space="preserve">, </w:t>
      </w:r>
      <w:r w:rsidRPr="003B6BE9">
        <w:rPr>
          <w:i/>
          <w:iCs/>
          <w:lang w:val="en-US"/>
        </w:rPr>
        <w:t>35</w:t>
      </w:r>
      <w:r w:rsidRPr="003B6BE9">
        <w:rPr>
          <w:shd w:val="clear" w:color="auto" w:fill="FFFFFF"/>
          <w:lang w:val="en-US"/>
        </w:rPr>
        <w:t>(8), 1109–1120.</w:t>
      </w:r>
      <w:r w:rsidRPr="003B6BE9">
        <w:rPr>
          <w:shd w:val="clear" w:color="auto" w:fill="FFFFFF"/>
          <w:lang w:val="en-US"/>
        </w:rPr>
        <w:tab/>
      </w:r>
    </w:p>
    <w:p w14:paraId="340DD1F1" w14:textId="77777777" w:rsidR="00AA5A29" w:rsidRPr="003B6BE9" w:rsidRDefault="00AA5A29" w:rsidP="00AA5A29">
      <w:pPr>
        <w:pStyle w:val="references"/>
        <w:rPr>
          <w:lang w:val="en-US"/>
        </w:rPr>
      </w:pPr>
      <w:r w:rsidRPr="003B6BE9">
        <w:rPr>
          <w:shd w:val="clear" w:color="auto" w:fill="FFFFFF"/>
          <w:lang w:val="en-US"/>
        </w:rPr>
        <w:t xml:space="preserve">Riddle, K., Cascio, C. J., &amp; Woodward, N. D. </w:t>
      </w:r>
      <w:commentRangeStart w:id="90"/>
      <w:r w:rsidRPr="003B6BE9">
        <w:rPr>
          <w:shd w:val="clear" w:color="auto" w:fill="FFFFFF"/>
          <w:lang w:val="en-US"/>
        </w:rPr>
        <w:t xml:space="preserve">(2017). Brain structure in autism: A voxel-based morphometry analysis of the Autism Brain Imaging Database Exchange (ABIDE). </w:t>
      </w:r>
      <w:r w:rsidRPr="003B6BE9">
        <w:rPr>
          <w:i/>
          <w:iCs/>
          <w:lang w:val="en-US"/>
        </w:rPr>
        <w:t>Brain Imaging and Behavior</w:t>
      </w:r>
      <w:r w:rsidRPr="003B6BE9">
        <w:rPr>
          <w:shd w:val="clear" w:color="auto" w:fill="FFFFFF"/>
          <w:lang w:val="en-US"/>
        </w:rPr>
        <w:t xml:space="preserve">, </w:t>
      </w:r>
      <w:r w:rsidRPr="003B6BE9">
        <w:rPr>
          <w:i/>
          <w:shd w:val="clear" w:color="auto" w:fill="FFFFFF"/>
          <w:lang w:val="en-US"/>
        </w:rPr>
        <w:t>11</w:t>
      </w:r>
      <w:r w:rsidRPr="003B6BE9">
        <w:rPr>
          <w:shd w:val="clear" w:color="auto" w:fill="FFFFFF"/>
          <w:lang w:val="en-US"/>
        </w:rPr>
        <w:t>(2)</w:t>
      </w:r>
      <w:r w:rsidRPr="003B6BE9">
        <w:rPr>
          <w:i/>
          <w:shd w:val="clear" w:color="auto" w:fill="FFFFFF"/>
          <w:lang w:val="en-US"/>
        </w:rPr>
        <w:t xml:space="preserve"> </w:t>
      </w:r>
      <w:r w:rsidRPr="003B6BE9">
        <w:rPr>
          <w:shd w:val="clear" w:color="auto" w:fill="FFFFFF"/>
          <w:lang w:val="en-US"/>
        </w:rPr>
        <w:t>541–551</w:t>
      </w:r>
      <w:commentRangeEnd w:id="90"/>
      <w:r w:rsidRPr="003B6BE9">
        <w:rPr>
          <w:rStyle w:val="CommentReference"/>
          <w:rFonts w:cstheme="minorBidi"/>
          <w:lang w:eastAsia="en-US"/>
        </w:rPr>
        <w:commentReference w:id="90"/>
      </w:r>
      <w:r w:rsidRPr="003B6BE9">
        <w:rPr>
          <w:shd w:val="clear" w:color="auto" w:fill="FFFFFF"/>
          <w:lang w:val="en-US"/>
        </w:rPr>
        <w:t>.</w:t>
      </w:r>
      <w:r w:rsidRPr="003B6BE9">
        <w:rPr>
          <w:lang w:val="en-US"/>
        </w:rPr>
        <w:t xml:space="preserve"> </w:t>
      </w:r>
    </w:p>
    <w:p w14:paraId="3DCA6F23" w14:textId="77777777" w:rsidR="00AA5A29" w:rsidRPr="003B6BE9" w:rsidRDefault="00AA5A29" w:rsidP="00AA5A29">
      <w:pPr>
        <w:pStyle w:val="references"/>
        <w:rPr>
          <w:lang w:val="en-US"/>
        </w:rPr>
      </w:pPr>
      <w:r w:rsidRPr="003B6BE9">
        <w:rPr>
          <w:shd w:val="clear" w:color="auto" w:fill="FFFFFF"/>
          <w:lang w:val="en-US"/>
        </w:rPr>
        <w:t xml:space="preserve">Roque, D. T., Teixeira, R. A. A., Zachi, E. C., &amp; Ventura, D. F. (2011). The use of the Cambridge Neuropsychological Test Automated Battery (CANTAB) in neuropsychological assessment: Application in Brazilian research with control children and adults with neurological disorders. </w:t>
      </w:r>
      <w:r w:rsidRPr="003B6BE9">
        <w:rPr>
          <w:i/>
          <w:iCs/>
          <w:lang w:val="en-US"/>
        </w:rPr>
        <w:t>Psychology &amp; Neuroscience</w:t>
      </w:r>
      <w:r w:rsidRPr="003B6BE9">
        <w:rPr>
          <w:shd w:val="clear" w:color="auto" w:fill="FFFFFF"/>
          <w:lang w:val="en-US"/>
        </w:rPr>
        <w:t xml:space="preserve">, </w:t>
      </w:r>
      <w:r w:rsidRPr="003B6BE9">
        <w:rPr>
          <w:i/>
          <w:iCs/>
          <w:lang w:val="en-US"/>
        </w:rPr>
        <w:t>4</w:t>
      </w:r>
      <w:r w:rsidRPr="003B6BE9">
        <w:rPr>
          <w:shd w:val="clear" w:color="auto" w:fill="FFFFFF"/>
          <w:lang w:val="en-US"/>
        </w:rPr>
        <w:t>(2), 255–265.</w:t>
      </w:r>
      <w:r w:rsidRPr="003B6BE9">
        <w:rPr>
          <w:lang w:val="en-US"/>
        </w:rPr>
        <w:t xml:space="preserve"> </w:t>
      </w:r>
    </w:p>
    <w:p w14:paraId="66297AC9" w14:textId="77777777" w:rsidR="00AA5A29" w:rsidRPr="003B6BE9" w:rsidRDefault="00AA5A29" w:rsidP="00AA5A29">
      <w:pPr>
        <w:pStyle w:val="references"/>
        <w:rPr>
          <w:rFonts w:eastAsia="Arial Unicode MS"/>
          <w:color w:val="000000"/>
          <w:lang w:val="en-US"/>
        </w:rPr>
      </w:pPr>
      <w:r w:rsidRPr="003B6BE9">
        <w:rPr>
          <w:color w:val="000000"/>
          <w:lang w:val="en-US"/>
        </w:rPr>
        <w:t xml:space="preserve">Rosenblum, S. M., Arick, J. R., Krug, D. A., Stubbs, E. G., Young, N. B., &amp; Pelson, R. O. (1980). Auditory brainstem evoked responses in autistic children. </w:t>
      </w:r>
      <w:r w:rsidRPr="003B6BE9">
        <w:rPr>
          <w:i/>
          <w:iCs/>
          <w:color w:val="000000"/>
          <w:lang w:val="en-US"/>
        </w:rPr>
        <w:t>Journal of Autism and Developmental Disorders</w:t>
      </w:r>
      <w:r w:rsidRPr="003B6BE9">
        <w:rPr>
          <w:iCs/>
          <w:color w:val="000000"/>
          <w:lang w:val="en-US"/>
        </w:rPr>
        <w:t>,</w:t>
      </w:r>
      <w:r w:rsidRPr="003B6BE9">
        <w:rPr>
          <w:i/>
          <w:iCs/>
          <w:color w:val="000000"/>
          <w:lang w:val="en-US"/>
        </w:rPr>
        <w:t xml:space="preserve"> 10</w:t>
      </w:r>
      <w:r w:rsidRPr="003B6BE9">
        <w:rPr>
          <w:color w:val="000000"/>
          <w:lang w:val="en-US"/>
        </w:rPr>
        <w:t xml:space="preserve">(2), 215–225. </w:t>
      </w:r>
      <w:r w:rsidRPr="003B6BE9">
        <w:rPr>
          <w:rFonts w:eastAsia="Arial Unicode MS"/>
          <w:color w:val="000000"/>
          <w:lang w:val="en-US"/>
        </w:rPr>
        <w:t xml:space="preserve"> </w:t>
      </w:r>
    </w:p>
    <w:p w14:paraId="3A169F3C" w14:textId="77777777" w:rsidR="00AA5A29" w:rsidRPr="003B6BE9" w:rsidRDefault="00AA5A29" w:rsidP="00AA5A29">
      <w:pPr>
        <w:pStyle w:val="references"/>
        <w:rPr>
          <w:color w:val="000000" w:themeColor="text1"/>
          <w:lang w:val="en-US"/>
        </w:rPr>
      </w:pPr>
      <w:r w:rsidRPr="003B6BE9">
        <w:rPr>
          <w:color w:val="000000" w:themeColor="text1"/>
        </w:rPr>
        <w:t xml:space="preserve">Rosenhall, U., Nordin, V., Brantberg, K., &amp; Gillberg, C. (2003). </w:t>
      </w:r>
      <w:r w:rsidRPr="003B6BE9">
        <w:rPr>
          <w:color w:val="000000" w:themeColor="text1"/>
          <w:lang w:val="en-US"/>
        </w:rPr>
        <w:t xml:space="preserve">Autism and auditory brain stem responses. </w:t>
      </w:r>
      <w:r w:rsidRPr="003B6BE9">
        <w:rPr>
          <w:i/>
          <w:iCs/>
          <w:color w:val="000000" w:themeColor="text1"/>
          <w:lang w:val="en-US"/>
        </w:rPr>
        <w:t>Ear and Hearing</w:t>
      </w:r>
      <w:r w:rsidRPr="003B6BE9">
        <w:rPr>
          <w:iCs/>
          <w:color w:val="000000" w:themeColor="text1"/>
          <w:lang w:val="en-US"/>
        </w:rPr>
        <w:t>,</w:t>
      </w:r>
      <w:r w:rsidRPr="003B6BE9">
        <w:rPr>
          <w:i/>
          <w:iCs/>
          <w:color w:val="000000" w:themeColor="text1"/>
          <w:lang w:val="en-US"/>
        </w:rPr>
        <w:t xml:space="preserve"> 24</w:t>
      </w:r>
      <w:r w:rsidRPr="003B6BE9">
        <w:rPr>
          <w:color w:val="000000" w:themeColor="text1"/>
          <w:lang w:val="en-US"/>
        </w:rPr>
        <w:t xml:space="preserve">(3), 206–214.  </w:t>
      </w:r>
    </w:p>
    <w:p w14:paraId="20F60773" w14:textId="77777777" w:rsidR="00AA5A29" w:rsidRPr="003B6BE9" w:rsidRDefault="00AA5A29" w:rsidP="00AA5A29">
      <w:pPr>
        <w:pStyle w:val="references"/>
        <w:rPr>
          <w:color w:val="000000"/>
          <w:lang w:val="en-US"/>
        </w:rPr>
      </w:pPr>
      <w:r w:rsidRPr="003B6BE9">
        <w:rPr>
          <w:color w:val="000000"/>
          <w:lang w:val="en-US"/>
        </w:rPr>
        <w:t xml:space="preserve">Roth, D. A., Muchnik, C., Shabtai, E., Hildesheimer, M. &amp; Henkin, Y. (2011). Evidence for atypical auditory brainstem responses in young children with suspected autism spectrum disorders. </w:t>
      </w:r>
      <w:r w:rsidRPr="003B6BE9">
        <w:rPr>
          <w:i/>
          <w:color w:val="000000"/>
          <w:lang w:val="en-US"/>
        </w:rPr>
        <w:t>Developmental Medicine &amp; Child Neurology</w:t>
      </w:r>
      <w:r w:rsidRPr="003B6BE9">
        <w:rPr>
          <w:color w:val="000000"/>
          <w:lang w:val="en-US"/>
        </w:rPr>
        <w:t xml:space="preserve">, </w:t>
      </w:r>
      <w:r w:rsidRPr="003B6BE9">
        <w:rPr>
          <w:i/>
          <w:color w:val="000000"/>
          <w:lang w:val="en-US"/>
        </w:rPr>
        <w:t>54</w:t>
      </w:r>
      <w:r w:rsidRPr="003B6BE9">
        <w:rPr>
          <w:color w:val="000000"/>
          <w:lang w:val="en-US"/>
        </w:rPr>
        <w:t xml:space="preserve">(1), 23–29.  </w:t>
      </w:r>
    </w:p>
    <w:p w14:paraId="249E7796" w14:textId="77777777" w:rsidR="00AA5A29" w:rsidRPr="003B6BE9" w:rsidRDefault="00AA5A29" w:rsidP="00AA5A29">
      <w:pPr>
        <w:pStyle w:val="references"/>
        <w:rPr>
          <w:shd w:val="clear" w:color="auto" w:fill="FFFFFF"/>
          <w:lang w:val="en-US"/>
        </w:rPr>
      </w:pPr>
      <w:r w:rsidRPr="003B6BE9">
        <w:rPr>
          <w:shd w:val="clear" w:color="auto" w:fill="FFFFFF"/>
          <w:lang w:val="en-US"/>
        </w:rPr>
        <w:t xml:space="preserve">Russo, N., Larson, C., &amp; Kraus, N. (2008). Audio–vocal system regulation in children with autism spectrum disorders. </w:t>
      </w:r>
      <w:r w:rsidRPr="003B6BE9">
        <w:rPr>
          <w:i/>
          <w:iCs/>
          <w:lang w:val="en-US"/>
        </w:rPr>
        <w:t>Experimental Brain Research</w:t>
      </w:r>
      <w:r w:rsidRPr="003B6BE9">
        <w:rPr>
          <w:shd w:val="clear" w:color="auto" w:fill="FFFFFF"/>
          <w:lang w:val="en-US"/>
        </w:rPr>
        <w:t xml:space="preserve">, </w:t>
      </w:r>
      <w:r w:rsidRPr="003B6BE9">
        <w:rPr>
          <w:i/>
          <w:iCs/>
          <w:lang w:val="en-US"/>
        </w:rPr>
        <w:t>188</w:t>
      </w:r>
      <w:r w:rsidRPr="003B6BE9">
        <w:rPr>
          <w:shd w:val="clear" w:color="auto" w:fill="FFFFFF"/>
          <w:lang w:val="en-US"/>
        </w:rPr>
        <w:t xml:space="preserve">(1), 111–124. </w:t>
      </w:r>
    </w:p>
    <w:p w14:paraId="3C48E614" w14:textId="77777777" w:rsidR="00AA5A29" w:rsidRPr="003B6BE9" w:rsidRDefault="00AA5A29" w:rsidP="00AA5A29">
      <w:pPr>
        <w:pStyle w:val="references"/>
        <w:rPr>
          <w:lang w:val="en-US"/>
        </w:rPr>
      </w:pPr>
      <w:r w:rsidRPr="003B6BE9">
        <w:rPr>
          <w:shd w:val="clear" w:color="auto" w:fill="FFFFFF"/>
          <w:lang w:val="en-US"/>
        </w:rPr>
        <w:t xml:space="preserve">Rutter, M., Le Couteur, A., &amp; Lord, C. (2003). </w:t>
      </w:r>
      <w:r w:rsidRPr="003B6BE9">
        <w:rPr>
          <w:i/>
          <w:shd w:val="clear" w:color="auto" w:fill="FFFFFF"/>
          <w:lang w:val="en-US"/>
        </w:rPr>
        <w:t>Autism diagnostic interview-revised</w:t>
      </w:r>
      <w:r w:rsidRPr="003B6BE9">
        <w:rPr>
          <w:shd w:val="clear" w:color="auto" w:fill="FFFFFF"/>
          <w:lang w:val="en-US"/>
        </w:rPr>
        <w:t xml:space="preserve">. </w:t>
      </w:r>
      <w:r w:rsidRPr="003B6BE9">
        <w:rPr>
          <w:iCs/>
          <w:lang w:val="en-US"/>
        </w:rPr>
        <w:t>Los Angeles, CA: Western Psychological Services</w:t>
      </w:r>
      <w:commentRangeStart w:id="91"/>
      <w:r w:rsidRPr="003B6BE9">
        <w:rPr>
          <w:shd w:val="clear" w:color="auto" w:fill="FFFFFF"/>
          <w:lang w:val="en-US"/>
        </w:rPr>
        <w:t xml:space="preserve">, </w:t>
      </w:r>
      <w:r w:rsidRPr="003B6BE9">
        <w:rPr>
          <w:i/>
          <w:iCs/>
          <w:lang w:val="en-US"/>
        </w:rPr>
        <w:t>29</w:t>
      </w:r>
      <w:r w:rsidRPr="003B6BE9">
        <w:rPr>
          <w:shd w:val="clear" w:color="auto" w:fill="FFFFFF"/>
          <w:lang w:val="en-US"/>
        </w:rPr>
        <w:t>, 30</w:t>
      </w:r>
      <w:commentRangeEnd w:id="91"/>
      <w:r w:rsidRPr="003B6BE9">
        <w:rPr>
          <w:rStyle w:val="CommentReference"/>
          <w:rFonts w:cstheme="minorBidi"/>
          <w:lang w:eastAsia="en-US"/>
        </w:rPr>
        <w:commentReference w:id="91"/>
      </w:r>
      <w:r w:rsidRPr="003B6BE9">
        <w:rPr>
          <w:shd w:val="clear" w:color="auto" w:fill="FFFFFF"/>
          <w:lang w:val="en-US"/>
        </w:rPr>
        <w:t>.</w:t>
      </w:r>
      <w:r w:rsidRPr="003B6BE9">
        <w:rPr>
          <w:lang w:val="en-US"/>
        </w:rPr>
        <w:t xml:space="preserve"> </w:t>
      </w:r>
    </w:p>
    <w:p w14:paraId="09A3590A" w14:textId="77777777" w:rsidR="00AA5A29" w:rsidRPr="003B6BE9" w:rsidRDefault="00AA5A29" w:rsidP="00AA5A29">
      <w:pPr>
        <w:pStyle w:val="references"/>
        <w:rPr>
          <w:color w:val="000000"/>
          <w:lang w:val="en-US"/>
        </w:rPr>
      </w:pPr>
      <w:r w:rsidRPr="003B6BE9">
        <w:rPr>
          <w:color w:val="000000"/>
          <w:lang w:val="en-US"/>
        </w:rPr>
        <w:t xml:space="preserve">Sajdel-Sulkowska, E. M., Xu, M., McGinnis, W., &amp; Koibuchi, N. (2011). Brain region-specific changes in oxidative stress and neurotrophin levels in autism spectrum disorders (ASD). </w:t>
      </w:r>
      <w:r w:rsidRPr="003B6BE9">
        <w:rPr>
          <w:i/>
          <w:color w:val="000000"/>
          <w:lang w:val="en-US"/>
        </w:rPr>
        <w:t>Cerebellum</w:t>
      </w:r>
      <w:r w:rsidRPr="003B6BE9">
        <w:rPr>
          <w:color w:val="000000"/>
          <w:lang w:val="en-US"/>
        </w:rPr>
        <w:t>,</w:t>
      </w:r>
      <w:r w:rsidRPr="003B6BE9">
        <w:rPr>
          <w:i/>
          <w:color w:val="000000"/>
          <w:lang w:val="en-US"/>
        </w:rPr>
        <w:t xml:space="preserve"> 10</w:t>
      </w:r>
      <w:r w:rsidRPr="003B6BE9">
        <w:rPr>
          <w:color w:val="000000"/>
          <w:lang w:val="en-US"/>
        </w:rPr>
        <w:t xml:space="preserve">(1), 43–48.  </w:t>
      </w:r>
    </w:p>
    <w:p w14:paraId="1A403D2D" w14:textId="77777777" w:rsidR="00AA5A29" w:rsidRPr="003B6BE9" w:rsidRDefault="00AA5A29" w:rsidP="00AA5A29">
      <w:pPr>
        <w:pStyle w:val="references"/>
        <w:rPr>
          <w:lang w:val="en-GB"/>
        </w:rPr>
      </w:pPr>
      <w:r w:rsidRPr="003B6BE9">
        <w:rPr>
          <w:shd w:val="clear" w:color="auto" w:fill="FFFFFF"/>
          <w:lang w:val="en-US"/>
        </w:rPr>
        <w:t>Salthouse, T. A. (2005). Relations between cognitive abilities and measures of executive functioning.</w:t>
      </w:r>
      <w:r w:rsidRPr="003B6BE9">
        <w:rPr>
          <w:rStyle w:val="apple-converted-space"/>
          <w:color w:val="222222"/>
          <w:sz w:val="28"/>
          <w:szCs w:val="28"/>
          <w:shd w:val="clear" w:color="auto" w:fill="FFFFFF"/>
          <w:lang w:val="en-US"/>
        </w:rPr>
        <w:t> </w:t>
      </w:r>
      <w:r w:rsidRPr="003B6BE9">
        <w:rPr>
          <w:i/>
          <w:iCs/>
          <w:lang w:val="en-US"/>
        </w:rPr>
        <w:t>Neuropsychology</w:t>
      </w:r>
      <w:r w:rsidRPr="003B6BE9">
        <w:rPr>
          <w:shd w:val="clear" w:color="auto" w:fill="FFFFFF"/>
          <w:lang w:val="en-US"/>
        </w:rPr>
        <w:t>,</w:t>
      </w:r>
      <w:r w:rsidRPr="003B6BE9">
        <w:rPr>
          <w:rStyle w:val="apple-converted-space"/>
          <w:color w:val="222222"/>
          <w:sz w:val="28"/>
          <w:szCs w:val="28"/>
          <w:shd w:val="clear" w:color="auto" w:fill="FFFFFF"/>
          <w:lang w:val="en-US"/>
        </w:rPr>
        <w:t> </w:t>
      </w:r>
      <w:r w:rsidRPr="003B6BE9">
        <w:rPr>
          <w:i/>
          <w:iCs/>
          <w:lang w:val="en-US"/>
        </w:rPr>
        <w:t>19</w:t>
      </w:r>
      <w:r w:rsidRPr="003B6BE9">
        <w:rPr>
          <w:shd w:val="clear" w:color="auto" w:fill="FFFFFF"/>
          <w:lang w:val="en-US"/>
        </w:rPr>
        <w:t>(4), 532.</w:t>
      </w:r>
      <w:r w:rsidRPr="003B6BE9">
        <w:rPr>
          <w:lang w:val="en-GB"/>
        </w:rPr>
        <w:t xml:space="preserve"> </w:t>
      </w:r>
    </w:p>
    <w:p w14:paraId="62AEC8F9" w14:textId="77777777" w:rsidR="00AA5A29" w:rsidRPr="003B6BE9" w:rsidRDefault="00AA5A29" w:rsidP="00AA5A29">
      <w:pPr>
        <w:pStyle w:val="references"/>
        <w:rPr>
          <w:lang w:val="en-GB"/>
        </w:rPr>
      </w:pPr>
      <w:r w:rsidRPr="003B6BE9">
        <w:rPr>
          <w:shd w:val="clear" w:color="auto" w:fill="FFFFFF"/>
          <w:lang w:val="en-US"/>
        </w:rPr>
        <w:t>Santos, M., Marques, C., Nóbrega Pinto, A., Fernandes, R., Coutinho, M. B., &amp; Almeida e Sousa, C. (2017). Autism spectrum disorders and the amplitude of auditory brainstem response wave I.</w:t>
      </w:r>
      <w:r w:rsidRPr="003B6BE9">
        <w:rPr>
          <w:rStyle w:val="apple-converted-space"/>
          <w:color w:val="222222"/>
          <w:sz w:val="28"/>
          <w:szCs w:val="28"/>
          <w:shd w:val="clear" w:color="auto" w:fill="FFFFFF"/>
          <w:lang w:val="en-US"/>
        </w:rPr>
        <w:t> </w:t>
      </w:r>
      <w:r w:rsidRPr="003B6BE9">
        <w:rPr>
          <w:i/>
          <w:iCs/>
          <w:lang w:val="en-US"/>
        </w:rPr>
        <w:t>Autism Research</w:t>
      </w:r>
      <w:r w:rsidRPr="003B6BE9">
        <w:rPr>
          <w:shd w:val="clear" w:color="auto" w:fill="FFFFFF"/>
          <w:lang w:val="en-US"/>
        </w:rPr>
        <w:t>.</w:t>
      </w:r>
      <w:r w:rsidRPr="003B6BE9">
        <w:rPr>
          <w:lang w:val="en-GB"/>
        </w:rPr>
        <w:t xml:space="preserve"> </w:t>
      </w:r>
    </w:p>
    <w:p w14:paraId="30CE8177" w14:textId="77777777" w:rsidR="00AA5A29" w:rsidRPr="003B6BE9" w:rsidRDefault="00AA5A29" w:rsidP="00AA5A29">
      <w:pPr>
        <w:pStyle w:val="references"/>
        <w:rPr>
          <w:lang w:val="en-US"/>
        </w:rPr>
      </w:pPr>
      <w:r w:rsidRPr="003B6BE9">
        <w:rPr>
          <w:shd w:val="clear" w:color="auto" w:fill="FFFFFF"/>
          <w:lang w:val="en-US"/>
        </w:rPr>
        <w:lastRenderedPageBreak/>
        <w:t xml:space="preserve">Sand, T. (1990). Statistical properties of ABR amplitudes and latencies: Implications for computation of reference limits and relation to click phase. </w:t>
      </w:r>
      <w:r w:rsidRPr="003B6BE9">
        <w:rPr>
          <w:i/>
          <w:iCs/>
          <w:lang w:val="en-US"/>
        </w:rPr>
        <w:t>Scandinavian Audiology</w:t>
      </w:r>
      <w:r w:rsidRPr="003B6BE9">
        <w:rPr>
          <w:shd w:val="clear" w:color="auto" w:fill="FFFFFF"/>
          <w:lang w:val="en-US"/>
        </w:rPr>
        <w:t xml:space="preserve">, </w:t>
      </w:r>
      <w:r w:rsidRPr="003B6BE9">
        <w:rPr>
          <w:i/>
          <w:iCs/>
          <w:lang w:val="en-US"/>
        </w:rPr>
        <w:t>19</w:t>
      </w:r>
      <w:r w:rsidRPr="003B6BE9">
        <w:rPr>
          <w:shd w:val="clear" w:color="auto" w:fill="FFFFFF"/>
          <w:lang w:val="en-US"/>
        </w:rPr>
        <w:t>(3), 131–137.</w:t>
      </w:r>
      <w:r w:rsidRPr="003B6BE9">
        <w:rPr>
          <w:lang w:val="en-US"/>
        </w:rPr>
        <w:t xml:space="preserve"> </w:t>
      </w:r>
    </w:p>
    <w:p w14:paraId="077E7803" w14:textId="77777777" w:rsidR="00AA5A29" w:rsidRPr="003B6BE9" w:rsidRDefault="00AA5A29" w:rsidP="00AA5A29">
      <w:pPr>
        <w:pStyle w:val="references"/>
        <w:rPr>
          <w:lang w:val="en-US"/>
        </w:rPr>
      </w:pPr>
      <w:r w:rsidRPr="003B6BE9">
        <w:rPr>
          <w:shd w:val="clear" w:color="auto" w:fill="FFFFFF"/>
          <w:lang w:val="en-US"/>
        </w:rPr>
        <w:t xml:space="preserve">Sanfins, M. D., Hatzopoulos, S., Della Torre, O. H., Donadon, C., Skarzynski, P. H., &amp; Colella-Santos, M. F. (2017). Methylphenidate effects on P300 responses from children and adolescents. </w:t>
      </w:r>
      <w:r w:rsidRPr="003B6BE9">
        <w:rPr>
          <w:i/>
          <w:iCs/>
          <w:lang w:val="en-US"/>
        </w:rPr>
        <w:t>International Journal of Pediatric Otorhinolaryngology</w:t>
      </w:r>
      <w:r w:rsidRPr="003B6BE9">
        <w:rPr>
          <w:shd w:val="clear" w:color="auto" w:fill="FFFFFF"/>
          <w:lang w:val="en-US"/>
        </w:rPr>
        <w:t xml:space="preserve">, </w:t>
      </w:r>
      <w:r w:rsidRPr="003B6BE9">
        <w:rPr>
          <w:i/>
          <w:iCs/>
          <w:lang w:val="en-US"/>
        </w:rPr>
        <w:t>96</w:t>
      </w:r>
      <w:r w:rsidRPr="003B6BE9">
        <w:rPr>
          <w:shd w:val="clear" w:color="auto" w:fill="FFFFFF"/>
          <w:lang w:val="en-US"/>
        </w:rPr>
        <w:t>, 152–155.</w:t>
      </w:r>
      <w:r w:rsidRPr="003B6BE9">
        <w:rPr>
          <w:lang w:val="en-US"/>
        </w:rPr>
        <w:t xml:space="preserve"> </w:t>
      </w:r>
    </w:p>
    <w:p w14:paraId="2A0D2263" w14:textId="77777777" w:rsidR="00AA5A29" w:rsidRPr="003B6BE9" w:rsidRDefault="00AA5A29" w:rsidP="00AA5A29">
      <w:pPr>
        <w:pStyle w:val="references"/>
        <w:rPr>
          <w:lang w:val="en-US"/>
        </w:rPr>
      </w:pPr>
      <w:r w:rsidRPr="003B6BE9">
        <w:rPr>
          <w:shd w:val="clear" w:color="auto" w:fill="FFFFFF"/>
          <w:lang w:val="en-US"/>
        </w:rPr>
        <w:t xml:space="preserve">Sangal, R. B., &amp; Sangal, J. M. (2005). Attention-deficit/hyperactivity disorder: Cognitive evoked potential (P300) amplitude predicts treatment response to atomoxetine. </w:t>
      </w:r>
      <w:r w:rsidRPr="003B6BE9">
        <w:rPr>
          <w:i/>
          <w:iCs/>
          <w:lang w:val="en-US"/>
        </w:rPr>
        <w:t>Clinical Neurophysiology</w:t>
      </w:r>
      <w:r w:rsidRPr="003B6BE9">
        <w:rPr>
          <w:shd w:val="clear" w:color="auto" w:fill="FFFFFF"/>
          <w:lang w:val="en-US"/>
        </w:rPr>
        <w:t xml:space="preserve">, </w:t>
      </w:r>
      <w:r w:rsidRPr="003B6BE9">
        <w:rPr>
          <w:i/>
          <w:iCs/>
          <w:lang w:val="en-US"/>
        </w:rPr>
        <w:t>116</w:t>
      </w:r>
      <w:r w:rsidRPr="003B6BE9">
        <w:rPr>
          <w:shd w:val="clear" w:color="auto" w:fill="FFFFFF"/>
          <w:lang w:val="en-US"/>
        </w:rPr>
        <w:t>(3), 640–647.</w:t>
      </w:r>
      <w:r w:rsidRPr="003B6BE9">
        <w:rPr>
          <w:lang w:val="en-US"/>
        </w:rPr>
        <w:t xml:space="preserve"> </w:t>
      </w:r>
    </w:p>
    <w:p w14:paraId="20A4634B" w14:textId="77777777" w:rsidR="00AA5A29" w:rsidRPr="003B6BE9" w:rsidRDefault="00AA5A29" w:rsidP="00AA5A29">
      <w:pPr>
        <w:pStyle w:val="references"/>
        <w:rPr>
          <w:lang w:val="en-US"/>
        </w:rPr>
      </w:pPr>
      <w:r w:rsidRPr="003B6BE9">
        <w:rPr>
          <w:shd w:val="clear" w:color="auto" w:fill="FFFFFF"/>
          <w:lang w:val="en-US"/>
        </w:rPr>
        <w:t xml:space="preserve">Sangal, R. B., &amp; Sangal, J. M. (2006). Attention-deficit/hyperactivity disorder: Use of cognitive evoked potential (P300) to predict treatment response. </w:t>
      </w:r>
      <w:r w:rsidRPr="003B6BE9">
        <w:rPr>
          <w:i/>
          <w:iCs/>
          <w:lang w:val="en-US"/>
        </w:rPr>
        <w:t>Clinical Neurophysiology</w:t>
      </w:r>
      <w:r w:rsidRPr="003B6BE9">
        <w:rPr>
          <w:shd w:val="clear" w:color="auto" w:fill="FFFFFF"/>
          <w:lang w:val="en-US"/>
        </w:rPr>
        <w:t xml:space="preserve">, </w:t>
      </w:r>
      <w:r w:rsidRPr="003B6BE9">
        <w:rPr>
          <w:i/>
          <w:iCs/>
          <w:lang w:val="en-US"/>
        </w:rPr>
        <w:t>117</w:t>
      </w:r>
      <w:r w:rsidRPr="003B6BE9">
        <w:rPr>
          <w:shd w:val="clear" w:color="auto" w:fill="FFFFFF"/>
          <w:lang w:val="en-US"/>
        </w:rPr>
        <w:t>(9), 1996–2006.</w:t>
      </w:r>
      <w:r w:rsidRPr="003B6BE9">
        <w:rPr>
          <w:lang w:val="en-US"/>
        </w:rPr>
        <w:t xml:space="preserve"> </w:t>
      </w:r>
    </w:p>
    <w:p w14:paraId="5BBA74D8" w14:textId="77777777" w:rsidR="00AA5A29" w:rsidRPr="003B6BE9" w:rsidRDefault="00AA5A29" w:rsidP="00AA5A29">
      <w:pPr>
        <w:pStyle w:val="references"/>
        <w:rPr>
          <w:lang w:val="en-US"/>
        </w:rPr>
      </w:pPr>
      <w:r w:rsidRPr="003B6BE9">
        <w:rPr>
          <w:shd w:val="clear" w:color="auto" w:fill="FFFFFF"/>
          <w:lang w:val="en-US"/>
        </w:rPr>
        <w:t xml:space="preserve">Schachar, R. J., Tannock, R., &amp; Logan, G. (1993). Inhibitory control, impulsiveness, and attention deficit hyperactivity disorder. </w:t>
      </w:r>
      <w:r w:rsidRPr="003B6BE9">
        <w:rPr>
          <w:i/>
          <w:iCs/>
          <w:lang w:val="en-US"/>
        </w:rPr>
        <w:t>Clinical Psychology Review</w:t>
      </w:r>
      <w:r w:rsidRPr="003B6BE9">
        <w:rPr>
          <w:shd w:val="clear" w:color="auto" w:fill="FFFFFF"/>
          <w:lang w:val="en-US"/>
        </w:rPr>
        <w:t xml:space="preserve">, </w:t>
      </w:r>
      <w:r w:rsidRPr="003B6BE9">
        <w:rPr>
          <w:i/>
          <w:iCs/>
          <w:lang w:val="en-US"/>
        </w:rPr>
        <w:t>13</w:t>
      </w:r>
      <w:r w:rsidRPr="003B6BE9">
        <w:rPr>
          <w:shd w:val="clear" w:color="auto" w:fill="FFFFFF"/>
          <w:lang w:val="en-US"/>
        </w:rPr>
        <w:t>(8), 721–739.</w:t>
      </w:r>
      <w:r w:rsidRPr="003B6BE9">
        <w:rPr>
          <w:lang w:val="en-US"/>
        </w:rPr>
        <w:t xml:space="preserve"> </w:t>
      </w:r>
    </w:p>
    <w:p w14:paraId="6A9CCBD5" w14:textId="77777777" w:rsidR="00AA5A29" w:rsidRPr="003B6BE9" w:rsidRDefault="00AA5A29" w:rsidP="00AA5A29">
      <w:pPr>
        <w:pStyle w:val="references"/>
        <w:rPr>
          <w:lang w:val="en-US"/>
        </w:rPr>
      </w:pPr>
      <w:r w:rsidRPr="003B6BE9">
        <w:rPr>
          <w:shd w:val="clear" w:color="auto" w:fill="FFFFFF"/>
          <w:lang w:val="en-US"/>
        </w:rPr>
        <w:t xml:space="preserve">Scheid, I., Maruani, A., Huguet, G., Leblond, C. S., Nygren, G., Anckarsäter, H., ... Elmaleh, M. (2013). Heterozygous FA2H mutations in autism spectrum disorders. </w:t>
      </w:r>
      <w:r w:rsidRPr="003B6BE9">
        <w:rPr>
          <w:i/>
          <w:iCs/>
          <w:lang w:val="en-US"/>
        </w:rPr>
        <w:t>BMC Medical Genetics</w:t>
      </w:r>
      <w:r w:rsidRPr="003B6BE9">
        <w:rPr>
          <w:shd w:val="clear" w:color="auto" w:fill="FFFFFF"/>
          <w:lang w:val="en-US"/>
        </w:rPr>
        <w:t xml:space="preserve">, </w:t>
      </w:r>
      <w:r w:rsidRPr="003B6BE9">
        <w:rPr>
          <w:i/>
          <w:iCs/>
          <w:lang w:val="en-US"/>
        </w:rPr>
        <w:t>14</w:t>
      </w:r>
      <w:r w:rsidRPr="003B6BE9">
        <w:rPr>
          <w:shd w:val="clear" w:color="auto" w:fill="FFFFFF"/>
          <w:lang w:val="en-US"/>
        </w:rPr>
        <w:t>(1), 124.</w:t>
      </w:r>
      <w:r w:rsidRPr="003B6BE9">
        <w:rPr>
          <w:lang w:val="en-US"/>
        </w:rPr>
        <w:t xml:space="preserve"> </w:t>
      </w:r>
    </w:p>
    <w:p w14:paraId="10BB6E87" w14:textId="77777777" w:rsidR="00AA5A29" w:rsidRPr="003B6BE9" w:rsidRDefault="00AA5A29" w:rsidP="00AA5A29">
      <w:pPr>
        <w:pStyle w:val="references"/>
        <w:rPr>
          <w:shd w:val="clear" w:color="auto" w:fill="FFFFFF"/>
        </w:rPr>
      </w:pPr>
      <w:r w:rsidRPr="003B6BE9">
        <w:rPr>
          <w:shd w:val="clear" w:color="auto" w:fill="FFFFFF"/>
        </w:rPr>
        <w:t xml:space="preserve">Schochat, E., Scheuer, C. I., &amp; Andrade, Ê. R. D. (2002). </w:t>
      </w:r>
      <w:r w:rsidRPr="003B6BE9">
        <w:rPr>
          <w:shd w:val="clear" w:color="auto" w:fill="FFFFFF"/>
          <w:lang w:val="en-US"/>
        </w:rPr>
        <w:t xml:space="preserve">ABR and auditory P300 findings inchildren with ADHD. </w:t>
      </w:r>
      <w:r w:rsidRPr="003B6BE9">
        <w:rPr>
          <w:i/>
          <w:iCs/>
        </w:rPr>
        <w:t>Arquivos de neuro-psiquiatria</w:t>
      </w:r>
      <w:r w:rsidRPr="003B6BE9">
        <w:rPr>
          <w:shd w:val="clear" w:color="auto" w:fill="FFFFFF"/>
        </w:rPr>
        <w:t xml:space="preserve">, </w:t>
      </w:r>
      <w:r w:rsidRPr="003B6BE9">
        <w:rPr>
          <w:i/>
          <w:iCs/>
        </w:rPr>
        <w:t>60</w:t>
      </w:r>
      <w:r w:rsidRPr="003B6BE9">
        <w:rPr>
          <w:shd w:val="clear" w:color="auto" w:fill="FFFFFF"/>
        </w:rPr>
        <w:t xml:space="preserve">(3B), 742–747. </w:t>
      </w:r>
    </w:p>
    <w:p w14:paraId="7217ADF7" w14:textId="77777777" w:rsidR="00AA5A29" w:rsidRPr="003B6BE9" w:rsidRDefault="00AA5A29" w:rsidP="00AA5A29">
      <w:pPr>
        <w:pStyle w:val="references"/>
        <w:rPr>
          <w:lang w:val="en-US"/>
        </w:rPr>
      </w:pPr>
      <w:r w:rsidRPr="003B6BE9">
        <w:rPr>
          <w:shd w:val="clear" w:color="auto" w:fill="FFFFFF"/>
        </w:rPr>
        <w:t xml:space="preserve">Seidman, L. J., Biederman, J., Monuteaux, M. C., Weber, W., &amp; Faraone, S. V. (2000). </w:t>
      </w:r>
      <w:r w:rsidRPr="003B6BE9">
        <w:rPr>
          <w:shd w:val="clear" w:color="auto" w:fill="FFFFFF"/>
          <w:lang w:val="en-US"/>
        </w:rPr>
        <w:t xml:space="preserve">Neuropsychological functioning in nonreferred siblings of children with attention deficit/hyperactivity disorder. </w:t>
      </w:r>
      <w:r w:rsidRPr="003B6BE9">
        <w:rPr>
          <w:i/>
          <w:iCs/>
          <w:lang w:val="en-US"/>
        </w:rPr>
        <w:t>Journal of Abnormal Psychology</w:t>
      </w:r>
      <w:r w:rsidRPr="003B6BE9">
        <w:rPr>
          <w:shd w:val="clear" w:color="auto" w:fill="FFFFFF"/>
          <w:lang w:val="en-US"/>
        </w:rPr>
        <w:t xml:space="preserve">, </w:t>
      </w:r>
      <w:r w:rsidRPr="003B6BE9">
        <w:rPr>
          <w:i/>
          <w:iCs/>
          <w:lang w:val="en-US"/>
        </w:rPr>
        <w:t>109</w:t>
      </w:r>
      <w:r w:rsidRPr="003B6BE9">
        <w:rPr>
          <w:shd w:val="clear" w:color="auto" w:fill="FFFFFF"/>
          <w:lang w:val="en-US"/>
        </w:rPr>
        <w:t>(2), 252–265.</w:t>
      </w:r>
      <w:r w:rsidRPr="003B6BE9">
        <w:rPr>
          <w:lang w:val="en-US"/>
        </w:rPr>
        <w:t xml:space="preserve"> </w:t>
      </w:r>
    </w:p>
    <w:p w14:paraId="07B3C16E" w14:textId="77777777" w:rsidR="00AA5A29" w:rsidRPr="003B6BE9" w:rsidRDefault="00AA5A29" w:rsidP="00AA5A29">
      <w:pPr>
        <w:pStyle w:val="references"/>
        <w:rPr>
          <w:lang w:val="en-US"/>
        </w:rPr>
      </w:pPr>
      <w:r w:rsidRPr="003B6BE9">
        <w:rPr>
          <w:shd w:val="clear" w:color="auto" w:fill="FFFFFF"/>
          <w:lang w:val="en-US"/>
        </w:rPr>
        <w:t>Shaw, P., Eckstrand, K., Sharp, W., Blumenthal, J., Lerch, J. P., Greenstein, D. E. E. A., ... Rapoport, J. L. (2007). Attention-deficit/hyperactivity disorder is characterized by a delay in cortical maturation.</w:t>
      </w:r>
      <w:r w:rsidRPr="003B6BE9">
        <w:rPr>
          <w:rStyle w:val="apple-converted-space"/>
          <w:color w:val="222222"/>
          <w:sz w:val="28"/>
          <w:szCs w:val="28"/>
          <w:shd w:val="clear" w:color="auto" w:fill="FFFFFF"/>
          <w:lang w:val="en-US"/>
        </w:rPr>
        <w:t xml:space="preserve"> </w:t>
      </w:r>
      <w:r w:rsidRPr="003B6BE9">
        <w:rPr>
          <w:i/>
          <w:iCs/>
          <w:lang w:val="en-US"/>
        </w:rPr>
        <w:t>Proceedings of the National Academy of Sciences</w:t>
      </w:r>
      <w:r w:rsidRPr="003B6BE9">
        <w:rPr>
          <w:shd w:val="clear" w:color="auto" w:fill="FFFFFF"/>
          <w:lang w:val="en-US"/>
        </w:rPr>
        <w:t>,</w:t>
      </w:r>
      <w:r w:rsidRPr="003B6BE9">
        <w:rPr>
          <w:rStyle w:val="apple-converted-space"/>
          <w:color w:val="222222"/>
          <w:sz w:val="28"/>
          <w:szCs w:val="28"/>
          <w:shd w:val="clear" w:color="auto" w:fill="FFFFFF"/>
          <w:lang w:val="en-US"/>
        </w:rPr>
        <w:t xml:space="preserve"> </w:t>
      </w:r>
      <w:r w:rsidRPr="003B6BE9">
        <w:rPr>
          <w:i/>
          <w:iCs/>
          <w:lang w:val="en-US"/>
        </w:rPr>
        <w:t>104</w:t>
      </w:r>
      <w:r w:rsidRPr="003B6BE9">
        <w:rPr>
          <w:shd w:val="clear" w:color="auto" w:fill="FFFFFF"/>
          <w:lang w:val="en-US"/>
        </w:rPr>
        <w:t>(49), 19649–19654.</w:t>
      </w:r>
      <w:r w:rsidRPr="003B6BE9">
        <w:rPr>
          <w:lang w:val="en-US"/>
        </w:rPr>
        <w:t xml:space="preserve"> </w:t>
      </w:r>
    </w:p>
    <w:p w14:paraId="092923AF" w14:textId="77777777" w:rsidR="00AA5A29" w:rsidRPr="003B6BE9" w:rsidRDefault="00AA5A29" w:rsidP="00AA5A29">
      <w:pPr>
        <w:pStyle w:val="references"/>
        <w:rPr>
          <w:shd w:val="clear" w:color="auto" w:fill="FFFFFF"/>
          <w:lang w:val="en-US"/>
        </w:rPr>
      </w:pPr>
      <w:r w:rsidRPr="003B6BE9">
        <w:rPr>
          <w:shd w:val="clear" w:color="auto" w:fill="FFFFFF"/>
          <w:lang w:val="en-US"/>
        </w:rPr>
        <w:t>Shaywitz, B. A., Shaywitz, S. E., Pugh, K. R., &amp; Constable, R. T. (1995). Sex differences in the functional organization of the brain for language.</w:t>
      </w:r>
      <w:r w:rsidRPr="003B6BE9">
        <w:rPr>
          <w:rStyle w:val="apple-converted-space"/>
          <w:color w:val="222222"/>
          <w:sz w:val="28"/>
          <w:szCs w:val="28"/>
          <w:shd w:val="clear" w:color="auto" w:fill="FFFFFF"/>
          <w:lang w:val="en-US"/>
        </w:rPr>
        <w:t xml:space="preserve"> </w:t>
      </w:r>
      <w:r w:rsidRPr="003B6BE9">
        <w:rPr>
          <w:i/>
          <w:iCs/>
          <w:lang w:val="en-US"/>
        </w:rPr>
        <w:t>Nature</w:t>
      </w:r>
      <w:r w:rsidRPr="003B6BE9">
        <w:rPr>
          <w:shd w:val="clear" w:color="auto" w:fill="FFFFFF"/>
          <w:lang w:val="en-US"/>
        </w:rPr>
        <w:t>,</w:t>
      </w:r>
      <w:r w:rsidRPr="003B6BE9">
        <w:rPr>
          <w:rStyle w:val="apple-converted-space"/>
          <w:color w:val="222222"/>
          <w:sz w:val="28"/>
          <w:szCs w:val="28"/>
          <w:shd w:val="clear" w:color="auto" w:fill="FFFFFF"/>
          <w:lang w:val="en-US"/>
        </w:rPr>
        <w:t xml:space="preserve"> </w:t>
      </w:r>
      <w:r w:rsidRPr="003B6BE9">
        <w:rPr>
          <w:i/>
          <w:iCs/>
          <w:lang w:val="en-US"/>
        </w:rPr>
        <w:t>373</w:t>
      </w:r>
      <w:r w:rsidRPr="003B6BE9">
        <w:rPr>
          <w:shd w:val="clear" w:color="auto" w:fill="FFFFFF"/>
          <w:lang w:val="en-US"/>
        </w:rPr>
        <w:t xml:space="preserve">(6515), 607–609. </w:t>
      </w:r>
    </w:p>
    <w:p w14:paraId="6CD1F4E6" w14:textId="77777777" w:rsidR="00AA5A29" w:rsidRPr="003B6BE9" w:rsidRDefault="00AA5A29" w:rsidP="00AA5A29">
      <w:pPr>
        <w:pStyle w:val="references"/>
        <w:rPr>
          <w:lang w:val="en-US"/>
        </w:rPr>
      </w:pPr>
      <w:r w:rsidRPr="003B6BE9">
        <w:rPr>
          <w:shd w:val="clear" w:color="auto" w:fill="FFFFFF"/>
          <w:lang w:val="en-US"/>
        </w:rPr>
        <w:t>Sininger, Y. S. (1995). Filtering and spectral characteristics of averaged auditory brain</w:t>
      </w:r>
      <w:r w:rsidRPr="003B6BE9">
        <w:rPr>
          <w:rFonts w:ascii="Cambria Math" w:eastAsia="Calibri" w:hAnsi="Cambria Math" w:cs="Cambria Math"/>
          <w:shd w:val="clear" w:color="auto" w:fill="FFFFFF"/>
          <w:lang w:val="en-US"/>
        </w:rPr>
        <w:t>‐</w:t>
      </w:r>
      <w:r w:rsidRPr="003B6BE9">
        <w:rPr>
          <w:shd w:val="clear" w:color="auto" w:fill="FFFFFF"/>
          <w:lang w:val="en-US"/>
        </w:rPr>
        <w:t>stem response and background noise in infants.</w:t>
      </w:r>
      <w:r w:rsidRPr="003B6BE9">
        <w:rPr>
          <w:rStyle w:val="apple-converted-space"/>
          <w:color w:val="222222"/>
          <w:sz w:val="28"/>
          <w:szCs w:val="28"/>
          <w:shd w:val="clear" w:color="auto" w:fill="FFFFFF"/>
          <w:lang w:val="en-US"/>
        </w:rPr>
        <w:t xml:space="preserve"> </w:t>
      </w:r>
      <w:r w:rsidRPr="003B6BE9">
        <w:rPr>
          <w:i/>
          <w:iCs/>
          <w:lang w:val="en-US"/>
        </w:rPr>
        <w:t>Journal of the Acoustical Society of America</w:t>
      </w:r>
      <w:r w:rsidRPr="003B6BE9">
        <w:rPr>
          <w:shd w:val="clear" w:color="auto" w:fill="FFFFFF"/>
          <w:lang w:val="en-US"/>
        </w:rPr>
        <w:t>,</w:t>
      </w:r>
      <w:r w:rsidRPr="003B6BE9">
        <w:rPr>
          <w:rStyle w:val="apple-converted-space"/>
          <w:color w:val="222222"/>
          <w:sz w:val="28"/>
          <w:szCs w:val="28"/>
          <w:shd w:val="clear" w:color="auto" w:fill="FFFFFF"/>
          <w:lang w:val="en-US"/>
        </w:rPr>
        <w:t xml:space="preserve"> </w:t>
      </w:r>
      <w:r w:rsidRPr="003B6BE9">
        <w:rPr>
          <w:i/>
          <w:iCs/>
          <w:lang w:val="en-US"/>
        </w:rPr>
        <w:t>98</w:t>
      </w:r>
      <w:r w:rsidRPr="003B6BE9">
        <w:rPr>
          <w:shd w:val="clear" w:color="auto" w:fill="FFFFFF"/>
          <w:lang w:val="en-US"/>
        </w:rPr>
        <w:t>(4), 2048–2055.</w:t>
      </w:r>
      <w:r w:rsidRPr="003B6BE9">
        <w:rPr>
          <w:lang w:val="en-US"/>
        </w:rPr>
        <w:t xml:space="preserve"> </w:t>
      </w:r>
    </w:p>
    <w:p w14:paraId="05900D55" w14:textId="77777777" w:rsidR="00AA5A29" w:rsidRPr="003B6BE9" w:rsidRDefault="00AA5A29" w:rsidP="00AA5A29">
      <w:pPr>
        <w:pStyle w:val="references"/>
        <w:rPr>
          <w:lang w:val="en-US"/>
        </w:rPr>
      </w:pPr>
      <w:r w:rsidRPr="003B6BE9">
        <w:rPr>
          <w:shd w:val="clear" w:color="auto" w:fill="FFFFFF"/>
          <w:lang w:val="en-US"/>
        </w:rPr>
        <w:t>Sininger, Y. S., Cone-Wesson, B., &amp; Abdala, C. (1998). Gender distinctions and lateral asymmetry in the low-level auditory brainstem response of the human neonate.</w:t>
      </w:r>
      <w:r w:rsidRPr="003B6BE9">
        <w:rPr>
          <w:rStyle w:val="apple-converted-space"/>
          <w:color w:val="222222"/>
          <w:sz w:val="28"/>
          <w:szCs w:val="28"/>
          <w:shd w:val="clear" w:color="auto" w:fill="FFFFFF"/>
          <w:lang w:val="en-US"/>
        </w:rPr>
        <w:t xml:space="preserve"> </w:t>
      </w:r>
      <w:r w:rsidRPr="003B6BE9">
        <w:rPr>
          <w:i/>
          <w:iCs/>
          <w:lang w:val="en-US"/>
        </w:rPr>
        <w:t>Hearing Research</w:t>
      </w:r>
      <w:r w:rsidRPr="003B6BE9">
        <w:rPr>
          <w:shd w:val="clear" w:color="auto" w:fill="FFFFFF"/>
          <w:lang w:val="en-US"/>
        </w:rPr>
        <w:t>,</w:t>
      </w:r>
      <w:r w:rsidRPr="003B6BE9">
        <w:rPr>
          <w:rStyle w:val="apple-converted-space"/>
          <w:color w:val="222222"/>
          <w:sz w:val="28"/>
          <w:szCs w:val="28"/>
          <w:shd w:val="clear" w:color="auto" w:fill="FFFFFF"/>
          <w:lang w:val="en-US"/>
        </w:rPr>
        <w:t xml:space="preserve"> </w:t>
      </w:r>
      <w:r w:rsidRPr="003B6BE9">
        <w:rPr>
          <w:i/>
          <w:iCs/>
          <w:lang w:val="en-US"/>
        </w:rPr>
        <w:t>126</w:t>
      </w:r>
      <w:r w:rsidRPr="003B6BE9">
        <w:rPr>
          <w:shd w:val="clear" w:color="auto" w:fill="FFFFFF"/>
          <w:lang w:val="en-US"/>
        </w:rPr>
        <w:t>(1), 58–66.</w:t>
      </w:r>
      <w:r w:rsidRPr="003B6BE9">
        <w:rPr>
          <w:lang w:val="en-US"/>
        </w:rPr>
        <w:t xml:space="preserve"> </w:t>
      </w:r>
    </w:p>
    <w:p w14:paraId="258E6F84" w14:textId="5BA7601F" w:rsidR="00AA5A29" w:rsidRPr="003B6BE9" w:rsidRDefault="00AA5A29" w:rsidP="00AA5A29">
      <w:pPr>
        <w:pStyle w:val="references"/>
        <w:rPr>
          <w:lang w:val="en-US"/>
        </w:rPr>
      </w:pPr>
      <w:r w:rsidRPr="003B6BE9">
        <w:rPr>
          <w:shd w:val="clear" w:color="auto" w:fill="FFFFFF"/>
          <w:lang w:val="en-US"/>
        </w:rPr>
        <w:t xml:space="preserve">Spencer, T. J., Biederman, J., &amp; Mick, E. (2007). Attention-deficit/hyperactivity disorder: Diagnosis, lifespan, comorbidities, and neurobiology. </w:t>
      </w:r>
      <w:r w:rsidRPr="003B6BE9">
        <w:rPr>
          <w:i/>
          <w:iCs/>
          <w:lang w:val="en-US"/>
        </w:rPr>
        <w:t>Ambulatory Pediatrics</w:t>
      </w:r>
      <w:r w:rsidRPr="003B6BE9">
        <w:rPr>
          <w:shd w:val="clear" w:color="auto" w:fill="FFFFFF"/>
          <w:lang w:val="en-US"/>
        </w:rPr>
        <w:t xml:space="preserve">, </w:t>
      </w:r>
      <w:r w:rsidRPr="003B6BE9">
        <w:rPr>
          <w:i/>
          <w:iCs/>
          <w:lang w:val="en-US"/>
        </w:rPr>
        <w:t>7</w:t>
      </w:r>
      <w:r w:rsidRPr="003B6BE9">
        <w:rPr>
          <w:shd w:val="clear" w:color="auto" w:fill="FFFFFF"/>
          <w:lang w:val="en-US"/>
        </w:rPr>
        <w:t>(1), 73–81.</w:t>
      </w:r>
      <w:r w:rsidRPr="00860AAD">
        <w:rPr>
          <w:rStyle w:val="CommentReference"/>
          <w:rFonts w:cstheme="minorBidi"/>
          <w:lang w:val="en-GB" w:eastAsia="en-US"/>
        </w:rPr>
        <w:t xml:space="preserve"> </w:t>
      </w:r>
      <w:r w:rsidRPr="003B6BE9">
        <w:rPr>
          <w:rStyle w:val="CommentReference"/>
          <w:rFonts w:cstheme="minorBidi"/>
          <w:lang w:eastAsia="en-US"/>
        </w:rPr>
        <w:commentReference w:id="92"/>
      </w:r>
      <w:r w:rsidRPr="003B6BE9">
        <w:rPr>
          <w:lang w:val="en-US"/>
        </w:rPr>
        <w:t xml:space="preserve"> </w:t>
      </w:r>
    </w:p>
    <w:p w14:paraId="40D6F966" w14:textId="77777777" w:rsidR="00AA5A29" w:rsidRPr="003B6BE9" w:rsidRDefault="00AA5A29" w:rsidP="00AA5A29">
      <w:pPr>
        <w:pStyle w:val="references"/>
        <w:rPr>
          <w:lang w:val="en-US"/>
        </w:rPr>
      </w:pPr>
      <w:r w:rsidRPr="003B6BE9">
        <w:rPr>
          <w:shd w:val="clear" w:color="auto" w:fill="FFFFFF"/>
          <w:lang w:val="en-US"/>
        </w:rPr>
        <w:lastRenderedPageBreak/>
        <w:t xml:space="preserve">Stevenson, J., Sonuga-Barke, E., McCann, D., Grimshaw, K., Parker, K. M., Rose-Zerilli, M. J., ... Warner, J. O. (2010). The role of histamine degradation gene polymorphisms in moderating the effects of food additives on children’s ADHD symptoms. </w:t>
      </w:r>
      <w:r w:rsidRPr="003B6BE9">
        <w:rPr>
          <w:i/>
          <w:iCs/>
          <w:lang w:val="en-US"/>
        </w:rPr>
        <w:t>American Journal of Psychiatry</w:t>
      </w:r>
      <w:r w:rsidRPr="003B6BE9">
        <w:rPr>
          <w:shd w:val="clear" w:color="auto" w:fill="FFFFFF"/>
          <w:lang w:val="en-US"/>
        </w:rPr>
        <w:t xml:space="preserve">, </w:t>
      </w:r>
      <w:r w:rsidRPr="003B6BE9">
        <w:rPr>
          <w:i/>
          <w:iCs/>
          <w:lang w:val="en-US"/>
        </w:rPr>
        <w:t>167</w:t>
      </w:r>
      <w:r w:rsidRPr="003B6BE9">
        <w:rPr>
          <w:shd w:val="clear" w:color="auto" w:fill="FFFFFF"/>
          <w:lang w:val="en-US"/>
        </w:rPr>
        <w:t>(9), 1108–1115.</w:t>
      </w:r>
      <w:r w:rsidRPr="003B6BE9">
        <w:rPr>
          <w:lang w:val="en-US"/>
        </w:rPr>
        <w:t xml:space="preserve"> </w:t>
      </w:r>
    </w:p>
    <w:p w14:paraId="07E6B44C" w14:textId="77777777" w:rsidR="00AA5A29" w:rsidRPr="003B6BE9" w:rsidRDefault="00AA5A29" w:rsidP="00AA5A29">
      <w:pPr>
        <w:pStyle w:val="references"/>
        <w:rPr>
          <w:lang w:val="en-US"/>
        </w:rPr>
      </w:pPr>
      <w:r w:rsidRPr="00860AAD">
        <w:rPr>
          <w:shd w:val="clear" w:color="auto" w:fill="FFFFFF"/>
          <w:lang w:val="en-GB"/>
        </w:rPr>
        <w:t xml:space="preserve">Strait, D. L., &amp; Kraus, N. (2011). </w:t>
      </w:r>
      <w:r w:rsidRPr="003B6BE9">
        <w:rPr>
          <w:shd w:val="clear" w:color="auto" w:fill="FFFFFF"/>
          <w:lang w:val="en-US"/>
        </w:rPr>
        <w:t>Can you hear me now? Musical training shapes functional brain networks for selective auditory attention and hearing speech in noise.</w:t>
      </w:r>
      <w:r w:rsidRPr="003B6BE9">
        <w:rPr>
          <w:rStyle w:val="apple-converted-space"/>
          <w:color w:val="222222"/>
          <w:sz w:val="28"/>
          <w:szCs w:val="28"/>
          <w:shd w:val="clear" w:color="auto" w:fill="FFFFFF"/>
          <w:lang w:val="en-US"/>
        </w:rPr>
        <w:t xml:space="preserve"> </w:t>
      </w:r>
      <w:r w:rsidRPr="003B6BE9">
        <w:rPr>
          <w:i/>
          <w:iCs/>
          <w:lang w:val="en-US"/>
        </w:rPr>
        <w:t>Frontiers in Psychology</w:t>
      </w:r>
      <w:r w:rsidRPr="003B6BE9">
        <w:rPr>
          <w:shd w:val="clear" w:color="auto" w:fill="FFFFFF"/>
          <w:lang w:val="en-US"/>
        </w:rPr>
        <w:t>,</w:t>
      </w:r>
      <w:r w:rsidRPr="003B6BE9">
        <w:rPr>
          <w:rStyle w:val="apple-converted-space"/>
          <w:color w:val="222222"/>
          <w:sz w:val="28"/>
          <w:szCs w:val="28"/>
          <w:shd w:val="clear" w:color="auto" w:fill="FFFFFF"/>
          <w:lang w:val="en-US"/>
        </w:rPr>
        <w:t xml:space="preserve"> </w:t>
      </w:r>
      <w:r w:rsidRPr="003B6BE9">
        <w:rPr>
          <w:i/>
          <w:iCs/>
          <w:lang w:val="en-US"/>
        </w:rPr>
        <w:t>2</w:t>
      </w:r>
      <w:r w:rsidRPr="003B6BE9">
        <w:rPr>
          <w:iCs/>
          <w:lang w:val="en-US"/>
        </w:rPr>
        <w:t>, 113</w:t>
      </w:r>
      <w:r w:rsidRPr="003B6BE9">
        <w:rPr>
          <w:shd w:val="clear" w:color="auto" w:fill="FFFFFF"/>
          <w:lang w:val="en-US"/>
        </w:rPr>
        <w:t>.</w:t>
      </w:r>
      <w:r w:rsidRPr="003B6BE9">
        <w:rPr>
          <w:lang w:val="en-US"/>
        </w:rPr>
        <w:t xml:space="preserve"> </w:t>
      </w:r>
    </w:p>
    <w:p w14:paraId="597B4A14" w14:textId="77777777" w:rsidR="00AA5A29" w:rsidRPr="003B6BE9" w:rsidRDefault="00AA5A29" w:rsidP="00AA5A29">
      <w:pPr>
        <w:pStyle w:val="references"/>
        <w:rPr>
          <w:lang w:val="en-US"/>
        </w:rPr>
      </w:pPr>
      <w:r w:rsidRPr="003B6BE9">
        <w:rPr>
          <w:shd w:val="clear" w:color="auto" w:fill="FFFFFF"/>
          <w:lang w:val="en-US"/>
        </w:rPr>
        <w:t xml:space="preserve">Stuart, A., &amp; Yang, E. Y. (2001). Gender effects in auditory brainstem responses to air-and bone-conducted clicks in neonates. </w:t>
      </w:r>
      <w:r w:rsidRPr="003B6BE9">
        <w:rPr>
          <w:i/>
          <w:iCs/>
          <w:lang w:val="en-US"/>
        </w:rPr>
        <w:t>Journal of Communication Disorders</w:t>
      </w:r>
      <w:r w:rsidRPr="003B6BE9">
        <w:rPr>
          <w:shd w:val="clear" w:color="auto" w:fill="FFFFFF"/>
          <w:lang w:val="en-US"/>
        </w:rPr>
        <w:t xml:space="preserve">, </w:t>
      </w:r>
      <w:r w:rsidRPr="003B6BE9">
        <w:rPr>
          <w:i/>
          <w:iCs/>
          <w:lang w:val="en-US"/>
        </w:rPr>
        <w:t>34</w:t>
      </w:r>
      <w:r w:rsidRPr="003B6BE9">
        <w:rPr>
          <w:shd w:val="clear" w:color="auto" w:fill="FFFFFF"/>
          <w:lang w:val="en-US"/>
        </w:rPr>
        <w:t>(3), 229–239.</w:t>
      </w:r>
      <w:r w:rsidRPr="003B6BE9">
        <w:rPr>
          <w:lang w:val="en-US"/>
        </w:rPr>
        <w:t xml:space="preserve"> </w:t>
      </w:r>
    </w:p>
    <w:p w14:paraId="468C1716" w14:textId="77777777" w:rsidR="00AA5A29" w:rsidRPr="003B6BE9" w:rsidRDefault="00AA5A29" w:rsidP="00AA5A29">
      <w:pPr>
        <w:pStyle w:val="references"/>
        <w:rPr>
          <w:lang w:val="en-US"/>
        </w:rPr>
      </w:pPr>
      <w:r w:rsidRPr="003B6BE9">
        <w:rPr>
          <w:shd w:val="clear" w:color="auto" w:fill="FFFFFF"/>
          <w:lang w:val="en-US"/>
        </w:rPr>
        <w:t>Suades-González, E., Forns, J., García-Esteban, R., López-Vicente, M., Esnaola, M., Álvarez-Pedrerol, M., ... Sunyer, J. (2017). A longitudinal study on attention development in primary school children with and without teacher-reported symptoms of ADHD.</w:t>
      </w:r>
      <w:r w:rsidRPr="003B6BE9">
        <w:rPr>
          <w:rStyle w:val="apple-converted-space"/>
          <w:color w:val="222222"/>
          <w:sz w:val="28"/>
          <w:szCs w:val="28"/>
          <w:shd w:val="clear" w:color="auto" w:fill="FFFFFF"/>
          <w:lang w:val="en-US"/>
        </w:rPr>
        <w:t xml:space="preserve"> </w:t>
      </w:r>
      <w:r w:rsidRPr="003B6BE9">
        <w:rPr>
          <w:i/>
          <w:iCs/>
          <w:lang w:val="en-US"/>
        </w:rPr>
        <w:t>Frontiers in Psychology</w:t>
      </w:r>
      <w:r w:rsidRPr="003B6BE9">
        <w:rPr>
          <w:shd w:val="clear" w:color="auto" w:fill="FFFFFF"/>
          <w:lang w:val="en-US"/>
        </w:rPr>
        <w:t>,</w:t>
      </w:r>
      <w:r w:rsidRPr="003B6BE9">
        <w:rPr>
          <w:rStyle w:val="apple-converted-space"/>
          <w:color w:val="222222"/>
          <w:sz w:val="28"/>
          <w:szCs w:val="28"/>
          <w:shd w:val="clear" w:color="auto" w:fill="FFFFFF"/>
          <w:lang w:val="en-US"/>
        </w:rPr>
        <w:t xml:space="preserve"> </w:t>
      </w:r>
      <w:r w:rsidRPr="003B6BE9">
        <w:rPr>
          <w:i/>
          <w:iCs/>
          <w:lang w:val="en-US"/>
        </w:rPr>
        <w:t>8</w:t>
      </w:r>
      <w:r w:rsidRPr="003B6BE9">
        <w:rPr>
          <w:iCs/>
          <w:lang w:val="en-US"/>
        </w:rPr>
        <w:t>, 655</w:t>
      </w:r>
      <w:r w:rsidRPr="003B6BE9">
        <w:rPr>
          <w:shd w:val="clear" w:color="auto" w:fill="FFFFFF"/>
          <w:lang w:val="en-US"/>
        </w:rPr>
        <w:t>.</w:t>
      </w:r>
      <w:r w:rsidRPr="003B6BE9">
        <w:rPr>
          <w:lang w:val="en-US"/>
        </w:rPr>
        <w:t xml:space="preserve"> </w:t>
      </w:r>
    </w:p>
    <w:p w14:paraId="4E564A80" w14:textId="77777777" w:rsidR="00AA5A29" w:rsidRPr="003B6BE9" w:rsidRDefault="00AA5A29" w:rsidP="00AA5A29">
      <w:pPr>
        <w:pStyle w:val="references"/>
        <w:rPr>
          <w:color w:val="000000"/>
          <w:lang w:val="en-US"/>
        </w:rPr>
      </w:pPr>
      <w:r w:rsidRPr="003B6BE9">
        <w:rPr>
          <w:color w:val="000000"/>
          <w:lang w:val="en-US"/>
        </w:rPr>
        <w:t xml:space="preserve">Suzuki, K., Sugihara, G., Ouchi, Y., Nakamura, K., Futatsubashi, M., Takebayashi, K., </w:t>
      </w:r>
      <w:r w:rsidRPr="003B6BE9">
        <w:rPr>
          <w:lang w:val="en-US"/>
        </w:rPr>
        <w:t>…</w:t>
      </w:r>
      <w:r w:rsidRPr="003B6BE9">
        <w:rPr>
          <w:color w:val="000000"/>
          <w:lang w:val="en-US"/>
        </w:rPr>
        <w:t xml:space="preserve"> Mori N (2013) Microglial activation in young adults with autism spectrum disorder. </w:t>
      </w:r>
      <w:r w:rsidRPr="003B6BE9">
        <w:rPr>
          <w:i/>
          <w:color w:val="000000"/>
          <w:lang w:val="en-US"/>
        </w:rPr>
        <w:t>Journal of the American Medical Association</w:t>
      </w:r>
      <w:r w:rsidRPr="003B6BE9">
        <w:rPr>
          <w:color w:val="000000"/>
          <w:lang w:val="en-US"/>
        </w:rPr>
        <w:t xml:space="preserve">, </w:t>
      </w:r>
      <w:r w:rsidRPr="003B6BE9">
        <w:rPr>
          <w:i/>
          <w:color w:val="000000"/>
          <w:lang w:val="en-US"/>
        </w:rPr>
        <w:t>70</w:t>
      </w:r>
      <w:r w:rsidRPr="003B6BE9">
        <w:rPr>
          <w:color w:val="000000"/>
          <w:lang w:val="en-US"/>
        </w:rPr>
        <w:t xml:space="preserve">(1), 49–58. </w:t>
      </w:r>
    </w:p>
    <w:p w14:paraId="243A92AD" w14:textId="77777777" w:rsidR="00AA5A29" w:rsidRPr="003B6BE9" w:rsidRDefault="00AA5A29" w:rsidP="00AA5A29">
      <w:pPr>
        <w:pStyle w:val="references"/>
        <w:rPr>
          <w:lang w:val="en-US"/>
        </w:rPr>
      </w:pPr>
      <w:commentRangeStart w:id="93"/>
      <w:r w:rsidRPr="003B6BE9">
        <w:rPr>
          <w:shd w:val="clear" w:color="auto" w:fill="FFFFFF"/>
          <w:lang w:val="en-US"/>
        </w:rPr>
        <w:t>Swanson, J. M. (1981). The SNAP Rating Scale for the Diagnosis of the Attention Deficit Disorder.</w:t>
      </w:r>
      <w:commentRangeEnd w:id="93"/>
      <w:r w:rsidRPr="003B6BE9">
        <w:rPr>
          <w:rStyle w:val="CommentReference"/>
          <w:rFonts w:cstheme="minorBidi"/>
          <w:lang w:eastAsia="en-US"/>
        </w:rPr>
        <w:commentReference w:id="93"/>
      </w:r>
      <w:r w:rsidRPr="003B6BE9">
        <w:rPr>
          <w:lang w:val="en-US"/>
        </w:rPr>
        <w:t xml:space="preserve"> </w:t>
      </w:r>
    </w:p>
    <w:p w14:paraId="2799F99E" w14:textId="77777777" w:rsidR="00AA5A29" w:rsidRPr="003B6BE9" w:rsidRDefault="00AA5A29" w:rsidP="00AA5A29">
      <w:pPr>
        <w:pStyle w:val="references"/>
        <w:rPr>
          <w:lang w:val="en-US"/>
        </w:rPr>
      </w:pPr>
      <w:r w:rsidRPr="003B6BE9">
        <w:rPr>
          <w:shd w:val="clear" w:color="auto" w:fill="FFFFFF"/>
          <w:lang w:val="en-US"/>
        </w:rPr>
        <w:t xml:space="preserve">Sweeney, J. A., Kmiec, J. A., &amp; Kupfer, D. J. (2000). Neuropsychologic impairments in bipolar and unipolar mood disorders on the CANTAB neurocognitive battery. </w:t>
      </w:r>
      <w:r w:rsidRPr="003B6BE9">
        <w:rPr>
          <w:i/>
          <w:iCs/>
          <w:lang w:val="en-US"/>
        </w:rPr>
        <w:t>Biological Psychiatry</w:t>
      </w:r>
      <w:r w:rsidRPr="003B6BE9">
        <w:rPr>
          <w:shd w:val="clear" w:color="auto" w:fill="FFFFFF"/>
          <w:lang w:val="en-US"/>
        </w:rPr>
        <w:t xml:space="preserve">, </w:t>
      </w:r>
      <w:r w:rsidRPr="003B6BE9">
        <w:rPr>
          <w:i/>
          <w:iCs/>
          <w:lang w:val="en-US"/>
        </w:rPr>
        <w:t>48</w:t>
      </w:r>
      <w:r w:rsidRPr="003B6BE9">
        <w:rPr>
          <w:shd w:val="clear" w:color="auto" w:fill="FFFFFF"/>
          <w:lang w:val="en-US"/>
        </w:rPr>
        <w:t>(7), 674–684.</w:t>
      </w:r>
      <w:r w:rsidRPr="003B6BE9">
        <w:rPr>
          <w:lang w:val="en-US"/>
        </w:rPr>
        <w:t xml:space="preserve"> </w:t>
      </w:r>
    </w:p>
    <w:p w14:paraId="6EF643A4" w14:textId="77777777" w:rsidR="00AA5A29" w:rsidRPr="003B6BE9" w:rsidRDefault="00AA5A29" w:rsidP="00AA5A29">
      <w:pPr>
        <w:pStyle w:val="references"/>
        <w:rPr>
          <w:lang w:val="en-US"/>
        </w:rPr>
      </w:pPr>
      <w:r w:rsidRPr="00860AAD">
        <w:rPr>
          <w:shd w:val="clear" w:color="auto" w:fill="FFFFFF"/>
          <w:lang w:val="en-GB"/>
        </w:rPr>
        <w:t xml:space="preserve">Söderlund, G., Sikström, S., &amp; Smart, A. (2007). </w:t>
      </w:r>
      <w:r w:rsidRPr="003B6BE9">
        <w:rPr>
          <w:shd w:val="clear" w:color="auto" w:fill="FFFFFF"/>
          <w:lang w:val="en-US"/>
        </w:rPr>
        <w:t>Listen to the noise: Noise is beneficial for cognitive performance in ADHD.</w:t>
      </w:r>
      <w:r w:rsidRPr="003B6BE9">
        <w:rPr>
          <w:rStyle w:val="apple-converted-space"/>
          <w:color w:val="222222"/>
          <w:sz w:val="28"/>
          <w:szCs w:val="28"/>
          <w:shd w:val="clear" w:color="auto" w:fill="FFFFFF"/>
          <w:lang w:val="en-US"/>
        </w:rPr>
        <w:t xml:space="preserve"> </w:t>
      </w:r>
      <w:r w:rsidRPr="003B6BE9">
        <w:rPr>
          <w:i/>
          <w:iCs/>
          <w:lang w:val="en-US"/>
        </w:rPr>
        <w:t>Journal of Child Psychology and Psychiatry</w:t>
      </w:r>
      <w:r w:rsidRPr="003B6BE9">
        <w:rPr>
          <w:shd w:val="clear" w:color="auto" w:fill="FFFFFF"/>
          <w:lang w:val="en-US"/>
        </w:rPr>
        <w:t>,</w:t>
      </w:r>
      <w:r w:rsidRPr="003B6BE9">
        <w:rPr>
          <w:rStyle w:val="apple-converted-space"/>
          <w:color w:val="222222"/>
          <w:sz w:val="28"/>
          <w:szCs w:val="28"/>
          <w:shd w:val="clear" w:color="auto" w:fill="FFFFFF"/>
          <w:lang w:val="en-US"/>
        </w:rPr>
        <w:t xml:space="preserve"> </w:t>
      </w:r>
      <w:r w:rsidRPr="003B6BE9">
        <w:rPr>
          <w:i/>
          <w:iCs/>
          <w:lang w:val="en-US"/>
        </w:rPr>
        <w:t>48</w:t>
      </w:r>
      <w:r w:rsidRPr="003B6BE9">
        <w:rPr>
          <w:shd w:val="clear" w:color="auto" w:fill="FFFFFF"/>
          <w:lang w:val="en-US"/>
        </w:rPr>
        <w:t>(8), 840–847.</w:t>
      </w:r>
      <w:r w:rsidRPr="003B6BE9">
        <w:rPr>
          <w:lang w:val="en-US"/>
        </w:rPr>
        <w:t xml:space="preserve"> </w:t>
      </w:r>
    </w:p>
    <w:p w14:paraId="74896E06" w14:textId="77777777" w:rsidR="00AA5A29" w:rsidRPr="003B6BE9" w:rsidRDefault="00AA5A29" w:rsidP="00AA5A29">
      <w:pPr>
        <w:pStyle w:val="references"/>
        <w:rPr>
          <w:lang w:val="en-US"/>
        </w:rPr>
      </w:pPr>
      <w:r w:rsidRPr="003B6BE9">
        <w:rPr>
          <w:shd w:val="clear" w:color="auto" w:fill="FFFFFF"/>
          <w:lang w:val="en-US"/>
        </w:rPr>
        <w:t xml:space="preserve">Tas, A., Yagiz, R., Tas, M., Esme, M., Uzun, C., &amp; Karasalihoglu, A. R. (2007). Evaluation of hearing in children with autism by using TEOAE and ABR. </w:t>
      </w:r>
      <w:r w:rsidRPr="003B6BE9">
        <w:rPr>
          <w:i/>
          <w:iCs/>
          <w:lang w:val="en-US"/>
        </w:rPr>
        <w:t>Autism</w:t>
      </w:r>
      <w:r w:rsidRPr="003B6BE9">
        <w:rPr>
          <w:shd w:val="clear" w:color="auto" w:fill="FFFFFF"/>
          <w:lang w:val="en-US"/>
        </w:rPr>
        <w:t xml:space="preserve">, </w:t>
      </w:r>
      <w:r w:rsidRPr="003B6BE9">
        <w:rPr>
          <w:i/>
          <w:iCs/>
          <w:lang w:val="en-US"/>
        </w:rPr>
        <w:t>11</w:t>
      </w:r>
      <w:r w:rsidRPr="003B6BE9">
        <w:rPr>
          <w:shd w:val="clear" w:color="auto" w:fill="FFFFFF"/>
          <w:lang w:val="en-US"/>
        </w:rPr>
        <w:t>(1), 73–79.</w:t>
      </w:r>
      <w:r w:rsidRPr="003B6BE9">
        <w:rPr>
          <w:lang w:val="en-US"/>
        </w:rPr>
        <w:t xml:space="preserve"> </w:t>
      </w:r>
    </w:p>
    <w:p w14:paraId="07FEE6A1" w14:textId="77777777" w:rsidR="00AA5A29" w:rsidRDefault="00AA5A29" w:rsidP="00AA5A29">
      <w:pPr>
        <w:pStyle w:val="references"/>
        <w:rPr>
          <w:lang w:val="en-US"/>
        </w:rPr>
      </w:pPr>
      <w:r w:rsidRPr="003B6BE9">
        <w:rPr>
          <w:shd w:val="clear" w:color="auto" w:fill="FFFFFF"/>
          <w:lang w:val="en-US"/>
        </w:rPr>
        <w:t xml:space="preserve">Tharpe, A. M., Bess, F. H., Sladen, D. P., Schissel, H., Couch, S., &amp; Schery, T. (2006). Auditory characteristics of children with autism. </w:t>
      </w:r>
      <w:r w:rsidRPr="003B6BE9">
        <w:rPr>
          <w:i/>
          <w:iCs/>
          <w:lang w:val="en-US"/>
        </w:rPr>
        <w:t>Ear and Hearing</w:t>
      </w:r>
      <w:r w:rsidRPr="003B6BE9">
        <w:rPr>
          <w:shd w:val="clear" w:color="auto" w:fill="FFFFFF"/>
          <w:lang w:val="en-US"/>
        </w:rPr>
        <w:t xml:space="preserve">, </w:t>
      </w:r>
      <w:r w:rsidRPr="003B6BE9">
        <w:rPr>
          <w:i/>
          <w:iCs/>
          <w:lang w:val="en-US"/>
        </w:rPr>
        <w:t>27</w:t>
      </w:r>
      <w:r w:rsidRPr="003B6BE9">
        <w:rPr>
          <w:shd w:val="clear" w:color="auto" w:fill="FFFFFF"/>
          <w:lang w:val="en-US"/>
        </w:rPr>
        <w:t>(4), 430–441.</w:t>
      </w:r>
      <w:r w:rsidRPr="003B6BE9">
        <w:rPr>
          <w:lang w:val="en-US"/>
        </w:rPr>
        <w:t xml:space="preserve"> </w:t>
      </w:r>
    </w:p>
    <w:p w14:paraId="64D17966" w14:textId="77777777" w:rsidR="00BB0D19" w:rsidRPr="009D2D19" w:rsidRDefault="00BB0D19" w:rsidP="00BB0D19">
      <w:pPr>
        <w:rPr>
          <w:rFonts w:eastAsia="Times New Roman"/>
          <w:lang w:val="sv-SE"/>
        </w:rPr>
      </w:pPr>
      <w:r>
        <w:rPr>
          <w:rFonts w:ascii="Arial" w:eastAsia="Times New Roman" w:hAnsi="Arial" w:cs="Arial"/>
          <w:color w:val="222222"/>
          <w:sz w:val="20"/>
          <w:szCs w:val="20"/>
          <w:shd w:val="clear" w:color="auto" w:fill="FFFFFF"/>
        </w:rPr>
        <w:t>Thomas, R., Sanders, S., Doust, J., Beller, E., &amp; Glasziou, P. (2015). Prevalence of attention-deficit/hyperactivity disorder: a systematic review and meta-analysis.</w:t>
      </w:r>
      <w:r>
        <w:rPr>
          <w:rStyle w:val="apple-converted-space"/>
          <w:rFonts w:ascii="Arial" w:eastAsia="Times New Roman" w:hAnsi="Arial" w:cs="Arial"/>
          <w:color w:val="222222"/>
          <w:sz w:val="20"/>
          <w:szCs w:val="20"/>
          <w:shd w:val="clear" w:color="auto" w:fill="FFFFFF"/>
        </w:rPr>
        <w:t> </w:t>
      </w:r>
      <w:r w:rsidRPr="009D2D19">
        <w:rPr>
          <w:rFonts w:ascii="Arial" w:eastAsia="Times New Roman" w:hAnsi="Arial" w:cs="Arial"/>
          <w:i/>
          <w:iCs/>
          <w:color w:val="222222"/>
          <w:sz w:val="20"/>
          <w:szCs w:val="20"/>
          <w:lang w:val="sv-SE"/>
        </w:rPr>
        <w:t>Pediatrics</w:t>
      </w:r>
      <w:r w:rsidRPr="009D2D19">
        <w:rPr>
          <w:rFonts w:ascii="Arial" w:eastAsia="Times New Roman" w:hAnsi="Arial" w:cs="Arial"/>
          <w:color w:val="222222"/>
          <w:sz w:val="20"/>
          <w:szCs w:val="20"/>
          <w:shd w:val="clear" w:color="auto" w:fill="FFFFFF"/>
          <w:lang w:val="sv-SE"/>
        </w:rPr>
        <w:t>,</w:t>
      </w:r>
      <w:r w:rsidRPr="009D2D19">
        <w:rPr>
          <w:rStyle w:val="apple-converted-space"/>
          <w:rFonts w:ascii="Arial" w:eastAsia="Times New Roman" w:hAnsi="Arial" w:cs="Arial"/>
          <w:color w:val="222222"/>
          <w:sz w:val="20"/>
          <w:szCs w:val="20"/>
          <w:shd w:val="clear" w:color="auto" w:fill="FFFFFF"/>
          <w:lang w:val="sv-SE"/>
        </w:rPr>
        <w:t> </w:t>
      </w:r>
      <w:r w:rsidRPr="009D2D19">
        <w:rPr>
          <w:rFonts w:ascii="Arial" w:eastAsia="Times New Roman" w:hAnsi="Arial" w:cs="Arial"/>
          <w:i/>
          <w:iCs/>
          <w:color w:val="222222"/>
          <w:sz w:val="20"/>
          <w:szCs w:val="20"/>
          <w:lang w:val="sv-SE"/>
        </w:rPr>
        <w:t>135</w:t>
      </w:r>
      <w:r w:rsidRPr="009D2D19">
        <w:rPr>
          <w:rFonts w:ascii="Arial" w:eastAsia="Times New Roman" w:hAnsi="Arial" w:cs="Arial"/>
          <w:color w:val="222222"/>
          <w:sz w:val="20"/>
          <w:szCs w:val="20"/>
          <w:shd w:val="clear" w:color="auto" w:fill="FFFFFF"/>
          <w:lang w:val="sv-SE"/>
        </w:rPr>
        <w:t>(4), e994-e1001.</w:t>
      </w:r>
    </w:p>
    <w:p w14:paraId="3B00DC9C" w14:textId="77777777" w:rsidR="00BB0D19" w:rsidRPr="009D2D19" w:rsidRDefault="00BB0D19" w:rsidP="00AA5A29">
      <w:pPr>
        <w:pStyle w:val="references"/>
      </w:pPr>
    </w:p>
    <w:p w14:paraId="7D70CDF2" w14:textId="77777777" w:rsidR="00AA5A29" w:rsidRPr="003B6BE9" w:rsidRDefault="00AA5A29" w:rsidP="00AA5A29">
      <w:pPr>
        <w:pStyle w:val="references"/>
        <w:rPr>
          <w:lang w:val="en-US"/>
        </w:rPr>
      </w:pPr>
      <w:r w:rsidRPr="009D2D19">
        <w:rPr>
          <w:shd w:val="clear" w:color="auto" w:fill="FFFFFF"/>
        </w:rPr>
        <w:t xml:space="preserve">Torgersen, J., Flaatten, H., Engelsen, B. A., &amp; Gramstad, A. (2012). </w:t>
      </w:r>
      <w:r w:rsidRPr="003B6BE9">
        <w:rPr>
          <w:shd w:val="clear" w:color="auto" w:fill="FFFFFF"/>
          <w:lang w:val="en-US"/>
        </w:rPr>
        <w:t xml:space="preserve">Clinical validation of Cambridge neuropsychological test automated battery in a Norwegian epilepsy population. </w:t>
      </w:r>
      <w:r w:rsidRPr="003B6BE9">
        <w:rPr>
          <w:i/>
          <w:iCs/>
          <w:lang w:val="en-US"/>
        </w:rPr>
        <w:t>Journal of Behavioral and Brain Science</w:t>
      </w:r>
      <w:r w:rsidRPr="003B6BE9">
        <w:rPr>
          <w:shd w:val="clear" w:color="auto" w:fill="FFFFFF"/>
          <w:lang w:val="en-US"/>
        </w:rPr>
        <w:t xml:space="preserve">, </w:t>
      </w:r>
      <w:r w:rsidRPr="003B6BE9">
        <w:rPr>
          <w:i/>
          <w:iCs/>
          <w:lang w:val="en-US"/>
        </w:rPr>
        <w:t>2</w:t>
      </w:r>
      <w:r w:rsidRPr="003B6BE9">
        <w:rPr>
          <w:shd w:val="clear" w:color="auto" w:fill="FFFFFF"/>
          <w:lang w:val="en-US"/>
        </w:rPr>
        <w:t>(1), 108.</w:t>
      </w:r>
      <w:r w:rsidRPr="003B6BE9">
        <w:rPr>
          <w:lang w:val="en-US"/>
        </w:rPr>
        <w:t xml:space="preserve"> </w:t>
      </w:r>
    </w:p>
    <w:p w14:paraId="0338623D" w14:textId="77777777" w:rsidR="00AA5A29" w:rsidRPr="003B6BE9" w:rsidRDefault="00AA5A29" w:rsidP="00AA5A29">
      <w:pPr>
        <w:pStyle w:val="references"/>
        <w:rPr>
          <w:lang w:val="en-US"/>
        </w:rPr>
      </w:pPr>
      <w:r w:rsidRPr="003B6BE9">
        <w:rPr>
          <w:shd w:val="clear" w:color="auto" w:fill="FFFFFF"/>
          <w:lang w:val="en-US"/>
        </w:rPr>
        <w:lastRenderedPageBreak/>
        <w:t xml:space="preserve">Trillingsgaard, A., Damm, D., Sommer, S., Jepsen, J. R. M., Østergaard, O., Frydenberg, M., &amp; Thomsen, P. H. (2004). Developmental profiles on the basis of the FTF (Five to Fifteen) questionnaire. </w:t>
      </w:r>
      <w:r w:rsidRPr="003B6BE9">
        <w:rPr>
          <w:i/>
          <w:iCs/>
          <w:lang w:val="en-US"/>
        </w:rPr>
        <w:t>European Child &amp; Adolescent Psychiatry</w:t>
      </w:r>
      <w:r w:rsidRPr="003B6BE9">
        <w:rPr>
          <w:shd w:val="clear" w:color="auto" w:fill="FFFFFF"/>
          <w:lang w:val="en-US"/>
        </w:rPr>
        <w:t xml:space="preserve">, </w:t>
      </w:r>
      <w:r w:rsidRPr="003B6BE9">
        <w:rPr>
          <w:i/>
          <w:iCs/>
          <w:lang w:val="en-US"/>
        </w:rPr>
        <w:t>13</w:t>
      </w:r>
      <w:r w:rsidRPr="003B6BE9">
        <w:rPr>
          <w:shd w:val="clear" w:color="auto" w:fill="FFFFFF"/>
          <w:lang w:val="en-US"/>
        </w:rPr>
        <w:t>, iii39–iii49.</w:t>
      </w:r>
      <w:r w:rsidRPr="003B6BE9">
        <w:rPr>
          <w:lang w:val="en-US"/>
        </w:rPr>
        <w:t xml:space="preserve"> </w:t>
      </w:r>
    </w:p>
    <w:p w14:paraId="76B13F79" w14:textId="77777777" w:rsidR="00AA5A29" w:rsidRPr="003B6BE9" w:rsidRDefault="00AA5A29" w:rsidP="00AA5A29">
      <w:pPr>
        <w:pStyle w:val="references"/>
        <w:rPr>
          <w:lang w:val="en-US"/>
        </w:rPr>
      </w:pPr>
      <w:r w:rsidRPr="003B6BE9">
        <w:rPr>
          <w:shd w:val="clear" w:color="auto" w:fill="FFFFFF"/>
          <w:lang w:val="en-US"/>
        </w:rPr>
        <w:t xml:space="preserve">Turner, D. C., Blackwell, A. D., Dowson, J. H., McLean, A., &amp; Sahakian, B. J. (2005). Neurocognitive effects of methylphenidate in adult attention-deficit/hyperactivity disorder. </w:t>
      </w:r>
      <w:r w:rsidRPr="003B6BE9">
        <w:rPr>
          <w:i/>
          <w:iCs/>
          <w:lang w:val="en-US"/>
        </w:rPr>
        <w:t>Psychopharmacology</w:t>
      </w:r>
      <w:r w:rsidRPr="003B6BE9">
        <w:rPr>
          <w:shd w:val="clear" w:color="auto" w:fill="FFFFFF"/>
          <w:lang w:val="en-US"/>
        </w:rPr>
        <w:t xml:space="preserve">, </w:t>
      </w:r>
      <w:r w:rsidRPr="003B6BE9">
        <w:rPr>
          <w:i/>
          <w:iCs/>
          <w:lang w:val="en-US"/>
        </w:rPr>
        <w:t>178</w:t>
      </w:r>
      <w:r w:rsidRPr="003B6BE9">
        <w:rPr>
          <w:shd w:val="clear" w:color="auto" w:fill="FFFFFF"/>
          <w:lang w:val="en-US"/>
        </w:rPr>
        <w:t>(2–3), 286–295.</w:t>
      </w:r>
      <w:r w:rsidRPr="003B6BE9">
        <w:rPr>
          <w:lang w:val="en-US"/>
        </w:rPr>
        <w:t xml:space="preserve"> </w:t>
      </w:r>
    </w:p>
    <w:p w14:paraId="1DF1578C" w14:textId="77777777" w:rsidR="00AA5A29" w:rsidRPr="003B6BE9" w:rsidRDefault="00AA5A29" w:rsidP="00AA5A29">
      <w:pPr>
        <w:pStyle w:val="references"/>
        <w:rPr>
          <w:color w:val="000000"/>
          <w:lang w:val="en-US"/>
        </w:rPr>
      </w:pPr>
      <w:r w:rsidRPr="003B6BE9">
        <w:rPr>
          <w:color w:val="000000"/>
          <w:lang w:val="en-US"/>
        </w:rPr>
        <w:t xml:space="preserve">Undurraga, J., Haywood, N. R., Marquardt, T. &amp; McAlpine, D. (2016). Neural Representation of interaural time differences in humans: An objective measure that matches behavioural performance. </w:t>
      </w:r>
      <w:r w:rsidRPr="003B6BE9">
        <w:rPr>
          <w:i/>
          <w:color w:val="000000"/>
          <w:lang w:val="en-US"/>
        </w:rPr>
        <w:t>Journal of the Association for Research in Otolaryngology</w:t>
      </w:r>
      <w:r w:rsidRPr="003B6BE9">
        <w:rPr>
          <w:color w:val="000000"/>
          <w:lang w:val="en-US"/>
        </w:rPr>
        <w:t>,</w:t>
      </w:r>
      <w:r w:rsidRPr="003B6BE9">
        <w:rPr>
          <w:i/>
          <w:color w:val="000000"/>
          <w:lang w:val="en-US"/>
        </w:rPr>
        <w:t xml:space="preserve"> 17</w:t>
      </w:r>
      <w:r w:rsidRPr="003B6BE9">
        <w:rPr>
          <w:color w:val="000000"/>
          <w:lang w:val="en-US"/>
        </w:rPr>
        <w:t xml:space="preserve">(6), 591–607. </w:t>
      </w:r>
    </w:p>
    <w:p w14:paraId="13B9222D" w14:textId="77777777" w:rsidR="00AA5A29" w:rsidRPr="003B6BE9" w:rsidRDefault="00AA5A29" w:rsidP="00AA5A29">
      <w:pPr>
        <w:pStyle w:val="references"/>
        <w:rPr>
          <w:lang w:val="en-US"/>
        </w:rPr>
      </w:pPr>
      <w:r w:rsidRPr="003B6BE9">
        <w:rPr>
          <w:shd w:val="clear" w:color="auto" w:fill="FFFFFF"/>
          <w:lang w:val="en-US"/>
        </w:rPr>
        <w:t xml:space="preserve">Van Wijngaarden-Cremers, P. J., van Eeten, E., Groen, W. B., Van Deurzen, P. A., Oosterling, I. J., &amp; Van der Gaag, R. J. (2014). Gender and age differences in the core triad of impairments in autism spectrum disorders: A systematic review and meta-analysis. </w:t>
      </w:r>
      <w:r w:rsidRPr="003B6BE9">
        <w:rPr>
          <w:i/>
          <w:iCs/>
          <w:lang w:val="en-US"/>
        </w:rPr>
        <w:t>Journal of Autism and Developmental Disorders</w:t>
      </w:r>
      <w:r w:rsidRPr="003B6BE9">
        <w:rPr>
          <w:shd w:val="clear" w:color="auto" w:fill="FFFFFF"/>
          <w:lang w:val="en-US"/>
        </w:rPr>
        <w:t xml:space="preserve">, </w:t>
      </w:r>
      <w:r w:rsidRPr="003B6BE9">
        <w:rPr>
          <w:i/>
          <w:iCs/>
          <w:lang w:val="en-US"/>
        </w:rPr>
        <w:t>44</w:t>
      </w:r>
      <w:r w:rsidRPr="003B6BE9">
        <w:rPr>
          <w:shd w:val="clear" w:color="auto" w:fill="FFFFFF"/>
          <w:lang w:val="en-US"/>
        </w:rPr>
        <w:t>(3), 627–635.</w:t>
      </w:r>
      <w:r w:rsidRPr="003B6BE9">
        <w:rPr>
          <w:lang w:val="en-US"/>
        </w:rPr>
        <w:t xml:space="preserve"> </w:t>
      </w:r>
    </w:p>
    <w:p w14:paraId="606EE1AC" w14:textId="77777777" w:rsidR="00AA5A29" w:rsidRPr="003B6BE9" w:rsidRDefault="00AA5A29" w:rsidP="00AA5A29">
      <w:pPr>
        <w:pStyle w:val="references"/>
        <w:rPr>
          <w:lang w:val="en-US"/>
        </w:rPr>
      </w:pPr>
      <w:r w:rsidRPr="003B6BE9">
        <w:rPr>
          <w:shd w:val="clear" w:color="auto" w:fill="FFFFFF"/>
          <w:lang w:val="en-US"/>
        </w:rPr>
        <w:t xml:space="preserve">Vaney, N., Anjana, Y., &amp; Khaliq, F. (2011). No auditory conduction abnormality in children with attention deficit hyperactivity disorder. </w:t>
      </w:r>
      <w:r w:rsidRPr="003B6BE9">
        <w:rPr>
          <w:i/>
          <w:iCs/>
          <w:lang w:val="en-US"/>
        </w:rPr>
        <w:t>Functional Neurology</w:t>
      </w:r>
      <w:r w:rsidRPr="003B6BE9">
        <w:rPr>
          <w:shd w:val="clear" w:color="auto" w:fill="FFFFFF"/>
          <w:lang w:val="en-US"/>
        </w:rPr>
        <w:t xml:space="preserve">, </w:t>
      </w:r>
      <w:r w:rsidRPr="003B6BE9">
        <w:rPr>
          <w:i/>
          <w:iCs/>
          <w:lang w:val="en-US"/>
        </w:rPr>
        <w:t>26</w:t>
      </w:r>
      <w:r w:rsidRPr="003B6BE9">
        <w:rPr>
          <w:shd w:val="clear" w:color="auto" w:fill="FFFFFF"/>
          <w:lang w:val="en-US"/>
        </w:rPr>
        <w:t>(3), 159.</w:t>
      </w:r>
      <w:r w:rsidRPr="003B6BE9">
        <w:rPr>
          <w:lang w:val="en-US"/>
        </w:rPr>
        <w:t xml:space="preserve"> </w:t>
      </w:r>
    </w:p>
    <w:p w14:paraId="2671A64D" w14:textId="77777777" w:rsidR="00AA5A29" w:rsidRPr="003B6BE9" w:rsidRDefault="00AA5A29" w:rsidP="00AA5A29">
      <w:pPr>
        <w:pStyle w:val="references"/>
        <w:rPr>
          <w:lang w:val="en-US"/>
        </w:rPr>
      </w:pPr>
      <w:r w:rsidRPr="003B6BE9">
        <w:rPr>
          <w:shd w:val="clear" w:color="auto" w:fill="FFFFFF"/>
          <w:lang w:val="en-US"/>
        </w:rPr>
        <w:t>Villemonteix, T., De Brito, S. A., Kavec, M., Balériaux, D., Metens, T., Slama, H., ... Mas</w:t>
      </w:r>
      <w:r w:rsidRPr="003B6BE9">
        <w:rPr>
          <w:shd w:val="clear" w:color="auto" w:fill="FFFFFF"/>
          <w:lang w:val="en-US"/>
        </w:rPr>
        <w:tab/>
        <w:t xml:space="preserve">, I. (2015). Grey matter volumes in treatment naïve vs. chronically treated children with attention deficit/hyperactivity disorder: A combined approach. </w:t>
      </w:r>
      <w:r w:rsidRPr="003B6BE9">
        <w:rPr>
          <w:i/>
          <w:iCs/>
          <w:lang w:val="en-US"/>
        </w:rPr>
        <w:t>European Neuropsychopharmacology</w:t>
      </w:r>
      <w:r w:rsidRPr="003B6BE9">
        <w:rPr>
          <w:shd w:val="clear" w:color="auto" w:fill="FFFFFF"/>
          <w:lang w:val="en-US"/>
        </w:rPr>
        <w:t xml:space="preserve">, </w:t>
      </w:r>
      <w:r w:rsidRPr="003B6BE9">
        <w:rPr>
          <w:i/>
          <w:iCs/>
          <w:lang w:val="en-US"/>
        </w:rPr>
        <w:t>25</w:t>
      </w:r>
      <w:r w:rsidRPr="003B6BE9">
        <w:rPr>
          <w:shd w:val="clear" w:color="auto" w:fill="FFFFFF"/>
          <w:lang w:val="en-US"/>
        </w:rPr>
        <w:t>(8), 1118–1127.</w:t>
      </w:r>
      <w:r w:rsidRPr="003B6BE9">
        <w:rPr>
          <w:lang w:val="en-US"/>
        </w:rPr>
        <w:t xml:space="preserve"> </w:t>
      </w:r>
    </w:p>
    <w:p w14:paraId="7E13DD51" w14:textId="77777777" w:rsidR="00AA5A29" w:rsidRPr="003B6BE9" w:rsidRDefault="00AA5A29" w:rsidP="00AA5A29">
      <w:pPr>
        <w:pStyle w:val="references"/>
        <w:rPr>
          <w:lang w:val="en-US"/>
        </w:rPr>
      </w:pPr>
      <w:r w:rsidRPr="003B6BE9">
        <w:rPr>
          <w:shd w:val="clear" w:color="auto" w:fill="FFFFFF"/>
          <w:lang w:val="en-US"/>
        </w:rPr>
        <w:t xml:space="preserve">Vissers, L. E., Gilissen, C., &amp; Veltman, J. A. (2016). Genetic studies in intellectual disability and related disorders. </w:t>
      </w:r>
      <w:r w:rsidRPr="003B6BE9">
        <w:rPr>
          <w:i/>
          <w:iCs/>
          <w:lang w:val="en-US"/>
        </w:rPr>
        <w:t>Nature Reviews: Genetics</w:t>
      </w:r>
      <w:r w:rsidRPr="003B6BE9">
        <w:rPr>
          <w:shd w:val="clear" w:color="auto" w:fill="FFFFFF"/>
          <w:lang w:val="en-US"/>
        </w:rPr>
        <w:t xml:space="preserve">, </w:t>
      </w:r>
      <w:r w:rsidRPr="003B6BE9">
        <w:rPr>
          <w:i/>
          <w:iCs/>
          <w:lang w:val="en-US"/>
        </w:rPr>
        <w:t>17</w:t>
      </w:r>
      <w:r w:rsidRPr="003B6BE9">
        <w:rPr>
          <w:shd w:val="clear" w:color="auto" w:fill="FFFFFF"/>
          <w:lang w:val="en-US"/>
        </w:rPr>
        <w:t>(1), 9–18.</w:t>
      </w:r>
      <w:r w:rsidRPr="003B6BE9">
        <w:rPr>
          <w:lang w:val="en-US"/>
        </w:rPr>
        <w:t xml:space="preserve"> </w:t>
      </w:r>
    </w:p>
    <w:p w14:paraId="35E75484" w14:textId="77777777" w:rsidR="00AA5A29" w:rsidRPr="003B6BE9" w:rsidRDefault="00AA5A29" w:rsidP="00AA5A29">
      <w:pPr>
        <w:pStyle w:val="references"/>
        <w:rPr>
          <w:lang w:val="en-US"/>
        </w:rPr>
      </w:pPr>
      <w:r w:rsidRPr="003B6BE9">
        <w:rPr>
          <w:shd w:val="clear" w:color="auto" w:fill="FFFFFF"/>
          <w:lang w:val="en-US"/>
        </w:rPr>
        <w:t xml:space="preserve">Volkmar, F., Rogers, S., Paul, R., &amp; Pelphrey, K. A. (Eds.). (2014). </w:t>
      </w:r>
      <w:r w:rsidRPr="003B6BE9">
        <w:rPr>
          <w:i/>
          <w:shd w:val="clear" w:color="auto" w:fill="FFFFFF"/>
          <w:lang w:val="en-US"/>
        </w:rPr>
        <w:t xml:space="preserve">Handbook of autism and pervasive developmental disorders </w:t>
      </w:r>
      <w:r w:rsidRPr="003B6BE9">
        <w:rPr>
          <w:shd w:val="clear" w:color="auto" w:fill="FFFFFF"/>
          <w:lang w:val="en-US"/>
        </w:rPr>
        <w:t xml:space="preserve">(Vols. 1–2, 4th ed.). </w:t>
      </w:r>
      <w:commentRangeStart w:id="94"/>
      <w:r w:rsidRPr="003B6BE9">
        <w:rPr>
          <w:shd w:val="clear" w:color="auto" w:fill="FFFFFF"/>
          <w:lang w:val="en-US"/>
        </w:rPr>
        <w:t>Wiley</w:t>
      </w:r>
      <w:commentRangeEnd w:id="94"/>
      <w:r w:rsidRPr="003B6BE9">
        <w:rPr>
          <w:rStyle w:val="CommentReference"/>
          <w:rFonts w:cstheme="minorBidi"/>
          <w:lang w:eastAsia="en-US"/>
        </w:rPr>
        <w:commentReference w:id="94"/>
      </w:r>
      <w:r w:rsidRPr="003B6BE9">
        <w:rPr>
          <w:shd w:val="clear" w:color="auto" w:fill="FFFFFF"/>
          <w:lang w:val="en-US"/>
        </w:rPr>
        <w:t>.</w:t>
      </w:r>
      <w:r w:rsidRPr="003B6BE9">
        <w:rPr>
          <w:lang w:val="en-US"/>
        </w:rPr>
        <w:t xml:space="preserve"> </w:t>
      </w:r>
    </w:p>
    <w:p w14:paraId="155FD09F" w14:textId="77777777" w:rsidR="00AA5A29" w:rsidRPr="003B6BE9" w:rsidRDefault="00AA5A29" w:rsidP="00AA5A29">
      <w:pPr>
        <w:pStyle w:val="references"/>
        <w:rPr>
          <w:lang w:val="en-US"/>
        </w:rPr>
      </w:pPr>
      <w:r w:rsidRPr="003B6BE9">
        <w:rPr>
          <w:lang w:val="en-US"/>
        </w:rPr>
        <w:t>Waterhouse, L., London, E., &amp; Gillberg, C. (2016). ASD validity.</w:t>
      </w:r>
      <w:r w:rsidRPr="003B6BE9">
        <w:rPr>
          <w:i/>
          <w:lang w:val="en-US"/>
        </w:rPr>
        <w:t xml:space="preserve"> Review Journal of Autism and Developmental Disorders</w:t>
      </w:r>
      <w:r w:rsidRPr="003B6BE9">
        <w:rPr>
          <w:lang w:val="en-US"/>
        </w:rPr>
        <w:t>,</w:t>
      </w:r>
      <w:r w:rsidRPr="003B6BE9">
        <w:rPr>
          <w:i/>
          <w:lang w:val="en-US"/>
        </w:rPr>
        <w:t xml:space="preserve"> </w:t>
      </w:r>
      <w:r w:rsidRPr="003B6BE9">
        <w:rPr>
          <w:lang w:val="en-US"/>
        </w:rPr>
        <w:t xml:space="preserve">3(4), 302–329. </w:t>
      </w:r>
    </w:p>
    <w:p w14:paraId="171E3D1F" w14:textId="77777777" w:rsidR="00AA5A29" w:rsidRPr="003B6BE9" w:rsidRDefault="00AA5A29" w:rsidP="00AA5A29">
      <w:pPr>
        <w:pStyle w:val="references"/>
        <w:rPr>
          <w:lang w:val="en-US"/>
        </w:rPr>
      </w:pPr>
      <w:r w:rsidRPr="003B6BE9">
        <w:rPr>
          <w:shd w:val="clear" w:color="auto" w:fill="FFFFFF"/>
          <w:lang w:val="en-US"/>
        </w:rPr>
        <w:t xml:space="preserve">Wechsler, D. (2003). </w:t>
      </w:r>
      <w:r w:rsidRPr="003B6BE9">
        <w:rPr>
          <w:i/>
          <w:shd w:val="clear" w:color="auto" w:fill="FFFFFF"/>
          <w:lang w:val="en-US"/>
        </w:rPr>
        <w:t>Wechsler Intelligence Scale for Children–Fourth Edition (WISC-IV)</w:t>
      </w:r>
      <w:r w:rsidRPr="003B6BE9">
        <w:rPr>
          <w:shd w:val="clear" w:color="auto" w:fill="FFFFFF"/>
          <w:lang w:val="en-US"/>
        </w:rPr>
        <w:t xml:space="preserve">. </w:t>
      </w:r>
      <w:r w:rsidRPr="003B6BE9">
        <w:rPr>
          <w:iCs/>
          <w:lang w:val="en-US"/>
        </w:rPr>
        <w:t>San Antonio, TX: The Psychological Corporation</w:t>
      </w:r>
      <w:r w:rsidRPr="003B6BE9">
        <w:rPr>
          <w:shd w:val="clear" w:color="auto" w:fill="FFFFFF"/>
          <w:lang w:val="en-US"/>
        </w:rPr>
        <w:t>.</w:t>
      </w:r>
      <w:r w:rsidRPr="003B6BE9">
        <w:rPr>
          <w:lang w:val="en-US"/>
        </w:rPr>
        <w:t xml:space="preserve"> </w:t>
      </w:r>
    </w:p>
    <w:p w14:paraId="01699488" w14:textId="77777777" w:rsidR="00AA5A29" w:rsidRPr="003B6BE9" w:rsidRDefault="00AA5A29" w:rsidP="00AA5A29">
      <w:pPr>
        <w:pStyle w:val="references"/>
        <w:rPr>
          <w:shd w:val="clear" w:color="auto" w:fill="FFFFFF"/>
          <w:lang w:val="en-US"/>
        </w:rPr>
      </w:pPr>
      <w:r w:rsidRPr="003B6BE9">
        <w:rPr>
          <w:shd w:val="clear" w:color="auto" w:fill="FFFFFF"/>
          <w:lang w:val="en-US"/>
        </w:rPr>
        <w:t xml:space="preserve">Wechsler, D. (2008). </w:t>
      </w:r>
      <w:r w:rsidRPr="003B6BE9">
        <w:rPr>
          <w:i/>
          <w:shd w:val="clear" w:color="auto" w:fill="FFFFFF"/>
          <w:lang w:val="en-US"/>
        </w:rPr>
        <w:t>Wechsler Adult Intelligence Scale–Fourth edition (WAIS-IV), Australian and New Zealand Language Adaptation</w:t>
      </w:r>
      <w:r w:rsidRPr="003B6BE9">
        <w:rPr>
          <w:shd w:val="clear" w:color="auto" w:fill="FFFFFF"/>
          <w:lang w:val="en-US"/>
        </w:rPr>
        <w:t xml:space="preserve">. </w:t>
      </w:r>
      <w:r w:rsidRPr="003B6BE9">
        <w:rPr>
          <w:iCs/>
          <w:lang w:val="en-US"/>
        </w:rPr>
        <w:t>San Antonio, TX: NCS Pearson</w:t>
      </w:r>
      <w:r w:rsidRPr="003B6BE9">
        <w:rPr>
          <w:shd w:val="clear" w:color="auto" w:fill="FFFFFF"/>
          <w:lang w:val="en-US"/>
        </w:rPr>
        <w:t xml:space="preserve">. </w:t>
      </w:r>
    </w:p>
    <w:p w14:paraId="5B5F503C" w14:textId="77777777" w:rsidR="00AA5A29" w:rsidRPr="003B6BE9" w:rsidRDefault="00AA5A29" w:rsidP="00AA5A29">
      <w:pPr>
        <w:pStyle w:val="references"/>
        <w:rPr>
          <w:lang w:val="en-US"/>
        </w:rPr>
      </w:pPr>
      <w:r w:rsidRPr="003B6BE9">
        <w:rPr>
          <w:shd w:val="clear" w:color="auto" w:fill="FFFFFF"/>
          <w:lang w:val="en-US"/>
        </w:rPr>
        <w:t>Wells, M. F., Wimmer, R. D., Schmitt, L. I., Feng, G., &amp; Halassa, M. M. (2016). Thalamic reticular impairment underlies attention deficit in Ptchd1Y/− mice.</w:t>
      </w:r>
      <w:r w:rsidRPr="003B6BE9">
        <w:rPr>
          <w:rStyle w:val="apple-converted-space"/>
          <w:color w:val="222222"/>
          <w:sz w:val="28"/>
          <w:szCs w:val="28"/>
          <w:shd w:val="clear" w:color="auto" w:fill="FFFFFF"/>
          <w:lang w:val="en-US"/>
        </w:rPr>
        <w:t xml:space="preserve"> </w:t>
      </w:r>
      <w:r w:rsidRPr="003B6BE9">
        <w:rPr>
          <w:i/>
          <w:iCs/>
          <w:lang w:val="en-US"/>
        </w:rPr>
        <w:t>Nature</w:t>
      </w:r>
      <w:r w:rsidRPr="003B6BE9">
        <w:rPr>
          <w:shd w:val="clear" w:color="auto" w:fill="FFFFFF"/>
          <w:lang w:val="en-US"/>
        </w:rPr>
        <w:t>,</w:t>
      </w:r>
      <w:r w:rsidRPr="003B6BE9">
        <w:rPr>
          <w:rStyle w:val="apple-converted-space"/>
          <w:color w:val="222222"/>
          <w:sz w:val="28"/>
          <w:szCs w:val="28"/>
          <w:shd w:val="clear" w:color="auto" w:fill="FFFFFF"/>
          <w:lang w:val="en-US"/>
        </w:rPr>
        <w:t xml:space="preserve"> </w:t>
      </w:r>
      <w:r w:rsidRPr="003B6BE9">
        <w:rPr>
          <w:i/>
          <w:iCs/>
          <w:lang w:val="en-US"/>
        </w:rPr>
        <w:t>532</w:t>
      </w:r>
      <w:r w:rsidRPr="003B6BE9">
        <w:rPr>
          <w:shd w:val="clear" w:color="auto" w:fill="FFFFFF"/>
          <w:lang w:val="en-US"/>
        </w:rPr>
        <w:t>(7597), 58–63.</w:t>
      </w:r>
      <w:r w:rsidRPr="003B6BE9">
        <w:rPr>
          <w:lang w:val="en-US"/>
        </w:rPr>
        <w:t xml:space="preserve"> </w:t>
      </w:r>
    </w:p>
    <w:p w14:paraId="001FD923" w14:textId="77777777" w:rsidR="00AA5A29" w:rsidRPr="003B6BE9" w:rsidRDefault="00AA5A29" w:rsidP="00AA5A29">
      <w:pPr>
        <w:pStyle w:val="references"/>
        <w:rPr>
          <w:lang w:val="en-US"/>
        </w:rPr>
      </w:pPr>
      <w:r w:rsidRPr="003B6BE9">
        <w:rPr>
          <w:shd w:val="clear" w:color="auto" w:fill="FFFFFF"/>
          <w:lang w:val="en-US"/>
        </w:rPr>
        <w:t xml:space="preserve">Weed, M. R., Taffe, M. A., Polis, I., Roberts, A. C., Robbins, T. W., Koob, G. F., ... Gold, L. H. (1999). Performance norms for a rhesus monkey neuropsychological testing battery: Acquisition and long-term performance. </w:t>
      </w:r>
      <w:r w:rsidRPr="003B6BE9">
        <w:rPr>
          <w:i/>
          <w:iCs/>
          <w:lang w:val="en-US"/>
        </w:rPr>
        <w:t>Cognitive Brain Research</w:t>
      </w:r>
      <w:r w:rsidRPr="003B6BE9">
        <w:rPr>
          <w:shd w:val="clear" w:color="auto" w:fill="FFFFFF"/>
          <w:lang w:val="en-US"/>
        </w:rPr>
        <w:t xml:space="preserve">, </w:t>
      </w:r>
      <w:r w:rsidRPr="003B6BE9">
        <w:rPr>
          <w:i/>
          <w:iCs/>
          <w:lang w:val="en-US"/>
        </w:rPr>
        <w:t>8</w:t>
      </w:r>
      <w:r w:rsidRPr="003B6BE9">
        <w:rPr>
          <w:shd w:val="clear" w:color="auto" w:fill="FFFFFF"/>
          <w:lang w:val="en-US"/>
        </w:rPr>
        <w:t>(3), 185–201.</w:t>
      </w:r>
      <w:r w:rsidRPr="003B6BE9">
        <w:rPr>
          <w:lang w:val="en-US"/>
        </w:rPr>
        <w:t xml:space="preserve"> </w:t>
      </w:r>
    </w:p>
    <w:p w14:paraId="1AD0161A" w14:textId="77777777" w:rsidR="00AA5A29" w:rsidRPr="003B6BE9" w:rsidRDefault="00AA5A29" w:rsidP="00AA5A29">
      <w:pPr>
        <w:pStyle w:val="references"/>
        <w:rPr>
          <w:lang w:val="en-US"/>
        </w:rPr>
      </w:pPr>
      <w:r w:rsidRPr="003B6BE9">
        <w:rPr>
          <w:shd w:val="clear" w:color="auto" w:fill="FFFFFF"/>
          <w:lang w:val="en-US"/>
        </w:rPr>
        <w:lastRenderedPageBreak/>
        <w:t xml:space="preserve">Williams, B. R., Ponesse, J. S., Schachar, R. J., Logan, G. D., &amp; Tannock, R. (1999). Development of inhibitory control across the life span. </w:t>
      </w:r>
      <w:r w:rsidRPr="003B6BE9">
        <w:rPr>
          <w:i/>
          <w:iCs/>
          <w:lang w:val="en-US"/>
        </w:rPr>
        <w:t>Developmental Psychology</w:t>
      </w:r>
      <w:r w:rsidRPr="003B6BE9">
        <w:rPr>
          <w:shd w:val="clear" w:color="auto" w:fill="FFFFFF"/>
          <w:lang w:val="en-US"/>
        </w:rPr>
        <w:t xml:space="preserve">, </w:t>
      </w:r>
      <w:r w:rsidRPr="003B6BE9">
        <w:rPr>
          <w:i/>
          <w:iCs/>
          <w:lang w:val="en-US"/>
        </w:rPr>
        <w:t>35</w:t>
      </w:r>
      <w:r w:rsidRPr="003B6BE9">
        <w:rPr>
          <w:shd w:val="clear" w:color="auto" w:fill="FFFFFF"/>
          <w:lang w:val="en-US"/>
        </w:rPr>
        <w:t>(1), 205.</w:t>
      </w:r>
      <w:r w:rsidRPr="003B6BE9">
        <w:rPr>
          <w:lang w:val="en-US"/>
        </w:rPr>
        <w:t xml:space="preserve"> </w:t>
      </w:r>
    </w:p>
    <w:p w14:paraId="0015DA03" w14:textId="77777777" w:rsidR="00AA5A29" w:rsidRPr="003B6BE9" w:rsidRDefault="00AA5A29" w:rsidP="00AA5A29">
      <w:pPr>
        <w:pStyle w:val="references"/>
        <w:rPr>
          <w:lang w:val="en-US"/>
        </w:rPr>
      </w:pPr>
      <w:r w:rsidRPr="003B6BE9">
        <w:rPr>
          <w:shd w:val="clear" w:color="auto" w:fill="FFFFFF"/>
          <w:lang w:val="en-US"/>
        </w:rPr>
        <w:t xml:space="preserve">Wing, L. (1991). The relationship between Asperger’s syndrome and Kanner’s autism. </w:t>
      </w:r>
      <w:commentRangeStart w:id="95"/>
      <w:r w:rsidRPr="003B6BE9">
        <w:rPr>
          <w:shd w:val="clear" w:color="auto" w:fill="FFFFFF"/>
          <w:lang w:val="en-US"/>
        </w:rPr>
        <w:t xml:space="preserve">In U. Frith (Ed.), </w:t>
      </w:r>
      <w:r w:rsidRPr="003B6BE9">
        <w:rPr>
          <w:i/>
          <w:iCs/>
          <w:lang w:val="en-US"/>
        </w:rPr>
        <w:t>Autism and Asperger Syndrome</w:t>
      </w:r>
      <w:r w:rsidRPr="003B6BE9">
        <w:rPr>
          <w:shd w:val="clear" w:color="auto" w:fill="FFFFFF"/>
          <w:lang w:val="en-US"/>
        </w:rPr>
        <w:t xml:space="preserve"> (pp. 93–121). Cambridge: Cambridge University Press.</w:t>
      </w:r>
      <w:commentRangeEnd w:id="95"/>
      <w:r w:rsidRPr="003B6BE9">
        <w:rPr>
          <w:rStyle w:val="CommentReference"/>
          <w:rFonts w:cstheme="minorBidi"/>
          <w:lang w:eastAsia="en-US"/>
        </w:rPr>
        <w:commentReference w:id="95"/>
      </w:r>
      <w:r w:rsidRPr="003B6BE9">
        <w:rPr>
          <w:lang w:val="en-US"/>
        </w:rPr>
        <w:t xml:space="preserve"> </w:t>
      </w:r>
    </w:p>
    <w:p w14:paraId="0A375C7C" w14:textId="3BECA229" w:rsidR="00AA5A29" w:rsidRPr="003B6BE9" w:rsidRDefault="00AA5A29" w:rsidP="00AA5A29">
      <w:pPr>
        <w:pStyle w:val="references"/>
        <w:rPr>
          <w:shd w:val="clear" w:color="auto" w:fill="FFFFFF"/>
          <w:lang w:val="en-US"/>
        </w:rPr>
      </w:pPr>
      <w:r w:rsidRPr="003B6BE9">
        <w:rPr>
          <w:shd w:val="clear" w:color="auto" w:fill="FFFFFF"/>
          <w:lang w:val="en-US"/>
        </w:rPr>
        <w:t xml:space="preserve">Wing, L. (1997). The history of ideas on autism: Legends, myths and reality. </w:t>
      </w:r>
      <w:r w:rsidRPr="003B6BE9">
        <w:rPr>
          <w:i/>
          <w:iCs/>
          <w:lang w:val="en-US"/>
        </w:rPr>
        <w:t>Autism</w:t>
      </w:r>
      <w:r w:rsidRPr="003B6BE9">
        <w:rPr>
          <w:shd w:val="clear" w:color="auto" w:fill="FFFFFF"/>
          <w:lang w:val="en-US"/>
        </w:rPr>
        <w:t xml:space="preserve">, </w:t>
      </w:r>
      <w:r w:rsidRPr="003B6BE9">
        <w:rPr>
          <w:i/>
          <w:iCs/>
          <w:lang w:val="en-US"/>
        </w:rPr>
        <w:t>1</w:t>
      </w:r>
      <w:r w:rsidRPr="003B6BE9">
        <w:rPr>
          <w:shd w:val="clear" w:color="auto" w:fill="FFFFFF"/>
          <w:lang w:val="en-US"/>
        </w:rPr>
        <w:t>(1), 13–23.</w:t>
      </w:r>
    </w:p>
    <w:p w14:paraId="3AEF8CA0" w14:textId="77777777" w:rsidR="00AA5A29" w:rsidRPr="003B6BE9" w:rsidRDefault="00AA5A29" w:rsidP="00AA5A29">
      <w:pPr>
        <w:pStyle w:val="references"/>
        <w:rPr>
          <w:shd w:val="clear" w:color="auto" w:fill="FFFFFF"/>
          <w:lang w:val="en-US"/>
        </w:rPr>
      </w:pPr>
      <w:r w:rsidRPr="003B6BE9">
        <w:rPr>
          <w:shd w:val="clear" w:color="auto" w:fill="FFFFFF"/>
          <w:lang w:val="en-US"/>
        </w:rPr>
        <w:t xml:space="preserve">Woodbury-Smith, M. R., Robinson, J., Wheelwright, S., &amp; Baron-Cohen, S. (2005). Screening adults for Asperger syndrome using the AQ: A preliminary study of its diagnostic validity in clinical practice. </w:t>
      </w:r>
      <w:r w:rsidRPr="003B6BE9">
        <w:rPr>
          <w:i/>
          <w:iCs/>
          <w:lang w:val="en-US"/>
        </w:rPr>
        <w:t>Journal of Autism and Developmental Disorders</w:t>
      </w:r>
      <w:r w:rsidRPr="003B6BE9">
        <w:rPr>
          <w:shd w:val="clear" w:color="auto" w:fill="FFFFFF"/>
          <w:lang w:val="en-US"/>
        </w:rPr>
        <w:t xml:space="preserve">, </w:t>
      </w:r>
      <w:r w:rsidRPr="003B6BE9">
        <w:rPr>
          <w:i/>
          <w:iCs/>
          <w:lang w:val="en-US"/>
        </w:rPr>
        <w:t>35</w:t>
      </w:r>
      <w:r w:rsidRPr="003B6BE9">
        <w:rPr>
          <w:shd w:val="clear" w:color="auto" w:fill="FFFFFF"/>
          <w:lang w:val="en-US"/>
        </w:rPr>
        <w:t xml:space="preserve">(3), 331–335. </w:t>
      </w:r>
    </w:p>
    <w:p w14:paraId="049759EC" w14:textId="77777777" w:rsidR="00AA5A29" w:rsidRPr="003B6BE9" w:rsidRDefault="00AA5A29" w:rsidP="00AA5A29">
      <w:pPr>
        <w:pStyle w:val="references"/>
        <w:rPr>
          <w:shd w:val="clear" w:color="auto" w:fill="FFFFFF"/>
          <w:lang w:val="en-US"/>
        </w:rPr>
      </w:pPr>
      <w:r w:rsidRPr="003B6BE9">
        <w:rPr>
          <w:shd w:val="clear" w:color="auto" w:fill="FFFFFF"/>
          <w:lang w:val="en-US"/>
        </w:rPr>
        <w:t xml:space="preserve">World Health Organization. (1993). </w:t>
      </w:r>
      <w:r w:rsidRPr="003B6BE9">
        <w:rPr>
          <w:i/>
          <w:iCs/>
          <w:lang w:val="en-US"/>
        </w:rPr>
        <w:t>The ICD-10 classification of mental and behavioural disorders: Diagnostic criteria for research</w:t>
      </w:r>
      <w:r w:rsidRPr="003B6BE9">
        <w:rPr>
          <w:shd w:val="clear" w:color="auto" w:fill="FFFFFF"/>
          <w:lang w:val="en-US"/>
        </w:rPr>
        <w:t xml:space="preserve"> (Vol. 2). Geneva: World Health Organization. </w:t>
      </w:r>
    </w:p>
    <w:p w14:paraId="5C5BBA22" w14:textId="77777777" w:rsidR="00AA5A29" w:rsidRPr="003B6BE9" w:rsidRDefault="00AA5A29" w:rsidP="00AA5A29">
      <w:pPr>
        <w:pStyle w:val="references"/>
        <w:rPr>
          <w:lang w:val="en-US"/>
        </w:rPr>
      </w:pPr>
      <w:r w:rsidRPr="003B6BE9">
        <w:rPr>
          <w:shd w:val="clear" w:color="auto" w:fill="FFFFFF"/>
          <w:lang w:val="en-US"/>
        </w:rPr>
        <w:t xml:space="preserve">Wyciszkiewicz, A., Pawlak, M. A., &amp; Krawiec, K. (2017). Cerebellar Volume in Children With Attention-Deficit Hyperactivity Disorder (ADHD) Replication Study. </w:t>
      </w:r>
      <w:r w:rsidRPr="003B6BE9">
        <w:rPr>
          <w:i/>
          <w:iCs/>
          <w:lang w:val="en-US"/>
        </w:rPr>
        <w:t>Journal of Child Neurology</w:t>
      </w:r>
      <w:r w:rsidRPr="003B6BE9">
        <w:rPr>
          <w:shd w:val="clear" w:color="auto" w:fill="FFFFFF"/>
          <w:lang w:val="en-US"/>
        </w:rPr>
        <w:t xml:space="preserve">, </w:t>
      </w:r>
      <w:r w:rsidRPr="003B6BE9">
        <w:rPr>
          <w:i/>
          <w:iCs/>
          <w:lang w:val="en-US"/>
        </w:rPr>
        <w:t>32</w:t>
      </w:r>
      <w:r w:rsidRPr="003B6BE9">
        <w:rPr>
          <w:shd w:val="clear" w:color="auto" w:fill="FFFFFF"/>
          <w:lang w:val="en-US"/>
        </w:rPr>
        <w:t>(2), 215–221.</w:t>
      </w:r>
      <w:r w:rsidRPr="003B6BE9">
        <w:rPr>
          <w:lang w:val="en-US"/>
        </w:rPr>
        <w:t xml:space="preserve"> </w:t>
      </w:r>
    </w:p>
    <w:p w14:paraId="1EE18632" w14:textId="77777777" w:rsidR="00AA5A29" w:rsidRPr="003B6BE9" w:rsidRDefault="00AA5A29" w:rsidP="00AA5A29">
      <w:pPr>
        <w:pStyle w:val="references"/>
        <w:rPr>
          <w:lang w:val="en-US"/>
        </w:rPr>
      </w:pPr>
      <w:r w:rsidRPr="003B6BE9">
        <w:rPr>
          <w:shd w:val="clear" w:color="auto" w:fill="FFFFFF"/>
          <w:lang w:val="en-US"/>
        </w:rPr>
        <w:t xml:space="preserve">Zang, Y. F., He, Y., Zhu, C. Z., Cao, Q. J., Sui, M. Q., Liang, M., ... Wang, Y. F. (2007). Altered baseline brain activity in children with ADHD revealed by resting-state functional MRI. </w:t>
      </w:r>
      <w:r w:rsidRPr="003B6BE9">
        <w:rPr>
          <w:i/>
          <w:iCs/>
          <w:lang w:val="en-US"/>
        </w:rPr>
        <w:t>Brain &amp; Development</w:t>
      </w:r>
      <w:r w:rsidRPr="003B6BE9">
        <w:rPr>
          <w:shd w:val="clear" w:color="auto" w:fill="FFFFFF"/>
          <w:lang w:val="en-US"/>
        </w:rPr>
        <w:t xml:space="preserve">, </w:t>
      </w:r>
      <w:r w:rsidRPr="003B6BE9">
        <w:rPr>
          <w:i/>
          <w:iCs/>
          <w:lang w:val="en-US"/>
        </w:rPr>
        <w:t>29</w:t>
      </w:r>
      <w:r w:rsidRPr="003B6BE9">
        <w:rPr>
          <w:shd w:val="clear" w:color="auto" w:fill="FFFFFF"/>
          <w:lang w:val="en-US"/>
        </w:rPr>
        <w:t>(2), 83–91.</w:t>
      </w:r>
      <w:r w:rsidRPr="003B6BE9">
        <w:rPr>
          <w:lang w:val="en-US"/>
        </w:rPr>
        <w:t xml:space="preserve"> </w:t>
      </w:r>
    </w:p>
    <w:p w14:paraId="18AFD31C" w14:textId="460091AD" w:rsidR="00AA5A29" w:rsidRPr="003B6BE9" w:rsidRDefault="00AA5A29" w:rsidP="00AA5A29">
      <w:pPr>
        <w:pStyle w:val="references"/>
        <w:rPr>
          <w:lang w:val="en-US"/>
        </w:rPr>
      </w:pPr>
      <w:r w:rsidRPr="003B6BE9">
        <w:rPr>
          <w:shd w:val="clear" w:color="auto" w:fill="FFFFFF"/>
          <w:lang w:val="en-US"/>
        </w:rPr>
        <w:t xml:space="preserve">Zhu, C. Z., Zang, Y. F., Cao, Q. J., Yan, C. G., He, Y., Jiang, T. Z., ... Wang, Y. F. (2008). Fisher discriminative analysis of resting-state brain function for attention-deficit/hyperactivity disorder. </w:t>
      </w:r>
      <w:r w:rsidRPr="003B6BE9">
        <w:rPr>
          <w:i/>
          <w:iCs/>
          <w:lang w:val="en-US"/>
        </w:rPr>
        <w:t>Neuroimage</w:t>
      </w:r>
      <w:r w:rsidRPr="003B6BE9">
        <w:rPr>
          <w:shd w:val="clear" w:color="auto" w:fill="FFFFFF"/>
          <w:lang w:val="en-US"/>
        </w:rPr>
        <w:t xml:space="preserve">, </w:t>
      </w:r>
      <w:r w:rsidRPr="003B6BE9">
        <w:rPr>
          <w:i/>
          <w:iCs/>
          <w:lang w:val="en-US"/>
        </w:rPr>
        <w:t>40</w:t>
      </w:r>
      <w:r w:rsidRPr="003B6BE9">
        <w:rPr>
          <w:shd w:val="clear" w:color="auto" w:fill="FFFFFF"/>
          <w:lang w:val="en-US"/>
        </w:rPr>
        <w:t>(1), 110–120.</w:t>
      </w:r>
      <w:r w:rsidRPr="003B6BE9">
        <w:rPr>
          <w:lang w:val="en-US"/>
        </w:rPr>
        <w:t xml:space="preserve"> </w:t>
      </w:r>
    </w:p>
    <w:p w14:paraId="11ACFBE0" w14:textId="77777777" w:rsidR="00AA5A29" w:rsidRPr="003B6BE9" w:rsidRDefault="00AA5A29" w:rsidP="00AA5A29">
      <w:pPr>
        <w:pStyle w:val="references"/>
        <w:rPr>
          <w:lang w:val="en-US"/>
        </w:rPr>
      </w:pPr>
      <w:r w:rsidRPr="003B6BE9">
        <w:rPr>
          <w:shd w:val="clear" w:color="auto" w:fill="FFFFFF"/>
          <w:lang w:val="en-US"/>
        </w:rPr>
        <w:t xml:space="preserve">Zürcher, N. R., Bhanot, A., McDougle, C. J., &amp; Hooker, J. M. (2015). A systematic review of molecular imaging (PET and SPECT) in autism spectrum disorder: Current state and future research opportunities. </w:t>
      </w:r>
      <w:r w:rsidRPr="003B6BE9">
        <w:rPr>
          <w:i/>
          <w:iCs/>
          <w:lang w:val="en-US"/>
        </w:rPr>
        <w:t>Neuroscience &amp; Biobehavioral Reviews</w:t>
      </w:r>
      <w:r w:rsidRPr="003B6BE9">
        <w:rPr>
          <w:shd w:val="clear" w:color="auto" w:fill="FFFFFF"/>
          <w:lang w:val="en-US"/>
        </w:rPr>
        <w:t xml:space="preserve">, </w:t>
      </w:r>
      <w:r w:rsidRPr="003B6BE9">
        <w:rPr>
          <w:i/>
          <w:iCs/>
          <w:lang w:val="en-US"/>
        </w:rPr>
        <w:t>52</w:t>
      </w:r>
      <w:r w:rsidRPr="003B6BE9">
        <w:rPr>
          <w:shd w:val="clear" w:color="auto" w:fill="FFFFFF"/>
          <w:lang w:val="en-US"/>
        </w:rPr>
        <w:t>, 56–73.</w:t>
      </w:r>
      <w:r w:rsidRPr="003B6BE9">
        <w:rPr>
          <w:lang w:val="en-US"/>
        </w:rPr>
        <w:t xml:space="preserve"> </w:t>
      </w:r>
    </w:p>
    <w:p w14:paraId="33E9873B" w14:textId="77777777" w:rsidR="00AA5A29" w:rsidRPr="003B6BE9" w:rsidRDefault="00AA5A29" w:rsidP="00AA5A29">
      <w:pPr>
        <w:pStyle w:val="references"/>
        <w:rPr>
          <w:lang w:val="en-US"/>
        </w:rPr>
      </w:pPr>
      <w:r w:rsidRPr="003B6BE9">
        <w:rPr>
          <w:shd w:val="clear" w:color="auto" w:fill="FFFFFF"/>
          <w:lang w:val="en-US"/>
        </w:rPr>
        <w:t xml:space="preserve">Zwicker, J. G., Missiuna, C., Harris, S. R., &amp; Boyd, L. A. (2012). Developmental coordination disorder: A review and update. </w:t>
      </w:r>
      <w:r w:rsidRPr="003B6BE9">
        <w:rPr>
          <w:i/>
          <w:iCs/>
          <w:lang w:val="en-US"/>
        </w:rPr>
        <w:t>European Journal of Paediatric Neurology</w:t>
      </w:r>
      <w:r w:rsidRPr="003B6BE9">
        <w:rPr>
          <w:shd w:val="clear" w:color="auto" w:fill="FFFFFF"/>
          <w:lang w:val="en-US"/>
        </w:rPr>
        <w:t xml:space="preserve">, </w:t>
      </w:r>
      <w:r w:rsidRPr="003B6BE9">
        <w:rPr>
          <w:i/>
          <w:iCs/>
          <w:lang w:val="en-US"/>
        </w:rPr>
        <w:t>16</w:t>
      </w:r>
      <w:r w:rsidRPr="003B6BE9">
        <w:rPr>
          <w:shd w:val="clear" w:color="auto" w:fill="FFFFFF"/>
          <w:lang w:val="en-US"/>
        </w:rPr>
        <w:t>(6), 573–581.</w:t>
      </w:r>
      <w:r w:rsidRPr="003B6BE9">
        <w:rPr>
          <w:lang w:val="en-US"/>
        </w:rPr>
        <w:t xml:space="preserve"> </w:t>
      </w:r>
    </w:p>
    <w:p w14:paraId="2DDCDB4D" w14:textId="344771E7" w:rsidR="007E64FC" w:rsidRPr="003B6BE9" w:rsidRDefault="007E64FC" w:rsidP="00AA5A29">
      <w:pPr>
        <w:pStyle w:val="bodytext"/>
        <w:rPr>
          <w:lang w:val="en-US"/>
        </w:rPr>
      </w:pPr>
    </w:p>
    <w:sectPr w:rsidR="007E64FC" w:rsidRPr="003B6BE9" w:rsidSect="000B415A">
      <w:pgSz w:w="9582" w:h="13551" w:code="149"/>
      <w:pgMar w:top="1134" w:right="1134" w:bottom="1418" w:left="1134" w:header="709" w:footer="709"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comment w:id="0" w:author="Copy Editor" w:date="2017-07-13T23:05:00Z" w:initials="CE">
    <w:p w14:paraId="77BB139C" w14:textId="77777777" w:rsidR="00915A05" w:rsidRPr="0030431C" w:rsidRDefault="00915A05" w:rsidP="0030431C">
      <w:pPr>
        <w:pStyle w:val="CommentText"/>
        <w:rPr>
          <w:lang w:val="en-US"/>
        </w:rPr>
      </w:pPr>
      <w:r>
        <w:rPr>
          <w:rStyle w:val="CommentReference"/>
        </w:rPr>
        <w:annotationRef/>
      </w:r>
      <w:r w:rsidRPr="0030431C">
        <w:rPr>
          <w:lang w:val="en-US"/>
        </w:rPr>
        <w:t>I have capitalized only those test that have propriety names. The others appear to be generic terms commonly used in the field of research.</w:t>
      </w:r>
    </w:p>
  </w:comment>
  <w:comment w:id="1" w:author="Copy Editor" w:date="2017-07-13T23:06:00Z" w:initials="CE">
    <w:p w14:paraId="5EEC4613" w14:textId="77777777" w:rsidR="00915A05" w:rsidRPr="0030431C" w:rsidRDefault="00915A05" w:rsidP="0030431C">
      <w:pPr>
        <w:pStyle w:val="CommentText"/>
        <w:rPr>
          <w:lang w:val="en-US"/>
        </w:rPr>
      </w:pPr>
      <w:r>
        <w:rPr>
          <w:rStyle w:val="CommentReference"/>
        </w:rPr>
        <w:annotationRef/>
      </w:r>
      <w:r w:rsidRPr="0030431C">
        <w:rPr>
          <w:lang w:val="en-US"/>
        </w:rPr>
        <w:t>Is this what you mean? This is how it appears on the CANTAB website.</w:t>
      </w:r>
    </w:p>
  </w:comment>
  <w:comment w:id="24" w:author="Copy Editor" w:date="2017-07-14T18:38:00Z" w:initials="CE">
    <w:p w14:paraId="2949313A" w14:textId="77777777" w:rsidR="00915A05" w:rsidRPr="006D5BCA" w:rsidRDefault="00915A05" w:rsidP="00437525">
      <w:pPr>
        <w:pStyle w:val="CommentText"/>
        <w:rPr>
          <w:lang w:val="en-US"/>
        </w:rPr>
      </w:pPr>
      <w:r w:rsidRPr="006D5BCA">
        <w:rPr>
          <w:rStyle w:val="CommentReference"/>
          <w:lang w:val="en-US"/>
        </w:rPr>
        <w:annotationRef/>
      </w:r>
      <w:r w:rsidRPr="006D5BCA">
        <w:rPr>
          <w:lang w:val="en-US"/>
        </w:rPr>
        <w:t xml:space="preserve">Please note </w:t>
      </w:r>
      <w:proofErr w:type="gramStart"/>
      <w:r w:rsidRPr="006D5BCA">
        <w:rPr>
          <w:lang w:val="en-US"/>
        </w:rPr>
        <w:t>that ”retinal</w:t>
      </w:r>
      <w:proofErr w:type="gramEnd"/>
      <w:r w:rsidRPr="006D5BCA">
        <w:rPr>
          <w:lang w:val="en-US"/>
        </w:rPr>
        <w:t>” refers to testing for eye diseases not kidney diseases.</w:t>
      </w:r>
    </w:p>
  </w:comment>
  <w:comment w:id="27" w:author="Copy Editor" w:date="2017-07-14T19:21:00Z" w:initials="CE">
    <w:p w14:paraId="77F24E3E" w14:textId="77777777" w:rsidR="00915A05" w:rsidRPr="006833EE" w:rsidRDefault="00915A05" w:rsidP="00437525">
      <w:pPr>
        <w:pStyle w:val="CommentText"/>
        <w:rPr>
          <w:lang w:val="en-GB"/>
        </w:rPr>
      </w:pPr>
      <w:r>
        <w:rPr>
          <w:rStyle w:val="CommentReference"/>
        </w:rPr>
        <w:annotationRef/>
      </w:r>
      <w:r w:rsidRPr="006833EE">
        <w:rPr>
          <w:lang w:val="en-GB"/>
        </w:rPr>
        <w:t>Please spell out ahead of the abbreviation.</w:t>
      </w:r>
    </w:p>
  </w:comment>
  <w:comment w:id="30" w:author="Copy Editor" w:date="2017-07-14T19:43:00Z" w:initials="CE">
    <w:p w14:paraId="25B08800" w14:textId="77777777" w:rsidR="00915A05" w:rsidRPr="006833EE" w:rsidRDefault="00915A05" w:rsidP="00437525">
      <w:pPr>
        <w:pStyle w:val="CommentText"/>
        <w:rPr>
          <w:lang w:val="en-GB"/>
        </w:rPr>
      </w:pPr>
      <w:r>
        <w:rPr>
          <w:rStyle w:val="CommentReference"/>
        </w:rPr>
        <w:annotationRef/>
      </w:r>
      <w:r w:rsidRPr="006833EE">
        <w:rPr>
          <w:lang w:val="en-GB"/>
        </w:rPr>
        <w:t>Is this what you mean?</w:t>
      </w:r>
    </w:p>
  </w:comment>
  <w:comment w:id="31" w:author="Copy Editor" w:date="2017-07-14T22:17:00Z" w:initials="CE">
    <w:p w14:paraId="005E3C00" w14:textId="77777777" w:rsidR="00915A05" w:rsidRPr="00CB7209" w:rsidRDefault="00915A05" w:rsidP="00437525">
      <w:pPr>
        <w:pStyle w:val="CommentText"/>
        <w:rPr>
          <w:lang w:val="en-US"/>
        </w:rPr>
      </w:pPr>
      <w:r w:rsidRPr="00CB7209">
        <w:rPr>
          <w:rStyle w:val="CommentReference"/>
          <w:lang w:val="en-US"/>
        </w:rPr>
        <w:annotationRef/>
      </w:r>
      <w:r w:rsidRPr="00CB7209">
        <w:rPr>
          <w:lang w:val="en-US"/>
        </w:rPr>
        <w:t>Is this cor</w:t>
      </w:r>
      <w:r>
        <w:rPr>
          <w:lang w:val="en-US"/>
        </w:rPr>
        <w:t xml:space="preserve">rect? Otherwise, they are </w:t>
      </w:r>
      <w:proofErr w:type="gramStart"/>
      <w:r>
        <w:rPr>
          <w:lang w:val="en-US"/>
        </w:rPr>
        <w:t>label</w:t>
      </w:r>
      <w:r w:rsidRPr="00CB7209">
        <w:rPr>
          <w:lang w:val="en-US"/>
        </w:rPr>
        <w:t>ed ”patients</w:t>
      </w:r>
      <w:proofErr w:type="gramEnd"/>
      <w:r w:rsidRPr="00CB7209">
        <w:rPr>
          <w:lang w:val="en-US"/>
        </w:rPr>
        <w:t>” along with those with ADS.</w:t>
      </w:r>
    </w:p>
  </w:comment>
  <w:comment w:id="32" w:author="Copy Editor" w:date="2017-07-14T19:55:00Z" w:initials="CE">
    <w:p w14:paraId="3A3070DE" w14:textId="77777777" w:rsidR="00915A05" w:rsidRPr="006833EE" w:rsidRDefault="00915A05" w:rsidP="00437525">
      <w:pPr>
        <w:pStyle w:val="CommentText"/>
        <w:rPr>
          <w:lang w:val="en-GB"/>
        </w:rPr>
      </w:pPr>
      <w:r>
        <w:rPr>
          <w:rStyle w:val="CommentReference"/>
        </w:rPr>
        <w:annotationRef/>
      </w:r>
      <w:r w:rsidRPr="006833EE">
        <w:rPr>
          <w:lang w:val="en-GB"/>
        </w:rPr>
        <w:t xml:space="preserve">Do you </w:t>
      </w:r>
      <w:proofErr w:type="gramStart"/>
      <w:r w:rsidRPr="006833EE">
        <w:rPr>
          <w:lang w:val="en-GB"/>
        </w:rPr>
        <w:t>mean ”not</w:t>
      </w:r>
      <w:proofErr w:type="gramEnd"/>
      <w:r w:rsidRPr="006833EE">
        <w:rPr>
          <w:lang w:val="en-GB"/>
        </w:rPr>
        <w:t xml:space="preserve"> only”?</w:t>
      </w:r>
    </w:p>
  </w:comment>
  <w:comment w:id="34" w:author="tollare3" w:date="2017-03-05T14:58:00Z" w:initials="t">
    <w:p w14:paraId="6F66B636" w14:textId="77777777" w:rsidR="00915A05" w:rsidRPr="00234F2F" w:rsidRDefault="00915A05" w:rsidP="00437525">
      <w:pPr>
        <w:pStyle w:val="CommentText"/>
        <w:rPr>
          <w:lang w:val="en-GB"/>
        </w:rPr>
      </w:pPr>
      <w:r>
        <w:rPr>
          <w:rStyle w:val="CommentReference"/>
        </w:rPr>
        <w:annotationRef/>
      </w:r>
      <w:r w:rsidRPr="00234F2F">
        <w:rPr>
          <w:lang w:val="en-GB"/>
        </w:rPr>
        <w:t xml:space="preserve">25 tester </w:t>
      </w:r>
      <w:proofErr w:type="spellStart"/>
      <w:r w:rsidRPr="00234F2F">
        <w:rPr>
          <w:lang w:val="en-GB"/>
        </w:rPr>
        <w:t>numera</w:t>
      </w:r>
      <w:proofErr w:type="spellEnd"/>
    </w:p>
  </w:comment>
  <w:comment w:id="35" w:author="tollare3" w:date="2017-03-05T15:23:00Z" w:initials="t">
    <w:p w14:paraId="52691B5E" w14:textId="77777777" w:rsidR="00915A05" w:rsidRPr="00234F2F" w:rsidRDefault="00915A05" w:rsidP="00437525">
      <w:pPr>
        <w:pStyle w:val="CommentText"/>
        <w:rPr>
          <w:lang w:val="en-GB"/>
        </w:rPr>
      </w:pPr>
      <w:r>
        <w:rPr>
          <w:rStyle w:val="CommentReference"/>
        </w:rPr>
        <w:annotationRef/>
      </w:r>
      <w:r w:rsidRPr="00234F2F">
        <w:rPr>
          <w:lang w:val="en-GB"/>
        </w:rPr>
        <w:t>CANTAB tests</w:t>
      </w:r>
    </w:p>
  </w:comment>
  <w:comment w:id="36" w:author="Copy Editor" w:date="2017-07-14T21:22:00Z" w:initials="CE">
    <w:p w14:paraId="254BD8C4" w14:textId="77777777" w:rsidR="00915A05" w:rsidRPr="00437525" w:rsidRDefault="00915A05" w:rsidP="00437525">
      <w:pPr>
        <w:pStyle w:val="CommentText"/>
        <w:rPr>
          <w:lang w:val="en-US"/>
        </w:rPr>
      </w:pPr>
      <w:r>
        <w:rPr>
          <w:rStyle w:val="CommentReference"/>
        </w:rPr>
        <w:annotationRef/>
      </w:r>
      <w:r w:rsidRPr="00437525">
        <w:rPr>
          <w:lang w:val="en-US"/>
        </w:rPr>
        <w:t>Figure 3?</w:t>
      </w:r>
    </w:p>
  </w:comment>
  <w:comment w:id="37" w:author="tollare3" w:date="2017-03-05T15:16:00Z" w:initials="t">
    <w:p w14:paraId="69C79517" w14:textId="77777777" w:rsidR="00915A05" w:rsidRPr="00806DA2" w:rsidRDefault="00915A05" w:rsidP="00437525">
      <w:pPr>
        <w:pStyle w:val="CommentText"/>
      </w:pPr>
      <w:r>
        <w:rPr>
          <w:rStyle w:val="CommentReference"/>
        </w:rPr>
        <w:annotationRef/>
      </w:r>
      <w:r w:rsidRPr="00806DA2">
        <w:t xml:space="preserve">Om du går in på </w:t>
      </w:r>
      <w:proofErr w:type="spellStart"/>
      <w:r w:rsidRPr="00806DA2">
        <w:t>cantabs</w:t>
      </w:r>
      <w:proofErr w:type="spellEnd"/>
      <w:r w:rsidRPr="00806DA2">
        <w:t xml:space="preserve"> hemsida få har de en lagom lång beskrivning på engelska för var test</w:t>
      </w:r>
    </w:p>
  </w:comment>
  <w:comment w:id="38" w:author="Copy Editor" w:date="2017-07-14T21:27:00Z" w:initials="CE">
    <w:p w14:paraId="28AF94E9" w14:textId="77777777" w:rsidR="00915A05" w:rsidRPr="00437525" w:rsidRDefault="00915A05" w:rsidP="00437525">
      <w:pPr>
        <w:pStyle w:val="CommentText"/>
        <w:rPr>
          <w:lang w:val="en-US"/>
        </w:rPr>
      </w:pPr>
      <w:r>
        <w:rPr>
          <w:rStyle w:val="CommentReference"/>
        </w:rPr>
        <w:annotationRef/>
      </w:r>
      <w:r w:rsidRPr="00437525">
        <w:rPr>
          <w:lang w:val="en-US"/>
        </w:rPr>
        <w:t>This is stated at the bottom of the previous page. Do you wish to repeat it here?</w:t>
      </w:r>
    </w:p>
  </w:comment>
  <w:comment w:id="45" w:author="Copy Editor" w:date="2017-07-15T00:11:00Z" w:initials="CE">
    <w:p w14:paraId="72F0644A" w14:textId="77777777" w:rsidR="00915A05" w:rsidRPr="004F55E3" w:rsidRDefault="00915A05" w:rsidP="004F55E3">
      <w:pPr>
        <w:pStyle w:val="CommentText"/>
        <w:rPr>
          <w:lang w:val="en-US"/>
        </w:rPr>
      </w:pPr>
      <w:r>
        <w:rPr>
          <w:rStyle w:val="CommentReference"/>
        </w:rPr>
        <w:annotationRef/>
      </w:r>
      <w:r w:rsidRPr="004F55E3">
        <w:rPr>
          <w:lang w:val="en-US"/>
        </w:rPr>
        <w:t>As this questionnaire appears to have more than one common abbreviation, I suggest including them both.</w:t>
      </w:r>
    </w:p>
  </w:comment>
  <w:comment w:id="46" w:author="Copy Editor" w:date="2017-07-15T00:04:00Z" w:initials="CE">
    <w:p w14:paraId="0B446D30" w14:textId="77777777" w:rsidR="00915A05" w:rsidRPr="004F55E3" w:rsidRDefault="00915A05" w:rsidP="004F55E3">
      <w:pPr>
        <w:pStyle w:val="CommentText"/>
        <w:rPr>
          <w:lang w:val="en-US"/>
        </w:rPr>
      </w:pPr>
      <w:r>
        <w:rPr>
          <w:rStyle w:val="CommentReference"/>
        </w:rPr>
        <w:annotationRef/>
      </w:r>
      <w:r w:rsidRPr="004F55E3">
        <w:rPr>
          <w:lang w:val="en-US"/>
        </w:rPr>
        <w:t>See my comment on p. 1, para 2, above.</w:t>
      </w:r>
    </w:p>
  </w:comment>
  <w:comment w:id="47" w:author="Copy Editor" w:date="2017-07-15T00:05:00Z" w:initials="CE">
    <w:p w14:paraId="5B1D791E" w14:textId="77777777" w:rsidR="00915A05" w:rsidRPr="004F55E3" w:rsidRDefault="00915A05" w:rsidP="004F55E3">
      <w:pPr>
        <w:pStyle w:val="CommentText"/>
        <w:rPr>
          <w:lang w:val="en-US"/>
        </w:rPr>
      </w:pPr>
      <w:r>
        <w:rPr>
          <w:rStyle w:val="CommentReference"/>
        </w:rPr>
        <w:annotationRef/>
      </w:r>
      <w:r w:rsidRPr="004F55E3">
        <w:rPr>
          <w:lang w:val="en-US"/>
        </w:rPr>
        <w:t>See my comment on p. 1, para 2, above.</w:t>
      </w:r>
    </w:p>
  </w:comment>
  <w:comment w:id="49" w:author="Copy Editor" w:date="2017-07-14T22:44:00Z" w:initials="CE">
    <w:p w14:paraId="14BC53F6" w14:textId="77777777" w:rsidR="00915A05" w:rsidRPr="00860AAD" w:rsidRDefault="00915A05" w:rsidP="004F55E3">
      <w:pPr>
        <w:pStyle w:val="CommentText"/>
      </w:pPr>
      <w:r>
        <w:rPr>
          <w:rStyle w:val="CommentReference"/>
        </w:rPr>
        <w:annotationRef/>
      </w:r>
      <w:r w:rsidRPr="004F55E3">
        <w:rPr>
          <w:lang w:val="en-US"/>
        </w:rPr>
        <w:t xml:space="preserve">Please spell out: “sound pressure level”? </w:t>
      </w:r>
      <w:r w:rsidRPr="00860AAD">
        <w:t>“</w:t>
      </w:r>
      <w:proofErr w:type="spellStart"/>
      <w:r w:rsidRPr="00860AAD">
        <w:t>speech</w:t>
      </w:r>
      <w:proofErr w:type="spellEnd"/>
      <w:r w:rsidRPr="00860AAD">
        <w:t xml:space="preserve"> perception </w:t>
      </w:r>
      <w:proofErr w:type="spellStart"/>
      <w:r w:rsidRPr="00860AAD">
        <w:t>level</w:t>
      </w:r>
      <w:proofErr w:type="spellEnd"/>
      <w:r w:rsidRPr="00860AAD">
        <w:t>”?</w:t>
      </w:r>
    </w:p>
  </w:comment>
  <w:comment w:id="50" w:author="tollare3" w:date="2017-03-05T14:40:00Z" w:initials="t">
    <w:p w14:paraId="17EDB29A" w14:textId="77777777" w:rsidR="00915A05" w:rsidRPr="00AF4EFD" w:rsidRDefault="00915A05" w:rsidP="004F55E3">
      <w:pPr>
        <w:pStyle w:val="CommentText"/>
      </w:pPr>
      <w:r>
        <w:rPr>
          <w:rStyle w:val="CommentReference"/>
        </w:rPr>
        <w:annotationRef/>
      </w:r>
      <w:r w:rsidRPr="00AF4EFD">
        <w:t>Et mellanslag för mycket mellan dessa ord</w:t>
      </w:r>
    </w:p>
  </w:comment>
  <w:comment w:id="52" w:author="Copy Editor" w:date="2017-07-14T23:36:00Z" w:initials="CE">
    <w:p w14:paraId="14E97432" w14:textId="77777777" w:rsidR="00915A05" w:rsidRPr="004F55E3" w:rsidRDefault="00915A05" w:rsidP="004F55E3">
      <w:pPr>
        <w:pStyle w:val="CommentText"/>
        <w:rPr>
          <w:lang w:val="en-US"/>
        </w:rPr>
      </w:pPr>
      <w:r>
        <w:rPr>
          <w:rStyle w:val="CommentReference"/>
        </w:rPr>
        <w:annotationRef/>
      </w:r>
      <w:r w:rsidRPr="004F55E3">
        <w:rPr>
          <w:lang w:val="en-US"/>
        </w:rPr>
        <w:t>Usually, in scaled responses this is expressed as “somewhat.”</w:t>
      </w:r>
    </w:p>
  </w:comment>
  <w:comment w:id="55" w:author="Copy Editor" w:date="2017-07-14T23:50:00Z" w:initials="CE">
    <w:p w14:paraId="5B1B691F" w14:textId="77777777" w:rsidR="00915A05" w:rsidRPr="00860AAD" w:rsidRDefault="00915A05" w:rsidP="004F55E3">
      <w:pPr>
        <w:pStyle w:val="CommentText"/>
        <w:rPr>
          <w:lang w:val="en-GB"/>
        </w:rPr>
      </w:pPr>
      <w:r>
        <w:rPr>
          <w:rStyle w:val="CommentReference"/>
        </w:rPr>
        <w:annotationRef/>
      </w:r>
      <w:r w:rsidRPr="00860AAD">
        <w:rPr>
          <w:lang w:val="en-GB"/>
        </w:rPr>
        <w:t>Do you mean 90?</w:t>
      </w:r>
    </w:p>
  </w:comment>
  <w:comment w:id="59" w:author="Copy Editor" w:date="2017-07-15T01:31:00Z" w:initials="CE">
    <w:p w14:paraId="459CA4A0" w14:textId="77777777" w:rsidR="00915A05" w:rsidRPr="00782E1C" w:rsidRDefault="00915A05" w:rsidP="00782E1C">
      <w:pPr>
        <w:pStyle w:val="CommentText"/>
        <w:rPr>
          <w:lang w:val="en-US"/>
        </w:rPr>
      </w:pPr>
      <w:r>
        <w:rPr>
          <w:rStyle w:val="CommentReference"/>
        </w:rPr>
        <w:annotationRef/>
      </w:r>
      <w:r w:rsidRPr="00782E1C">
        <w:rPr>
          <w:lang w:val="en-US"/>
        </w:rPr>
        <w:t>Figure 10? (following on from the Methods section).</w:t>
      </w:r>
    </w:p>
  </w:comment>
  <w:comment w:id="69" w:author="Copy Editor" w:date="2017-07-24T04:23:00Z" w:initials="CE">
    <w:p w14:paraId="6A81B51D" w14:textId="77777777" w:rsidR="00915A05" w:rsidRPr="00AA5A29" w:rsidRDefault="00915A05" w:rsidP="00AA5A29">
      <w:pPr>
        <w:pStyle w:val="CommentText"/>
        <w:rPr>
          <w:lang w:val="en-US"/>
        </w:rPr>
      </w:pPr>
      <w:r>
        <w:rPr>
          <w:rStyle w:val="CommentReference"/>
        </w:rPr>
        <w:annotationRef/>
      </w:r>
      <w:r w:rsidRPr="00AA5A29">
        <w:rPr>
          <w:lang w:val="en-US"/>
        </w:rPr>
        <w:t>With track changes turned off, I have</w:t>
      </w:r>
    </w:p>
    <w:p w14:paraId="0D0E0BA8" w14:textId="77777777" w:rsidR="00915A05" w:rsidRPr="00AA5A29" w:rsidRDefault="00915A05" w:rsidP="00AA5A29">
      <w:pPr>
        <w:pStyle w:val="CommentText"/>
        <w:numPr>
          <w:ilvl w:val="0"/>
          <w:numId w:val="8"/>
        </w:numPr>
        <w:spacing w:after="0"/>
        <w:rPr>
          <w:lang w:val="en-US"/>
        </w:rPr>
      </w:pPr>
      <w:r w:rsidRPr="00AA5A29">
        <w:rPr>
          <w:lang w:val="en-US"/>
        </w:rPr>
        <w:t>added paragraph spacing between entries where it was missing</w:t>
      </w:r>
    </w:p>
    <w:p w14:paraId="6EE1D1A5" w14:textId="77777777" w:rsidR="00915A05" w:rsidRPr="00AA5A29" w:rsidRDefault="00915A05" w:rsidP="00AA5A29">
      <w:pPr>
        <w:pStyle w:val="CommentText"/>
        <w:numPr>
          <w:ilvl w:val="0"/>
          <w:numId w:val="8"/>
        </w:numPr>
        <w:spacing w:after="0"/>
        <w:rPr>
          <w:lang w:val="en-US"/>
        </w:rPr>
      </w:pPr>
      <w:r w:rsidRPr="00AA5A29">
        <w:rPr>
          <w:lang w:val="en-US"/>
        </w:rPr>
        <w:t xml:space="preserve"> deleted extra spacing where it was present</w:t>
      </w:r>
    </w:p>
    <w:p w14:paraId="683487D2" w14:textId="77777777" w:rsidR="00915A05" w:rsidRPr="00AA5A29" w:rsidRDefault="00915A05" w:rsidP="00AA5A29">
      <w:pPr>
        <w:pStyle w:val="CommentText"/>
        <w:numPr>
          <w:ilvl w:val="0"/>
          <w:numId w:val="8"/>
        </w:numPr>
        <w:spacing w:after="0"/>
        <w:rPr>
          <w:lang w:val="en-US"/>
        </w:rPr>
      </w:pPr>
      <w:r w:rsidRPr="00AA5A29">
        <w:rPr>
          <w:lang w:val="en-US"/>
        </w:rPr>
        <w:t xml:space="preserve"> changed hyphens to </w:t>
      </w:r>
      <w:proofErr w:type="spellStart"/>
      <w:r w:rsidRPr="00AA5A29">
        <w:rPr>
          <w:lang w:val="en-US"/>
        </w:rPr>
        <w:t>en</w:t>
      </w:r>
      <w:proofErr w:type="spellEnd"/>
      <w:r w:rsidRPr="00AA5A29">
        <w:rPr>
          <w:lang w:val="en-US"/>
        </w:rPr>
        <w:t xml:space="preserve"> dashes in numerical ranges (e.g., page nos. and dates). I have also changed all font to Times New Roman 14 pt.</w:t>
      </w:r>
    </w:p>
    <w:p w14:paraId="424B7E3F" w14:textId="77777777" w:rsidR="00915A05" w:rsidRPr="00AA5A29" w:rsidRDefault="00915A05" w:rsidP="00AA5A29">
      <w:pPr>
        <w:pStyle w:val="CommentText"/>
        <w:numPr>
          <w:ilvl w:val="0"/>
          <w:numId w:val="8"/>
        </w:numPr>
        <w:spacing w:after="0"/>
        <w:rPr>
          <w:lang w:val="en-US"/>
        </w:rPr>
      </w:pPr>
      <w:r w:rsidRPr="00AA5A29">
        <w:rPr>
          <w:lang w:val="en-US"/>
        </w:rPr>
        <w:t xml:space="preserve"> replaced non-breaking spaces with regular spaces between words</w:t>
      </w:r>
    </w:p>
    <w:p w14:paraId="6537137F" w14:textId="77777777" w:rsidR="00915A05" w:rsidRPr="00AA5A29" w:rsidRDefault="00915A05" w:rsidP="00AA5A29">
      <w:pPr>
        <w:pStyle w:val="CommentText"/>
        <w:rPr>
          <w:lang w:val="en-US"/>
        </w:rPr>
      </w:pPr>
      <w:r w:rsidRPr="00AA5A29">
        <w:rPr>
          <w:lang w:val="en-US"/>
        </w:rPr>
        <w:t>I have also filled in missing information in some cases. Please confirm that any new bibliographic details I have added are correct.</w:t>
      </w:r>
    </w:p>
  </w:comment>
  <w:comment w:id="70" w:author="Copy Editor" w:date="2017-07-23T20:23:00Z" w:initials="CE">
    <w:p w14:paraId="0CF3DC76" w14:textId="77777777" w:rsidR="00915A05" w:rsidRPr="00AA5A29" w:rsidRDefault="00915A05" w:rsidP="00AA5A29">
      <w:pPr>
        <w:pStyle w:val="CommentText"/>
        <w:rPr>
          <w:lang w:val="en-US"/>
        </w:rPr>
      </w:pPr>
      <w:r w:rsidRPr="001A5E12">
        <w:rPr>
          <w:rStyle w:val="CommentReference"/>
        </w:rPr>
        <w:annotationRef/>
      </w:r>
      <w:r w:rsidRPr="00AA5A29">
        <w:rPr>
          <w:lang w:val="en-US"/>
        </w:rPr>
        <w:t xml:space="preserve">APA style </w:t>
      </w:r>
      <w:proofErr w:type="gramStart"/>
      <w:r w:rsidRPr="00AA5A29">
        <w:rPr>
          <w:lang w:val="en-US"/>
        </w:rPr>
        <w:t>uses ”Author</w:t>
      </w:r>
      <w:proofErr w:type="gramEnd"/>
      <w:r w:rsidRPr="00AA5A29">
        <w:rPr>
          <w:lang w:val="en-US"/>
        </w:rPr>
        <w:t>” as the publisher when the author and publisher are identical.</w:t>
      </w:r>
    </w:p>
  </w:comment>
  <w:comment w:id="71" w:author="Copy Editor" w:date="2017-07-23T20:43:00Z" w:initials="CE">
    <w:p w14:paraId="025D4EDF" w14:textId="77777777" w:rsidR="00915A05" w:rsidRPr="00AA5A29" w:rsidRDefault="00915A05" w:rsidP="00AA5A29">
      <w:pPr>
        <w:pStyle w:val="CommentText"/>
        <w:rPr>
          <w:lang w:val="en-US"/>
        </w:rPr>
      </w:pPr>
      <w:r w:rsidRPr="00C71BAC">
        <w:rPr>
          <w:rStyle w:val="CommentReference"/>
        </w:rPr>
        <w:annotationRef/>
      </w:r>
      <w:r w:rsidRPr="00AA5A29">
        <w:rPr>
          <w:lang w:val="en-US"/>
        </w:rPr>
        <w:t>Please confirm the information I have added.</w:t>
      </w:r>
    </w:p>
  </w:comment>
  <w:comment w:id="72" w:author="Copy Editor" w:date="2017-07-23T20:50:00Z" w:initials="CE">
    <w:p w14:paraId="50A776BC" w14:textId="77777777" w:rsidR="00915A05" w:rsidRPr="00AA5A29" w:rsidRDefault="00915A05" w:rsidP="00AA5A29">
      <w:pPr>
        <w:pStyle w:val="CommentText"/>
        <w:rPr>
          <w:lang w:val="en-US"/>
        </w:rPr>
      </w:pPr>
      <w:r>
        <w:rPr>
          <w:rStyle w:val="CommentReference"/>
        </w:rPr>
        <w:annotationRef/>
      </w:r>
      <w:r w:rsidRPr="00AA5A29">
        <w:rPr>
          <w:lang w:val="en-US"/>
        </w:rPr>
        <w:t>Duplicate entry deleted.</w:t>
      </w:r>
    </w:p>
  </w:comment>
  <w:comment w:id="73" w:author="Copy Editor" w:date="2017-07-23T20:57:00Z" w:initials="CE">
    <w:p w14:paraId="4382ED34" w14:textId="77777777" w:rsidR="00915A05" w:rsidRPr="00AA5A29" w:rsidRDefault="00915A05" w:rsidP="00AA5A29">
      <w:pPr>
        <w:pStyle w:val="CommentText"/>
        <w:rPr>
          <w:lang w:val="en-US"/>
        </w:rPr>
      </w:pPr>
      <w:r>
        <w:rPr>
          <w:rStyle w:val="CommentReference"/>
        </w:rPr>
        <w:annotationRef/>
      </w:r>
      <w:r w:rsidRPr="00AA5A29">
        <w:rPr>
          <w:lang w:val="en-US"/>
        </w:rPr>
        <w:t>Please confirm.</w:t>
      </w:r>
    </w:p>
  </w:comment>
  <w:comment w:id="74" w:author="Copy Editor" w:date="2017-07-23T21:51:00Z" w:initials="CE">
    <w:p w14:paraId="10D2CBBF" w14:textId="77777777" w:rsidR="00915A05" w:rsidRPr="00AA5A29" w:rsidRDefault="00915A05" w:rsidP="00AA5A29">
      <w:pPr>
        <w:pStyle w:val="CommentText"/>
        <w:rPr>
          <w:lang w:val="en-US"/>
        </w:rPr>
      </w:pPr>
      <w:r w:rsidRPr="00AA5A29">
        <w:rPr>
          <w:lang w:val="en-US"/>
        </w:rPr>
        <w:t xml:space="preserve">I assume you are referencing this document </w:t>
      </w:r>
      <w:hyperlink r:id="rId1" w:history="1">
        <w:r w:rsidRPr="00AA5A29">
          <w:rPr>
            <w:rStyle w:val="Hyperlink"/>
            <w:lang w:val="en-US"/>
          </w:rPr>
          <w:t>https://www.fda.gov/downloads/advisorycommittees/committeesmeetingmaterials/foodadvisorycommittee/ucm248102.pdf</w:t>
        </w:r>
      </w:hyperlink>
      <w:r>
        <w:rPr>
          <w:rStyle w:val="CommentReference"/>
        </w:rPr>
        <w:annotationRef/>
      </w:r>
      <w:r w:rsidRPr="00AA5A29">
        <w:rPr>
          <w:lang w:val="en-US"/>
        </w:rPr>
        <w:t>. However, I am unable to verify the wording of the title you propose. The various attachments to this Memorandum are individually titled, but the main document appears to be titled “Memorandum.” Further identification is provided by the docket number and meeting date (March 30–31, 2011) of the committee, which could be used in the reference to more precisely locate the item.</w:t>
      </w:r>
    </w:p>
  </w:comment>
  <w:comment w:id="75" w:author="Copy Editor" w:date="2017-07-23T22:11:00Z" w:initials="CE">
    <w:p w14:paraId="01DF086D" w14:textId="77777777" w:rsidR="00915A05" w:rsidRPr="00AA5A29" w:rsidRDefault="00915A05" w:rsidP="00AA5A29">
      <w:pPr>
        <w:pStyle w:val="CommentText"/>
        <w:rPr>
          <w:lang w:val="en-US"/>
        </w:rPr>
      </w:pPr>
      <w:r>
        <w:rPr>
          <w:rStyle w:val="CommentReference"/>
        </w:rPr>
        <w:annotationRef/>
      </w:r>
      <w:r w:rsidRPr="00AA5A29">
        <w:rPr>
          <w:lang w:val="en-US"/>
        </w:rPr>
        <w:t xml:space="preserve">Please provide an English translation of the title in square brackets after the Swedish title. </w:t>
      </w:r>
    </w:p>
  </w:comment>
  <w:comment w:id="76" w:author="Copy Editor" w:date="2017-07-23T22:26:00Z" w:initials="CE">
    <w:p w14:paraId="6452ED40" w14:textId="77777777" w:rsidR="00915A05" w:rsidRPr="00AA5A29" w:rsidRDefault="00915A05" w:rsidP="00AA5A29">
      <w:pPr>
        <w:pStyle w:val="CommentText"/>
        <w:rPr>
          <w:lang w:val="en-US"/>
        </w:rPr>
      </w:pPr>
      <w:r>
        <w:rPr>
          <w:rStyle w:val="CommentReference"/>
        </w:rPr>
        <w:annotationRef/>
      </w:r>
      <w:r w:rsidRPr="00AA5A29">
        <w:rPr>
          <w:lang w:val="en-US"/>
        </w:rPr>
        <w:t>This reference was formatted as a table. I have converted it to text.</w:t>
      </w:r>
    </w:p>
  </w:comment>
  <w:comment w:id="77" w:author="Copy Editor" w:date="2017-07-23T22:29:00Z" w:initials="CE">
    <w:p w14:paraId="5C649E2C" w14:textId="77777777" w:rsidR="00915A05" w:rsidRPr="00AA5A29" w:rsidRDefault="00915A05" w:rsidP="00AA5A29">
      <w:pPr>
        <w:pStyle w:val="CommentText"/>
        <w:rPr>
          <w:lang w:val="en-US"/>
        </w:rPr>
      </w:pPr>
      <w:r>
        <w:rPr>
          <w:rStyle w:val="CommentReference"/>
        </w:rPr>
        <w:annotationRef/>
      </w:r>
      <w:r w:rsidRPr="00AA5A29">
        <w:rPr>
          <w:lang w:val="en-US"/>
        </w:rPr>
        <w:t>The omission of the place of publication when it is repeated in the name of the university applies only to US states.</w:t>
      </w:r>
    </w:p>
  </w:comment>
  <w:comment w:id="78" w:author="Copy Editor" w:date="2017-07-23T23:34:00Z" w:initials="CE">
    <w:p w14:paraId="1B14DA60" w14:textId="77777777" w:rsidR="00915A05" w:rsidRPr="00AA5A29" w:rsidRDefault="00915A05" w:rsidP="00AA5A29">
      <w:pPr>
        <w:pStyle w:val="CommentText"/>
        <w:rPr>
          <w:lang w:val="en-US"/>
        </w:rPr>
      </w:pPr>
      <w:r>
        <w:rPr>
          <w:rStyle w:val="CommentReference"/>
        </w:rPr>
        <w:annotationRef/>
      </w:r>
      <w:r w:rsidRPr="00AA5A29">
        <w:rPr>
          <w:lang w:val="en-US"/>
        </w:rPr>
        <w:t xml:space="preserve">I have moved this reference to appear in the correct alphabetical and chronological order. However, if this author, Christopher </w:t>
      </w:r>
      <w:proofErr w:type="spellStart"/>
      <w:r w:rsidRPr="00AA5A29">
        <w:rPr>
          <w:lang w:val="en-US"/>
        </w:rPr>
        <w:t>Gillberg</w:t>
      </w:r>
      <w:proofErr w:type="spellEnd"/>
      <w:r w:rsidRPr="00AA5A29">
        <w:rPr>
          <w:lang w:val="en-US"/>
        </w:rPr>
        <w:t xml:space="preserve">, is different from the C. </w:t>
      </w:r>
      <w:proofErr w:type="spellStart"/>
      <w:r w:rsidRPr="00AA5A29">
        <w:rPr>
          <w:lang w:val="en-US"/>
        </w:rPr>
        <w:t>Gillberg</w:t>
      </w:r>
      <w:proofErr w:type="spellEnd"/>
      <w:r w:rsidRPr="00AA5A29">
        <w:rPr>
          <w:lang w:val="en-US"/>
        </w:rPr>
        <w:t xml:space="preserve"> cited in the surrounding entries, please distinguish him by placing the first name in square brackets after the initial “C.” and move this entry to appear after the one below, </w:t>
      </w:r>
      <w:proofErr w:type="spellStart"/>
      <w:r w:rsidRPr="00AA5A29">
        <w:rPr>
          <w:lang w:val="en-US"/>
        </w:rPr>
        <w:t>Gillberg</w:t>
      </w:r>
      <w:proofErr w:type="spellEnd"/>
      <w:r w:rsidRPr="00AA5A29">
        <w:rPr>
          <w:lang w:val="en-US"/>
        </w:rPr>
        <w:t>, C. (2010).</w:t>
      </w:r>
    </w:p>
  </w:comment>
  <w:comment w:id="79" w:author="Copy Editor" w:date="2017-07-23T23:37:00Z" w:initials="CE">
    <w:p w14:paraId="0A0A46EE" w14:textId="77777777" w:rsidR="00915A05" w:rsidRPr="00AA5A29" w:rsidRDefault="00915A05" w:rsidP="00AA5A29">
      <w:pPr>
        <w:pStyle w:val="CommentText"/>
        <w:rPr>
          <w:lang w:val="en-US"/>
        </w:rPr>
      </w:pPr>
      <w:r>
        <w:rPr>
          <w:rStyle w:val="CommentReference"/>
        </w:rPr>
        <w:annotationRef/>
      </w:r>
      <w:r w:rsidRPr="00AA5A29">
        <w:rPr>
          <w:lang w:val="en-US"/>
        </w:rPr>
        <w:t>Please include the editor(s) before the title.</w:t>
      </w:r>
    </w:p>
  </w:comment>
  <w:comment w:id="80" w:author="Copy Editor" w:date="2017-07-23T23:51:00Z" w:initials="CE">
    <w:p w14:paraId="474FD8D3" w14:textId="77777777" w:rsidR="00915A05" w:rsidRPr="00AA5A29" w:rsidRDefault="00915A05" w:rsidP="00AA5A29">
      <w:pPr>
        <w:pStyle w:val="CommentText"/>
        <w:rPr>
          <w:lang w:val="en-US"/>
        </w:rPr>
      </w:pPr>
      <w:r>
        <w:rPr>
          <w:rStyle w:val="CommentReference"/>
        </w:rPr>
        <w:annotationRef/>
      </w:r>
      <w:r w:rsidRPr="00AA5A29">
        <w:rPr>
          <w:lang w:val="en-US"/>
        </w:rPr>
        <w:t>Please confirm.</w:t>
      </w:r>
    </w:p>
  </w:comment>
  <w:comment w:id="81" w:author="Copy Editor" w:date="2017-07-23T23:57:00Z" w:initials="CE">
    <w:p w14:paraId="5D3DF19D" w14:textId="77777777" w:rsidR="00915A05" w:rsidRPr="00AA5A29" w:rsidRDefault="00915A05" w:rsidP="00AA5A29">
      <w:pPr>
        <w:pStyle w:val="CommentText"/>
        <w:rPr>
          <w:lang w:val="en-US"/>
        </w:rPr>
      </w:pPr>
      <w:r>
        <w:rPr>
          <w:rStyle w:val="CommentReference"/>
        </w:rPr>
        <w:annotationRef/>
      </w:r>
      <w:r w:rsidRPr="00AA5A29">
        <w:rPr>
          <w:lang w:val="en-US"/>
        </w:rPr>
        <w:t>Please confirm.</w:t>
      </w:r>
    </w:p>
  </w:comment>
  <w:comment w:id="82" w:author="Copy Editor" w:date="2017-07-23T23:59:00Z" w:initials="CE">
    <w:p w14:paraId="2C6B0182" w14:textId="77777777" w:rsidR="00915A05" w:rsidRPr="00AA5A29" w:rsidRDefault="00915A05" w:rsidP="00AA5A29">
      <w:pPr>
        <w:pStyle w:val="CommentText"/>
        <w:rPr>
          <w:lang w:val="en-US"/>
        </w:rPr>
      </w:pPr>
      <w:r>
        <w:rPr>
          <w:rStyle w:val="CommentReference"/>
        </w:rPr>
        <w:annotationRef/>
      </w:r>
      <w:r w:rsidRPr="00AA5A29">
        <w:rPr>
          <w:lang w:val="en-US"/>
        </w:rPr>
        <w:t>Duplicate entry deleted.</w:t>
      </w:r>
    </w:p>
  </w:comment>
  <w:comment w:id="83" w:author="Copy Editor" w:date="2017-07-24T00:15:00Z" w:initials="CE">
    <w:p w14:paraId="20259A2A" w14:textId="77777777" w:rsidR="00915A05" w:rsidRPr="00AA5A29" w:rsidRDefault="00915A05" w:rsidP="00AA5A29">
      <w:pPr>
        <w:pStyle w:val="CommentText"/>
        <w:rPr>
          <w:lang w:val="en-US"/>
        </w:rPr>
      </w:pPr>
      <w:r>
        <w:rPr>
          <w:rStyle w:val="CommentReference"/>
        </w:rPr>
        <w:annotationRef/>
      </w:r>
      <w:r w:rsidRPr="00AA5A29">
        <w:rPr>
          <w:lang w:val="en-US"/>
        </w:rPr>
        <w:t>Please confirm.</w:t>
      </w:r>
    </w:p>
  </w:comment>
  <w:comment w:id="84" w:author="Copy Editor" w:date="2017-07-24T00:21:00Z" w:initials="CE">
    <w:p w14:paraId="5D98111A" w14:textId="77777777" w:rsidR="00915A05" w:rsidRPr="00AA5A29" w:rsidRDefault="00915A05" w:rsidP="00AA5A29">
      <w:pPr>
        <w:pStyle w:val="CommentText"/>
        <w:rPr>
          <w:lang w:val="en-US"/>
        </w:rPr>
      </w:pPr>
      <w:r>
        <w:rPr>
          <w:rStyle w:val="CommentReference"/>
        </w:rPr>
        <w:annotationRef/>
      </w:r>
      <w:r w:rsidRPr="00AA5A29">
        <w:rPr>
          <w:lang w:val="en-US"/>
        </w:rPr>
        <w:t>Please confirm.</w:t>
      </w:r>
    </w:p>
  </w:comment>
  <w:comment w:id="85" w:author="Copy Editor" w:date="2017-07-24T00:25:00Z" w:initials="CE">
    <w:p w14:paraId="2DD4F61A" w14:textId="77777777" w:rsidR="00915A05" w:rsidRPr="00AA5A29" w:rsidRDefault="00915A05" w:rsidP="00AA5A29">
      <w:pPr>
        <w:pStyle w:val="CommentText"/>
        <w:rPr>
          <w:lang w:val="en-US"/>
        </w:rPr>
      </w:pPr>
      <w:r>
        <w:rPr>
          <w:rStyle w:val="CommentReference"/>
        </w:rPr>
        <w:annotationRef/>
      </w:r>
      <w:r w:rsidRPr="00AA5A29">
        <w:rPr>
          <w:lang w:val="en-US"/>
        </w:rPr>
        <w:t>Please include the editor(s).</w:t>
      </w:r>
    </w:p>
  </w:comment>
  <w:comment w:id="86" w:author="Copy Editor" w:date="2017-07-24T00:38:00Z" w:initials="CE">
    <w:p w14:paraId="5DF20D40" w14:textId="77777777" w:rsidR="00915A05" w:rsidRPr="00AA5A29" w:rsidRDefault="00915A05" w:rsidP="00AA5A29">
      <w:pPr>
        <w:pStyle w:val="CommentText"/>
        <w:rPr>
          <w:lang w:val="en-US"/>
        </w:rPr>
      </w:pPr>
      <w:r>
        <w:rPr>
          <w:rStyle w:val="CommentReference"/>
        </w:rPr>
        <w:annotationRef/>
      </w:r>
      <w:r w:rsidRPr="00AA5A29">
        <w:rPr>
          <w:lang w:val="en-US"/>
        </w:rPr>
        <w:t>According to PubMed, the last author is Price, A. L. https://www.ncbi.nlm.nih.gov/pubmed/?term=2015).+Contrasting+genetic+architectures+of+schizophrenia+and+other+complex+diseases+using+fast+variance-components+analysis.+Nature+genetics.</w:t>
      </w:r>
    </w:p>
  </w:comment>
  <w:comment w:id="87" w:author="Copy Editor" w:date="2017-07-24T00:47:00Z" w:initials="CE">
    <w:p w14:paraId="7026EB96" w14:textId="77777777" w:rsidR="00915A05" w:rsidRPr="00AA5A29" w:rsidRDefault="00915A05" w:rsidP="00AA5A29">
      <w:pPr>
        <w:pStyle w:val="CommentText"/>
        <w:rPr>
          <w:lang w:val="en-US"/>
        </w:rPr>
      </w:pPr>
      <w:r>
        <w:rPr>
          <w:rStyle w:val="CommentReference"/>
        </w:rPr>
        <w:annotationRef/>
      </w:r>
      <w:r w:rsidRPr="00AA5A29">
        <w:rPr>
          <w:lang w:val="en-US"/>
        </w:rPr>
        <w:t>Duplicate entry deleted.</w:t>
      </w:r>
    </w:p>
  </w:comment>
  <w:comment w:id="88" w:author="Copy Editor" w:date="2017-07-24T01:34:00Z" w:initials="CE">
    <w:p w14:paraId="2028CAA3" w14:textId="77777777" w:rsidR="00915A05" w:rsidRPr="00AA5A29" w:rsidRDefault="00915A05" w:rsidP="00AA5A29">
      <w:pPr>
        <w:pStyle w:val="CommentText"/>
        <w:rPr>
          <w:lang w:val="en-US"/>
        </w:rPr>
      </w:pPr>
      <w:r>
        <w:rPr>
          <w:rStyle w:val="CommentReference"/>
        </w:rPr>
        <w:annotationRef/>
      </w:r>
      <w:r w:rsidRPr="00AA5A29">
        <w:rPr>
          <w:lang w:val="en-US"/>
        </w:rPr>
        <w:t>Duplicate entry deleted.</w:t>
      </w:r>
    </w:p>
  </w:comment>
  <w:comment w:id="89" w:author="Copy Editor" w:date="2017-07-24T01:47:00Z" w:initials="CE">
    <w:p w14:paraId="0F2A7F5A" w14:textId="77777777" w:rsidR="00915A05" w:rsidRPr="00AA5A29" w:rsidRDefault="00915A05" w:rsidP="00AA5A29">
      <w:pPr>
        <w:pStyle w:val="CommentText"/>
        <w:rPr>
          <w:lang w:val="en-US"/>
        </w:rPr>
      </w:pPr>
      <w:r>
        <w:rPr>
          <w:rStyle w:val="CommentReference"/>
        </w:rPr>
        <w:annotationRef/>
      </w:r>
      <w:r w:rsidRPr="00AA5A29">
        <w:rPr>
          <w:lang w:val="en-US"/>
        </w:rPr>
        <w:t>Duplicate entry deleted.</w:t>
      </w:r>
    </w:p>
  </w:comment>
  <w:comment w:id="90" w:author="Copy Editor" w:date="2017-07-24T02:02:00Z" w:initials="CE">
    <w:p w14:paraId="6C646719" w14:textId="77777777" w:rsidR="00915A05" w:rsidRPr="00AA5A29" w:rsidRDefault="00915A05" w:rsidP="00AA5A29">
      <w:pPr>
        <w:pStyle w:val="CommentText"/>
        <w:rPr>
          <w:lang w:val="en-US"/>
        </w:rPr>
      </w:pPr>
      <w:r>
        <w:rPr>
          <w:rStyle w:val="CommentReference"/>
        </w:rPr>
        <w:annotationRef/>
      </w:r>
      <w:r w:rsidRPr="00AA5A29">
        <w:rPr>
          <w:lang w:val="en-US"/>
        </w:rPr>
        <w:t>Is this what you mean?</w:t>
      </w:r>
    </w:p>
  </w:comment>
  <w:comment w:id="91" w:author="Copy Editor" w:date="2017-07-24T02:25:00Z" w:initials="CE">
    <w:p w14:paraId="62D42E41" w14:textId="77777777" w:rsidR="00915A05" w:rsidRPr="00AA5A29" w:rsidRDefault="00915A05" w:rsidP="00AA5A29">
      <w:pPr>
        <w:pStyle w:val="CommentText"/>
        <w:rPr>
          <w:lang w:val="en-US"/>
        </w:rPr>
      </w:pPr>
      <w:r>
        <w:rPr>
          <w:rStyle w:val="CommentReference"/>
        </w:rPr>
        <w:annotationRef/>
      </w:r>
      <w:r w:rsidRPr="00AA5A29">
        <w:rPr>
          <w:lang w:val="en-US"/>
        </w:rPr>
        <w:t>It’s not clear to me why are citing a vol. and p. number for this publication, which appears to be a manual. Do these figures have some other significance, or can they be deleted?</w:t>
      </w:r>
    </w:p>
  </w:comment>
  <w:comment w:id="92" w:author="Copy Editor" w:date="2017-07-24T02:59:00Z" w:initials="CE">
    <w:p w14:paraId="00FF5D57" w14:textId="77777777" w:rsidR="00915A05" w:rsidRPr="00AA5A29" w:rsidRDefault="00915A05" w:rsidP="00AA5A29">
      <w:pPr>
        <w:pStyle w:val="CommentText"/>
        <w:rPr>
          <w:lang w:val="en-US"/>
        </w:rPr>
      </w:pPr>
      <w:r>
        <w:rPr>
          <w:rStyle w:val="CommentReference"/>
        </w:rPr>
        <w:annotationRef/>
      </w:r>
      <w:r w:rsidRPr="00AA5A29">
        <w:rPr>
          <w:lang w:val="en-US"/>
        </w:rPr>
        <w:t>Duplicate entry deleted.</w:t>
      </w:r>
    </w:p>
  </w:comment>
  <w:comment w:id="93" w:author="Copy Editor" w:date="2017-07-24T03:21:00Z" w:initials="CE">
    <w:p w14:paraId="5FAC9165" w14:textId="77777777" w:rsidR="00915A05" w:rsidRPr="00AA5A29" w:rsidRDefault="00915A05" w:rsidP="00AA5A29">
      <w:pPr>
        <w:spacing w:line="360" w:lineRule="auto"/>
        <w:rPr>
          <w:rFonts w:eastAsia="Times New Roman"/>
          <w:sz w:val="28"/>
          <w:szCs w:val="28"/>
          <w:lang w:val="en-US"/>
        </w:rPr>
      </w:pPr>
      <w:r>
        <w:rPr>
          <w:rStyle w:val="CommentReference"/>
        </w:rPr>
        <w:annotationRef/>
      </w:r>
      <w:r w:rsidRPr="00AA5A29">
        <w:rPr>
          <w:lang w:val="en-US"/>
        </w:rPr>
        <w:t>Do you mean "</w:t>
      </w:r>
      <w:r w:rsidRPr="00AA5A29">
        <w:rPr>
          <w:rFonts w:eastAsia="Times New Roman"/>
          <w:color w:val="222222"/>
          <w:sz w:val="28"/>
          <w:szCs w:val="28"/>
          <w:shd w:val="clear" w:color="auto" w:fill="FFFFFF"/>
          <w:lang w:val="en-US"/>
        </w:rPr>
        <w:t xml:space="preserve">Swanson, J. M., Nolan, W., &amp; Pelham, W. (1981, August). </w:t>
      </w:r>
      <w:r w:rsidRPr="00AA5A29">
        <w:rPr>
          <w:rFonts w:eastAsia="Times New Roman"/>
          <w:i/>
          <w:color w:val="222222"/>
          <w:sz w:val="28"/>
          <w:szCs w:val="28"/>
          <w:shd w:val="clear" w:color="auto" w:fill="FFFFFF"/>
          <w:lang w:val="en-US"/>
        </w:rPr>
        <w:t>The SNAP Rating Scale for the Diagnosis of the Attention Deficit Disorder</w:t>
      </w:r>
      <w:r w:rsidRPr="00AA5A29">
        <w:rPr>
          <w:rFonts w:eastAsia="Times New Roman"/>
          <w:color w:val="222222"/>
          <w:sz w:val="28"/>
          <w:szCs w:val="28"/>
          <w:shd w:val="clear" w:color="auto" w:fill="FFFFFF"/>
          <w:lang w:val="en-US"/>
        </w:rPr>
        <w:t>. Paper presented at the meeting of the American Psychological Association, Los Angeles"?</w:t>
      </w:r>
    </w:p>
    <w:p w14:paraId="7A52B1C5" w14:textId="77777777" w:rsidR="00915A05" w:rsidRPr="00AA5A29" w:rsidRDefault="00915A05" w:rsidP="00AA5A29">
      <w:pPr>
        <w:pStyle w:val="CommentText"/>
        <w:rPr>
          <w:lang w:val="en-US"/>
        </w:rPr>
      </w:pPr>
    </w:p>
  </w:comment>
  <w:comment w:id="94" w:author="Copy Editor" w:date="2017-07-24T03:37:00Z" w:initials="CE">
    <w:p w14:paraId="517AD551" w14:textId="77777777" w:rsidR="00915A05" w:rsidRPr="00AA5A29" w:rsidRDefault="00915A05" w:rsidP="00AA5A29">
      <w:pPr>
        <w:pStyle w:val="CommentText"/>
        <w:rPr>
          <w:lang w:val="en-US"/>
        </w:rPr>
      </w:pPr>
      <w:r>
        <w:rPr>
          <w:rStyle w:val="CommentReference"/>
        </w:rPr>
        <w:annotationRef/>
      </w:r>
      <w:r w:rsidRPr="00AA5A29">
        <w:rPr>
          <w:lang w:val="en-US"/>
        </w:rPr>
        <w:t>Please include the place of publication.</w:t>
      </w:r>
    </w:p>
  </w:comment>
  <w:comment w:id="95" w:author="Copy Editor" w:date="2017-07-24T03:52:00Z" w:initials="CE">
    <w:p w14:paraId="70565CEA" w14:textId="77777777" w:rsidR="00915A05" w:rsidRPr="004B2A79" w:rsidRDefault="00915A05" w:rsidP="00AA5A29">
      <w:pPr>
        <w:pStyle w:val="CommentText"/>
        <w:rPr>
          <w:sz w:val="18"/>
        </w:rPr>
      </w:pPr>
      <w:r>
        <w:rPr>
          <w:rStyle w:val="CommentReference"/>
        </w:rPr>
        <w:annotationRef/>
      </w:r>
      <w:proofErr w:type="spellStart"/>
      <w:r>
        <w:t>Please</w:t>
      </w:r>
      <w:proofErr w:type="spellEnd"/>
      <w:r>
        <w:t xml:space="preserve"> </w:t>
      </w:r>
      <w:proofErr w:type="spellStart"/>
      <w:r>
        <w:t>confirm</w:t>
      </w:r>
      <w:proofErr w:type="spellEnd"/>
      <w:r>
        <w:t>.</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15:commentEx w15:paraId="77BB139C" w15:done="0"/>
  <w15:commentEx w15:paraId="5EEC4613" w15:done="0"/>
  <w15:commentEx w15:paraId="2949313A" w15:done="0"/>
  <w15:commentEx w15:paraId="77F24E3E" w15:done="0"/>
  <w15:commentEx w15:paraId="25B08800" w15:done="0"/>
  <w15:commentEx w15:paraId="005E3C00" w15:done="0"/>
  <w15:commentEx w15:paraId="3A3070DE" w15:done="0"/>
  <w15:commentEx w15:paraId="6F66B636" w15:done="0"/>
  <w15:commentEx w15:paraId="52691B5E" w15:done="0"/>
  <w15:commentEx w15:paraId="254BD8C4" w15:done="0"/>
  <w15:commentEx w15:paraId="69C79517" w15:done="0"/>
  <w15:commentEx w15:paraId="28AF94E9" w15:done="0"/>
  <w15:commentEx w15:paraId="72F0644A" w15:done="0"/>
  <w15:commentEx w15:paraId="0B446D30" w15:done="0"/>
  <w15:commentEx w15:paraId="5B1D791E" w15:done="0"/>
  <w15:commentEx w15:paraId="14BC53F6" w15:done="0"/>
  <w15:commentEx w15:paraId="17EDB29A" w15:done="0"/>
  <w15:commentEx w15:paraId="14E97432" w15:done="0"/>
  <w15:commentEx w15:paraId="5B1B691F" w15:done="0"/>
  <w15:commentEx w15:paraId="459CA4A0" w15:done="0"/>
  <w15:commentEx w15:paraId="6537137F" w15:done="0"/>
  <w15:commentEx w15:paraId="0CF3DC76" w15:done="0"/>
  <w15:commentEx w15:paraId="025D4EDF" w15:done="0"/>
  <w15:commentEx w15:paraId="50A776BC" w15:done="0"/>
  <w15:commentEx w15:paraId="4382ED34" w15:done="0"/>
  <w15:commentEx w15:paraId="10D2CBBF" w15:done="0"/>
  <w15:commentEx w15:paraId="01DF086D" w15:done="0"/>
  <w15:commentEx w15:paraId="6452ED40" w15:done="0"/>
  <w15:commentEx w15:paraId="5C649E2C" w15:done="0"/>
  <w15:commentEx w15:paraId="1B14DA60" w15:done="0"/>
  <w15:commentEx w15:paraId="0A0A46EE" w15:done="0"/>
  <w15:commentEx w15:paraId="474FD8D3" w15:done="0"/>
  <w15:commentEx w15:paraId="5D3DF19D" w15:done="0"/>
  <w15:commentEx w15:paraId="2C6B0182" w15:done="0"/>
  <w15:commentEx w15:paraId="20259A2A" w15:done="0"/>
  <w15:commentEx w15:paraId="5D98111A" w15:done="0"/>
  <w15:commentEx w15:paraId="2DD4F61A" w15:done="0"/>
  <w15:commentEx w15:paraId="5DF20D40" w15:done="0"/>
  <w15:commentEx w15:paraId="7026EB96" w15:done="0"/>
  <w15:commentEx w15:paraId="2028CAA3" w15:done="0"/>
  <w15:commentEx w15:paraId="0F2A7F5A" w15:done="0"/>
  <w15:commentEx w15:paraId="6C646719" w15:done="0"/>
  <w15:commentEx w15:paraId="62D42E41" w15:done="0"/>
  <w15:commentEx w15:paraId="00FF5D57" w15:done="0"/>
  <w15:commentEx w15:paraId="7A52B1C5" w15:done="0"/>
  <w15:commentEx w15:paraId="517AD551" w15:done="0"/>
  <w15:commentEx w15:paraId="70565CE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04149D6C" w14:textId="77777777" w:rsidR="006B4CF9" w:rsidRDefault="006B4CF9" w:rsidP="007E64FC">
      <w:r>
        <w:separator/>
      </w:r>
    </w:p>
  </w:endnote>
  <w:endnote w:type="continuationSeparator" w:id="0">
    <w:p w14:paraId="4CD1BC38" w14:textId="77777777" w:rsidR="006B4CF9" w:rsidRDefault="006B4CF9" w:rsidP="007E6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dobe Garamond Pro">
    <w:altName w:val="Didot"/>
    <w:panose1 w:val="00000000000000000000"/>
    <w:charset w:val="00"/>
    <w:family w:val="roman"/>
    <w:notTrueType/>
    <w:pitch w:val="variable"/>
    <w:sig w:usb0="800000AF" w:usb1="5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NewRomanPSMT">
    <w:charset w:val="00"/>
    <w:family w:val="roman"/>
    <w:pitch w:val="variable"/>
    <w:sig w:usb0="E0002AEF" w:usb1="C0007841" w:usb2="00000009" w:usb3="00000000" w:csb0="000001FF" w:csb1="00000000"/>
  </w:font>
  <w:font w:name="Times">
    <w:panose1 w:val="02000500000000000000"/>
    <w:charset w:val="00"/>
    <w:family w:val="roman"/>
    <w:pitch w:val="variable"/>
    <w:sig w:usb0="00000003" w:usb1="00000000" w:usb2="00000000" w:usb3="00000000" w:csb0="00000001" w:csb1="00000000"/>
  </w:font>
  <w:font w:name="MS Mincho">
    <w:panose1 w:val="02020609040205080304"/>
    <w:charset w:val="80"/>
    <w:family w:val="roman"/>
    <w:pitch w:val="fixed"/>
    <w:sig w:usb0="E00002FF" w:usb1="6AC7FDFB" w:usb2="08000012" w:usb3="00000000" w:csb0="0002009F" w:csb1="00000000"/>
  </w:font>
  <w:font w:name="Arial Unicode MS">
    <w:panose1 w:val="020B0604020202020204"/>
    <w:charset w:val="0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8504400"/>
      <w:docPartObj>
        <w:docPartGallery w:val="Page Numbers (Bottom of Page)"/>
        <w:docPartUnique/>
      </w:docPartObj>
    </w:sdtPr>
    <w:sdtEndPr>
      <w:rPr>
        <w:rFonts w:ascii="Adobe Garamond Pro" w:hAnsi="Adobe Garamond Pro"/>
      </w:rPr>
    </w:sdtEndPr>
    <w:sdtContent>
      <w:p w14:paraId="652DD254" w14:textId="77777777" w:rsidR="00915A05" w:rsidRPr="000B415A" w:rsidRDefault="00915A05">
        <w:pPr>
          <w:pStyle w:val="Footer"/>
          <w:rPr>
            <w:rFonts w:ascii="Adobe Garamond Pro" w:hAnsi="Adobe Garamond Pro"/>
          </w:rPr>
        </w:pPr>
        <w:r w:rsidRPr="000B415A">
          <w:rPr>
            <w:rFonts w:ascii="Adobe Garamond Pro" w:hAnsi="Adobe Garamond Pro"/>
          </w:rPr>
          <w:fldChar w:fldCharType="begin"/>
        </w:r>
        <w:r w:rsidRPr="000B415A">
          <w:rPr>
            <w:rFonts w:ascii="Adobe Garamond Pro" w:hAnsi="Adobe Garamond Pro"/>
          </w:rPr>
          <w:instrText>PAGE   \* MERGEFORMAT</w:instrText>
        </w:r>
        <w:r w:rsidRPr="000B415A">
          <w:rPr>
            <w:rFonts w:ascii="Adobe Garamond Pro" w:hAnsi="Adobe Garamond Pro"/>
          </w:rPr>
          <w:fldChar w:fldCharType="separate"/>
        </w:r>
        <w:r w:rsidR="00A23A4B">
          <w:rPr>
            <w:rFonts w:ascii="Adobe Garamond Pro" w:hAnsi="Adobe Garamond Pro"/>
            <w:noProof/>
          </w:rPr>
          <w:t>84</w:t>
        </w:r>
        <w:r w:rsidRPr="000B415A">
          <w:rPr>
            <w:rFonts w:ascii="Adobe Garamond Pro" w:hAnsi="Adobe Garamond Pro"/>
          </w:rPr>
          <w:fldChar w:fldCharType="end"/>
        </w:r>
      </w:p>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5291371"/>
      <w:docPartObj>
        <w:docPartGallery w:val="Page Numbers (Bottom of Page)"/>
        <w:docPartUnique/>
      </w:docPartObj>
    </w:sdtPr>
    <w:sdtEndPr>
      <w:rPr>
        <w:rFonts w:ascii="Adobe Garamond Pro" w:hAnsi="Adobe Garamond Pro"/>
      </w:rPr>
    </w:sdtEndPr>
    <w:sdtContent>
      <w:p w14:paraId="2ED091A7" w14:textId="77777777" w:rsidR="00915A05" w:rsidRPr="000B415A" w:rsidRDefault="00915A05" w:rsidP="00437FAA">
        <w:pPr>
          <w:pStyle w:val="Footer"/>
          <w:jc w:val="right"/>
          <w:rPr>
            <w:rFonts w:ascii="Adobe Garamond Pro" w:hAnsi="Adobe Garamond Pro"/>
          </w:rPr>
        </w:pPr>
        <w:r w:rsidRPr="000B415A">
          <w:rPr>
            <w:rFonts w:ascii="Adobe Garamond Pro" w:hAnsi="Adobe Garamond Pro"/>
          </w:rPr>
          <w:fldChar w:fldCharType="begin"/>
        </w:r>
        <w:r w:rsidRPr="000B415A">
          <w:rPr>
            <w:rFonts w:ascii="Adobe Garamond Pro" w:hAnsi="Adobe Garamond Pro"/>
          </w:rPr>
          <w:instrText>PAGE   \* MERGEFORMAT</w:instrText>
        </w:r>
        <w:r w:rsidRPr="000B415A">
          <w:rPr>
            <w:rFonts w:ascii="Adobe Garamond Pro" w:hAnsi="Adobe Garamond Pro"/>
          </w:rPr>
          <w:fldChar w:fldCharType="separate"/>
        </w:r>
        <w:r w:rsidR="00A23A4B">
          <w:rPr>
            <w:rFonts w:ascii="Adobe Garamond Pro" w:hAnsi="Adobe Garamond Pro"/>
            <w:noProof/>
          </w:rPr>
          <w:t>83</w:t>
        </w:r>
        <w:r w:rsidRPr="000B415A">
          <w:rPr>
            <w:rFonts w:ascii="Adobe Garamond Pro" w:hAnsi="Adobe Garamond Pro"/>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30A7B665" w14:textId="77777777" w:rsidR="006B4CF9" w:rsidRDefault="006B4CF9" w:rsidP="007E64FC">
      <w:r>
        <w:separator/>
      </w:r>
    </w:p>
  </w:footnote>
  <w:footnote w:type="continuationSeparator" w:id="0">
    <w:p w14:paraId="6A9766E3" w14:textId="77777777" w:rsidR="006B4CF9" w:rsidRDefault="006B4CF9" w:rsidP="007E64F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C303929"/>
    <w:multiLevelType w:val="hybridMultilevel"/>
    <w:tmpl w:val="4F94528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162B14C2"/>
    <w:multiLevelType w:val="hybridMultilevel"/>
    <w:tmpl w:val="4382435E"/>
    <w:lvl w:ilvl="0" w:tplc="F79849F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645B63"/>
    <w:multiLevelType w:val="hybridMultilevel"/>
    <w:tmpl w:val="6E7E77A2"/>
    <w:lvl w:ilvl="0" w:tplc="1F14911C">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49546C43"/>
    <w:multiLevelType w:val="hybridMultilevel"/>
    <w:tmpl w:val="289C311E"/>
    <w:lvl w:ilvl="0" w:tplc="D94849A8">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61FE1EFE"/>
    <w:multiLevelType w:val="hybridMultilevel"/>
    <w:tmpl w:val="7B025D9C"/>
    <w:lvl w:ilvl="0" w:tplc="A866DA72">
      <w:start w:val="1"/>
      <w:numFmt w:val="upperRoman"/>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nsid w:val="770729B2"/>
    <w:multiLevelType w:val="hybridMultilevel"/>
    <w:tmpl w:val="A7B66D14"/>
    <w:lvl w:ilvl="0" w:tplc="A866DA72">
      <w:start w:val="1"/>
      <w:numFmt w:val="upperRoman"/>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nsid w:val="78BE62D8"/>
    <w:multiLevelType w:val="hybridMultilevel"/>
    <w:tmpl w:val="7BBEB68C"/>
    <w:lvl w:ilvl="0" w:tplc="A866DA72">
      <w:start w:val="1"/>
      <w:numFmt w:val="upperRoman"/>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6"/>
  </w:num>
  <w:num w:numId="5">
    <w:abstractNumId w:val="7"/>
  </w:num>
  <w:num w:numId="6">
    <w:abstractNumId w:val="4"/>
  </w:num>
  <w:num w:numId="7">
    <w:abstractNumId w:val="0"/>
  </w:num>
  <w:num w:numId="8">
    <w:abstractNumId w:val="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15:person w15:author="tollare3">
    <w15:presenceInfo w15:providerId="None" w15:userId="tollare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mirrorMargins/>
  <w:proofState w:spelling="clean" w:grammar="clean"/>
  <w:revisionView w:markup="0"/>
  <w:defaultTabStop w:val="1304"/>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A0C"/>
    <w:rsid w:val="00007E65"/>
    <w:rsid w:val="00020EB3"/>
    <w:rsid w:val="000242D2"/>
    <w:rsid w:val="0004102D"/>
    <w:rsid w:val="00053470"/>
    <w:rsid w:val="00055215"/>
    <w:rsid w:val="00066EAC"/>
    <w:rsid w:val="00067D64"/>
    <w:rsid w:val="00070A0C"/>
    <w:rsid w:val="000747C9"/>
    <w:rsid w:val="00091514"/>
    <w:rsid w:val="00091E74"/>
    <w:rsid w:val="000946D5"/>
    <w:rsid w:val="000A420F"/>
    <w:rsid w:val="000A579E"/>
    <w:rsid w:val="000B415A"/>
    <w:rsid w:val="000C2DFE"/>
    <w:rsid w:val="000D225D"/>
    <w:rsid w:val="000E3A46"/>
    <w:rsid w:val="000E5F3D"/>
    <w:rsid w:val="000F4405"/>
    <w:rsid w:val="0011212F"/>
    <w:rsid w:val="00120A64"/>
    <w:rsid w:val="00121E8E"/>
    <w:rsid w:val="00135206"/>
    <w:rsid w:val="001368B6"/>
    <w:rsid w:val="00141670"/>
    <w:rsid w:val="00152103"/>
    <w:rsid w:val="00181E02"/>
    <w:rsid w:val="001A1778"/>
    <w:rsid w:val="001A3527"/>
    <w:rsid w:val="001A551F"/>
    <w:rsid w:val="001C2A15"/>
    <w:rsid w:val="001D425A"/>
    <w:rsid w:val="001D797A"/>
    <w:rsid w:val="001E6B7D"/>
    <w:rsid w:val="002075DE"/>
    <w:rsid w:val="00217B52"/>
    <w:rsid w:val="002412FF"/>
    <w:rsid w:val="00247E05"/>
    <w:rsid w:val="00251173"/>
    <w:rsid w:val="002634EB"/>
    <w:rsid w:val="002A015B"/>
    <w:rsid w:val="002B1D3B"/>
    <w:rsid w:val="002C09AD"/>
    <w:rsid w:val="002E6C76"/>
    <w:rsid w:val="002E7B6E"/>
    <w:rsid w:val="002F74DB"/>
    <w:rsid w:val="0030431C"/>
    <w:rsid w:val="00320331"/>
    <w:rsid w:val="00331994"/>
    <w:rsid w:val="0033298F"/>
    <w:rsid w:val="0033542D"/>
    <w:rsid w:val="00335871"/>
    <w:rsid w:val="00336274"/>
    <w:rsid w:val="00336AE9"/>
    <w:rsid w:val="00384155"/>
    <w:rsid w:val="003A20E3"/>
    <w:rsid w:val="003A5C69"/>
    <w:rsid w:val="003B6BE9"/>
    <w:rsid w:val="003D38DF"/>
    <w:rsid w:val="003D7C54"/>
    <w:rsid w:val="003F46A3"/>
    <w:rsid w:val="00410EDC"/>
    <w:rsid w:val="0043056A"/>
    <w:rsid w:val="00437525"/>
    <w:rsid w:val="00437FAA"/>
    <w:rsid w:val="00464F85"/>
    <w:rsid w:val="0046559D"/>
    <w:rsid w:val="004A5DCA"/>
    <w:rsid w:val="004C1B79"/>
    <w:rsid w:val="004F55E3"/>
    <w:rsid w:val="005004C8"/>
    <w:rsid w:val="005458DE"/>
    <w:rsid w:val="00553A86"/>
    <w:rsid w:val="00570BE7"/>
    <w:rsid w:val="00576656"/>
    <w:rsid w:val="00590EE0"/>
    <w:rsid w:val="005A0586"/>
    <w:rsid w:val="005A7C0C"/>
    <w:rsid w:val="005D1BB1"/>
    <w:rsid w:val="005D2042"/>
    <w:rsid w:val="005D4318"/>
    <w:rsid w:val="005E7FF5"/>
    <w:rsid w:val="006061B0"/>
    <w:rsid w:val="00614850"/>
    <w:rsid w:val="00632690"/>
    <w:rsid w:val="0064140A"/>
    <w:rsid w:val="0064170A"/>
    <w:rsid w:val="0064559A"/>
    <w:rsid w:val="0065651F"/>
    <w:rsid w:val="006627D9"/>
    <w:rsid w:val="006731C4"/>
    <w:rsid w:val="00673FB2"/>
    <w:rsid w:val="00687E50"/>
    <w:rsid w:val="006B16E4"/>
    <w:rsid w:val="006B2C7D"/>
    <w:rsid w:val="006B4CF9"/>
    <w:rsid w:val="006C0E14"/>
    <w:rsid w:val="006D5FC2"/>
    <w:rsid w:val="006D6AF7"/>
    <w:rsid w:val="006E6F68"/>
    <w:rsid w:val="006F7898"/>
    <w:rsid w:val="0071447A"/>
    <w:rsid w:val="0072651C"/>
    <w:rsid w:val="00745283"/>
    <w:rsid w:val="0076590C"/>
    <w:rsid w:val="00782E1C"/>
    <w:rsid w:val="007B2803"/>
    <w:rsid w:val="007C23C9"/>
    <w:rsid w:val="007D5DD7"/>
    <w:rsid w:val="007E64FC"/>
    <w:rsid w:val="00807F35"/>
    <w:rsid w:val="008100DC"/>
    <w:rsid w:val="00825F44"/>
    <w:rsid w:val="00860AAD"/>
    <w:rsid w:val="008611C2"/>
    <w:rsid w:val="00892171"/>
    <w:rsid w:val="0090025D"/>
    <w:rsid w:val="00903BC6"/>
    <w:rsid w:val="009069F1"/>
    <w:rsid w:val="00915A05"/>
    <w:rsid w:val="00943F94"/>
    <w:rsid w:val="00963763"/>
    <w:rsid w:val="00963D06"/>
    <w:rsid w:val="009A52E1"/>
    <w:rsid w:val="009B3C87"/>
    <w:rsid w:val="009B4505"/>
    <w:rsid w:val="009D12B1"/>
    <w:rsid w:val="009D2D19"/>
    <w:rsid w:val="009E4520"/>
    <w:rsid w:val="009E5FBE"/>
    <w:rsid w:val="009F3D30"/>
    <w:rsid w:val="00A05528"/>
    <w:rsid w:val="00A12981"/>
    <w:rsid w:val="00A21601"/>
    <w:rsid w:val="00A23A4B"/>
    <w:rsid w:val="00A26564"/>
    <w:rsid w:val="00A41C82"/>
    <w:rsid w:val="00A519BE"/>
    <w:rsid w:val="00A75DB5"/>
    <w:rsid w:val="00A81EAF"/>
    <w:rsid w:val="00A84DF2"/>
    <w:rsid w:val="00A90D8D"/>
    <w:rsid w:val="00A918F5"/>
    <w:rsid w:val="00A93E43"/>
    <w:rsid w:val="00AA5A29"/>
    <w:rsid w:val="00AB0930"/>
    <w:rsid w:val="00AB2DCF"/>
    <w:rsid w:val="00AC0D0A"/>
    <w:rsid w:val="00AC21EE"/>
    <w:rsid w:val="00AD3FE2"/>
    <w:rsid w:val="00AE4EBE"/>
    <w:rsid w:val="00B01F67"/>
    <w:rsid w:val="00B0373B"/>
    <w:rsid w:val="00B22074"/>
    <w:rsid w:val="00B342B4"/>
    <w:rsid w:val="00B52819"/>
    <w:rsid w:val="00B562F2"/>
    <w:rsid w:val="00B63D63"/>
    <w:rsid w:val="00B8788E"/>
    <w:rsid w:val="00B87A7B"/>
    <w:rsid w:val="00B922DE"/>
    <w:rsid w:val="00BB02EF"/>
    <w:rsid w:val="00BB0D19"/>
    <w:rsid w:val="00BC2188"/>
    <w:rsid w:val="00BC4DD2"/>
    <w:rsid w:val="00BD6F70"/>
    <w:rsid w:val="00BF5603"/>
    <w:rsid w:val="00C215EE"/>
    <w:rsid w:val="00C30076"/>
    <w:rsid w:val="00C659C5"/>
    <w:rsid w:val="00CB37A8"/>
    <w:rsid w:val="00CD5582"/>
    <w:rsid w:val="00CE76CB"/>
    <w:rsid w:val="00CF60BA"/>
    <w:rsid w:val="00D003A6"/>
    <w:rsid w:val="00D063FC"/>
    <w:rsid w:val="00D136B0"/>
    <w:rsid w:val="00D25F0C"/>
    <w:rsid w:val="00D30BCF"/>
    <w:rsid w:val="00D3195E"/>
    <w:rsid w:val="00D34D19"/>
    <w:rsid w:val="00D50639"/>
    <w:rsid w:val="00D673AC"/>
    <w:rsid w:val="00D71CF8"/>
    <w:rsid w:val="00D91C1B"/>
    <w:rsid w:val="00D97B43"/>
    <w:rsid w:val="00DA337C"/>
    <w:rsid w:val="00DB135E"/>
    <w:rsid w:val="00DC69CE"/>
    <w:rsid w:val="00DD09DD"/>
    <w:rsid w:val="00DE1759"/>
    <w:rsid w:val="00DE4304"/>
    <w:rsid w:val="00DF35D8"/>
    <w:rsid w:val="00E10179"/>
    <w:rsid w:val="00E21318"/>
    <w:rsid w:val="00E42D4E"/>
    <w:rsid w:val="00E521D0"/>
    <w:rsid w:val="00E63D99"/>
    <w:rsid w:val="00E64E60"/>
    <w:rsid w:val="00E732EC"/>
    <w:rsid w:val="00E96642"/>
    <w:rsid w:val="00EB5C3A"/>
    <w:rsid w:val="00EC6585"/>
    <w:rsid w:val="00ED5916"/>
    <w:rsid w:val="00ED7D44"/>
    <w:rsid w:val="00F77C94"/>
    <w:rsid w:val="00F8090F"/>
    <w:rsid w:val="00F95006"/>
    <w:rsid w:val="00FB4A5B"/>
    <w:rsid w:val="00FC1481"/>
    <w:rsid w:val="00FF03B6"/>
  </w:rsids>
  <m:mathPr>
    <m:mathFont m:val="Cambria Math"/>
    <m:brkBin m:val="before"/>
    <m:brkBinSub m:val="--"/>
    <m:smallFrac m:val="0"/>
    <m:dispDef/>
    <m:lMargin m:val="0"/>
    <m:rMargin m:val="0"/>
    <m:defJc m:val="centerGroup"/>
    <m:wrapIndent m:val="1440"/>
    <m:intLim m:val="subSup"/>
    <m:naryLim m:val="undOvr"/>
  </m:mathPr>
  <w:themeFontLang w:val="sv-S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E23BDC"/>
  <w15:chartTrackingRefBased/>
  <w15:docId w15:val="{43E5E7F8-38C3-4169-B44C-16FD08331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B0D19"/>
    <w:pPr>
      <w:spacing w:after="0" w:line="240" w:lineRule="auto"/>
    </w:pPr>
    <w:rPr>
      <w:rFonts w:ascii="Times New Roman" w:hAnsi="Times New Roman" w:cs="Times New Roman"/>
      <w:sz w:val="24"/>
      <w:szCs w:val="24"/>
      <w:lang w:val="en-GB" w:eastAsia="en-GB"/>
    </w:rPr>
  </w:style>
  <w:style w:type="paragraph" w:styleId="Heading1">
    <w:name w:val="heading 1"/>
    <w:aliases w:val="headline 1"/>
    <w:basedOn w:val="bodytext"/>
    <w:next w:val="Normal"/>
    <w:link w:val="Heading1Char"/>
    <w:uiPriority w:val="9"/>
    <w:qFormat/>
    <w:rsid w:val="005004C8"/>
    <w:pPr>
      <w:pageBreakBefore/>
      <w:widowControl w:val="0"/>
      <w:suppressAutoHyphens/>
      <w:spacing w:after="1500" w:line="240" w:lineRule="auto"/>
      <w:ind w:right="1134"/>
      <w:jc w:val="left"/>
      <w:outlineLvl w:val="0"/>
    </w:pPr>
    <w:rPr>
      <w:sz w:val="48"/>
      <w:szCs w:val="48"/>
    </w:rPr>
  </w:style>
  <w:style w:type="paragraph" w:styleId="Heading2">
    <w:name w:val="heading 2"/>
    <w:aliases w:val="headline 2"/>
    <w:next w:val="Normal"/>
    <w:link w:val="Heading2Char"/>
    <w:uiPriority w:val="1"/>
    <w:qFormat/>
    <w:rsid w:val="000B415A"/>
    <w:pPr>
      <w:suppressAutoHyphens/>
      <w:spacing w:before="600" w:after="320" w:line="240" w:lineRule="auto"/>
      <w:ind w:right="1134"/>
      <w:outlineLvl w:val="1"/>
    </w:pPr>
    <w:rPr>
      <w:rFonts w:ascii="Adobe Garamond Pro" w:eastAsia="Times New Roman" w:hAnsi="Adobe Garamond Pro" w:cs="Times New Roman"/>
      <w:sz w:val="32"/>
      <w:szCs w:val="24"/>
      <w:lang w:eastAsia="sv-SE"/>
    </w:rPr>
  </w:style>
  <w:style w:type="paragraph" w:styleId="Heading3">
    <w:name w:val="heading 3"/>
    <w:aliases w:val="headline 3"/>
    <w:basedOn w:val="ListParagraph"/>
    <w:next w:val="Normal"/>
    <w:link w:val="Heading3Char"/>
    <w:uiPriority w:val="1"/>
    <w:qFormat/>
    <w:rsid w:val="005004C8"/>
    <w:pPr>
      <w:spacing w:before="480" w:after="240"/>
      <w:ind w:left="0" w:right="1134"/>
      <w:contextualSpacing w:val="0"/>
      <w:outlineLvl w:val="2"/>
    </w:pPr>
    <w:rPr>
      <w:rFonts w:eastAsia="Times New Roman"/>
      <w:b/>
    </w:rPr>
  </w:style>
  <w:style w:type="paragraph" w:styleId="Heading4">
    <w:name w:val="heading 4"/>
    <w:aliases w:val="headline 4"/>
    <w:next w:val="Normal"/>
    <w:link w:val="Heading4Char"/>
    <w:uiPriority w:val="1"/>
    <w:qFormat/>
    <w:rsid w:val="000B415A"/>
    <w:pPr>
      <w:suppressAutoHyphens/>
      <w:spacing w:before="240" w:after="60" w:line="240" w:lineRule="auto"/>
      <w:outlineLvl w:val="3"/>
    </w:pPr>
    <w:rPr>
      <w:rFonts w:ascii="Adobe Garamond Pro" w:eastAsia="Times New Roman" w:hAnsi="Adobe Garamond Pro" w:cs="Times New Roman"/>
      <w:bCs/>
      <w:i/>
      <w:szCs w:val="28"/>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
    <w:name w:val="bodytext"/>
    <w:link w:val="bodytextChar"/>
    <w:qFormat/>
    <w:rsid w:val="000B415A"/>
    <w:pPr>
      <w:spacing w:after="120" w:line="260" w:lineRule="exact"/>
      <w:jc w:val="both"/>
    </w:pPr>
    <w:rPr>
      <w:rFonts w:ascii="Adobe Garamond Pro" w:eastAsia="Times New Roman" w:hAnsi="Adobe Garamond Pro" w:cs="Times New Roman"/>
      <w:szCs w:val="24"/>
      <w:lang w:val="en-GB" w:eastAsia="sv-SE"/>
    </w:rPr>
  </w:style>
  <w:style w:type="character" w:customStyle="1" w:styleId="bodytextChar">
    <w:name w:val="bodytext Char"/>
    <w:link w:val="bodytext"/>
    <w:rsid w:val="000B415A"/>
    <w:rPr>
      <w:rFonts w:ascii="Adobe Garamond Pro" w:eastAsia="Times New Roman" w:hAnsi="Adobe Garamond Pro" w:cs="Times New Roman"/>
      <w:szCs w:val="24"/>
      <w:lang w:val="en-GB" w:eastAsia="sv-SE"/>
    </w:rPr>
  </w:style>
  <w:style w:type="character" w:customStyle="1" w:styleId="Heading1Char">
    <w:name w:val="Heading 1 Char"/>
    <w:aliases w:val="headline 1 Char"/>
    <w:basedOn w:val="DefaultParagraphFont"/>
    <w:link w:val="Heading1"/>
    <w:uiPriority w:val="9"/>
    <w:rsid w:val="005004C8"/>
    <w:rPr>
      <w:rFonts w:ascii="Times New Roman" w:eastAsia="Times New Roman" w:hAnsi="Times New Roman" w:cs="Times New Roman"/>
      <w:sz w:val="48"/>
      <w:szCs w:val="48"/>
      <w:lang w:eastAsia="sv-SE"/>
    </w:rPr>
  </w:style>
  <w:style w:type="character" w:customStyle="1" w:styleId="Heading2Char">
    <w:name w:val="Heading 2 Char"/>
    <w:aliases w:val="headline 2 Char"/>
    <w:basedOn w:val="DefaultParagraphFont"/>
    <w:link w:val="Heading2"/>
    <w:uiPriority w:val="1"/>
    <w:rsid w:val="000B415A"/>
    <w:rPr>
      <w:rFonts w:ascii="Adobe Garamond Pro" w:eastAsia="Times New Roman" w:hAnsi="Adobe Garamond Pro" w:cs="Times New Roman"/>
      <w:sz w:val="32"/>
      <w:szCs w:val="24"/>
      <w:lang w:eastAsia="sv-SE"/>
    </w:rPr>
  </w:style>
  <w:style w:type="paragraph" w:styleId="ListParagraph">
    <w:name w:val="List Paragraph"/>
    <w:basedOn w:val="Normal"/>
    <w:uiPriority w:val="34"/>
    <w:qFormat/>
    <w:rsid w:val="002634EB"/>
    <w:pPr>
      <w:ind w:left="720"/>
      <w:contextualSpacing/>
    </w:pPr>
    <w:rPr>
      <w:lang w:val="sv-SE" w:eastAsia="sv-SE"/>
    </w:rPr>
  </w:style>
  <w:style w:type="character" w:customStyle="1" w:styleId="Heading3Char">
    <w:name w:val="Heading 3 Char"/>
    <w:aliases w:val="headline 3 Char"/>
    <w:basedOn w:val="DefaultParagraphFont"/>
    <w:link w:val="Heading3"/>
    <w:uiPriority w:val="1"/>
    <w:rsid w:val="005004C8"/>
    <w:rPr>
      <w:rFonts w:ascii="Times New Roman" w:eastAsia="Times New Roman" w:hAnsi="Times New Roman" w:cs="Times New Roman"/>
      <w:b/>
      <w:sz w:val="24"/>
      <w:szCs w:val="24"/>
      <w:lang w:eastAsia="sv-SE"/>
    </w:rPr>
  </w:style>
  <w:style w:type="character" w:customStyle="1" w:styleId="Heading4Char">
    <w:name w:val="Heading 4 Char"/>
    <w:aliases w:val="headline 4 Char"/>
    <w:basedOn w:val="DefaultParagraphFont"/>
    <w:link w:val="Heading4"/>
    <w:uiPriority w:val="1"/>
    <w:rsid w:val="000B415A"/>
    <w:rPr>
      <w:rFonts w:ascii="Adobe Garamond Pro" w:eastAsia="Times New Roman" w:hAnsi="Adobe Garamond Pro" w:cs="Times New Roman"/>
      <w:bCs/>
      <w:i/>
      <w:szCs w:val="28"/>
      <w:lang w:eastAsia="sv-SE"/>
    </w:rPr>
  </w:style>
  <w:style w:type="paragraph" w:customStyle="1" w:styleId="tabeltext">
    <w:name w:val="tabeltext"/>
    <w:basedOn w:val="tabeltextintabel"/>
    <w:link w:val="tabeltextChar"/>
    <w:qFormat/>
    <w:rsid w:val="000B415A"/>
    <w:pPr>
      <w:spacing w:after="120"/>
      <w:jc w:val="both"/>
    </w:pPr>
    <w:rPr>
      <w:sz w:val="14"/>
      <w:lang w:val="en-GB" w:eastAsia="sv-SE"/>
    </w:rPr>
  </w:style>
  <w:style w:type="paragraph" w:customStyle="1" w:styleId="tabeltextintabel">
    <w:name w:val="tabeltext in tabel"/>
    <w:basedOn w:val="Normal"/>
    <w:link w:val="tabeltextintabelChar"/>
    <w:qFormat/>
    <w:rsid w:val="00D30BCF"/>
    <w:pPr>
      <w:spacing w:before="20"/>
    </w:pPr>
    <w:rPr>
      <w:rFonts w:ascii="Arial" w:eastAsia="Times New Roman" w:hAnsi="Arial"/>
      <w:noProof/>
      <w:sz w:val="12"/>
      <w:lang w:val="sv-SE" w:eastAsia="x-none"/>
    </w:rPr>
  </w:style>
  <w:style w:type="character" w:customStyle="1" w:styleId="tabeltextintabelChar">
    <w:name w:val="tabeltext in tabel Char"/>
    <w:link w:val="tabeltextintabel"/>
    <w:rsid w:val="00D30BCF"/>
    <w:rPr>
      <w:rFonts w:ascii="Arial" w:eastAsia="Times New Roman" w:hAnsi="Arial" w:cs="Times New Roman"/>
      <w:noProof/>
      <w:sz w:val="12"/>
      <w:szCs w:val="24"/>
      <w:lang w:eastAsia="x-none"/>
    </w:rPr>
  </w:style>
  <w:style w:type="character" w:customStyle="1" w:styleId="tabeltextChar">
    <w:name w:val="tabeltext Char"/>
    <w:link w:val="tabeltext"/>
    <w:locked/>
    <w:rsid w:val="000B415A"/>
    <w:rPr>
      <w:rFonts w:ascii="Arial" w:eastAsia="Times New Roman" w:hAnsi="Arial" w:cs="Times New Roman"/>
      <w:noProof/>
      <w:sz w:val="14"/>
      <w:szCs w:val="24"/>
      <w:lang w:val="en-GB" w:eastAsia="sv-SE"/>
    </w:rPr>
  </w:style>
  <w:style w:type="paragraph" w:customStyle="1" w:styleId="references">
    <w:name w:val="references"/>
    <w:uiPriority w:val="2"/>
    <w:qFormat/>
    <w:rsid w:val="0046559D"/>
    <w:pPr>
      <w:spacing w:after="60" w:line="240" w:lineRule="exact"/>
      <w:ind w:left="454" w:hanging="454"/>
    </w:pPr>
    <w:rPr>
      <w:rFonts w:ascii="Adobe Garamond Pro" w:eastAsia="Times New Roman" w:hAnsi="Adobe Garamond Pro" w:cs="Times New Roman"/>
      <w:sz w:val="20"/>
      <w:szCs w:val="48"/>
      <w:lang w:eastAsia="sv-SE"/>
    </w:rPr>
  </w:style>
  <w:style w:type="paragraph" w:customStyle="1" w:styleId="picturetextheadline">
    <w:name w:val="picturetext headline"/>
    <w:link w:val="picturetextheadlineChar"/>
    <w:uiPriority w:val="2"/>
    <w:rsid w:val="0065651F"/>
    <w:pPr>
      <w:spacing w:after="0" w:line="240" w:lineRule="auto"/>
    </w:pPr>
    <w:rPr>
      <w:rFonts w:ascii="Arial" w:eastAsia="Times New Roman" w:hAnsi="Arial" w:cs="Times New Roman"/>
      <w:b/>
      <w:noProof/>
      <w:sz w:val="14"/>
      <w:szCs w:val="24"/>
      <w:lang w:eastAsia="sv-SE"/>
    </w:rPr>
  </w:style>
  <w:style w:type="character" w:customStyle="1" w:styleId="picturetextheadlineChar">
    <w:name w:val="picturetext headline Char"/>
    <w:link w:val="picturetextheadline"/>
    <w:uiPriority w:val="2"/>
    <w:rsid w:val="0065651F"/>
    <w:rPr>
      <w:rFonts w:ascii="Arial" w:eastAsia="Times New Roman" w:hAnsi="Arial" w:cs="Times New Roman"/>
      <w:b/>
      <w:noProof/>
      <w:sz w:val="14"/>
      <w:szCs w:val="24"/>
      <w:lang w:eastAsia="sv-SE"/>
    </w:rPr>
  </w:style>
  <w:style w:type="paragraph" w:customStyle="1" w:styleId="picturetext">
    <w:name w:val="picturetext"/>
    <w:basedOn w:val="picturetextheadline"/>
    <w:link w:val="picturetextChar"/>
    <w:uiPriority w:val="2"/>
    <w:qFormat/>
    <w:rsid w:val="0065651F"/>
    <w:pPr>
      <w:spacing w:after="360"/>
    </w:pPr>
    <w:rPr>
      <w:b w:val="0"/>
      <w:lang w:val="x-none" w:eastAsia="x-none"/>
    </w:rPr>
  </w:style>
  <w:style w:type="character" w:customStyle="1" w:styleId="picturetextChar">
    <w:name w:val="picturetext Char"/>
    <w:link w:val="picturetext"/>
    <w:uiPriority w:val="2"/>
    <w:rsid w:val="0065651F"/>
    <w:rPr>
      <w:rFonts w:ascii="Arial" w:eastAsia="Times New Roman" w:hAnsi="Arial" w:cs="Times New Roman"/>
      <w:noProof/>
      <w:sz w:val="14"/>
      <w:szCs w:val="24"/>
      <w:lang w:val="x-none" w:eastAsia="x-none"/>
    </w:rPr>
  </w:style>
  <w:style w:type="paragraph" w:customStyle="1" w:styleId="bodytext1">
    <w:name w:val="bodytext 1"/>
    <w:next w:val="bodytext2"/>
    <w:link w:val="bodytext1Char"/>
    <w:qFormat/>
    <w:rsid w:val="000B415A"/>
    <w:pPr>
      <w:spacing w:after="0" w:line="260" w:lineRule="exact"/>
      <w:jc w:val="both"/>
    </w:pPr>
    <w:rPr>
      <w:rFonts w:ascii="Adobe Garamond Pro" w:eastAsia="Times New Roman" w:hAnsi="Adobe Garamond Pro" w:cs="Times New Roman"/>
      <w:szCs w:val="24"/>
      <w:lang w:val="en-GB" w:eastAsia="sv-SE"/>
    </w:rPr>
  </w:style>
  <w:style w:type="paragraph" w:customStyle="1" w:styleId="bodytext2">
    <w:name w:val="bodytext 2"/>
    <w:link w:val="bodytext2Char"/>
    <w:qFormat/>
    <w:rsid w:val="005004C8"/>
    <w:pPr>
      <w:spacing w:after="0" w:line="260" w:lineRule="exact"/>
      <w:ind w:firstLine="221"/>
      <w:jc w:val="both"/>
    </w:pPr>
    <w:rPr>
      <w:rFonts w:ascii="Times New Roman" w:eastAsia="Times New Roman" w:hAnsi="Times New Roman" w:cs="Times New Roman"/>
      <w:szCs w:val="24"/>
      <w:lang w:val="en-GB" w:eastAsia="sv-SE"/>
    </w:rPr>
  </w:style>
  <w:style w:type="character" w:customStyle="1" w:styleId="bodytext2Char">
    <w:name w:val="bodytext 2 Char"/>
    <w:link w:val="bodytext2"/>
    <w:rsid w:val="005004C8"/>
    <w:rPr>
      <w:rFonts w:ascii="Times New Roman" w:eastAsia="Times New Roman" w:hAnsi="Times New Roman" w:cs="Times New Roman"/>
      <w:szCs w:val="24"/>
      <w:lang w:val="en-GB" w:eastAsia="sv-SE"/>
    </w:rPr>
  </w:style>
  <w:style w:type="character" w:customStyle="1" w:styleId="bodytext1Char">
    <w:name w:val="bodytext 1 Char"/>
    <w:link w:val="bodytext1"/>
    <w:rsid w:val="000B415A"/>
    <w:rPr>
      <w:rFonts w:ascii="Adobe Garamond Pro" w:eastAsia="Times New Roman" w:hAnsi="Adobe Garamond Pro" w:cs="Times New Roman"/>
      <w:szCs w:val="24"/>
      <w:lang w:val="en-GB" w:eastAsia="sv-SE"/>
    </w:rPr>
  </w:style>
  <w:style w:type="paragraph" w:customStyle="1" w:styleId="insertpicture">
    <w:name w:val="insert picture"/>
    <w:basedOn w:val="bodytext"/>
    <w:qFormat/>
    <w:rsid w:val="002634EB"/>
    <w:pPr>
      <w:spacing w:before="240" w:after="240" w:line="240" w:lineRule="auto"/>
      <w:jc w:val="center"/>
    </w:pPr>
    <w:rPr>
      <w:sz w:val="20"/>
    </w:rPr>
  </w:style>
  <w:style w:type="paragraph" w:customStyle="1" w:styleId="Citat1">
    <w:name w:val="Citat1"/>
    <w:basedOn w:val="bodytext"/>
    <w:rsid w:val="002634EB"/>
    <w:pPr>
      <w:spacing w:before="200" w:after="200" w:line="240" w:lineRule="auto"/>
      <w:ind w:left="567"/>
    </w:pPr>
    <w:rPr>
      <w:sz w:val="20"/>
    </w:rPr>
  </w:style>
  <w:style w:type="paragraph" w:customStyle="1" w:styleId="Tabelltextrubrik">
    <w:name w:val="Tabelltext rubrik"/>
    <w:link w:val="TabelltextrubrikChar"/>
    <w:rsid w:val="00570BE7"/>
    <w:pPr>
      <w:spacing w:before="240" w:after="0" w:line="240" w:lineRule="auto"/>
    </w:pPr>
    <w:rPr>
      <w:rFonts w:ascii="Arial" w:eastAsia="Times New Roman" w:hAnsi="Arial" w:cs="Times New Roman"/>
      <w:b/>
      <w:noProof/>
      <w:sz w:val="14"/>
      <w:szCs w:val="24"/>
      <w:lang w:eastAsia="sv-SE"/>
    </w:rPr>
  </w:style>
  <w:style w:type="character" w:customStyle="1" w:styleId="TabelltextrubrikChar">
    <w:name w:val="Tabelltext rubrik Char"/>
    <w:link w:val="Tabelltextrubrik"/>
    <w:rsid w:val="00570BE7"/>
    <w:rPr>
      <w:rFonts w:ascii="Arial" w:eastAsia="Times New Roman" w:hAnsi="Arial" w:cs="Times New Roman"/>
      <w:b/>
      <w:noProof/>
      <w:sz w:val="14"/>
      <w:szCs w:val="24"/>
      <w:lang w:eastAsia="sv-SE"/>
    </w:rPr>
  </w:style>
  <w:style w:type="paragraph" w:styleId="TOC1">
    <w:name w:val="toc 1"/>
    <w:aliases w:val="content 1"/>
    <w:basedOn w:val="Normal"/>
    <w:next w:val="Normal"/>
    <w:uiPriority w:val="39"/>
    <w:qFormat/>
    <w:rsid w:val="000B415A"/>
    <w:pPr>
      <w:tabs>
        <w:tab w:val="right" w:leader="dot" w:pos="7314"/>
      </w:tabs>
      <w:spacing w:before="120"/>
    </w:pPr>
    <w:rPr>
      <w:rFonts w:ascii="Adobe Garamond Pro" w:eastAsia="Times New Roman" w:hAnsi="Adobe Garamond Pro"/>
      <w:noProof/>
      <w:sz w:val="22"/>
      <w:szCs w:val="22"/>
      <w:lang w:val="sv-SE" w:eastAsia="sv-SE"/>
    </w:rPr>
  </w:style>
  <w:style w:type="paragraph" w:styleId="TOC2">
    <w:name w:val="toc 2"/>
    <w:aliases w:val="content 2"/>
    <w:basedOn w:val="Normal"/>
    <w:next w:val="Normal"/>
    <w:uiPriority w:val="39"/>
    <w:qFormat/>
    <w:rsid w:val="009069F1"/>
    <w:pPr>
      <w:tabs>
        <w:tab w:val="right" w:leader="dot" w:pos="7313"/>
      </w:tabs>
      <w:spacing w:before="40"/>
      <w:ind w:left="567"/>
    </w:pPr>
    <w:rPr>
      <w:rFonts w:ascii="Adobe Garamond Pro" w:eastAsia="Times New Roman" w:hAnsi="Adobe Garamond Pro"/>
      <w:iCs/>
      <w:sz w:val="22"/>
      <w:szCs w:val="20"/>
      <w:lang w:val="sv-SE" w:eastAsia="sv-SE"/>
    </w:rPr>
  </w:style>
  <w:style w:type="paragraph" w:styleId="TOC3">
    <w:name w:val="toc 3"/>
    <w:aliases w:val="content 3"/>
    <w:basedOn w:val="Normal"/>
    <w:next w:val="Normal"/>
    <w:uiPriority w:val="39"/>
    <w:qFormat/>
    <w:rsid w:val="000B415A"/>
    <w:pPr>
      <w:tabs>
        <w:tab w:val="right" w:leader="dot" w:pos="7313"/>
      </w:tabs>
      <w:ind w:left="1049"/>
    </w:pPr>
    <w:rPr>
      <w:rFonts w:ascii="Adobe Garamond Pro" w:eastAsia="Times New Roman" w:hAnsi="Adobe Garamond Pro"/>
      <w:sz w:val="22"/>
      <w:szCs w:val="20"/>
      <w:lang w:val="sv-SE" w:eastAsia="sv-SE"/>
    </w:rPr>
  </w:style>
  <w:style w:type="paragraph" w:styleId="FootnoteText">
    <w:name w:val="footnote text"/>
    <w:aliases w:val="fotnotetext"/>
    <w:basedOn w:val="Normal"/>
    <w:link w:val="FootnoteTextChar"/>
    <w:qFormat/>
    <w:rsid w:val="000B415A"/>
    <w:pPr>
      <w:spacing w:line="200" w:lineRule="exact"/>
      <w:ind w:left="255" w:hanging="255"/>
    </w:pPr>
    <w:rPr>
      <w:rFonts w:ascii="Adobe Garamond Pro" w:eastAsia="Times New Roman" w:hAnsi="Adobe Garamond Pro"/>
      <w:sz w:val="18"/>
      <w:szCs w:val="20"/>
      <w:lang w:val="sv-SE" w:eastAsia="sv-SE"/>
    </w:rPr>
  </w:style>
  <w:style w:type="character" w:customStyle="1" w:styleId="FootnoteTextChar">
    <w:name w:val="Footnote Text Char"/>
    <w:aliases w:val="fotnotetext Char"/>
    <w:basedOn w:val="DefaultParagraphFont"/>
    <w:link w:val="FootnoteText"/>
    <w:rsid w:val="000B415A"/>
    <w:rPr>
      <w:rFonts w:ascii="Adobe Garamond Pro" w:eastAsia="Times New Roman" w:hAnsi="Adobe Garamond Pro" w:cs="Times New Roman"/>
      <w:sz w:val="18"/>
      <w:szCs w:val="20"/>
      <w:lang w:eastAsia="sv-SE"/>
    </w:rPr>
  </w:style>
  <w:style w:type="paragraph" w:styleId="Header">
    <w:name w:val="header"/>
    <w:basedOn w:val="Normal"/>
    <w:link w:val="HeaderChar"/>
    <w:uiPriority w:val="99"/>
    <w:unhideWhenUsed/>
    <w:rsid w:val="007E64FC"/>
    <w:pPr>
      <w:tabs>
        <w:tab w:val="center" w:pos="4703"/>
        <w:tab w:val="right" w:pos="9406"/>
      </w:tabs>
    </w:pPr>
    <w:rPr>
      <w:lang w:val="sv-SE" w:eastAsia="sv-SE"/>
    </w:rPr>
  </w:style>
  <w:style w:type="character" w:customStyle="1" w:styleId="HeaderChar">
    <w:name w:val="Header Char"/>
    <w:basedOn w:val="DefaultParagraphFont"/>
    <w:link w:val="Header"/>
    <w:uiPriority w:val="99"/>
    <w:rsid w:val="007E64FC"/>
    <w:rPr>
      <w:rFonts w:ascii="Times New Roman" w:hAnsi="Times New Roman"/>
      <w:szCs w:val="24"/>
      <w:lang w:eastAsia="sv-SE"/>
    </w:rPr>
  </w:style>
  <w:style w:type="paragraph" w:styleId="Footer">
    <w:name w:val="footer"/>
    <w:basedOn w:val="Normal"/>
    <w:link w:val="FooterChar"/>
    <w:uiPriority w:val="99"/>
    <w:unhideWhenUsed/>
    <w:rsid w:val="007E64FC"/>
    <w:pPr>
      <w:tabs>
        <w:tab w:val="center" w:pos="4703"/>
        <w:tab w:val="right" w:pos="9406"/>
      </w:tabs>
    </w:pPr>
    <w:rPr>
      <w:lang w:val="sv-SE" w:eastAsia="sv-SE"/>
    </w:rPr>
  </w:style>
  <w:style w:type="character" w:customStyle="1" w:styleId="FooterChar">
    <w:name w:val="Footer Char"/>
    <w:basedOn w:val="DefaultParagraphFont"/>
    <w:link w:val="Footer"/>
    <w:uiPriority w:val="99"/>
    <w:rsid w:val="007E64FC"/>
    <w:rPr>
      <w:rFonts w:ascii="Times New Roman" w:hAnsi="Times New Roman"/>
      <w:szCs w:val="24"/>
      <w:lang w:eastAsia="sv-SE"/>
    </w:rPr>
  </w:style>
  <w:style w:type="table" w:styleId="LightList">
    <w:name w:val="Light List"/>
    <w:basedOn w:val="TableNormal"/>
    <w:uiPriority w:val="61"/>
    <w:rsid w:val="007E64FC"/>
    <w:pPr>
      <w:spacing w:after="0" w:line="240" w:lineRule="auto"/>
    </w:pPr>
    <w:rPr>
      <w:rFonts w:eastAsiaTheme="minorEastAsia"/>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Light">
    <w:name w:val="Grid Table Light"/>
    <w:basedOn w:val="TableNormal"/>
    <w:uiPriority w:val="40"/>
    <w:rsid w:val="007E64F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GridTable4-Accent2">
    <w:name w:val="Grid Table 4 Accent 2"/>
    <w:basedOn w:val="TableNormal"/>
    <w:uiPriority w:val="49"/>
    <w:rsid w:val="007E64FC"/>
    <w:pPr>
      <w:spacing w:after="0" w:line="240" w:lineRule="auto"/>
    </w:pPr>
    <w:tblPr>
      <w:tblStyleRowBandSize w:val="1"/>
      <w:tblStyleColBandSize w:val="1"/>
      <w:tblInd w:w="0" w:type="dxa"/>
      <w:tblBorders>
        <w:top w:val="single" w:sz="4" w:space="0" w:color="D5E4EA" w:themeColor="accent2" w:themeTint="99"/>
        <w:left w:val="single" w:sz="4" w:space="0" w:color="D5E4EA" w:themeColor="accent2" w:themeTint="99"/>
        <w:bottom w:val="single" w:sz="4" w:space="0" w:color="D5E4EA" w:themeColor="accent2" w:themeTint="99"/>
        <w:right w:val="single" w:sz="4" w:space="0" w:color="D5E4EA" w:themeColor="accent2" w:themeTint="99"/>
        <w:insideH w:val="single" w:sz="4" w:space="0" w:color="D5E4EA" w:themeColor="accent2" w:themeTint="99"/>
        <w:insideV w:val="single" w:sz="4" w:space="0" w:color="D5E4EA"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9D3DC" w:themeColor="accent2"/>
          <w:left w:val="single" w:sz="4" w:space="0" w:color="B9D3DC" w:themeColor="accent2"/>
          <w:bottom w:val="single" w:sz="4" w:space="0" w:color="B9D3DC" w:themeColor="accent2"/>
          <w:right w:val="single" w:sz="4" w:space="0" w:color="B9D3DC" w:themeColor="accent2"/>
          <w:insideH w:val="nil"/>
          <w:insideV w:val="nil"/>
        </w:tcBorders>
        <w:shd w:val="clear" w:color="auto" w:fill="B9D3DC" w:themeFill="accent2"/>
      </w:tcPr>
    </w:tblStylePr>
    <w:tblStylePr w:type="lastRow">
      <w:rPr>
        <w:b/>
        <w:bCs/>
      </w:rPr>
      <w:tblPr/>
      <w:tcPr>
        <w:tcBorders>
          <w:top w:val="double" w:sz="4" w:space="0" w:color="B9D3DC" w:themeColor="accent2"/>
        </w:tcBorders>
      </w:tcPr>
    </w:tblStylePr>
    <w:tblStylePr w:type="firstCol">
      <w:rPr>
        <w:b/>
        <w:bCs/>
      </w:rPr>
    </w:tblStylePr>
    <w:tblStylePr w:type="lastCol">
      <w:rPr>
        <w:b/>
        <w:bCs/>
      </w:rPr>
    </w:tblStylePr>
    <w:tblStylePr w:type="band1Vert">
      <w:tblPr/>
      <w:tcPr>
        <w:shd w:val="clear" w:color="auto" w:fill="F1F6F8" w:themeFill="accent2" w:themeFillTint="33"/>
      </w:tcPr>
    </w:tblStylePr>
    <w:tblStylePr w:type="band1Horz">
      <w:tblPr/>
      <w:tcPr>
        <w:shd w:val="clear" w:color="auto" w:fill="F1F6F8" w:themeFill="accent2" w:themeFillTint="33"/>
      </w:tcPr>
    </w:tblStylePr>
  </w:style>
  <w:style w:type="table" w:styleId="GridTable4-Accent4">
    <w:name w:val="Grid Table 4 Accent 4"/>
    <w:basedOn w:val="TableNormal"/>
    <w:uiPriority w:val="49"/>
    <w:rsid w:val="007E64FC"/>
    <w:pPr>
      <w:spacing w:after="0" w:line="240" w:lineRule="auto"/>
    </w:pPr>
    <w:tblPr>
      <w:tblStyleRowBandSize w:val="1"/>
      <w:tblStyleColBandSize w:val="1"/>
      <w:tblInd w:w="0" w:type="dxa"/>
      <w:tblBorders>
        <w:top w:val="single" w:sz="4" w:space="0" w:color="E6E4DB" w:themeColor="accent4" w:themeTint="99"/>
        <w:left w:val="single" w:sz="4" w:space="0" w:color="E6E4DB" w:themeColor="accent4" w:themeTint="99"/>
        <w:bottom w:val="single" w:sz="4" w:space="0" w:color="E6E4DB" w:themeColor="accent4" w:themeTint="99"/>
        <w:right w:val="single" w:sz="4" w:space="0" w:color="E6E4DB" w:themeColor="accent4" w:themeTint="99"/>
        <w:insideH w:val="single" w:sz="4" w:space="0" w:color="E6E4DB" w:themeColor="accent4" w:themeTint="99"/>
        <w:insideV w:val="single" w:sz="4" w:space="0" w:color="E6E4DB"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6D2C4" w:themeColor="accent4"/>
          <w:left w:val="single" w:sz="4" w:space="0" w:color="D6D2C4" w:themeColor="accent4"/>
          <w:bottom w:val="single" w:sz="4" w:space="0" w:color="D6D2C4" w:themeColor="accent4"/>
          <w:right w:val="single" w:sz="4" w:space="0" w:color="D6D2C4" w:themeColor="accent4"/>
          <w:insideH w:val="nil"/>
          <w:insideV w:val="nil"/>
        </w:tcBorders>
        <w:shd w:val="clear" w:color="auto" w:fill="D6D2C4" w:themeFill="accent4"/>
      </w:tcPr>
    </w:tblStylePr>
    <w:tblStylePr w:type="lastRow">
      <w:rPr>
        <w:b/>
        <w:bCs/>
      </w:rPr>
      <w:tblPr/>
      <w:tcPr>
        <w:tcBorders>
          <w:top w:val="double" w:sz="4" w:space="0" w:color="D6D2C4" w:themeColor="accent4"/>
        </w:tcBorders>
      </w:tcPr>
    </w:tblStylePr>
    <w:tblStylePr w:type="firstCol">
      <w:rPr>
        <w:b/>
        <w:bCs/>
      </w:rPr>
    </w:tblStylePr>
    <w:tblStylePr w:type="lastCol">
      <w:rPr>
        <w:b/>
        <w:bCs/>
      </w:rPr>
    </w:tblStylePr>
    <w:tblStylePr w:type="band1Vert">
      <w:tblPr/>
      <w:tcPr>
        <w:shd w:val="clear" w:color="auto" w:fill="F6F6F3" w:themeFill="accent4" w:themeFillTint="33"/>
      </w:tcPr>
    </w:tblStylePr>
    <w:tblStylePr w:type="band1Horz">
      <w:tblPr/>
      <w:tcPr>
        <w:shd w:val="clear" w:color="auto" w:fill="F6F6F3" w:themeFill="accent4" w:themeFillTint="33"/>
      </w:tcPr>
    </w:tblStylePr>
  </w:style>
  <w:style w:type="paragraph" w:customStyle="1" w:styleId="DecimalAligned">
    <w:name w:val="Decimal Aligned"/>
    <w:basedOn w:val="Normal"/>
    <w:uiPriority w:val="40"/>
    <w:rsid w:val="0065651F"/>
    <w:pPr>
      <w:tabs>
        <w:tab w:val="decimal" w:pos="360"/>
      </w:tabs>
      <w:spacing w:after="200" w:line="276" w:lineRule="auto"/>
    </w:pPr>
    <w:rPr>
      <w:rFonts w:asciiTheme="minorHAnsi" w:eastAsiaTheme="minorEastAsia" w:hAnsiTheme="minorHAnsi"/>
      <w:sz w:val="18"/>
      <w:szCs w:val="22"/>
      <w:lang w:val="en-US" w:eastAsia="en-US"/>
    </w:rPr>
  </w:style>
  <w:style w:type="character" w:styleId="BookTitle">
    <w:name w:val="Book Title"/>
    <w:basedOn w:val="DefaultParagraphFont"/>
    <w:uiPriority w:val="33"/>
    <w:rsid w:val="00570BE7"/>
    <w:rPr>
      <w:b/>
      <w:bCs/>
      <w:i/>
      <w:iCs/>
      <w:spacing w:val="5"/>
    </w:rPr>
  </w:style>
  <w:style w:type="table" w:styleId="MediumShading2-Accent5">
    <w:name w:val="Medium Shading 2 Accent 5"/>
    <w:basedOn w:val="TableNormal"/>
    <w:uiPriority w:val="64"/>
    <w:rsid w:val="007E64FC"/>
    <w:pPr>
      <w:spacing w:after="0" w:line="240" w:lineRule="auto"/>
    </w:pPr>
    <w:rPr>
      <w:rFonts w:eastAsiaTheme="minorEastAsia"/>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B8A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B8AF" w:themeFill="accent5"/>
      </w:tcPr>
    </w:tblStylePr>
    <w:tblStylePr w:type="lastCol">
      <w:rPr>
        <w:b/>
        <w:bCs/>
        <w:color w:val="FFFFFF" w:themeColor="background1"/>
      </w:rPr>
      <w:tblPr/>
      <w:tcPr>
        <w:tcBorders>
          <w:left w:val="nil"/>
          <w:right w:val="nil"/>
          <w:insideH w:val="nil"/>
          <w:insideV w:val="nil"/>
        </w:tcBorders>
        <w:shd w:val="clear" w:color="auto" w:fill="BFB8A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76590C"/>
    <w:rPr>
      <w:color w:val="0563C1" w:themeColor="hyperlink"/>
      <w:u w:val="single"/>
    </w:rPr>
  </w:style>
  <w:style w:type="table" w:styleId="TableGrid">
    <w:name w:val="Table Grid"/>
    <w:basedOn w:val="TableNormal"/>
    <w:uiPriority w:val="59"/>
    <w:rsid w:val="007659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nt1">
    <w:name w:val="Tabellrutnät1"/>
    <w:basedOn w:val="TableNormal"/>
    <w:next w:val="TableGrid"/>
    <w:uiPriority w:val="59"/>
    <w:rsid w:val="007659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nt2">
    <w:name w:val="Tabellrutnät2"/>
    <w:basedOn w:val="TableNormal"/>
    <w:next w:val="TableGrid"/>
    <w:uiPriority w:val="59"/>
    <w:rsid w:val="007659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6590C"/>
    <w:rPr>
      <w:rFonts w:ascii="Tahoma" w:hAnsi="Tahoma" w:cs="Tahoma"/>
      <w:sz w:val="16"/>
      <w:szCs w:val="16"/>
      <w:lang w:val="sv-SE" w:eastAsia="en-US"/>
    </w:rPr>
  </w:style>
  <w:style w:type="character" w:customStyle="1" w:styleId="BalloonTextChar">
    <w:name w:val="Balloon Text Char"/>
    <w:basedOn w:val="DefaultParagraphFont"/>
    <w:link w:val="BalloonText"/>
    <w:uiPriority w:val="99"/>
    <w:semiHidden/>
    <w:rsid w:val="0076590C"/>
    <w:rPr>
      <w:rFonts w:ascii="Tahoma" w:hAnsi="Tahoma" w:cs="Tahoma"/>
      <w:sz w:val="16"/>
      <w:szCs w:val="16"/>
    </w:rPr>
  </w:style>
  <w:style w:type="character" w:styleId="CommentReference">
    <w:name w:val="annotation reference"/>
    <w:basedOn w:val="DefaultParagraphFont"/>
    <w:uiPriority w:val="99"/>
    <w:semiHidden/>
    <w:unhideWhenUsed/>
    <w:rsid w:val="0076590C"/>
    <w:rPr>
      <w:sz w:val="16"/>
      <w:szCs w:val="16"/>
    </w:rPr>
  </w:style>
  <w:style w:type="paragraph" w:styleId="CommentText">
    <w:name w:val="annotation text"/>
    <w:basedOn w:val="Normal"/>
    <w:link w:val="CommentTextChar"/>
    <w:uiPriority w:val="99"/>
    <w:unhideWhenUsed/>
    <w:rsid w:val="0076590C"/>
    <w:pPr>
      <w:spacing w:after="200"/>
    </w:pPr>
    <w:rPr>
      <w:rFonts w:asciiTheme="minorHAnsi" w:hAnsiTheme="minorHAnsi"/>
      <w:sz w:val="20"/>
      <w:szCs w:val="20"/>
      <w:lang w:val="sv-SE" w:eastAsia="en-US"/>
    </w:rPr>
  </w:style>
  <w:style w:type="character" w:customStyle="1" w:styleId="CommentTextChar">
    <w:name w:val="Comment Text Char"/>
    <w:basedOn w:val="DefaultParagraphFont"/>
    <w:link w:val="CommentText"/>
    <w:uiPriority w:val="99"/>
    <w:rsid w:val="0076590C"/>
    <w:rPr>
      <w:sz w:val="20"/>
      <w:szCs w:val="20"/>
    </w:rPr>
  </w:style>
  <w:style w:type="paragraph" w:styleId="CommentSubject">
    <w:name w:val="annotation subject"/>
    <w:basedOn w:val="CommentText"/>
    <w:next w:val="CommentText"/>
    <w:link w:val="CommentSubjectChar"/>
    <w:uiPriority w:val="99"/>
    <w:semiHidden/>
    <w:unhideWhenUsed/>
    <w:rsid w:val="0076590C"/>
    <w:rPr>
      <w:b/>
      <w:bCs/>
    </w:rPr>
  </w:style>
  <w:style w:type="character" w:customStyle="1" w:styleId="CommentSubjectChar">
    <w:name w:val="Comment Subject Char"/>
    <w:basedOn w:val="CommentTextChar"/>
    <w:link w:val="CommentSubject"/>
    <w:uiPriority w:val="99"/>
    <w:semiHidden/>
    <w:rsid w:val="0076590C"/>
    <w:rPr>
      <w:b/>
      <w:bCs/>
      <w:sz w:val="20"/>
      <w:szCs w:val="20"/>
    </w:rPr>
  </w:style>
  <w:style w:type="paragraph" w:styleId="Revision">
    <w:name w:val="Revision"/>
    <w:hidden/>
    <w:uiPriority w:val="99"/>
    <w:semiHidden/>
    <w:rsid w:val="0076590C"/>
    <w:pPr>
      <w:spacing w:after="0" w:line="240" w:lineRule="auto"/>
    </w:pPr>
  </w:style>
  <w:style w:type="character" w:styleId="LineNumber">
    <w:name w:val="line number"/>
    <w:basedOn w:val="DefaultParagraphFont"/>
    <w:uiPriority w:val="99"/>
    <w:semiHidden/>
    <w:unhideWhenUsed/>
    <w:rsid w:val="0076590C"/>
  </w:style>
  <w:style w:type="table" w:styleId="PlainTable5">
    <w:name w:val="Plain Table 5"/>
    <w:basedOn w:val="TableNormal"/>
    <w:uiPriority w:val="45"/>
    <w:rsid w:val="00E732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5">
    <w:name w:val="Grid Table 4 Accent 5"/>
    <w:basedOn w:val="TableNormal"/>
    <w:uiPriority w:val="49"/>
    <w:rsid w:val="006B16E4"/>
    <w:pPr>
      <w:spacing w:after="0" w:line="240" w:lineRule="auto"/>
    </w:pPr>
    <w:tblPr>
      <w:tblStyleRowBandSize w:val="1"/>
      <w:tblStyleColBandSize w:val="1"/>
      <w:tblInd w:w="0" w:type="dxa"/>
      <w:tblBorders>
        <w:top w:val="single" w:sz="4" w:space="0" w:color="D8D4CE" w:themeColor="accent5" w:themeTint="99"/>
        <w:left w:val="single" w:sz="4" w:space="0" w:color="D8D4CE" w:themeColor="accent5" w:themeTint="99"/>
        <w:bottom w:val="single" w:sz="4" w:space="0" w:color="D8D4CE" w:themeColor="accent5" w:themeTint="99"/>
        <w:right w:val="single" w:sz="4" w:space="0" w:color="D8D4CE" w:themeColor="accent5" w:themeTint="99"/>
        <w:insideH w:val="single" w:sz="4" w:space="0" w:color="D8D4CE" w:themeColor="accent5" w:themeTint="99"/>
        <w:insideV w:val="single" w:sz="4" w:space="0" w:color="D8D4CE"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FB8AF" w:themeColor="accent5"/>
          <w:left w:val="single" w:sz="4" w:space="0" w:color="BFB8AF" w:themeColor="accent5"/>
          <w:bottom w:val="single" w:sz="4" w:space="0" w:color="BFB8AF" w:themeColor="accent5"/>
          <w:right w:val="single" w:sz="4" w:space="0" w:color="BFB8AF" w:themeColor="accent5"/>
          <w:insideH w:val="nil"/>
          <w:insideV w:val="nil"/>
        </w:tcBorders>
        <w:shd w:val="clear" w:color="auto" w:fill="BFB8AF" w:themeFill="accent5"/>
      </w:tcPr>
    </w:tblStylePr>
    <w:tblStylePr w:type="lastRow">
      <w:rPr>
        <w:b/>
        <w:bCs/>
      </w:rPr>
      <w:tblPr/>
      <w:tcPr>
        <w:tcBorders>
          <w:top w:val="double" w:sz="4" w:space="0" w:color="BFB8AF" w:themeColor="accent5"/>
        </w:tcBorders>
      </w:tcPr>
    </w:tblStylePr>
    <w:tblStylePr w:type="firstCol">
      <w:rPr>
        <w:b/>
        <w:bCs/>
      </w:rPr>
    </w:tblStylePr>
    <w:tblStylePr w:type="lastCol">
      <w:rPr>
        <w:b/>
        <w:bCs/>
      </w:rPr>
    </w:tblStylePr>
    <w:tblStylePr w:type="band1Vert">
      <w:tblPr/>
      <w:tcPr>
        <w:shd w:val="clear" w:color="auto" w:fill="F2F0EE" w:themeFill="accent5" w:themeFillTint="33"/>
      </w:tcPr>
    </w:tblStylePr>
    <w:tblStylePr w:type="band1Horz">
      <w:tblPr/>
      <w:tcPr>
        <w:shd w:val="clear" w:color="auto" w:fill="F2F0EE" w:themeFill="accent5" w:themeFillTint="33"/>
      </w:tcPr>
    </w:tblStylePr>
  </w:style>
  <w:style w:type="table" w:styleId="GridTable2-Accent5">
    <w:name w:val="Grid Table 2 Accent 5"/>
    <w:basedOn w:val="TableNormal"/>
    <w:uiPriority w:val="47"/>
    <w:rsid w:val="006B16E4"/>
    <w:pPr>
      <w:spacing w:after="0" w:line="240" w:lineRule="auto"/>
    </w:pPr>
    <w:tblPr>
      <w:tblStyleRowBandSize w:val="1"/>
      <w:tblStyleColBandSize w:val="1"/>
      <w:tblInd w:w="0" w:type="dxa"/>
      <w:tblBorders>
        <w:top w:val="single" w:sz="2" w:space="0" w:color="D8D4CE" w:themeColor="accent5" w:themeTint="99"/>
        <w:bottom w:val="single" w:sz="2" w:space="0" w:color="D8D4CE" w:themeColor="accent5" w:themeTint="99"/>
        <w:insideH w:val="single" w:sz="2" w:space="0" w:color="D8D4CE" w:themeColor="accent5" w:themeTint="99"/>
        <w:insideV w:val="single" w:sz="2" w:space="0" w:color="D8D4CE" w:themeColor="accent5" w:themeTint="99"/>
      </w:tblBorders>
      <w:tblCellMar>
        <w:top w:w="0" w:type="dxa"/>
        <w:left w:w="108" w:type="dxa"/>
        <w:bottom w:w="0" w:type="dxa"/>
        <w:right w:w="108" w:type="dxa"/>
      </w:tblCellMar>
    </w:tblPr>
    <w:tblStylePr w:type="firstRow">
      <w:rPr>
        <w:b/>
        <w:bCs/>
      </w:rPr>
      <w:tblPr/>
      <w:tcPr>
        <w:tcBorders>
          <w:top w:val="nil"/>
          <w:bottom w:val="single" w:sz="12" w:space="0" w:color="D8D4CE" w:themeColor="accent5" w:themeTint="99"/>
          <w:insideH w:val="nil"/>
          <w:insideV w:val="nil"/>
        </w:tcBorders>
        <w:shd w:val="clear" w:color="auto" w:fill="FFFFFF" w:themeFill="background1"/>
      </w:tcPr>
    </w:tblStylePr>
    <w:tblStylePr w:type="lastRow">
      <w:rPr>
        <w:b/>
        <w:bCs/>
      </w:rPr>
      <w:tblPr/>
      <w:tcPr>
        <w:tcBorders>
          <w:top w:val="double" w:sz="2" w:space="0" w:color="D8D4C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0EE" w:themeFill="accent5" w:themeFillTint="33"/>
      </w:tcPr>
    </w:tblStylePr>
    <w:tblStylePr w:type="band1Horz">
      <w:tblPr/>
      <w:tcPr>
        <w:shd w:val="clear" w:color="auto" w:fill="F2F0EE" w:themeFill="accent5" w:themeFillTint="33"/>
      </w:tcPr>
    </w:tblStylePr>
  </w:style>
  <w:style w:type="table" w:styleId="GridTable2-Accent4">
    <w:name w:val="Grid Table 2 Accent 4"/>
    <w:basedOn w:val="TableNormal"/>
    <w:uiPriority w:val="47"/>
    <w:rsid w:val="006B16E4"/>
    <w:pPr>
      <w:spacing w:after="0" w:line="240" w:lineRule="auto"/>
    </w:pPr>
    <w:tblPr>
      <w:tblStyleRowBandSize w:val="1"/>
      <w:tblStyleColBandSize w:val="1"/>
      <w:tblInd w:w="0" w:type="dxa"/>
      <w:tblBorders>
        <w:top w:val="single" w:sz="2" w:space="0" w:color="E6E4DB" w:themeColor="accent4" w:themeTint="99"/>
        <w:bottom w:val="single" w:sz="2" w:space="0" w:color="E6E4DB" w:themeColor="accent4" w:themeTint="99"/>
        <w:insideH w:val="single" w:sz="2" w:space="0" w:color="E6E4DB" w:themeColor="accent4" w:themeTint="99"/>
        <w:insideV w:val="single" w:sz="2" w:space="0" w:color="E6E4DB" w:themeColor="accent4" w:themeTint="99"/>
      </w:tblBorders>
      <w:tblCellMar>
        <w:top w:w="0" w:type="dxa"/>
        <w:left w:w="108" w:type="dxa"/>
        <w:bottom w:w="0" w:type="dxa"/>
        <w:right w:w="108" w:type="dxa"/>
      </w:tblCellMar>
    </w:tblPr>
    <w:tblStylePr w:type="firstRow">
      <w:rPr>
        <w:b/>
        <w:bCs/>
      </w:rPr>
      <w:tblPr/>
      <w:tcPr>
        <w:tcBorders>
          <w:top w:val="nil"/>
          <w:bottom w:val="single" w:sz="12" w:space="0" w:color="E6E4DB" w:themeColor="accent4" w:themeTint="99"/>
          <w:insideH w:val="nil"/>
          <w:insideV w:val="nil"/>
        </w:tcBorders>
        <w:shd w:val="clear" w:color="auto" w:fill="FFFFFF" w:themeFill="background1"/>
      </w:tcPr>
    </w:tblStylePr>
    <w:tblStylePr w:type="lastRow">
      <w:rPr>
        <w:b/>
        <w:bCs/>
      </w:rPr>
      <w:tblPr/>
      <w:tcPr>
        <w:tcBorders>
          <w:top w:val="double" w:sz="2" w:space="0" w:color="E6E4D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6F3" w:themeFill="accent4" w:themeFillTint="33"/>
      </w:tcPr>
    </w:tblStylePr>
    <w:tblStylePr w:type="band1Horz">
      <w:tblPr/>
      <w:tcPr>
        <w:shd w:val="clear" w:color="auto" w:fill="F6F6F3" w:themeFill="accent4" w:themeFillTint="33"/>
      </w:tcPr>
    </w:tblStylePr>
  </w:style>
  <w:style w:type="table" w:styleId="ListTable4">
    <w:name w:val="List Table 4"/>
    <w:basedOn w:val="TableNormal"/>
    <w:uiPriority w:val="49"/>
    <w:rsid w:val="006B16E4"/>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5">
    <w:name w:val="List Table 4 Accent 5"/>
    <w:basedOn w:val="TableNormal"/>
    <w:uiPriority w:val="49"/>
    <w:rsid w:val="006B16E4"/>
    <w:pPr>
      <w:spacing w:after="0" w:line="240" w:lineRule="auto"/>
    </w:pPr>
    <w:tblPr>
      <w:tblStyleRowBandSize w:val="1"/>
      <w:tblStyleColBandSize w:val="1"/>
      <w:tblInd w:w="0" w:type="dxa"/>
      <w:tblBorders>
        <w:top w:val="single" w:sz="4" w:space="0" w:color="D8D4CE" w:themeColor="accent5" w:themeTint="99"/>
        <w:left w:val="single" w:sz="4" w:space="0" w:color="D8D4CE" w:themeColor="accent5" w:themeTint="99"/>
        <w:bottom w:val="single" w:sz="4" w:space="0" w:color="D8D4CE" w:themeColor="accent5" w:themeTint="99"/>
        <w:right w:val="single" w:sz="4" w:space="0" w:color="D8D4CE" w:themeColor="accent5" w:themeTint="99"/>
        <w:insideH w:val="single" w:sz="4" w:space="0" w:color="D8D4CE"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FB8AF" w:themeColor="accent5"/>
          <w:left w:val="single" w:sz="4" w:space="0" w:color="BFB8AF" w:themeColor="accent5"/>
          <w:bottom w:val="single" w:sz="4" w:space="0" w:color="BFB8AF" w:themeColor="accent5"/>
          <w:right w:val="single" w:sz="4" w:space="0" w:color="BFB8AF" w:themeColor="accent5"/>
          <w:insideH w:val="nil"/>
        </w:tcBorders>
        <w:shd w:val="clear" w:color="auto" w:fill="BFB8AF" w:themeFill="accent5"/>
      </w:tcPr>
    </w:tblStylePr>
    <w:tblStylePr w:type="lastRow">
      <w:rPr>
        <w:b/>
        <w:bCs/>
      </w:rPr>
      <w:tblPr/>
      <w:tcPr>
        <w:tcBorders>
          <w:top w:val="double" w:sz="4" w:space="0" w:color="D8D4CE" w:themeColor="accent5" w:themeTint="99"/>
        </w:tcBorders>
      </w:tcPr>
    </w:tblStylePr>
    <w:tblStylePr w:type="firstCol">
      <w:rPr>
        <w:b/>
        <w:bCs/>
      </w:rPr>
    </w:tblStylePr>
    <w:tblStylePr w:type="lastCol">
      <w:rPr>
        <w:b/>
        <w:bCs/>
      </w:rPr>
    </w:tblStylePr>
    <w:tblStylePr w:type="band1Vert">
      <w:tblPr/>
      <w:tcPr>
        <w:shd w:val="clear" w:color="auto" w:fill="F2F0EE" w:themeFill="accent5" w:themeFillTint="33"/>
      </w:tcPr>
    </w:tblStylePr>
    <w:tblStylePr w:type="band1Horz">
      <w:tblPr/>
      <w:tcPr>
        <w:shd w:val="clear" w:color="auto" w:fill="F2F0EE" w:themeFill="accent5" w:themeFillTint="33"/>
      </w:tcPr>
    </w:tblStylePr>
  </w:style>
  <w:style w:type="table" w:styleId="ListTable3-Accent5">
    <w:name w:val="List Table 3 Accent 5"/>
    <w:basedOn w:val="TableNormal"/>
    <w:uiPriority w:val="48"/>
    <w:rsid w:val="006B16E4"/>
    <w:pPr>
      <w:spacing w:after="0" w:line="240" w:lineRule="auto"/>
    </w:pPr>
    <w:tblPr>
      <w:tblStyleRowBandSize w:val="1"/>
      <w:tblStyleColBandSize w:val="1"/>
      <w:tblInd w:w="0" w:type="dxa"/>
      <w:tblBorders>
        <w:top w:val="single" w:sz="4" w:space="0" w:color="BFB8AF" w:themeColor="accent5"/>
        <w:left w:val="single" w:sz="4" w:space="0" w:color="BFB8AF" w:themeColor="accent5"/>
        <w:bottom w:val="single" w:sz="4" w:space="0" w:color="BFB8AF" w:themeColor="accent5"/>
        <w:right w:val="single" w:sz="4" w:space="0" w:color="BFB8AF" w:themeColor="accent5"/>
      </w:tblBorders>
      <w:tblCellMar>
        <w:top w:w="0" w:type="dxa"/>
        <w:left w:w="108" w:type="dxa"/>
        <w:bottom w:w="0" w:type="dxa"/>
        <w:right w:w="108" w:type="dxa"/>
      </w:tblCellMar>
    </w:tblPr>
    <w:tblStylePr w:type="firstRow">
      <w:rPr>
        <w:b/>
        <w:bCs/>
        <w:color w:val="FFFFFF" w:themeColor="background1"/>
      </w:rPr>
      <w:tblPr/>
      <w:tcPr>
        <w:shd w:val="clear" w:color="auto" w:fill="BFB8AF" w:themeFill="accent5"/>
      </w:tcPr>
    </w:tblStylePr>
    <w:tblStylePr w:type="lastRow">
      <w:rPr>
        <w:b/>
        <w:bCs/>
      </w:rPr>
      <w:tblPr/>
      <w:tcPr>
        <w:tcBorders>
          <w:top w:val="double" w:sz="4" w:space="0" w:color="BFB8A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B8AF" w:themeColor="accent5"/>
          <w:right w:val="single" w:sz="4" w:space="0" w:color="BFB8AF" w:themeColor="accent5"/>
        </w:tcBorders>
      </w:tcPr>
    </w:tblStylePr>
    <w:tblStylePr w:type="band1Horz">
      <w:tblPr/>
      <w:tcPr>
        <w:tcBorders>
          <w:top w:val="single" w:sz="4" w:space="0" w:color="BFB8AF" w:themeColor="accent5"/>
          <w:bottom w:val="single" w:sz="4" w:space="0" w:color="BFB8A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B8AF" w:themeColor="accent5"/>
          <w:left w:val="nil"/>
        </w:tcBorders>
      </w:tcPr>
    </w:tblStylePr>
    <w:tblStylePr w:type="swCell">
      <w:tblPr/>
      <w:tcPr>
        <w:tcBorders>
          <w:top w:val="double" w:sz="4" w:space="0" w:color="BFB8AF" w:themeColor="accent5"/>
          <w:right w:val="nil"/>
        </w:tcBorders>
      </w:tcPr>
    </w:tblStylePr>
  </w:style>
  <w:style w:type="table" w:styleId="GridTable5Dark-Accent5">
    <w:name w:val="Grid Table 5 Dark Accent 5"/>
    <w:basedOn w:val="TableNormal"/>
    <w:uiPriority w:val="50"/>
    <w:rsid w:val="00D003A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0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B8A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B8A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B8A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8AF" w:themeFill="accent5"/>
      </w:tcPr>
    </w:tblStylePr>
    <w:tblStylePr w:type="band1Vert">
      <w:tblPr/>
      <w:tcPr>
        <w:shd w:val="clear" w:color="auto" w:fill="E5E2DE" w:themeFill="accent5" w:themeFillTint="66"/>
      </w:tcPr>
    </w:tblStylePr>
    <w:tblStylePr w:type="band1Horz">
      <w:tblPr/>
      <w:tcPr>
        <w:shd w:val="clear" w:color="auto" w:fill="E5E2DE" w:themeFill="accent5" w:themeFillTint="66"/>
      </w:tcPr>
    </w:tblStylePr>
  </w:style>
  <w:style w:type="table" w:styleId="GridTable5Dark-Accent4">
    <w:name w:val="Grid Table 5 Dark Accent 4"/>
    <w:basedOn w:val="TableNormal"/>
    <w:uiPriority w:val="50"/>
    <w:rsid w:val="00D003A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6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6D2C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6D2C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6D2C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6D2C4" w:themeFill="accent4"/>
      </w:tcPr>
    </w:tblStylePr>
    <w:tblStylePr w:type="band1Vert">
      <w:tblPr/>
      <w:tcPr>
        <w:shd w:val="clear" w:color="auto" w:fill="EEEDE7" w:themeFill="accent4" w:themeFillTint="66"/>
      </w:tcPr>
    </w:tblStylePr>
    <w:tblStylePr w:type="band1Horz">
      <w:tblPr/>
      <w:tcPr>
        <w:shd w:val="clear" w:color="auto" w:fill="EEEDE7" w:themeFill="accent4" w:themeFillTint="66"/>
      </w:tcPr>
    </w:tblStylePr>
  </w:style>
  <w:style w:type="paragraph" w:customStyle="1" w:styleId="UppsatsBrdtext">
    <w:name w:val="Uppsats_Brödtext"/>
    <w:semiHidden/>
    <w:locked/>
    <w:rsid w:val="00FF03B6"/>
    <w:pPr>
      <w:spacing w:after="0" w:line="300" w:lineRule="exact"/>
      <w:ind w:left="567" w:right="567" w:firstLine="357"/>
      <w:jc w:val="both"/>
    </w:pPr>
    <w:rPr>
      <w:rFonts w:ascii="Times New Roman" w:eastAsia="Times New Roman" w:hAnsi="Times New Roman" w:cs="Times New Roman"/>
      <w:sz w:val="24"/>
      <w:szCs w:val="48"/>
      <w:lang w:eastAsia="sv-SE"/>
    </w:rPr>
  </w:style>
  <w:style w:type="paragraph" w:customStyle="1" w:styleId="FrstaStycke">
    <w:name w:val="FörstaStycke"/>
    <w:next w:val="UppsatsBrdtext"/>
    <w:link w:val="FrstaStyckeChar"/>
    <w:locked/>
    <w:rsid w:val="00FF03B6"/>
    <w:pPr>
      <w:spacing w:after="0" w:line="300" w:lineRule="exact"/>
      <w:ind w:left="567" w:right="567"/>
      <w:jc w:val="both"/>
    </w:pPr>
    <w:rPr>
      <w:rFonts w:ascii="Times New Roman" w:eastAsia="Times New Roman" w:hAnsi="Times New Roman" w:cs="Times New Roman"/>
      <w:sz w:val="24"/>
      <w:szCs w:val="24"/>
      <w:lang w:eastAsia="sv-SE"/>
    </w:rPr>
  </w:style>
  <w:style w:type="character" w:customStyle="1" w:styleId="FrstaStyckeChar">
    <w:name w:val="FörstaStycke Char"/>
    <w:link w:val="FrstaStycke"/>
    <w:rsid w:val="00FF03B6"/>
    <w:rPr>
      <w:rFonts w:ascii="Times New Roman" w:eastAsia="Times New Roman" w:hAnsi="Times New Roman" w:cs="Times New Roman"/>
      <w:sz w:val="24"/>
      <w:szCs w:val="24"/>
      <w:lang w:eastAsia="sv-SE"/>
    </w:rPr>
  </w:style>
  <w:style w:type="character" w:styleId="FootnoteReference">
    <w:name w:val="footnote reference"/>
    <w:semiHidden/>
    <w:rsid w:val="00FF03B6"/>
    <w:rPr>
      <w:vertAlign w:val="superscript"/>
    </w:rPr>
  </w:style>
  <w:style w:type="paragraph" w:customStyle="1" w:styleId="Titel">
    <w:name w:val="Titel"/>
    <w:next w:val="Normal"/>
    <w:semiHidden/>
    <w:qFormat/>
    <w:locked/>
    <w:rsid w:val="0065651F"/>
    <w:pPr>
      <w:spacing w:after="300" w:line="240" w:lineRule="auto"/>
      <w:jc w:val="center"/>
    </w:pPr>
    <w:rPr>
      <w:rFonts w:ascii="Arial" w:eastAsia="Times New Roman" w:hAnsi="Arial" w:cs="Times New Roman"/>
      <w:sz w:val="48"/>
      <w:szCs w:val="48"/>
      <w:lang w:eastAsia="sv-SE"/>
    </w:rPr>
  </w:style>
  <w:style w:type="paragraph" w:customStyle="1" w:styleId="Undertitel">
    <w:name w:val="Undertitel"/>
    <w:link w:val="UndertitelChar"/>
    <w:semiHidden/>
    <w:locked/>
    <w:rsid w:val="00FF03B6"/>
    <w:pPr>
      <w:spacing w:before="300" w:after="0" w:line="240" w:lineRule="auto"/>
      <w:ind w:left="567" w:right="567"/>
      <w:jc w:val="center"/>
    </w:pPr>
    <w:rPr>
      <w:rFonts w:ascii="Times New Roman" w:eastAsia="Times New Roman" w:hAnsi="Times New Roman" w:cs="Times New Roman"/>
      <w:sz w:val="32"/>
      <w:szCs w:val="32"/>
      <w:lang w:eastAsia="sv-SE"/>
    </w:rPr>
  </w:style>
  <w:style w:type="character" w:customStyle="1" w:styleId="UndertitelChar">
    <w:name w:val="Undertitel Char"/>
    <w:link w:val="Undertitel"/>
    <w:semiHidden/>
    <w:rsid w:val="00FF03B6"/>
    <w:rPr>
      <w:rFonts w:ascii="Times New Roman" w:eastAsia="Times New Roman" w:hAnsi="Times New Roman" w:cs="Times New Roman"/>
      <w:sz w:val="32"/>
      <w:szCs w:val="32"/>
      <w:lang w:eastAsia="sv-SE"/>
    </w:rPr>
  </w:style>
  <w:style w:type="paragraph" w:customStyle="1" w:styleId="Frfattare">
    <w:name w:val="Författare"/>
    <w:locked/>
    <w:rsid w:val="00FF03B6"/>
    <w:pPr>
      <w:spacing w:after="0" w:line="240" w:lineRule="auto"/>
      <w:ind w:left="567" w:right="567"/>
      <w:jc w:val="center"/>
    </w:pPr>
    <w:rPr>
      <w:rFonts w:ascii="Times New Roman" w:eastAsia="Times New Roman" w:hAnsi="Times New Roman" w:cs="Times New Roman"/>
      <w:sz w:val="24"/>
      <w:szCs w:val="32"/>
      <w:lang w:eastAsia="sv-SE"/>
    </w:rPr>
  </w:style>
  <w:style w:type="paragraph" w:customStyle="1" w:styleId="figurtext">
    <w:name w:val="figurtext"/>
    <w:link w:val="figurtextChar"/>
    <w:uiPriority w:val="2"/>
    <w:rsid w:val="00FF03B6"/>
    <w:pPr>
      <w:spacing w:after="240" w:line="240" w:lineRule="auto"/>
    </w:pPr>
    <w:rPr>
      <w:rFonts w:ascii="Times New Roman" w:eastAsia="Times New Roman" w:hAnsi="Times New Roman" w:cs="Times New Roman"/>
      <w:sz w:val="18"/>
      <w:szCs w:val="24"/>
      <w:lang w:eastAsia="sv-SE"/>
    </w:rPr>
  </w:style>
  <w:style w:type="character" w:customStyle="1" w:styleId="figurtextChar">
    <w:name w:val="figurtext Char"/>
    <w:link w:val="figurtext"/>
    <w:uiPriority w:val="2"/>
    <w:rsid w:val="00FF03B6"/>
    <w:rPr>
      <w:rFonts w:ascii="Times New Roman" w:eastAsia="Times New Roman" w:hAnsi="Times New Roman" w:cs="Times New Roman"/>
      <w:sz w:val="18"/>
      <w:szCs w:val="24"/>
      <w:lang w:eastAsia="sv-SE"/>
    </w:rPr>
  </w:style>
  <w:style w:type="paragraph" w:customStyle="1" w:styleId="Bokensundertitel">
    <w:name w:val="Bokens undertitel"/>
    <w:basedOn w:val="Undertitel"/>
    <w:link w:val="BokensundertitelChar"/>
    <w:autoRedefine/>
    <w:semiHidden/>
    <w:qFormat/>
    <w:rsid w:val="0030431C"/>
    <w:pPr>
      <w:ind w:left="0" w:right="0"/>
    </w:pPr>
    <w:rPr>
      <w:sz w:val="40"/>
      <w:szCs w:val="40"/>
      <w:lang w:val="en-US"/>
    </w:rPr>
  </w:style>
  <w:style w:type="character" w:customStyle="1" w:styleId="BokensundertitelChar">
    <w:name w:val="Bokens undertitel Char"/>
    <w:link w:val="Bokensundertitel"/>
    <w:semiHidden/>
    <w:rsid w:val="0030431C"/>
    <w:rPr>
      <w:rFonts w:ascii="Times New Roman" w:eastAsia="Times New Roman" w:hAnsi="Times New Roman" w:cs="Times New Roman"/>
      <w:sz w:val="40"/>
      <w:szCs w:val="40"/>
      <w:lang w:val="en-US" w:eastAsia="sv-SE"/>
    </w:rPr>
  </w:style>
  <w:style w:type="character" w:customStyle="1" w:styleId="Brdtext-fet">
    <w:name w:val="Brödtext - fet"/>
    <w:uiPriority w:val="1"/>
    <w:rsid w:val="00FF03B6"/>
    <w:rPr>
      <w:b w:val="0"/>
      <w:sz w:val="22"/>
      <w:szCs w:val="24"/>
    </w:rPr>
  </w:style>
  <w:style w:type="table" w:styleId="ListTable4-Accent2">
    <w:name w:val="List Table 4 Accent 2"/>
    <w:basedOn w:val="TableNormal"/>
    <w:uiPriority w:val="49"/>
    <w:rsid w:val="00570BE7"/>
    <w:pPr>
      <w:spacing w:after="0" w:line="240" w:lineRule="auto"/>
    </w:pPr>
    <w:tblPr>
      <w:tblStyleRowBandSize w:val="1"/>
      <w:tblStyleColBandSize w:val="1"/>
      <w:tblInd w:w="0" w:type="dxa"/>
      <w:tblBorders>
        <w:top w:val="single" w:sz="4" w:space="0" w:color="D5E4EA" w:themeColor="accent2" w:themeTint="99"/>
        <w:left w:val="single" w:sz="4" w:space="0" w:color="D5E4EA" w:themeColor="accent2" w:themeTint="99"/>
        <w:bottom w:val="single" w:sz="4" w:space="0" w:color="D5E4EA" w:themeColor="accent2" w:themeTint="99"/>
        <w:right w:val="single" w:sz="4" w:space="0" w:color="D5E4EA" w:themeColor="accent2" w:themeTint="99"/>
        <w:insideH w:val="single" w:sz="4" w:space="0" w:color="D5E4EA"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9D3DC" w:themeColor="accent2"/>
          <w:left w:val="single" w:sz="4" w:space="0" w:color="B9D3DC" w:themeColor="accent2"/>
          <w:bottom w:val="single" w:sz="4" w:space="0" w:color="B9D3DC" w:themeColor="accent2"/>
          <w:right w:val="single" w:sz="4" w:space="0" w:color="B9D3DC" w:themeColor="accent2"/>
          <w:insideH w:val="nil"/>
        </w:tcBorders>
        <w:shd w:val="clear" w:color="auto" w:fill="B9D3DC" w:themeFill="accent2"/>
      </w:tcPr>
    </w:tblStylePr>
    <w:tblStylePr w:type="lastRow">
      <w:rPr>
        <w:b/>
        <w:bCs/>
      </w:rPr>
      <w:tblPr/>
      <w:tcPr>
        <w:tcBorders>
          <w:top w:val="double" w:sz="4" w:space="0" w:color="D5E4EA" w:themeColor="accent2" w:themeTint="99"/>
        </w:tcBorders>
      </w:tcPr>
    </w:tblStylePr>
    <w:tblStylePr w:type="firstCol">
      <w:rPr>
        <w:b/>
        <w:bCs/>
      </w:rPr>
    </w:tblStylePr>
    <w:tblStylePr w:type="lastCol">
      <w:rPr>
        <w:b/>
        <w:bCs/>
      </w:rPr>
    </w:tblStylePr>
    <w:tblStylePr w:type="band1Vert">
      <w:tblPr/>
      <w:tcPr>
        <w:shd w:val="clear" w:color="auto" w:fill="F1F6F8" w:themeFill="accent2" w:themeFillTint="33"/>
      </w:tcPr>
    </w:tblStylePr>
    <w:tblStylePr w:type="band1Horz">
      <w:tblPr/>
      <w:tcPr>
        <w:shd w:val="clear" w:color="auto" w:fill="F1F6F8" w:themeFill="accent2" w:themeFillTint="33"/>
      </w:tcPr>
    </w:tblStylePr>
  </w:style>
  <w:style w:type="paragraph" w:customStyle="1" w:styleId="dedication">
    <w:name w:val="dedication"/>
    <w:basedOn w:val="bodytext"/>
    <w:link w:val="dedicationChar"/>
    <w:rsid w:val="009E5FBE"/>
    <w:pPr>
      <w:spacing w:before="2400"/>
      <w:jc w:val="right"/>
    </w:pPr>
    <w:rPr>
      <w:i/>
      <w:sz w:val="28"/>
    </w:rPr>
  </w:style>
  <w:style w:type="character" w:customStyle="1" w:styleId="dedicationChar">
    <w:name w:val="dedication Char"/>
    <w:basedOn w:val="Heading1Char"/>
    <w:link w:val="dedication"/>
    <w:rsid w:val="00335871"/>
    <w:rPr>
      <w:rFonts w:ascii="Times New Roman" w:eastAsia="Times New Roman" w:hAnsi="Times New Roman" w:cs="Times New Roman"/>
      <w:i/>
      <w:sz w:val="28"/>
      <w:szCs w:val="24"/>
      <w:lang w:eastAsia="sv-SE"/>
    </w:rPr>
  </w:style>
  <w:style w:type="paragraph" w:customStyle="1" w:styleId="picturetextheadline0">
    <w:name w:val="picturetextheadline"/>
    <w:link w:val="picturetextheadlineChar0"/>
    <w:uiPriority w:val="2"/>
    <w:qFormat/>
    <w:rsid w:val="00AC0D0A"/>
    <w:pPr>
      <w:spacing w:after="0" w:line="240" w:lineRule="auto"/>
    </w:pPr>
    <w:rPr>
      <w:rFonts w:ascii="Arial" w:eastAsia="Times New Roman" w:hAnsi="Arial" w:cs="Times New Roman"/>
      <w:b/>
      <w:noProof/>
      <w:sz w:val="14"/>
      <w:szCs w:val="24"/>
      <w:lang w:eastAsia="sv-SE"/>
    </w:rPr>
  </w:style>
  <w:style w:type="character" w:customStyle="1" w:styleId="picturetextheadlineChar0">
    <w:name w:val="picturetextheadline Char"/>
    <w:link w:val="picturetextheadline0"/>
    <w:uiPriority w:val="2"/>
    <w:rsid w:val="00AC0D0A"/>
    <w:rPr>
      <w:rFonts w:ascii="Arial" w:eastAsia="Times New Roman" w:hAnsi="Arial" w:cs="Times New Roman"/>
      <w:b/>
      <w:noProof/>
      <w:sz w:val="14"/>
      <w:szCs w:val="24"/>
      <w:lang w:eastAsia="sv-SE"/>
    </w:rPr>
  </w:style>
  <w:style w:type="paragraph" w:customStyle="1" w:styleId="Citat2">
    <w:name w:val="Citat2"/>
    <w:basedOn w:val="bodytext"/>
    <w:qFormat/>
    <w:rsid w:val="00FC1481"/>
    <w:pPr>
      <w:spacing w:before="240" w:after="240" w:line="240" w:lineRule="auto"/>
      <w:ind w:left="567"/>
    </w:pPr>
    <w:rPr>
      <w:sz w:val="20"/>
    </w:rPr>
  </w:style>
  <w:style w:type="paragraph" w:customStyle="1" w:styleId="tabeltextheadline">
    <w:name w:val="tabel text headline"/>
    <w:next w:val="tabeltext"/>
    <w:link w:val="tabeltextheadlineChar"/>
    <w:qFormat/>
    <w:rsid w:val="00AC0D0A"/>
    <w:pPr>
      <w:spacing w:before="240" w:after="0" w:line="240" w:lineRule="auto"/>
    </w:pPr>
    <w:rPr>
      <w:rFonts w:ascii="Arial" w:eastAsia="Times New Roman" w:hAnsi="Arial" w:cs="Times New Roman"/>
      <w:b/>
      <w:noProof/>
      <w:sz w:val="14"/>
      <w:szCs w:val="24"/>
      <w:lang w:eastAsia="sv-SE"/>
    </w:rPr>
  </w:style>
  <w:style w:type="character" w:customStyle="1" w:styleId="tabeltextheadlineChar">
    <w:name w:val="tabel text headline Char"/>
    <w:link w:val="tabeltextheadline"/>
    <w:rsid w:val="00AC0D0A"/>
    <w:rPr>
      <w:rFonts w:ascii="Arial" w:eastAsia="Times New Roman" w:hAnsi="Arial" w:cs="Times New Roman"/>
      <w:b/>
      <w:noProof/>
      <w:sz w:val="14"/>
      <w:szCs w:val="24"/>
      <w:lang w:eastAsia="sv-SE"/>
    </w:rPr>
  </w:style>
  <w:style w:type="paragraph" w:customStyle="1" w:styleId="tabeltextitabel">
    <w:name w:val="tabeltext i tabel"/>
    <w:basedOn w:val="Normal"/>
    <w:link w:val="tabeltextitabelChar"/>
    <w:rsid w:val="00AC0D0A"/>
    <w:pPr>
      <w:spacing w:before="40" w:after="40"/>
      <w:ind w:left="113" w:right="113"/>
    </w:pPr>
    <w:rPr>
      <w:rFonts w:ascii="Arial" w:eastAsia="Times New Roman" w:hAnsi="Arial"/>
      <w:noProof/>
      <w:sz w:val="14"/>
      <w:lang w:val="sv-SE" w:eastAsia="x-none"/>
    </w:rPr>
  </w:style>
  <w:style w:type="character" w:customStyle="1" w:styleId="tabeltextitabelChar">
    <w:name w:val="tabeltext i tabel Char"/>
    <w:link w:val="tabeltextitabel"/>
    <w:rsid w:val="00AC0D0A"/>
    <w:rPr>
      <w:rFonts w:ascii="Arial" w:eastAsia="Times New Roman" w:hAnsi="Arial" w:cs="Times New Roman"/>
      <w:noProof/>
      <w:sz w:val="14"/>
      <w:szCs w:val="24"/>
      <w:lang w:eastAsia="x-none"/>
    </w:rPr>
  </w:style>
  <w:style w:type="paragraph" w:customStyle="1" w:styleId="brdtext">
    <w:name w:val="brödtext"/>
    <w:link w:val="brdtextChar"/>
    <w:rsid w:val="00A75DB5"/>
    <w:pPr>
      <w:spacing w:after="120" w:line="260" w:lineRule="exact"/>
      <w:jc w:val="both"/>
    </w:pPr>
    <w:rPr>
      <w:rFonts w:ascii="Times New Roman" w:eastAsia="Times New Roman" w:hAnsi="Times New Roman" w:cs="Times New Roman"/>
      <w:szCs w:val="24"/>
      <w:lang w:eastAsia="sv-SE"/>
    </w:rPr>
  </w:style>
  <w:style w:type="character" w:customStyle="1" w:styleId="brdtextChar">
    <w:name w:val="brödtext Char"/>
    <w:link w:val="brdtext"/>
    <w:rsid w:val="00A75DB5"/>
    <w:rPr>
      <w:rFonts w:ascii="Times New Roman" w:eastAsia="Times New Roman" w:hAnsi="Times New Roman" w:cs="Times New Roman"/>
      <w:szCs w:val="24"/>
      <w:lang w:eastAsia="sv-SE"/>
    </w:rPr>
  </w:style>
  <w:style w:type="table" w:customStyle="1" w:styleId="tabell1Lundsuniversitet">
    <w:name w:val="tabell 1 Lunds universitet"/>
    <w:basedOn w:val="TableNormal"/>
    <w:uiPriority w:val="99"/>
    <w:rsid w:val="00410EDC"/>
    <w:pPr>
      <w:spacing w:after="0" w:line="240" w:lineRule="auto"/>
    </w:pPr>
    <w:tblPr>
      <w:tblInd w:w="0" w:type="dxa"/>
      <w:tblCellMar>
        <w:top w:w="0" w:type="dxa"/>
        <w:left w:w="108" w:type="dxa"/>
        <w:bottom w:w="0" w:type="dxa"/>
        <w:right w:w="108" w:type="dxa"/>
      </w:tblCellMar>
    </w:tblPr>
  </w:style>
  <w:style w:type="paragraph" w:styleId="Index1">
    <w:name w:val="index 1"/>
    <w:basedOn w:val="Normal"/>
    <w:next w:val="Normal"/>
    <w:autoRedefine/>
    <w:uiPriority w:val="99"/>
    <w:semiHidden/>
    <w:unhideWhenUsed/>
    <w:rsid w:val="005004C8"/>
    <w:pPr>
      <w:ind w:left="220" w:hanging="220"/>
    </w:pPr>
    <w:rPr>
      <w:lang w:val="sv-SE" w:eastAsia="sv-SE"/>
    </w:rPr>
  </w:style>
  <w:style w:type="paragraph" w:styleId="NormalWeb">
    <w:name w:val="Normal (Web)"/>
    <w:basedOn w:val="Normal"/>
    <w:uiPriority w:val="99"/>
    <w:unhideWhenUsed/>
    <w:rsid w:val="00437525"/>
    <w:pPr>
      <w:spacing w:before="100" w:beforeAutospacing="1" w:after="100" w:afterAutospacing="1"/>
    </w:pPr>
    <w:rPr>
      <w:lang w:val="en-US" w:eastAsia="en-US"/>
    </w:rPr>
  </w:style>
  <w:style w:type="paragraph" w:customStyle="1" w:styleId="CamCogmainlettertext">
    <w:name w:val="CamCog main letter text"/>
    <w:basedOn w:val="Normal"/>
    <w:qFormat/>
    <w:rsid w:val="00437525"/>
    <w:pPr>
      <w:spacing w:line="250" w:lineRule="exact"/>
    </w:pPr>
    <w:rPr>
      <w:rFonts w:ascii="Verdana" w:eastAsia="Times New Roman" w:hAnsi="Verdana"/>
      <w:sz w:val="18"/>
      <w:lang w:eastAsia="en-US"/>
    </w:rPr>
  </w:style>
  <w:style w:type="paragraph" w:styleId="Caption">
    <w:name w:val="caption"/>
    <w:basedOn w:val="Normal"/>
    <w:next w:val="Normal"/>
    <w:rsid w:val="004F55E3"/>
    <w:pPr>
      <w:widowControl w:val="0"/>
      <w:spacing w:after="200"/>
    </w:pPr>
    <w:rPr>
      <w:rFonts w:asciiTheme="minorHAnsi" w:hAnsiTheme="minorHAnsi" w:cstheme="minorBidi"/>
      <w:b/>
      <w:bCs/>
      <w:color w:val="E9C4C7" w:themeColor="accent1"/>
      <w:sz w:val="18"/>
      <w:szCs w:val="18"/>
      <w:lang w:val="en-US" w:eastAsia="en-US"/>
    </w:rPr>
  </w:style>
  <w:style w:type="table" w:customStyle="1" w:styleId="PlainTable51">
    <w:name w:val="Plain Table 51"/>
    <w:basedOn w:val="TableNormal"/>
    <w:uiPriority w:val="45"/>
    <w:rsid w:val="004F55E3"/>
    <w:pPr>
      <w:widowControl w:val="0"/>
      <w:spacing w:after="0" w:line="240" w:lineRule="auto"/>
    </w:pPr>
    <w:rPr>
      <w:lang w:val="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AA5A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532155">
      <w:bodyDiv w:val="1"/>
      <w:marLeft w:val="0"/>
      <w:marRight w:val="0"/>
      <w:marTop w:val="0"/>
      <w:marBottom w:val="0"/>
      <w:divBdr>
        <w:top w:val="none" w:sz="0" w:space="0" w:color="auto"/>
        <w:left w:val="none" w:sz="0" w:space="0" w:color="auto"/>
        <w:bottom w:val="none" w:sz="0" w:space="0" w:color="auto"/>
        <w:right w:val="none" w:sz="0" w:space="0" w:color="auto"/>
      </w:divBdr>
    </w:div>
    <w:div w:id="319697539">
      <w:bodyDiv w:val="1"/>
      <w:marLeft w:val="0"/>
      <w:marRight w:val="0"/>
      <w:marTop w:val="0"/>
      <w:marBottom w:val="0"/>
      <w:divBdr>
        <w:top w:val="none" w:sz="0" w:space="0" w:color="auto"/>
        <w:left w:val="none" w:sz="0" w:space="0" w:color="auto"/>
        <w:bottom w:val="none" w:sz="0" w:space="0" w:color="auto"/>
        <w:right w:val="none" w:sz="0" w:space="0" w:color="auto"/>
      </w:divBdr>
    </w:div>
    <w:div w:id="921332038">
      <w:bodyDiv w:val="1"/>
      <w:marLeft w:val="0"/>
      <w:marRight w:val="0"/>
      <w:marTop w:val="0"/>
      <w:marBottom w:val="0"/>
      <w:divBdr>
        <w:top w:val="none" w:sz="0" w:space="0" w:color="auto"/>
        <w:left w:val="none" w:sz="0" w:space="0" w:color="auto"/>
        <w:bottom w:val="none" w:sz="0" w:space="0" w:color="auto"/>
        <w:right w:val="none" w:sz="0" w:space="0" w:color="auto"/>
      </w:divBdr>
      <w:divsChild>
        <w:div w:id="203293611">
          <w:marLeft w:val="0"/>
          <w:marRight w:val="0"/>
          <w:marTop w:val="0"/>
          <w:marBottom w:val="0"/>
          <w:divBdr>
            <w:top w:val="none" w:sz="0" w:space="0" w:color="auto"/>
            <w:left w:val="none" w:sz="0" w:space="0" w:color="auto"/>
            <w:bottom w:val="none" w:sz="0" w:space="0" w:color="auto"/>
            <w:right w:val="none" w:sz="0" w:space="0" w:color="auto"/>
          </w:divBdr>
        </w:div>
        <w:div w:id="865288989">
          <w:marLeft w:val="0"/>
          <w:marRight w:val="0"/>
          <w:marTop w:val="0"/>
          <w:marBottom w:val="0"/>
          <w:divBdr>
            <w:top w:val="none" w:sz="0" w:space="0" w:color="auto"/>
            <w:left w:val="none" w:sz="0" w:space="0" w:color="auto"/>
            <w:bottom w:val="none" w:sz="0" w:space="0" w:color="auto"/>
            <w:right w:val="none" w:sz="0" w:space="0" w:color="auto"/>
          </w:divBdr>
        </w:div>
        <w:div w:id="1045181375">
          <w:marLeft w:val="0"/>
          <w:marRight w:val="0"/>
          <w:marTop w:val="0"/>
          <w:marBottom w:val="0"/>
          <w:divBdr>
            <w:top w:val="none" w:sz="0" w:space="0" w:color="auto"/>
            <w:left w:val="none" w:sz="0" w:space="0" w:color="auto"/>
            <w:bottom w:val="none" w:sz="0" w:space="0" w:color="auto"/>
            <w:right w:val="none" w:sz="0" w:space="0" w:color="auto"/>
          </w:divBdr>
        </w:div>
      </w:divsChild>
    </w:div>
    <w:div w:id="1011033769">
      <w:bodyDiv w:val="1"/>
      <w:marLeft w:val="0"/>
      <w:marRight w:val="0"/>
      <w:marTop w:val="0"/>
      <w:marBottom w:val="0"/>
      <w:divBdr>
        <w:top w:val="none" w:sz="0" w:space="0" w:color="auto"/>
        <w:left w:val="none" w:sz="0" w:space="0" w:color="auto"/>
        <w:bottom w:val="none" w:sz="0" w:space="0" w:color="auto"/>
        <w:right w:val="none" w:sz="0" w:space="0" w:color="auto"/>
      </w:divBdr>
    </w:div>
    <w:div w:id="1244729141">
      <w:bodyDiv w:val="1"/>
      <w:marLeft w:val="0"/>
      <w:marRight w:val="0"/>
      <w:marTop w:val="0"/>
      <w:marBottom w:val="0"/>
      <w:divBdr>
        <w:top w:val="none" w:sz="0" w:space="0" w:color="auto"/>
        <w:left w:val="none" w:sz="0" w:space="0" w:color="auto"/>
        <w:bottom w:val="none" w:sz="0" w:space="0" w:color="auto"/>
        <w:right w:val="none" w:sz="0" w:space="0" w:color="auto"/>
      </w:divBdr>
    </w:div>
    <w:div w:id="1309213900">
      <w:bodyDiv w:val="1"/>
      <w:marLeft w:val="0"/>
      <w:marRight w:val="0"/>
      <w:marTop w:val="0"/>
      <w:marBottom w:val="0"/>
      <w:divBdr>
        <w:top w:val="none" w:sz="0" w:space="0" w:color="auto"/>
        <w:left w:val="none" w:sz="0" w:space="0" w:color="auto"/>
        <w:bottom w:val="none" w:sz="0" w:space="0" w:color="auto"/>
        <w:right w:val="none" w:sz="0" w:space="0" w:color="auto"/>
      </w:divBdr>
    </w:div>
    <w:div w:id="2061591980">
      <w:bodyDiv w:val="1"/>
      <w:marLeft w:val="0"/>
      <w:marRight w:val="0"/>
      <w:marTop w:val="0"/>
      <w:marBottom w:val="0"/>
      <w:divBdr>
        <w:top w:val="none" w:sz="0" w:space="0" w:color="auto"/>
        <w:left w:val="none" w:sz="0" w:space="0" w:color="auto"/>
        <w:bottom w:val="none" w:sz="0" w:space="0" w:color="auto"/>
        <w:right w:val="none" w:sz="0" w:space="0" w:color="auto"/>
      </w:divBdr>
      <w:divsChild>
        <w:div w:id="355428237">
          <w:marLeft w:val="0"/>
          <w:marRight w:val="0"/>
          <w:marTop w:val="0"/>
          <w:marBottom w:val="0"/>
          <w:divBdr>
            <w:top w:val="none" w:sz="0" w:space="0" w:color="auto"/>
            <w:left w:val="none" w:sz="0" w:space="0" w:color="auto"/>
            <w:bottom w:val="none" w:sz="0" w:space="0" w:color="auto"/>
            <w:right w:val="none" w:sz="0" w:space="0" w:color="auto"/>
          </w:divBdr>
        </w:div>
        <w:div w:id="7425292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comments.xml.rels><?xml version="1.0" encoding="UTF-8" standalone="yes"?>
<Relationships xmlns="http://schemas.openxmlformats.org/package/2006/relationships"><Relationship Id="rId1" Type="http://schemas.openxmlformats.org/officeDocument/2006/relationships/hyperlink" Target="https://www.fda.gov/downloads/advisorycommittees/committeesmeetingmaterials/foodadvisorycommittee/ucm248102.pdf"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image" Target="media/image10.jpeg"/><Relationship Id="rId50" Type="http://schemas.openxmlformats.org/officeDocument/2006/relationships/oleObject" Target="embeddings/oleObject11.bin"/><Relationship Id="rId51" Type="http://schemas.openxmlformats.org/officeDocument/2006/relationships/image" Target="media/image26.emf"/><Relationship Id="rId52" Type="http://schemas.openxmlformats.org/officeDocument/2006/relationships/image" Target="media/image27.png"/><Relationship Id="rId53" Type="http://schemas.openxmlformats.org/officeDocument/2006/relationships/image" Target="media/image28.png"/><Relationship Id="rId54" Type="http://schemas.openxmlformats.org/officeDocument/2006/relationships/fontTable" Target="fontTable.xml"/><Relationship Id="rId55" Type="http://schemas.microsoft.com/office/2011/relationships/people" Target="people.xml"/><Relationship Id="rId56" Type="http://schemas.openxmlformats.org/officeDocument/2006/relationships/theme" Target="theme/theme1.xml"/><Relationship Id="rId40" Type="http://schemas.openxmlformats.org/officeDocument/2006/relationships/oleObject" Target="embeddings/oleObject6.bin"/><Relationship Id="rId41" Type="http://schemas.openxmlformats.org/officeDocument/2006/relationships/image" Target="media/image21.emf"/><Relationship Id="rId42" Type="http://schemas.openxmlformats.org/officeDocument/2006/relationships/oleObject" Target="embeddings/oleObject7.bin"/><Relationship Id="rId43" Type="http://schemas.openxmlformats.org/officeDocument/2006/relationships/image" Target="media/image22.emf"/><Relationship Id="rId44" Type="http://schemas.openxmlformats.org/officeDocument/2006/relationships/oleObject" Target="embeddings/oleObject8.bin"/><Relationship Id="rId45" Type="http://schemas.openxmlformats.org/officeDocument/2006/relationships/image" Target="media/image23.emf"/><Relationship Id="rId46" Type="http://schemas.openxmlformats.org/officeDocument/2006/relationships/oleObject" Target="embeddings/oleObject9.bin"/><Relationship Id="rId47" Type="http://schemas.openxmlformats.org/officeDocument/2006/relationships/image" Target="media/image24.emf"/><Relationship Id="rId48" Type="http://schemas.openxmlformats.org/officeDocument/2006/relationships/oleObject" Target="embeddings/oleObject10.bin"/><Relationship Id="rId49" Type="http://schemas.openxmlformats.org/officeDocument/2006/relationships/image" Target="media/image25.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wmf"/><Relationship Id="rId9" Type="http://schemas.openxmlformats.org/officeDocument/2006/relationships/image" Target="media/image2.wmf"/><Relationship Id="rId30" Type="http://schemas.openxmlformats.org/officeDocument/2006/relationships/oleObject" Target="embeddings/oleObject1.bin"/><Relationship Id="rId31" Type="http://schemas.openxmlformats.org/officeDocument/2006/relationships/image" Target="media/image16.emf"/><Relationship Id="rId32" Type="http://schemas.openxmlformats.org/officeDocument/2006/relationships/oleObject" Target="embeddings/oleObject2.bin"/><Relationship Id="rId33" Type="http://schemas.openxmlformats.org/officeDocument/2006/relationships/image" Target="media/image17.emf"/><Relationship Id="rId34" Type="http://schemas.openxmlformats.org/officeDocument/2006/relationships/oleObject" Target="embeddings/oleObject3.bin"/><Relationship Id="rId35" Type="http://schemas.openxmlformats.org/officeDocument/2006/relationships/image" Target="media/image18.emf"/><Relationship Id="rId36" Type="http://schemas.openxmlformats.org/officeDocument/2006/relationships/oleObject" Target="embeddings/oleObject4.bin"/><Relationship Id="rId37" Type="http://schemas.openxmlformats.org/officeDocument/2006/relationships/image" Target="media/image19.emf"/><Relationship Id="rId38" Type="http://schemas.openxmlformats.org/officeDocument/2006/relationships/oleObject" Target="embeddings/oleObject5.bin"/><Relationship Id="rId39" Type="http://schemas.openxmlformats.org/officeDocument/2006/relationships/image" Target="media/image20.emf"/><Relationship Id="rId20" Type="http://schemas.openxmlformats.org/officeDocument/2006/relationships/hyperlink" Target="https://en.wikipedia.org/wiki/Autism_Diagnostic_Interview-Revised" TargetMode="External"/><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hyperlink" Target="https://en.wikipedia.org/wiki/Autism_Diagnostic_Interview-Revised" TargetMode="External"/><Relationship Id="rId24" Type="http://schemas.openxmlformats.org/officeDocument/2006/relationships/hyperlink" Target="http://research.omicsgroup.org/index.php/Wechsler_Adult_Intelligence_Scale" TargetMode="Externa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emf"/><Relationship Id="rId10" Type="http://schemas.openxmlformats.org/officeDocument/2006/relationships/comments" Target="comments.xml"/><Relationship Id="rId11" Type="http://schemas.microsoft.com/office/2011/relationships/commentsExtended" Target="commentsExtended.xml"/><Relationship Id="rId12" Type="http://schemas.openxmlformats.org/officeDocument/2006/relationships/image" Target="media/image3.png"/></Relationships>
</file>

<file path=word/theme/theme1.xml><?xml version="1.0" encoding="utf-8"?>
<a:theme xmlns:a="http://schemas.openxmlformats.org/drawingml/2006/main" name="Office-tema">
  <a:themeElements>
    <a:clrScheme name="Lunds universitet">
      <a:dk1>
        <a:sysClr val="windowText" lastClr="000000"/>
      </a:dk1>
      <a:lt1>
        <a:sysClr val="window" lastClr="FFFFFF"/>
      </a:lt1>
      <a:dk2>
        <a:srgbClr val="44546A"/>
      </a:dk2>
      <a:lt2>
        <a:srgbClr val="E7E6E6"/>
      </a:lt2>
      <a:accent1>
        <a:srgbClr val="E9C4C7"/>
      </a:accent1>
      <a:accent2>
        <a:srgbClr val="B9D3DC"/>
      </a:accent2>
      <a:accent3>
        <a:srgbClr val="ADCAB8"/>
      </a:accent3>
      <a:accent4>
        <a:srgbClr val="D6D2C4"/>
      </a:accent4>
      <a:accent5>
        <a:srgbClr val="BFB8AF"/>
      </a:accent5>
      <a:accent6>
        <a:srgbClr val="E7E6E6"/>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157CD7-D312-784E-B608-A583E44E5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103</Pages>
  <Words>30033</Words>
  <Characters>133347</Characters>
  <Application>Microsoft Macintosh Word</Application>
  <DocSecurity>0</DocSecurity>
  <Lines>2666</Lines>
  <Paragraphs>972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dc:creator>
  <cp:keywords/>
  <dc:description/>
  <cp:lastModifiedBy>Microsoft Office User</cp:lastModifiedBy>
  <cp:revision>24</cp:revision>
  <cp:lastPrinted>2017-09-05T14:21:00Z</cp:lastPrinted>
  <dcterms:created xsi:type="dcterms:W3CDTF">2017-09-08T09:03:00Z</dcterms:created>
  <dcterms:modified xsi:type="dcterms:W3CDTF">2017-09-14T09:53:00Z</dcterms:modified>
</cp:coreProperties>
</file>