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DE" w:rsidRPr="00053C90" w:rsidRDefault="00F831DE" w:rsidP="00F831DE">
      <w:pPr>
        <w:jc w:val="both"/>
        <w:rPr>
          <w:lang w:val="en-US"/>
        </w:rPr>
      </w:pPr>
    </w:p>
    <w:p w:rsidR="00F831DE" w:rsidRPr="00053C90" w:rsidRDefault="00F831DE" w:rsidP="00F831DE">
      <w:pPr>
        <w:jc w:val="both"/>
        <w:rPr>
          <w:lang w:val="en-US"/>
        </w:rPr>
      </w:pPr>
    </w:p>
    <w:p w:rsidR="00F831DE" w:rsidRPr="00053C90" w:rsidRDefault="00F831DE" w:rsidP="00F831DE">
      <w:pPr>
        <w:jc w:val="both"/>
        <w:rPr>
          <w:sz w:val="72"/>
          <w:szCs w:val="72"/>
          <w:lang w:val="en-US"/>
        </w:rPr>
      </w:pPr>
    </w:p>
    <w:p w:rsidR="00F831DE" w:rsidRPr="00053C90" w:rsidRDefault="00731050" w:rsidP="00B06DE0">
      <w:pPr>
        <w:jc w:val="center"/>
        <w:rPr>
          <w:sz w:val="52"/>
          <w:szCs w:val="72"/>
          <w:lang w:val="en-US"/>
        </w:rPr>
      </w:pPr>
      <w:r w:rsidRPr="00053C90">
        <w:rPr>
          <w:sz w:val="52"/>
          <w:szCs w:val="72"/>
          <w:lang w:val="en-US"/>
        </w:rPr>
        <w:t>Two sides of the same coin?</w:t>
      </w:r>
    </w:p>
    <w:p w:rsidR="00731050" w:rsidRPr="00053C90" w:rsidRDefault="0087408C" w:rsidP="00B06DE0">
      <w:pPr>
        <w:pStyle w:val="ListParagraph"/>
        <w:numPr>
          <w:ilvl w:val="0"/>
          <w:numId w:val="32"/>
        </w:numPr>
        <w:jc w:val="center"/>
        <w:rPr>
          <w:i/>
          <w:sz w:val="44"/>
          <w:szCs w:val="72"/>
          <w:lang w:val="en-US"/>
        </w:rPr>
      </w:pPr>
      <w:r w:rsidRPr="00053C90">
        <w:rPr>
          <w:i/>
          <w:sz w:val="44"/>
          <w:szCs w:val="72"/>
          <w:lang w:val="en-US"/>
        </w:rPr>
        <w:t>Ev</w:t>
      </w:r>
      <w:r w:rsidR="00B06DE0" w:rsidRPr="00053C90">
        <w:rPr>
          <w:i/>
          <w:sz w:val="44"/>
          <w:szCs w:val="72"/>
          <w:lang w:val="en-US"/>
        </w:rPr>
        <w:t>alu</w:t>
      </w:r>
      <w:r w:rsidR="005E0051" w:rsidRPr="00053C90">
        <w:rPr>
          <w:i/>
          <w:sz w:val="44"/>
          <w:szCs w:val="72"/>
          <w:lang w:val="en-US"/>
        </w:rPr>
        <w:t>ating</w:t>
      </w:r>
      <w:r w:rsidR="00903F19" w:rsidRPr="00053C90">
        <w:rPr>
          <w:i/>
          <w:sz w:val="44"/>
          <w:szCs w:val="72"/>
          <w:lang w:val="en-US"/>
        </w:rPr>
        <w:t xml:space="preserve"> M&amp;A</w:t>
      </w:r>
      <w:r w:rsidR="00B06DE0" w:rsidRPr="00053C90">
        <w:rPr>
          <w:i/>
          <w:sz w:val="44"/>
          <w:szCs w:val="72"/>
          <w:lang w:val="en-US"/>
        </w:rPr>
        <w:t xml:space="preserve"> performance from two different perspectives</w:t>
      </w:r>
    </w:p>
    <w:p w:rsidR="00F831DE" w:rsidRPr="00053C90" w:rsidRDefault="00F831DE" w:rsidP="00F831DE">
      <w:pPr>
        <w:jc w:val="both"/>
        <w:rPr>
          <w:sz w:val="72"/>
          <w:szCs w:val="72"/>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p>
    <w:p w:rsidR="00F831DE" w:rsidRPr="00053C90" w:rsidRDefault="00903F19" w:rsidP="00F831DE">
      <w:pPr>
        <w:jc w:val="both"/>
        <w:rPr>
          <w:b/>
          <w:sz w:val="28"/>
          <w:szCs w:val="28"/>
          <w:lang w:val="en-US"/>
        </w:rPr>
      </w:pPr>
      <w:r w:rsidRPr="00053C90">
        <w:rPr>
          <w:b/>
          <w:sz w:val="28"/>
          <w:szCs w:val="28"/>
          <w:lang w:val="en-US"/>
        </w:rPr>
        <w:t xml:space="preserve"> </w:t>
      </w:r>
    </w:p>
    <w:p w:rsidR="00F831DE" w:rsidRPr="00053C90" w:rsidRDefault="00F831DE" w:rsidP="00F831DE">
      <w:pPr>
        <w:jc w:val="both"/>
        <w:rPr>
          <w:b/>
          <w:sz w:val="28"/>
          <w:szCs w:val="28"/>
          <w:lang w:val="en-US"/>
        </w:rPr>
      </w:pPr>
    </w:p>
    <w:p w:rsidR="00F831DE" w:rsidRPr="00053C90" w:rsidRDefault="00F831DE" w:rsidP="00F831DE">
      <w:pPr>
        <w:jc w:val="both"/>
        <w:rPr>
          <w:b/>
          <w:sz w:val="28"/>
          <w:szCs w:val="28"/>
          <w:lang w:val="en-US"/>
        </w:rPr>
      </w:pPr>
      <w:r w:rsidRPr="00053C90">
        <w:rPr>
          <w:b/>
          <w:sz w:val="28"/>
          <w:szCs w:val="28"/>
          <w:lang w:val="en-US"/>
        </w:rPr>
        <w:t>Author</w:t>
      </w:r>
      <w:r w:rsidR="005F181C" w:rsidRPr="00053C90">
        <w:rPr>
          <w:b/>
          <w:sz w:val="28"/>
          <w:szCs w:val="28"/>
          <w:lang w:val="en-US"/>
        </w:rPr>
        <w:t>s</w:t>
      </w:r>
    </w:p>
    <w:p w:rsidR="00F831DE" w:rsidRPr="00053C90" w:rsidRDefault="00F831DE" w:rsidP="00F831DE">
      <w:pPr>
        <w:jc w:val="both"/>
        <w:rPr>
          <w:b/>
          <w:sz w:val="28"/>
          <w:szCs w:val="28"/>
          <w:lang w:val="en-US"/>
        </w:rPr>
      </w:pPr>
    </w:p>
    <w:p w:rsidR="00F831DE" w:rsidRPr="00053C90" w:rsidRDefault="00F831DE" w:rsidP="00F831DE">
      <w:pPr>
        <w:jc w:val="both"/>
        <w:rPr>
          <w:sz w:val="28"/>
          <w:szCs w:val="28"/>
          <w:lang w:val="en-US"/>
        </w:rPr>
      </w:pPr>
      <w:r w:rsidRPr="00053C90">
        <w:rPr>
          <w:sz w:val="28"/>
          <w:szCs w:val="28"/>
          <w:lang w:val="en-US"/>
        </w:rPr>
        <w:t>Anton Hansson</w:t>
      </w:r>
    </w:p>
    <w:p w:rsidR="00F831DE" w:rsidRPr="00053C90" w:rsidRDefault="00F831DE" w:rsidP="00F831DE">
      <w:pPr>
        <w:jc w:val="both"/>
        <w:rPr>
          <w:sz w:val="28"/>
          <w:szCs w:val="28"/>
          <w:lang w:val="en-US"/>
        </w:rPr>
      </w:pPr>
      <w:r w:rsidRPr="00053C90">
        <w:rPr>
          <w:sz w:val="28"/>
          <w:szCs w:val="28"/>
          <w:lang w:val="en-US"/>
        </w:rPr>
        <w:t>Theodor Östlund</w:t>
      </w:r>
    </w:p>
    <w:p w:rsidR="00F831DE" w:rsidRPr="00053C90" w:rsidRDefault="00F831DE" w:rsidP="00F831DE">
      <w:pPr>
        <w:jc w:val="both"/>
        <w:rPr>
          <w:b/>
          <w:sz w:val="28"/>
          <w:szCs w:val="28"/>
          <w:lang w:val="en-US"/>
        </w:rPr>
      </w:pPr>
    </w:p>
    <w:p w:rsidR="00F831DE" w:rsidRPr="00053C90" w:rsidRDefault="00983C72" w:rsidP="00F831DE">
      <w:pPr>
        <w:jc w:val="both"/>
        <w:rPr>
          <w:b/>
          <w:sz w:val="28"/>
          <w:szCs w:val="28"/>
          <w:lang w:val="en-US"/>
        </w:rPr>
      </w:pPr>
      <w:r w:rsidRPr="00053C90">
        <w:rPr>
          <w:b/>
          <w:sz w:val="28"/>
          <w:szCs w:val="28"/>
          <w:lang w:val="en-US"/>
        </w:rPr>
        <w:t>Supervisor</w:t>
      </w:r>
    </w:p>
    <w:p w:rsidR="00983C72" w:rsidRPr="00053C90" w:rsidRDefault="00983C72" w:rsidP="00F831DE">
      <w:pPr>
        <w:jc w:val="both"/>
        <w:rPr>
          <w:b/>
          <w:sz w:val="28"/>
          <w:szCs w:val="28"/>
          <w:lang w:val="en-US"/>
        </w:rPr>
      </w:pPr>
    </w:p>
    <w:p w:rsidR="00F831DE" w:rsidRPr="00053C90" w:rsidRDefault="00F831DE" w:rsidP="00F831DE">
      <w:pPr>
        <w:jc w:val="both"/>
        <w:rPr>
          <w:sz w:val="28"/>
          <w:szCs w:val="28"/>
          <w:lang w:val="en-US"/>
        </w:rPr>
      </w:pPr>
      <w:r w:rsidRPr="00053C90">
        <w:rPr>
          <w:sz w:val="28"/>
          <w:szCs w:val="28"/>
          <w:lang w:val="en-US"/>
        </w:rPr>
        <w:t>Rikard Larsson</w:t>
      </w:r>
      <w:bookmarkStart w:id="0" w:name="_Toc413778060"/>
    </w:p>
    <w:p w:rsidR="00F831DE" w:rsidRPr="00053C90" w:rsidRDefault="00F831DE" w:rsidP="00F831DE">
      <w:pPr>
        <w:pStyle w:val="Heading1"/>
        <w:rPr>
          <w:rFonts w:ascii="Times New Roman" w:hAnsi="Times New Roman"/>
          <w:lang w:val="en-US"/>
        </w:rPr>
      </w:pPr>
      <w:bookmarkStart w:id="1" w:name="_Toc428399202"/>
      <w:r w:rsidRPr="00053C90">
        <w:rPr>
          <w:rFonts w:ascii="Times New Roman" w:hAnsi="Times New Roman"/>
          <w:lang w:val="en-US"/>
        </w:rPr>
        <w:lastRenderedPageBreak/>
        <w:t>A</w:t>
      </w:r>
      <w:bookmarkEnd w:id="0"/>
      <w:r w:rsidRPr="00053C90">
        <w:rPr>
          <w:rFonts w:ascii="Times New Roman" w:hAnsi="Times New Roman"/>
          <w:lang w:val="en-US"/>
        </w:rPr>
        <w:t>bstract</w:t>
      </w:r>
      <w:bookmarkEnd w:id="1"/>
    </w:p>
    <w:p w:rsidR="00F831DE" w:rsidRPr="00053C90" w:rsidRDefault="00F831DE" w:rsidP="00F831DE">
      <w:pPr>
        <w:pStyle w:val="Default"/>
        <w:jc w:val="both"/>
        <w:rPr>
          <w:rFonts w:ascii="Times New Roman" w:hAnsi="Times New Roman" w:cs="Times New Roman"/>
          <w:b/>
          <w:bCs/>
          <w:lang w:val="en-US"/>
        </w:rPr>
      </w:pPr>
    </w:p>
    <w:p w:rsidR="00F831DE" w:rsidRPr="00053C90" w:rsidRDefault="00F831DE" w:rsidP="00F831DE">
      <w:pPr>
        <w:pStyle w:val="Default"/>
        <w:jc w:val="both"/>
        <w:rPr>
          <w:rFonts w:ascii="Times New Roman" w:hAnsi="Times New Roman" w:cs="Times New Roman"/>
          <w:lang w:val="en-US"/>
        </w:rPr>
      </w:pPr>
      <w:r w:rsidRPr="00053C90">
        <w:rPr>
          <w:rFonts w:ascii="Times New Roman" w:hAnsi="Times New Roman" w:cs="Times New Roman"/>
          <w:b/>
          <w:bCs/>
          <w:lang w:val="en-US"/>
        </w:rPr>
        <w:t xml:space="preserve">Title: </w:t>
      </w:r>
      <w:r w:rsidR="00820DA4" w:rsidRPr="00053C90">
        <w:rPr>
          <w:rFonts w:ascii="Times New Roman" w:hAnsi="Times New Roman" w:cs="Times New Roman"/>
          <w:lang w:val="en-US"/>
        </w:rPr>
        <w:t>Two sides</w:t>
      </w:r>
      <w:r w:rsidR="00F37FB7" w:rsidRPr="00053C90">
        <w:rPr>
          <w:rFonts w:ascii="Times New Roman" w:hAnsi="Times New Roman" w:cs="Times New Roman"/>
          <w:lang w:val="en-US"/>
        </w:rPr>
        <w:t xml:space="preserve"> of the same coin? – Ev</w:t>
      </w:r>
      <w:r w:rsidR="00983C72" w:rsidRPr="00053C90">
        <w:rPr>
          <w:rFonts w:ascii="Times New Roman" w:hAnsi="Times New Roman" w:cs="Times New Roman"/>
          <w:lang w:val="en-US"/>
        </w:rPr>
        <w:t>aluating</w:t>
      </w:r>
      <w:r w:rsidR="00820DA4" w:rsidRPr="00053C90">
        <w:rPr>
          <w:rFonts w:ascii="Times New Roman" w:hAnsi="Times New Roman" w:cs="Times New Roman"/>
          <w:lang w:val="en-US"/>
        </w:rPr>
        <w:t xml:space="preserve"> M&amp;A performance from two different perspectives</w:t>
      </w:r>
    </w:p>
    <w:p w:rsidR="00F831DE" w:rsidRPr="00053C90" w:rsidRDefault="00F831DE" w:rsidP="00F831DE">
      <w:pPr>
        <w:pStyle w:val="Default"/>
        <w:jc w:val="both"/>
        <w:rPr>
          <w:rFonts w:ascii="Times New Roman" w:hAnsi="Times New Roman" w:cs="Times New Roman"/>
          <w:lang w:val="en-US"/>
        </w:rPr>
      </w:pPr>
      <w:r w:rsidRPr="00053C90">
        <w:rPr>
          <w:rFonts w:ascii="Times New Roman" w:hAnsi="Times New Roman" w:cs="Times New Roman"/>
          <w:b/>
          <w:bCs/>
          <w:lang w:val="en-US"/>
        </w:rPr>
        <w:t xml:space="preserve">Seminar Date: </w:t>
      </w:r>
      <w:r w:rsidR="00ED56C2">
        <w:rPr>
          <w:rFonts w:ascii="Times New Roman" w:hAnsi="Times New Roman" w:cs="Times New Roman"/>
          <w:lang w:val="en-US"/>
        </w:rPr>
        <w:t xml:space="preserve"> 2015-05-25</w:t>
      </w:r>
    </w:p>
    <w:p w:rsidR="00F831DE" w:rsidRPr="00053C90" w:rsidRDefault="00F831DE" w:rsidP="00D72E86">
      <w:pPr>
        <w:pStyle w:val="Default"/>
        <w:spacing w:line="360" w:lineRule="auto"/>
        <w:jc w:val="both"/>
        <w:rPr>
          <w:rFonts w:ascii="Times New Roman" w:hAnsi="Times New Roman" w:cs="Times New Roman"/>
          <w:lang w:val="en-US"/>
        </w:rPr>
      </w:pPr>
      <w:r w:rsidRPr="00053C90">
        <w:rPr>
          <w:rFonts w:ascii="Times New Roman" w:hAnsi="Times New Roman" w:cs="Times New Roman"/>
          <w:b/>
          <w:bCs/>
          <w:lang w:val="en-US"/>
        </w:rPr>
        <w:t xml:space="preserve">Course: </w:t>
      </w:r>
      <w:r w:rsidRPr="00053C90">
        <w:rPr>
          <w:rFonts w:ascii="Times New Roman" w:hAnsi="Times New Roman" w:cs="Times New Roman"/>
          <w:lang w:val="en-US"/>
        </w:rPr>
        <w:t xml:space="preserve">FEKN90, </w:t>
      </w:r>
      <w:r w:rsidRPr="00053C90">
        <w:rPr>
          <w:rFonts w:ascii="Times New Roman" w:eastAsia="TimesNewRoman" w:hAnsi="Times New Roman" w:cs="Times New Roman"/>
          <w:lang w:val="en-US"/>
        </w:rPr>
        <w:t>Master thesis in business administration, 30 ECTS</w:t>
      </w:r>
    </w:p>
    <w:p w:rsidR="00F831DE" w:rsidRPr="00053C90" w:rsidRDefault="00F831DE" w:rsidP="00D72E86">
      <w:pPr>
        <w:pStyle w:val="Default"/>
        <w:spacing w:line="360" w:lineRule="auto"/>
        <w:jc w:val="both"/>
        <w:rPr>
          <w:rFonts w:ascii="Times New Roman" w:hAnsi="Times New Roman" w:cs="Times New Roman"/>
          <w:lang w:val="en-US"/>
        </w:rPr>
      </w:pPr>
      <w:r w:rsidRPr="00053C90">
        <w:rPr>
          <w:rFonts w:ascii="Times New Roman" w:hAnsi="Times New Roman" w:cs="Times New Roman"/>
          <w:b/>
          <w:bCs/>
          <w:lang w:val="en-US"/>
        </w:rPr>
        <w:t xml:space="preserve">Authors: </w:t>
      </w:r>
      <w:r w:rsidRPr="00053C90">
        <w:rPr>
          <w:rFonts w:ascii="Times New Roman" w:hAnsi="Times New Roman" w:cs="Times New Roman"/>
          <w:lang w:val="en-US"/>
        </w:rPr>
        <w:t>An</w:t>
      </w:r>
      <w:r w:rsidR="00983C72" w:rsidRPr="00053C90">
        <w:rPr>
          <w:rFonts w:ascii="Times New Roman" w:hAnsi="Times New Roman" w:cs="Times New Roman"/>
          <w:lang w:val="en-US"/>
        </w:rPr>
        <w:t>ton Hansson and Theodor Östlund</w:t>
      </w:r>
    </w:p>
    <w:p w:rsidR="00F831DE" w:rsidRPr="00053C90" w:rsidRDefault="00F831DE" w:rsidP="00D72E86">
      <w:pPr>
        <w:pStyle w:val="Default"/>
        <w:spacing w:line="360" w:lineRule="auto"/>
        <w:jc w:val="both"/>
        <w:rPr>
          <w:rFonts w:ascii="Times New Roman" w:hAnsi="Times New Roman" w:cs="Times New Roman"/>
          <w:lang w:val="en-US"/>
        </w:rPr>
      </w:pPr>
      <w:r w:rsidRPr="00053C90">
        <w:rPr>
          <w:rFonts w:ascii="Times New Roman" w:hAnsi="Times New Roman" w:cs="Times New Roman"/>
          <w:b/>
          <w:bCs/>
          <w:lang w:val="en-US"/>
        </w:rPr>
        <w:t xml:space="preserve">Supervisor: </w:t>
      </w:r>
      <w:r w:rsidR="00983C72" w:rsidRPr="00053C90">
        <w:rPr>
          <w:rFonts w:ascii="Times New Roman" w:hAnsi="Times New Roman" w:cs="Times New Roman"/>
          <w:lang w:val="en-US"/>
        </w:rPr>
        <w:t>Rikard Larsson</w:t>
      </w:r>
    </w:p>
    <w:p w:rsidR="00F831DE" w:rsidRPr="00053C90" w:rsidRDefault="00F831DE" w:rsidP="00D72E86">
      <w:pPr>
        <w:pStyle w:val="Default"/>
        <w:spacing w:line="360" w:lineRule="auto"/>
        <w:jc w:val="both"/>
        <w:rPr>
          <w:rFonts w:ascii="Times New Roman" w:hAnsi="Times New Roman" w:cs="Times New Roman"/>
          <w:lang w:val="en-US"/>
        </w:rPr>
      </w:pPr>
      <w:r w:rsidRPr="00053C90">
        <w:rPr>
          <w:rFonts w:ascii="Times New Roman" w:hAnsi="Times New Roman" w:cs="Times New Roman"/>
          <w:b/>
          <w:bCs/>
          <w:lang w:val="en-US"/>
        </w:rPr>
        <w:t xml:space="preserve">Key words: </w:t>
      </w:r>
      <w:r w:rsidRPr="00053C90">
        <w:rPr>
          <w:rFonts w:ascii="Times New Roman" w:hAnsi="Times New Roman" w:cs="Times New Roman"/>
          <w:lang w:val="en-US"/>
        </w:rPr>
        <w:t>Mergers, Acqui</w:t>
      </w:r>
      <w:r w:rsidR="00983C72" w:rsidRPr="00053C90">
        <w:rPr>
          <w:rFonts w:ascii="Times New Roman" w:hAnsi="Times New Roman" w:cs="Times New Roman"/>
          <w:lang w:val="en-US"/>
        </w:rPr>
        <w:t>sitions, Event Study, BHAR, ROA</w:t>
      </w:r>
      <w:r w:rsidR="00E85166">
        <w:rPr>
          <w:rFonts w:ascii="Times New Roman" w:hAnsi="Times New Roman" w:cs="Times New Roman"/>
          <w:lang w:val="en-US"/>
        </w:rPr>
        <w:t>, Regression Analysis</w:t>
      </w:r>
      <w:bookmarkStart w:id="2" w:name="_GoBack"/>
      <w:bookmarkEnd w:id="2"/>
    </w:p>
    <w:p w:rsidR="00F831DE" w:rsidRPr="00053C90" w:rsidRDefault="00F831DE" w:rsidP="00D72E86">
      <w:pPr>
        <w:spacing w:line="360" w:lineRule="auto"/>
        <w:jc w:val="both"/>
        <w:rPr>
          <w:rFonts w:eastAsia="Times New Roman"/>
          <w:color w:val="000000"/>
          <w:lang w:val="en-US"/>
        </w:rPr>
      </w:pPr>
      <w:r w:rsidRPr="00053C90">
        <w:rPr>
          <w:b/>
          <w:bCs/>
          <w:lang w:val="en-US"/>
        </w:rPr>
        <w:t xml:space="preserve">Purpose: </w:t>
      </w:r>
      <w:r w:rsidRPr="00053C90">
        <w:rPr>
          <w:rFonts w:eastAsia="Times New Roman"/>
          <w:color w:val="000000"/>
          <w:lang w:val="en-US"/>
        </w:rPr>
        <w:t xml:space="preserve">This study’s purpose is to study the long term effects of M&amp;A and to examine whether stock price is the only determinant of post-merger performance or if </w:t>
      </w:r>
      <w:r w:rsidR="00053C90" w:rsidRPr="00053C90">
        <w:rPr>
          <w:rFonts w:eastAsia="Times New Roman"/>
          <w:color w:val="000000"/>
          <w:lang w:val="en-US"/>
        </w:rPr>
        <w:t>operating performance</w:t>
      </w:r>
      <w:r w:rsidRPr="00053C90">
        <w:rPr>
          <w:rFonts w:eastAsia="Times New Roman"/>
          <w:color w:val="000000"/>
          <w:lang w:val="en-US"/>
        </w:rPr>
        <w:t xml:space="preserve"> can be used as an additional determinant. </w:t>
      </w:r>
      <w:r w:rsidR="008E7F54" w:rsidRPr="00053C90">
        <w:rPr>
          <w:rFonts w:eastAsia="Times New Roman"/>
          <w:color w:val="000000"/>
          <w:lang w:val="en-US"/>
        </w:rPr>
        <w:t xml:space="preserve">How underlying variables impact these measures are also part of this study´s purpose. </w:t>
      </w:r>
    </w:p>
    <w:p w:rsidR="00F831DE" w:rsidRPr="00053C90" w:rsidRDefault="00F831DE" w:rsidP="00D72E86">
      <w:pPr>
        <w:autoSpaceDE w:val="0"/>
        <w:autoSpaceDN w:val="0"/>
        <w:adjustRightInd w:val="0"/>
        <w:spacing w:line="360" w:lineRule="auto"/>
        <w:jc w:val="both"/>
        <w:rPr>
          <w:lang w:val="en-US"/>
        </w:rPr>
      </w:pPr>
      <w:r w:rsidRPr="00053C90">
        <w:rPr>
          <w:b/>
          <w:bCs/>
          <w:lang w:val="en-US"/>
        </w:rPr>
        <w:t xml:space="preserve">Methodology: </w:t>
      </w:r>
      <w:r w:rsidRPr="00053C90">
        <w:rPr>
          <w:bCs/>
          <w:lang w:val="en-US"/>
        </w:rPr>
        <w:t>A</w:t>
      </w:r>
      <w:r w:rsidRPr="00053C90">
        <w:rPr>
          <w:b/>
          <w:bCs/>
          <w:lang w:val="en-US"/>
        </w:rPr>
        <w:t xml:space="preserve"> </w:t>
      </w:r>
      <w:r w:rsidRPr="00053C90">
        <w:rPr>
          <w:lang w:val="en-US"/>
        </w:rPr>
        <w:t>quantitative approach is used where two event studies are conducted to determine the long term effects of Mergers and Acquisitions. To study the stock performance a buy and hold abnormal return model with benchmark firms are used. The accounting figures will be measured by relating their development to an industry benchmark. To ensure the statistical T-tests are used in order to ensure statistical significance.</w:t>
      </w:r>
      <w:r w:rsidR="008E7F54" w:rsidRPr="00053C90">
        <w:rPr>
          <w:lang w:val="en-US"/>
        </w:rPr>
        <w:t xml:space="preserve"> Furthermore, multiple linear regressions will be used to examine </w:t>
      </w:r>
      <w:r w:rsidR="008C1251" w:rsidRPr="00053C90">
        <w:rPr>
          <w:lang w:val="en-US"/>
        </w:rPr>
        <w:t xml:space="preserve">how performance is affected by our </w:t>
      </w:r>
      <w:r w:rsidR="008E7F54" w:rsidRPr="00053C90">
        <w:rPr>
          <w:lang w:val="en-US"/>
        </w:rPr>
        <w:t>set of variables</w:t>
      </w:r>
      <w:r w:rsidR="008C1251" w:rsidRPr="00053C90">
        <w:rPr>
          <w:lang w:val="en-US"/>
        </w:rPr>
        <w:t xml:space="preserve">. </w:t>
      </w:r>
    </w:p>
    <w:p w:rsidR="00F831DE" w:rsidRPr="00053C90" w:rsidRDefault="00F831DE" w:rsidP="00D72E86">
      <w:pPr>
        <w:autoSpaceDE w:val="0"/>
        <w:autoSpaceDN w:val="0"/>
        <w:adjustRightInd w:val="0"/>
        <w:spacing w:line="360" w:lineRule="auto"/>
        <w:jc w:val="both"/>
        <w:rPr>
          <w:lang w:val="en-US"/>
        </w:rPr>
      </w:pPr>
      <w:r w:rsidRPr="00053C90">
        <w:rPr>
          <w:b/>
          <w:bCs/>
          <w:lang w:val="en-US"/>
        </w:rPr>
        <w:t>Theoretical</w:t>
      </w:r>
      <w:r w:rsidR="00286008">
        <w:rPr>
          <w:b/>
          <w:bCs/>
          <w:lang w:val="en-US"/>
        </w:rPr>
        <w:t xml:space="preserve"> framework</w:t>
      </w:r>
      <w:r w:rsidRPr="00053C90">
        <w:rPr>
          <w:b/>
          <w:bCs/>
          <w:lang w:val="en-US"/>
        </w:rPr>
        <w:t xml:space="preserve">: </w:t>
      </w:r>
      <w:r w:rsidRPr="00053C90">
        <w:rPr>
          <w:bCs/>
          <w:lang w:val="en-US"/>
        </w:rPr>
        <w:t xml:space="preserve">The theoretical framework includes </w:t>
      </w:r>
      <w:r w:rsidRPr="00053C90">
        <w:rPr>
          <w:lang w:val="en-US"/>
        </w:rPr>
        <w:t xml:space="preserve">a description of mergers and acquisitions and why they occur. Furthermore, the relevant theories for this study, efficient market hypothesis and information asymmetry are also presented. A review of previous research </w:t>
      </w:r>
      <w:r w:rsidR="008E7F54" w:rsidRPr="00053C90">
        <w:rPr>
          <w:lang w:val="en-US"/>
        </w:rPr>
        <w:t xml:space="preserve">conducted on M&amp;A:s </w:t>
      </w:r>
      <w:r w:rsidRPr="00053C90">
        <w:rPr>
          <w:lang w:val="en-US"/>
        </w:rPr>
        <w:t>is also conducted.</w:t>
      </w:r>
      <w:r w:rsidR="008E7F54" w:rsidRPr="00053C90">
        <w:rPr>
          <w:lang w:val="en-US"/>
        </w:rPr>
        <w:t xml:space="preserve"> </w:t>
      </w:r>
    </w:p>
    <w:p w:rsidR="00F831DE" w:rsidRPr="00053C90" w:rsidRDefault="00F831DE" w:rsidP="00D72E86">
      <w:pPr>
        <w:autoSpaceDE w:val="0"/>
        <w:autoSpaceDN w:val="0"/>
        <w:adjustRightInd w:val="0"/>
        <w:spacing w:line="360" w:lineRule="auto"/>
        <w:jc w:val="both"/>
        <w:rPr>
          <w:lang w:val="en-US"/>
        </w:rPr>
      </w:pPr>
      <w:r w:rsidRPr="00053C90">
        <w:rPr>
          <w:b/>
          <w:bCs/>
          <w:lang w:val="en-US"/>
        </w:rPr>
        <w:t xml:space="preserve">Empirical foundation: </w:t>
      </w:r>
      <w:r w:rsidRPr="00053C90">
        <w:rPr>
          <w:lang w:val="en-US"/>
        </w:rPr>
        <w:t>Th</w:t>
      </w:r>
      <w:r w:rsidR="008C1251" w:rsidRPr="00053C90">
        <w:rPr>
          <w:lang w:val="en-US"/>
        </w:rPr>
        <w:t>e data sample consists of 64</w:t>
      </w:r>
      <w:r w:rsidRPr="00053C90">
        <w:rPr>
          <w:lang w:val="en-US"/>
        </w:rPr>
        <w:t xml:space="preserve"> </w:t>
      </w:r>
      <w:r w:rsidR="008C1251" w:rsidRPr="00053C90">
        <w:rPr>
          <w:lang w:val="en-US"/>
        </w:rPr>
        <w:t xml:space="preserve">transactions </w:t>
      </w:r>
      <w:r w:rsidRPr="00053C90">
        <w:rPr>
          <w:lang w:val="en-US"/>
        </w:rPr>
        <w:t>in Sweden</w:t>
      </w:r>
      <w:r w:rsidR="008C1251" w:rsidRPr="00053C90">
        <w:rPr>
          <w:lang w:val="en-US"/>
        </w:rPr>
        <w:t>,</w:t>
      </w:r>
      <w:r w:rsidR="00AE7C57" w:rsidRPr="00053C90">
        <w:rPr>
          <w:lang w:val="en-US"/>
        </w:rPr>
        <w:t xml:space="preserve"> Norway</w:t>
      </w:r>
      <w:r w:rsidR="008C1251" w:rsidRPr="00053C90">
        <w:rPr>
          <w:lang w:val="en-US"/>
        </w:rPr>
        <w:t>,</w:t>
      </w:r>
      <w:r w:rsidR="00AE7C57" w:rsidRPr="00053C90">
        <w:rPr>
          <w:lang w:val="en-US"/>
        </w:rPr>
        <w:t xml:space="preserve"> Denmark and Finland </w:t>
      </w:r>
      <w:r w:rsidR="00FB0863" w:rsidRPr="00053C90">
        <w:rPr>
          <w:lang w:val="en-US"/>
        </w:rPr>
        <w:t>between 2004-01-01 to 2012-01-0</w:t>
      </w:r>
      <w:r w:rsidR="008C1251" w:rsidRPr="00053C90">
        <w:rPr>
          <w:lang w:val="en-US"/>
        </w:rPr>
        <w:t>1</w:t>
      </w:r>
      <w:r w:rsidRPr="00053C90">
        <w:rPr>
          <w:lang w:val="en-US"/>
        </w:rPr>
        <w:t>. An additional criterion includes that both the acquirer and the target needs to be public.</w:t>
      </w:r>
    </w:p>
    <w:p w:rsidR="005C5984" w:rsidRPr="00053C90" w:rsidRDefault="00F831DE" w:rsidP="005C5984">
      <w:pPr>
        <w:spacing w:line="360" w:lineRule="auto"/>
        <w:rPr>
          <w:lang w:val="en-US"/>
        </w:rPr>
      </w:pPr>
      <w:r w:rsidRPr="00053C90">
        <w:rPr>
          <w:b/>
          <w:bCs/>
          <w:lang w:val="en-US"/>
        </w:rPr>
        <w:t xml:space="preserve">Conclusion: </w:t>
      </w:r>
      <w:r w:rsidR="005C5984" w:rsidRPr="00053C90">
        <w:rPr>
          <w:lang w:val="en-US"/>
        </w:rPr>
        <w:t>This study finds no significant results in either long term stock or long term operating performance. Furthermore the results from the correlation between</w:t>
      </w:r>
      <w:r w:rsidR="005E0828">
        <w:rPr>
          <w:lang w:val="en-US"/>
        </w:rPr>
        <w:t xml:space="preserve"> the measures indicate</w:t>
      </w:r>
      <w:r w:rsidR="005C5984" w:rsidRPr="00053C90">
        <w:rPr>
          <w:lang w:val="en-US"/>
        </w:rPr>
        <w:t xml:space="preserve"> that there are a significant linear relationship between the measures after 24 months. Variables that had a significant on at least one of the</w:t>
      </w:r>
      <w:r w:rsidR="004417BA" w:rsidRPr="00053C90">
        <w:rPr>
          <w:lang w:val="en-US"/>
        </w:rPr>
        <w:t xml:space="preserve"> measures included relative transaction</w:t>
      </w:r>
      <w:r w:rsidR="005C5984" w:rsidRPr="00053C90">
        <w:rPr>
          <w:lang w:val="en-US"/>
        </w:rPr>
        <w:t xml:space="preserve"> size, market-to-book ratio and industry relatedness of the target and acquirer.</w:t>
      </w:r>
    </w:p>
    <w:p w:rsidR="005C5984" w:rsidRPr="00053C90" w:rsidRDefault="005C5984" w:rsidP="00616606">
      <w:pPr>
        <w:spacing w:line="360" w:lineRule="auto"/>
        <w:jc w:val="both"/>
        <w:rPr>
          <w:b/>
          <w:bCs/>
          <w:lang w:val="en-US"/>
        </w:rPr>
      </w:pPr>
    </w:p>
    <w:p w:rsidR="001971E0" w:rsidRPr="00053C90" w:rsidRDefault="001971E0" w:rsidP="007A7F16">
      <w:pPr>
        <w:pStyle w:val="TOCHeading"/>
        <w:spacing w:line="360" w:lineRule="auto"/>
        <w:rPr>
          <w:rFonts w:ascii="Times New Roman" w:hAnsi="Times New Roman"/>
        </w:rPr>
      </w:pPr>
      <w:r w:rsidRPr="00053C90">
        <w:rPr>
          <w:rFonts w:ascii="Times New Roman" w:hAnsi="Times New Roman"/>
        </w:rPr>
        <w:lastRenderedPageBreak/>
        <w:t>Table of Contents</w:t>
      </w:r>
    </w:p>
    <w:p w:rsidR="00D018FF" w:rsidRDefault="001971E0">
      <w:pPr>
        <w:pStyle w:val="TOC1"/>
        <w:tabs>
          <w:tab w:val="right" w:leader="dot" w:pos="9062"/>
        </w:tabs>
        <w:rPr>
          <w:rFonts w:asciiTheme="minorHAnsi" w:eastAsiaTheme="minorEastAsia" w:hAnsiTheme="minorHAnsi" w:cstheme="minorBidi"/>
          <w:noProof/>
          <w:sz w:val="22"/>
          <w:lang w:val="en-US"/>
        </w:rPr>
      </w:pPr>
      <w:r w:rsidRPr="00053C90">
        <w:rPr>
          <w:lang w:val="en-US"/>
        </w:rPr>
        <w:fldChar w:fldCharType="begin"/>
      </w:r>
      <w:r w:rsidRPr="00053C90">
        <w:rPr>
          <w:lang w:val="en-US"/>
        </w:rPr>
        <w:instrText xml:space="preserve"> TOC \o "1-3" \h \z \u </w:instrText>
      </w:r>
      <w:r w:rsidRPr="00053C90">
        <w:rPr>
          <w:lang w:val="en-US"/>
        </w:rPr>
        <w:fldChar w:fldCharType="separate"/>
      </w:r>
      <w:hyperlink w:anchor="_Toc428399202" w:history="1">
        <w:r w:rsidR="00D018FF" w:rsidRPr="00BD3B9B">
          <w:rPr>
            <w:rStyle w:val="Hyperlink"/>
            <w:noProof/>
            <w:lang w:val="en-US"/>
          </w:rPr>
          <w:t>Abstract</w:t>
        </w:r>
        <w:r w:rsidR="00D018FF">
          <w:rPr>
            <w:noProof/>
            <w:webHidden/>
          </w:rPr>
          <w:tab/>
        </w:r>
        <w:r w:rsidR="00D018FF">
          <w:rPr>
            <w:noProof/>
            <w:webHidden/>
          </w:rPr>
          <w:fldChar w:fldCharType="begin"/>
        </w:r>
        <w:r w:rsidR="00D018FF">
          <w:rPr>
            <w:noProof/>
            <w:webHidden/>
          </w:rPr>
          <w:instrText xml:space="preserve"> PAGEREF _Toc428399202 \h </w:instrText>
        </w:r>
        <w:r w:rsidR="00D018FF">
          <w:rPr>
            <w:noProof/>
            <w:webHidden/>
          </w:rPr>
        </w:r>
        <w:r w:rsidR="00D018FF">
          <w:rPr>
            <w:noProof/>
            <w:webHidden/>
          </w:rPr>
          <w:fldChar w:fldCharType="separate"/>
        </w:r>
        <w:r w:rsidR="00D018FF">
          <w:rPr>
            <w:noProof/>
            <w:webHidden/>
          </w:rPr>
          <w:t>2</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03" w:history="1">
        <w:r w:rsidR="00D018FF" w:rsidRPr="00BD3B9B">
          <w:rPr>
            <w:rStyle w:val="Hyperlink"/>
            <w:noProof/>
            <w:lang w:val="en-US"/>
          </w:rPr>
          <w:t>1.</w:t>
        </w:r>
        <w:r w:rsidR="00D018FF">
          <w:rPr>
            <w:rFonts w:asciiTheme="minorHAnsi" w:eastAsiaTheme="minorEastAsia" w:hAnsiTheme="minorHAnsi" w:cstheme="minorBidi"/>
            <w:noProof/>
            <w:sz w:val="22"/>
            <w:lang w:val="en-US"/>
          </w:rPr>
          <w:tab/>
        </w:r>
        <w:r w:rsidR="00D018FF" w:rsidRPr="00BD3B9B">
          <w:rPr>
            <w:rStyle w:val="Hyperlink"/>
            <w:noProof/>
            <w:lang w:val="en-US"/>
          </w:rPr>
          <w:t>Introduction</w:t>
        </w:r>
        <w:r w:rsidR="00D018FF">
          <w:rPr>
            <w:noProof/>
            <w:webHidden/>
          </w:rPr>
          <w:tab/>
        </w:r>
        <w:r w:rsidR="00D018FF">
          <w:rPr>
            <w:noProof/>
            <w:webHidden/>
          </w:rPr>
          <w:fldChar w:fldCharType="begin"/>
        </w:r>
        <w:r w:rsidR="00D018FF">
          <w:rPr>
            <w:noProof/>
            <w:webHidden/>
          </w:rPr>
          <w:instrText xml:space="preserve"> PAGEREF _Toc428399203 \h </w:instrText>
        </w:r>
        <w:r w:rsidR="00D018FF">
          <w:rPr>
            <w:noProof/>
            <w:webHidden/>
          </w:rPr>
        </w:r>
        <w:r w:rsidR="00D018FF">
          <w:rPr>
            <w:noProof/>
            <w:webHidden/>
          </w:rPr>
          <w:fldChar w:fldCharType="separate"/>
        </w:r>
        <w:r w:rsidR="00D018FF">
          <w:rPr>
            <w:noProof/>
            <w:webHidden/>
          </w:rPr>
          <w:t>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4" w:history="1">
        <w:r w:rsidR="00D018FF" w:rsidRPr="00BD3B9B">
          <w:rPr>
            <w:rStyle w:val="Hyperlink"/>
            <w:noProof/>
            <w:lang w:val="en-US"/>
          </w:rPr>
          <w:t>1.1.</w:t>
        </w:r>
        <w:r w:rsidR="00D018FF">
          <w:rPr>
            <w:rFonts w:asciiTheme="minorHAnsi" w:eastAsiaTheme="minorEastAsia" w:hAnsiTheme="minorHAnsi" w:cstheme="minorBidi"/>
            <w:noProof/>
            <w:sz w:val="22"/>
            <w:lang w:val="en-US"/>
          </w:rPr>
          <w:tab/>
        </w:r>
        <w:r w:rsidR="00D018FF" w:rsidRPr="00BD3B9B">
          <w:rPr>
            <w:rStyle w:val="Hyperlink"/>
            <w:noProof/>
            <w:lang w:val="en-US"/>
          </w:rPr>
          <w:t>Background</w:t>
        </w:r>
        <w:r w:rsidR="00D018FF">
          <w:rPr>
            <w:noProof/>
            <w:webHidden/>
          </w:rPr>
          <w:tab/>
        </w:r>
        <w:r w:rsidR="00D018FF">
          <w:rPr>
            <w:noProof/>
            <w:webHidden/>
          </w:rPr>
          <w:fldChar w:fldCharType="begin"/>
        </w:r>
        <w:r w:rsidR="00D018FF">
          <w:rPr>
            <w:noProof/>
            <w:webHidden/>
          </w:rPr>
          <w:instrText xml:space="preserve"> PAGEREF _Toc428399204 \h </w:instrText>
        </w:r>
        <w:r w:rsidR="00D018FF">
          <w:rPr>
            <w:noProof/>
            <w:webHidden/>
          </w:rPr>
        </w:r>
        <w:r w:rsidR="00D018FF">
          <w:rPr>
            <w:noProof/>
            <w:webHidden/>
          </w:rPr>
          <w:fldChar w:fldCharType="separate"/>
        </w:r>
        <w:r w:rsidR="00D018FF">
          <w:rPr>
            <w:noProof/>
            <w:webHidden/>
          </w:rPr>
          <w:t>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5" w:history="1">
        <w:r w:rsidR="00D018FF" w:rsidRPr="00BD3B9B">
          <w:rPr>
            <w:rStyle w:val="Hyperlink"/>
            <w:noProof/>
            <w:lang w:val="en-US"/>
          </w:rPr>
          <w:t>1.2.</w:t>
        </w:r>
        <w:r w:rsidR="00D018FF">
          <w:rPr>
            <w:rFonts w:asciiTheme="minorHAnsi" w:eastAsiaTheme="minorEastAsia" w:hAnsiTheme="minorHAnsi" w:cstheme="minorBidi"/>
            <w:noProof/>
            <w:sz w:val="22"/>
            <w:lang w:val="en-US"/>
          </w:rPr>
          <w:tab/>
        </w:r>
        <w:r w:rsidR="00D018FF" w:rsidRPr="00BD3B9B">
          <w:rPr>
            <w:rStyle w:val="Hyperlink"/>
            <w:noProof/>
            <w:lang w:val="en-US"/>
          </w:rPr>
          <w:t>Problem discussion</w:t>
        </w:r>
        <w:r w:rsidR="00D018FF">
          <w:rPr>
            <w:noProof/>
            <w:webHidden/>
          </w:rPr>
          <w:tab/>
        </w:r>
        <w:r w:rsidR="00D018FF">
          <w:rPr>
            <w:noProof/>
            <w:webHidden/>
          </w:rPr>
          <w:fldChar w:fldCharType="begin"/>
        </w:r>
        <w:r w:rsidR="00D018FF">
          <w:rPr>
            <w:noProof/>
            <w:webHidden/>
          </w:rPr>
          <w:instrText xml:space="preserve"> PAGEREF _Toc428399205 \h </w:instrText>
        </w:r>
        <w:r w:rsidR="00D018FF">
          <w:rPr>
            <w:noProof/>
            <w:webHidden/>
          </w:rPr>
        </w:r>
        <w:r w:rsidR="00D018FF">
          <w:rPr>
            <w:noProof/>
            <w:webHidden/>
          </w:rPr>
          <w:fldChar w:fldCharType="separate"/>
        </w:r>
        <w:r w:rsidR="00D018FF">
          <w:rPr>
            <w:noProof/>
            <w:webHidden/>
          </w:rPr>
          <w:t>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6" w:history="1">
        <w:r w:rsidR="00D018FF" w:rsidRPr="00BD3B9B">
          <w:rPr>
            <w:rStyle w:val="Hyperlink"/>
            <w:noProof/>
            <w:lang w:val="en-US"/>
          </w:rPr>
          <w:t>1.3.</w:t>
        </w:r>
        <w:r w:rsidR="00D018FF">
          <w:rPr>
            <w:rFonts w:asciiTheme="minorHAnsi" w:eastAsiaTheme="minorEastAsia" w:hAnsiTheme="minorHAnsi" w:cstheme="minorBidi"/>
            <w:noProof/>
            <w:sz w:val="22"/>
            <w:lang w:val="en-US"/>
          </w:rPr>
          <w:tab/>
        </w:r>
        <w:r w:rsidR="00D018FF" w:rsidRPr="00BD3B9B">
          <w:rPr>
            <w:rStyle w:val="Hyperlink"/>
            <w:noProof/>
            <w:lang w:val="en-US"/>
          </w:rPr>
          <w:t>Question formulation</w:t>
        </w:r>
        <w:r w:rsidR="00D018FF">
          <w:rPr>
            <w:noProof/>
            <w:webHidden/>
          </w:rPr>
          <w:tab/>
        </w:r>
        <w:r w:rsidR="00D018FF">
          <w:rPr>
            <w:noProof/>
            <w:webHidden/>
          </w:rPr>
          <w:fldChar w:fldCharType="begin"/>
        </w:r>
        <w:r w:rsidR="00D018FF">
          <w:rPr>
            <w:noProof/>
            <w:webHidden/>
          </w:rPr>
          <w:instrText xml:space="preserve"> PAGEREF _Toc428399206 \h </w:instrText>
        </w:r>
        <w:r w:rsidR="00D018FF">
          <w:rPr>
            <w:noProof/>
            <w:webHidden/>
          </w:rPr>
        </w:r>
        <w:r w:rsidR="00D018FF">
          <w:rPr>
            <w:noProof/>
            <w:webHidden/>
          </w:rPr>
          <w:fldChar w:fldCharType="separate"/>
        </w:r>
        <w:r w:rsidR="00D018FF">
          <w:rPr>
            <w:noProof/>
            <w:webHidden/>
          </w:rPr>
          <w:t>7</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7" w:history="1">
        <w:r w:rsidR="00D018FF" w:rsidRPr="00BD3B9B">
          <w:rPr>
            <w:rStyle w:val="Hyperlink"/>
            <w:noProof/>
            <w:lang w:val="en-US"/>
          </w:rPr>
          <w:t>1.4.</w:t>
        </w:r>
        <w:r w:rsidR="00D018FF">
          <w:rPr>
            <w:rFonts w:asciiTheme="minorHAnsi" w:eastAsiaTheme="minorEastAsia" w:hAnsiTheme="minorHAnsi" w:cstheme="minorBidi"/>
            <w:noProof/>
            <w:sz w:val="22"/>
            <w:lang w:val="en-US"/>
          </w:rPr>
          <w:tab/>
        </w:r>
        <w:r w:rsidR="00D018FF" w:rsidRPr="00BD3B9B">
          <w:rPr>
            <w:rStyle w:val="Hyperlink"/>
            <w:noProof/>
            <w:lang w:val="en-US"/>
          </w:rPr>
          <w:t>Purpose</w:t>
        </w:r>
        <w:r w:rsidR="00D018FF">
          <w:rPr>
            <w:noProof/>
            <w:webHidden/>
          </w:rPr>
          <w:tab/>
        </w:r>
        <w:r w:rsidR="00D018FF">
          <w:rPr>
            <w:noProof/>
            <w:webHidden/>
          </w:rPr>
          <w:fldChar w:fldCharType="begin"/>
        </w:r>
        <w:r w:rsidR="00D018FF">
          <w:rPr>
            <w:noProof/>
            <w:webHidden/>
          </w:rPr>
          <w:instrText xml:space="preserve"> PAGEREF _Toc428399207 \h </w:instrText>
        </w:r>
        <w:r w:rsidR="00D018FF">
          <w:rPr>
            <w:noProof/>
            <w:webHidden/>
          </w:rPr>
        </w:r>
        <w:r w:rsidR="00D018FF">
          <w:rPr>
            <w:noProof/>
            <w:webHidden/>
          </w:rPr>
          <w:fldChar w:fldCharType="separate"/>
        </w:r>
        <w:r w:rsidR="00D018FF">
          <w:rPr>
            <w:noProof/>
            <w:webHidden/>
          </w:rPr>
          <w:t>7</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8" w:history="1">
        <w:r w:rsidR="00D018FF" w:rsidRPr="00BD3B9B">
          <w:rPr>
            <w:rStyle w:val="Hyperlink"/>
            <w:noProof/>
            <w:lang w:val="en-US"/>
          </w:rPr>
          <w:t>1.5.</w:t>
        </w:r>
        <w:r w:rsidR="00D018FF">
          <w:rPr>
            <w:rFonts w:asciiTheme="minorHAnsi" w:eastAsiaTheme="minorEastAsia" w:hAnsiTheme="minorHAnsi" w:cstheme="minorBidi"/>
            <w:noProof/>
            <w:sz w:val="22"/>
            <w:lang w:val="en-US"/>
          </w:rPr>
          <w:tab/>
        </w:r>
        <w:r w:rsidR="00D018FF" w:rsidRPr="00BD3B9B">
          <w:rPr>
            <w:rStyle w:val="Hyperlink"/>
            <w:noProof/>
            <w:lang w:val="en-US"/>
          </w:rPr>
          <w:t>Demarcations</w:t>
        </w:r>
        <w:r w:rsidR="00D018FF">
          <w:rPr>
            <w:noProof/>
            <w:webHidden/>
          </w:rPr>
          <w:tab/>
        </w:r>
        <w:r w:rsidR="00D018FF">
          <w:rPr>
            <w:noProof/>
            <w:webHidden/>
          </w:rPr>
          <w:fldChar w:fldCharType="begin"/>
        </w:r>
        <w:r w:rsidR="00D018FF">
          <w:rPr>
            <w:noProof/>
            <w:webHidden/>
          </w:rPr>
          <w:instrText xml:space="preserve"> PAGEREF _Toc428399208 \h </w:instrText>
        </w:r>
        <w:r w:rsidR="00D018FF">
          <w:rPr>
            <w:noProof/>
            <w:webHidden/>
          </w:rPr>
        </w:r>
        <w:r w:rsidR="00D018FF">
          <w:rPr>
            <w:noProof/>
            <w:webHidden/>
          </w:rPr>
          <w:fldChar w:fldCharType="separate"/>
        </w:r>
        <w:r w:rsidR="00D018FF">
          <w:rPr>
            <w:noProof/>
            <w:webHidden/>
          </w:rPr>
          <w:t>8</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09" w:history="1">
        <w:r w:rsidR="00D018FF" w:rsidRPr="00BD3B9B">
          <w:rPr>
            <w:rStyle w:val="Hyperlink"/>
            <w:noProof/>
            <w:lang w:val="en-US"/>
          </w:rPr>
          <w:t>1.6.</w:t>
        </w:r>
        <w:r w:rsidR="00D018FF">
          <w:rPr>
            <w:rFonts w:asciiTheme="minorHAnsi" w:eastAsiaTheme="minorEastAsia" w:hAnsiTheme="minorHAnsi" w:cstheme="minorBidi"/>
            <w:noProof/>
            <w:sz w:val="22"/>
            <w:lang w:val="en-US"/>
          </w:rPr>
          <w:tab/>
        </w:r>
        <w:r w:rsidR="00D018FF" w:rsidRPr="00BD3B9B">
          <w:rPr>
            <w:rStyle w:val="Hyperlink"/>
            <w:noProof/>
            <w:lang w:val="en-US"/>
          </w:rPr>
          <w:t>Target Group</w:t>
        </w:r>
        <w:r w:rsidR="00D018FF">
          <w:rPr>
            <w:noProof/>
            <w:webHidden/>
          </w:rPr>
          <w:tab/>
        </w:r>
        <w:r w:rsidR="00D018FF">
          <w:rPr>
            <w:noProof/>
            <w:webHidden/>
          </w:rPr>
          <w:fldChar w:fldCharType="begin"/>
        </w:r>
        <w:r w:rsidR="00D018FF">
          <w:rPr>
            <w:noProof/>
            <w:webHidden/>
          </w:rPr>
          <w:instrText xml:space="preserve"> PAGEREF _Toc428399209 \h </w:instrText>
        </w:r>
        <w:r w:rsidR="00D018FF">
          <w:rPr>
            <w:noProof/>
            <w:webHidden/>
          </w:rPr>
        </w:r>
        <w:r w:rsidR="00D018FF">
          <w:rPr>
            <w:noProof/>
            <w:webHidden/>
          </w:rPr>
          <w:fldChar w:fldCharType="separate"/>
        </w:r>
        <w:r w:rsidR="00D018FF">
          <w:rPr>
            <w:noProof/>
            <w:webHidden/>
          </w:rPr>
          <w:t>8</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10" w:history="1">
        <w:r w:rsidR="00D018FF" w:rsidRPr="00BD3B9B">
          <w:rPr>
            <w:rStyle w:val="Hyperlink"/>
            <w:noProof/>
            <w:lang w:val="en-US"/>
          </w:rPr>
          <w:t>1.7.</w:t>
        </w:r>
        <w:r w:rsidR="00D018FF">
          <w:rPr>
            <w:rFonts w:asciiTheme="minorHAnsi" w:eastAsiaTheme="minorEastAsia" w:hAnsiTheme="minorHAnsi" w:cstheme="minorBidi"/>
            <w:noProof/>
            <w:sz w:val="22"/>
            <w:lang w:val="en-US"/>
          </w:rPr>
          <w:tab/>
        </w:r>
        <w:r w:rsidR="00D018FF" w:rsidRPr="00BD3B9B">
          <w:rPr>
            <w:rStyle w:val="Hyperlink"/>
            <w:noProof/>
            <w:lang w:val="en-US"/>
          </w:rPr>
          <w:t>Thesis Outline</w:t>
        </w:r>
        <w:r w:rsidR="00D018FF">
          <w:rPr>
            <w:noProof/>
            <w:webHidden/>
          </w:rPr>
          <w:tab/>
        </w:r>
        <w:r w:rsidR="00D018FF">
          <w:rPr>
            <w:noProof/>
            <w:webHidden/>
          </w:rPr>
          <w:fldChar w:fldCharType="begin"/>
        </w:r>
        <w:r w:rsidR="00D018FF">
          <w:rPr>
            <w:noProof/>
            <w:webHidden/>
          </w:rPr>
          <w:instrText xml:space="preserve"> PAGEREF _Toc428399210 \h </w:instrText>
        </w:r>
        <w:r w:rsidR="00D018FF">
          <w:rPr>
            <w:noProof/>
            <w:webHidden/>
          </w:rPr>
        </w:r>
        <w:r w:rsidR="00D018FF">
          <w:rPr>
            <w:noProof/>
            <w:webHidden/>
          </w:rPr>
          <w:fldChar w:fldCharType="separate"/>
        </w:r>
        <w:r w:rsidR="00D018FF">
          <w:rPr>
            <w:noProof/>
            <w:webHidden/>
          </w:rPr>
          <w:t>9</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11" w:history="1">
        <w:r w:rsidR="00D018FF" w:rsidRPr="00BD3B9B">
          <w:rPr>
            <w:rStyle w:val="Hyperlink"/>
            <w:noProof/>
            <w:lang w:val="en-US"/>
          </w:rPr>
          <w:t>2.</w:t>
        </w:r>
        <w:r w:rsidR="00D018FF">
          <w:rPr>
            <w:rFonts w:asciiTheme="minorHAnsi" w:eastAsiaTheme="minorEastAsia" w:hAnsiTheme="minorHAnsi" w:cstheme="minorBidi"/>
            <w:noProof/>
            <w:sz w:val="22"/>
            <w:lang w:val="en-US"/>
          </w:rPr>
          <w:tab/>
        </w:r>
        <w:r w:rsidR="00D018FF" w:rsidRPr="00BD3B9B">
          <w:rPr>
            <w:rStyle w:val="Hyperlink"/>
            <w:noProof/>
            <w:lang w:val="en-US"/>
          </w:rPr>
          <w:t>Theoretical Framework</w:t>
        </w:r>
        <w:r w:rsidR="00D018FF">
          <w:rPr>
            <w:noProof/>
            <w:webHidden/>
          </w:rPr>
          <w:tab/>
        </w:r>
        <w:r w:rsidR="00D018FF">
          <w:rPr>
            <w:noProof/>
            <w:webHidden/>
          </w:rPr>
          <w:fldChar w:fldCharType="begin"/>
        </w:r>
        <w:r w:rsidR="00D018FF">
          <w:rPr>
            <w:noProof/>
            <w:webHidden/>
          </w:rPr>
          <w:instrText xml:space="preserve"> PAGEREF _Toc428399211 \h </w:instrText>
        </w:r>
        <w:r w:rsidR="00D018FF">
          <w:rPr>
            <w:noProof/>
            <w:webHidden/>
          </w:rPr>
        </w:r>
        <w:r w:rsidR="00D018FF">
          <w:rPr>
            <w:noProof/>
            <w:webHidden/>
          </w:rPr>
          <w:fldChar w:fldCharType="separate"/>
        </w:r>
        <w:r w:rsidR="00D018FF">
          <w:rPr>
            <w:noProof/>
            <w:webHidden/>
          </w:rPr>
          <w:t>10</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12" w:history="1">
        <w:r w:rsidR="00D018FF" w:rsidRPr="00BD3B9B">
          <w:rPr>
            <w:rStyle w:val="Hyperlink"/>
            <w:noProof/>
            <w:lang w:val="en-US"/>
          </w:rPr>
          <w:t>2.1.</w:t>
        </w:r>
        <w:r w:rsidR="00D018FF">
          <w:rPr>
            <w:rFonts w:asciiTheme="minorHAnsi" w:eastAsiaTheme="minorEastAsia" w:hAnsiTheme="minorHAnsi" w:cstheme="minorBidi"/>
            <w:noProof/>
            <w:sz w:val="22"/>
            <w:lang w:val="en-US"/>
          </w:rPr>
          <w:tab/>
        </w:r>
        <w:r w:rsidR="00D018FF" w:rsidRPr="00BD3B9B">
          <w:rPr>
            <w:rStyle w:val="Hyperlink"/>
            <w:noProof/>
            <w:lang w:val="en-US"/>
          </w:rPr>
          <w:t>Introduction to M&amp;A Theory</w:t>
        </w:r>
        <w:r w:rsidR="00D018FF">
          <w:rPr>
            <w:noProof/>
            <w:webHidden/>
          </w:rPr>
          <w:tab/>
        </w:r>
        <w:r w:rsidR="00D018FF">
          <w:rPr>
            <w:noProof/>
            <w:webHidden/>
          </w:rPr>
          <w:fldChar w:fldCharType="begin"/>
        </w:r>
        <w:r w:rsidR="00D018FF">
          <w:rPr>
            <w:noProof/>
            <w:webHidden/>
          </w:rPr>
          <w:instrText xml:space="preserve"> PAGEREF _Toc428399212 \h </w:instrText>
        </w:r>
        <w:r w:rsidR="00D018FF">
          <w:rPr>
            <w:noProof/>
            <w:webHidden/>
          </w:rPr>
        </w:r>
        <w:r w:rsidR="00D018FF">
          <w:rPr>
            <w:noProof/>
            <w:webHidden/>
          </w:rPr>
          <w:fldChar w:fldCharType="separate"/>
        </w:r>
        <w:r w:rsidR="00D018FF">
          <w:rPr>
            <w:noProof/>
            <w:webHidden/>
          </w:rPr>
          <w:t>10</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3" w:history="1">
        <w:r w:rsidR="00D018FF" w:rsidRPr="00BD3B9B">
          <w:rPr>
            <w:rStyle w:val="Hyperlink"/>
            <w:noProof/>
            <w:lang w:val="en-US"/>
          </w:rPr>
          <w:t>2.1.1.</w:t>
        </w:r>
        <w:r w:rsidR="00D018FF">
          <w:rPr>
            <w:rFonts w:asciiTheme="minorHAnsi" w:eastAsiaTheme="minorEastAsia" w:hAnsiTheme="minorHAnsi" w:cstheme="minorBidi"/>
            <w:noProof/>
            <w:sz w:val="22"/>
            <w:lang w:val="en-US"/>
          </w:rPr>
          <w:tab/>
        </w:r>
        <w:r w:rsidR="00D018FF" w:rsidRPr="00BD3B9B">
          <w:rPr>
            <w:rStyle w:val="Hyperlink"/>
            <w:noProof/>
            <w:lang w:val="en-US"/>
          </w:rPr>
          <w:t>Motives for mergers and acquisitions</w:t>
        </w:r>
        <w:r w:rsidR="00D018FF">
          <w:rPr>
            <w:noProof/>
            <w:webHidden/>
          </w:rPr>
          <w:tab/>
        </w:r>
        <w:r w:rsidR="00D018FF">
          <w:rPr>
            <w:noProof/>
            <w:webHidden/>
          </w:rPr>
          <w:fldChar w:fldCharType="begin"/>
        </w:r>
        <w:r w:rsidR="00D018FF">
          <w:rPr>
            <w:noProof/>
            <w:webHidden/>
          </w:rPr>
          <w:instrText xml:space="preserve"> PAGEREF _Toc428399213 \h </w:instrText>
        </w:r>
        <w:r w:rsidR="00D018FF">
          <w:rPr>
            <w:noProof/>
            <w:webHidden/>
          </w:rPr>
        </w:r>
        <w:r w:rsidR="00D018FF">
          <w:rPr>
            <w:noProof/>
            <w:webHidden/>
          </w:rPr>
          <w:fldChar w:fldCharType="separate"/>
        </w:r>
        <w:r w:rsidR="00D018FF">
          <w:rPr>
            <w:noProof/>
            <w:webHidden/>
          </w:rPr>
          <w:t>10</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4" w:history="1">
        <w:r w:rsidR="00D018FF" w:rsidRPr="00BD3B9B">
          <w:rPr>
            <w:rStyle w:val="Hyperlink"/>
            <w:noProof/>
            <w:lang w:val="en-US"/>
          </w:rPr>
          <w:t>2.1.2.</w:t>
        </w:r>
        <w:r w:rsidR="00D018FF">
          <w:rPr>
            <w:rFonts w:asciiTheme="minorHAnsi" w:eastAsiaTheme="minorEastAsia" w:hAnsiTheme="minorHAnsi" w:cstheme="minorBidi"/>
            <w:noProof/>
            <w:sz w:val="22"/>
            <w:lang w:val="en-US"/>
          </w:rPr>
          <w:tab/>
        </w:r>
        <w:r w:rsidR="00D018FF" w:rsidRPr="00BD3B9B">
          <w:rPr>
            <w:rStyle w:val="Hyperlink"/>
            <w:noProof/>
            <w:lang w:val="en-US"/>
          </w:rPr>
          <w:t>Neoclassical reasons for acquisitions:</w:t>
        </w:r>
        <w:r w:rsidR="00D018FF">
          <w:rPr>
            <w:noProof/>
            <w:webHidden/>
          </w:rPr>
          <w:tab/>
        </w:r>
        <w:r w:rsidR="00D018FF">
          <w:rPr>
            <w:noProof/>
            <w:webHidden/>
          </w:rPr>
          <w:fldChar w:fldCharType="begin"/>
        </w:r>
        <w:r w:rsidR="00D018FF">
          <w:rPr>
            <w:noProof/>
            <w:webHidden/>
          </w:rPr>
          <w:instrText xml:space="preserve"> PAGEREF _Toc428399214 \h </w:instrText>
        </w:r>
        <w:r w:rsidR="00D018FF">
          <w:rPr>
            <w:noProof/>
            <w:webHidden/>
          </w:rPr>
        </w:r>
        <w:r w:rsidR="00D018FF">
          <w:rPr>
            <w:noProof/>
            <w:webHidden/>
          </w:rPr>
          <w:fldChar w:fldCharType="separate"/>
        </w:r>
        <w:r w:rsidR="00D018FF">
          <w:rPr>
            <w:noProof/>
            <w:webHidden/>
          </w:rPr>
          <w:t>11</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5" w:history="1">
        <w:r w:rsidR="00D018FF" w:rsidRPr="00BD3B9B">
          <w:rPr>
            <w:rStyle w:val="Hyperlink"/>
            <w:noProof/>
            <w:lang w:val="en-US"/>
          </w:rPr>
          <w:t>2.1.3.</w:t>
        </w:r>
        <w:r w:rsidR="00D018FF">
          <w:rPr>
            <w:rFonts w:asciiTheme="minorHAnsi" w:eastAsiaTheme="minorEastAsia" w:hAnsiTheme="minorHAnsi" w:cstheme="minorBidi"/>
            <w:noProof/>
            <w:sz w:val="22"/>
            <w:lang w:val="en-US"/>
          </w:rPr>
          <w:tab/>
        </w:r>
        <w:r w:rsidR="00D018FF" w:rsidRPr="00BD3B9B">
          <w:rPr>
            <w:rStyle w:val="Hyperlink"/>
            <w:noProof/>
            <w:lang w:val="en-US"/>
          </w:rPr>
          <w:t>Agency Theory</w:t>
        </w:r>
        <w:r w:rsidR="00D018FF">
          <w:rPr>
            <w:noProof/>
            <w:webHidden/>
          </w:rPr>
          <w:tab/>
        </w:r>
        <w:r w:rsidR="00D018FF">
          <w:rPr>
            <w:noProof/>
            <w:webHidden/>
          </w:rPr>
          <w:fldChar w:fldCharType="begin"/>
        </w:r>
        <w:r w:rsidR="00D018FF">
          <w:rPr>
            <w:noProof/>
            <w:webHidden/>
          </w:rPr>
          <w:instrText xml:space="preserve"> PAGEREF _Toc428399215 \h </w:instrText>
        </w:r>
        <w:r w:rsidR="00D018FF">
          <w:rPr>
            <w:noProof/>
            <w:webHidden/>
          </w:rPr>
        </w:r>
        <w:r w:rsidR="00D018FF">
          <w:rPr>
            <w:noProof/>
            <w:webHidden/>
          </w:rPr>
          <w:fldChar w:fldCharType="separate"/>
        </w:r>
        <w:r w:rsidR="00D018FF">
          <w:rPr>
            <w:noProof/>
            <w:webHidden/>
          </w:rPr>
          <w:t>12</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6" w:history="1">
        <w:r w:rsidR="00D018FF" w:rsidRPr="00BD3B9B">
          <w:rPr>
            <w:rStyle w:val="Hyperlink"/>
            <w:noProof/>
            <w:lang w:val="en-US"/>
          </w:rPr>
          <w:t>2.1.4.</w:t>
        </w:r>
        <w:r w:rsidR="00D018FF">
          <w:rPr>
            <w:rFonts w:asciiTheme="minorHAnsi" w:eastAsiaTheme="minorEastAsia" w:hAnsiTheme="minorHAnsi" w:cstheme="minorBidi"/>
            <w:noProof/>
            <w:sz w:val="22"/>
            <w:lang w:val="en-US"/>
          </w:rPr>
          <w:tab/>
        </w:r>
        <w:r w:rsidR="00D018FF" w:rsidRPr="00BD3B9B">
          <w:rPr>
            <w:rStyle w:val="Hyperlink"/>
            <w:noProof/>
            <w:lang w:val="en-US"/>
          </w:rPr>
          <w:t>Efficient Market Hypothesis</w:t>
        </w:r>
        <w:r w:rsidR="00D018FF">
          <w:rPr>
            <w:noProof/>
            <w:webHidden/>
          </w:rPr>
          <w:tab/>
        </w:r>
        <w:r w:rsidR="00D018FF">
          <w:rPr>
            <w:noProof/>
            <w:webHidden/>
          </w:rPr>
          <w:fldChar w:fldCharType="begin"/>
        </w:r>
        <w:r w:rsidR="00D018FF">
          <w:rPr>
            <w:noProof/>
            <w:webHidden/>
          </w:rPr>
          <w:instrText xml:space="preserve"> PAGEREF _Toc428399216 \h </w:instrText>
        </w:r>
        <w:r w:rsidR="00D018FF">
          <w:rPr>
            <w:noProof/>
            <w:webHidden/>
          </w:rPr>
        </w:r>
        <w:r w:rsidR="00D018FF">
          <w:rPr>
            <w:noProof/>
            <w:webHidden/>
          </w:rPr>
          <w:fldChar w:fldCharType="separate"/>
        </w:r>
        <w:r w:rsidR="00D018FF">
          <w:rPr>
            <w:noProof/>
            <w:webHidden/>
          </w:rPr>
          <w:t>13</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7" w:history="1">
        <w:r w:rsidR="00D018FF" w:rsidRPr="00BD3B9B">
          <w:rPr>
            <w:rStyle w:val="Hyperlink"/>
            <w:noProof/>
            <w:lang w:val="en-US"/>
          </w:rPr>
          <w:t>2.1.5.</w:t>
        </w:r>
        <w:r w:rsidR="00D018FF">
          <w:rPr>
            <w:rFonts w:asciiTheme="minorHAnsi" w:eastAsiaTheme="minorEastAsia" w:hAnsiTheme="minorHAnsi" w:cstheme="minorBidi"/>
            <w:noProof/>
            <w:sz w:val="22"/>
            <w:lang w:val="en-US"/>
          </w:rPr>
          <w:tab/>
        </w:r>
        <w:r w:rsidR="00D018FF" w:rsidRPr="00BD3B9B">
          <w:rPr>
            <w:rStyle w:val="Hyperlink"/>
            <w:noProof/>
            <w:lang w:val="en-US"/>
          </w:rPr>
          <w:t>Asymmetric Information</w:t>
        </w:r>
        <w:r w:rsidR="00D018FF">
          <w:rPr>
            <w:noProof/>
            <w:webHidden/>
          </w:rPr>
          <w:tab/>
        </w:r>
        <w:r w:rsidR="00D018FF">
          <w:rPr>
            <w:noProof/>
            <w:webHidden/>
          </w:rPr>
          <w:fldChar w:fldCharType="begin"/>
        </w:r>
        <w:r w:rsidR="00D018FF">
          <w:rPr>
            <w:noProof/>
            <w:webHidden/>
          </w:rPr>
          <w:instrText xml:space="preserve"> PAGEREF _Toc428399217 \h </w:instrText>
        </w:r>
        <w:r w:rsidR="00D018FF">
          <w:rPr>
            <w:noProof/>
            <w:webHidden/>
          </w:rPr>
        </w:r>
        <w:r w:rsidR="00D018FF">
          <w:rPr>
            <w:noProof/>
            <w:webHidden/>
          </w:rPr>
          <w:fldChar w:fldCharType="separate"/>
        </w:r>
        <w:r w:rsidR="00D018FF">
          <w:rPr>
            <w:noProof/>
            <w:webHidden/>
          </w:rPr>
          <w:t>14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18" w:history="1">
        <w:r w:rsidR="00D018FF" w:rsidRPr="00BD3B9B">
          <w:rPr>
            <w:rStyle w:val="Hyperlink"/>
            <w:noProof/>
            <w:lang w:val="en-US"/>
          </w:rPr>
          <w:t>2.2.</w:t>
        </w:r>
        <w:r w:rsidR="00D018FF">
          <w:rPr>
            <w:rFonts w:asciiTheme="minorHAnsi" w:eastAsiaTheme="minorEastAsia" w:hAnsiTheme="minorHAnsi" w:cstheme="minorBidi"/>
            <w:noProof/>
            <w:sz w:val="22"/>
            <w:lang w:val="en-US"/>
          </w:rPr>
          <w:tab/>
        </w:r>
        <w:r w:rsidR="00D018FF" w:rsidRPr="00BD3B9B">
          <w:rPr>
            <w:rStyle w:val="Hyperlink"/>
            <w:noProof/>
            <w:lang w:val="en-US"/>
          </w:rPr>
          <w:t>Earlier M&amp;A Studies</w:t>
        </w:r>
        <w:r w:rsidR="00D018FF">
          <w:rPr>
            <w:noProof/>
            <w:webHidden/>
          </w:rPr>
          <w:tab/>
        </w:r>
        <w:r w:rsidR="00D018FF">
          <w:rPr>
            <w:noProof/>
            <w:webHidden/>
          </w:rPr>
          <w:fldChar w:fldCharType="begin"/>
        </w:r>
        <w:r w:rsidR="00D018FF">
          <w:rPr>
            <w:noProof/>
            <w:webHidden/>
          </w:rPr>
          <w:instrText xml:space="preserve"> PAGEREF _Toc428399218 \h </w:instrText>
        </w:r>
        <w:r w:rsidR="00D018FF">
          <w:rPr>
            <w:noProof/>
            <w:webHidden/>
          </w:rPr>
        </w:r>
        <w:r w:rsidR="00D018FF">
          <w:rPr>
            <w:noProof/>
            <w:webHidden/>
          </w:rPr>
          <w:fldChar w:fldCharType="separate"/>
        </w:r>
        <w:r w:rsidR="00D018FF">
          <w:rPr>
            <w:noProof/>
            <w:webHidden/>
          </w:rPr>
          <w:t>15</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19" w:history="1">
        <w:r w:rsidR="00D018FF" w:rsidRPr="00BD3B9B">
          <w:rPr>
            <w:rStyle w:val="Hyperlink"/>
            <w:noProof/>
            <w:lang w:val="en-US"/>
          </w:rPr>
          <w:t>2.2.1.</w:t>
        </w:r>
        <w:r w:rsidR="00D018FF">
          <w:rPr>
            <w:rFonts w:asciiTheme="minorHAnsi" w:eastAsiaTheme="minorEastAsia" w:hAnsiTheme="minorHAnsi" w:cstheme="minorBidi"/>
            <w:noProof/>
            <w:sz w:val="22"/>
            <w:lang w:val="en-US"/>
          </w:rPr>
          <w:tab/>
        </w:r>
        <w:r w:rsidR="00D018FF" w:rsidRPr="00BD3B9B">
          <w:rPr>
            <w:rStyle w:val="Hyperlink"/>
            <w:noProof/>
            <w:lang w:val="en-US"/>
          </w:rPr>
          <w:t>Long term stock performance</w:t>
        </w:r>
        <w:r w:rsidR="00D018FF">
          <w:rPr>
            <w:noProof/>
            <w:webHidden/>
          </w:rPr>
          <w:tab/>
        </w:r>
        <w:r w:rsidR="00D018FF">
          <w:rPr>
            <w:noProof/>
            <w:webHidden/>
          </w:rPr>
          <w:fldChar w:fldCharType="begin"/>
        </w:r>
        <w:r w:rsidR="00D018FF">
          <w:rPr>
            <w:noProof/>
            <w:webHidden/>
          </w:rPr>
          <w:instrText xml:space="preserve"> PAGEREF _Toc428399219 \h </w:instrText>
        </w:r>
        <w:r w:rsidR="00D018FF">
          <w:rPr>
            <w:noProof/>
            <w:webHidden/>
          </w:rPr>
        </w:r>
        <w:r w:rsidR="00D018FF">
          <w:rPr>
            <w:noProof/>
            <w:webHidden/>
          </w:rPr>
          <w:fldChar w:fldCharType="separate"/>
        </w:r>
        <w:r w:rsidR="00D018FF">
          <w:rPr>
            <w:noProof/>
            <w:webHidden/>
          </w:rPr>
          <w:t>15</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20" w:history="1">
        <w:r w:rsidR="00D018FF" w:rsidRPr="00BD3B9B">
          <w:rPr>
            <w:rStyle w:val="Hyperlink"/>
            <w:noProof/>
            <w:lang w:val="en-US"/>
          </w:rPr>
          <w:t>2.2.2.</w:t>
        </w:r>
        <w:r w:rsidR="00D018FF">
          <w:rPr>
            <w:rFonts w:asciiTheme="minorHAnsi" w:eastAsiaTheme="minorEastAsia" w:hAnsiTheme="minorHAnsi" w:cstheme="minorBidi"/>
            <w:noProof/>
            <w:sz w:val="22"/>
            <w:lang w:val="en-US"/>
          </w:rPr>
          <w:tab/>
        </w:r>
        <w:r w:rsidR="00D018FF" w:rsidRPr="00BD3B9B">
          <w:rPr>
            <w:rStyle w:val="Hyperlink"/>
            <w:noProof/>
            <w:lang w:val="en-US"/>
          </w:rPr>
          <w:t>Long term operating performance</w:t>
        </w:r>
        <w:r w:rsidR="00D018FF">
          <w:rPr>
            <w:noProof/>
            <w:webHidden/>
          </w:rPr>
          <w:tab/>
        </w:r>
        <w:r w:rsidR="00D018FF">
          <w:rPr>
            <w:noProof/>
            <w:webHidden/>
          </w:rPr>
          <w:fldChar w:fldCharType="begin"/>
        </w:r>
        <w:r w:rsidR="00D018FF">
          <w:rPr>
            <w:noProof/>
            <w:webHidden/>
          </w:rPr>
          <w:instrText xml:space="preserve"> PAGEREF _Toc428399220 \h </w:instrText>
        </w:r>
        <w:r w:rsidR="00D018FF">
          <w:rPr>
            <w:noProof/>
            <w:webHidden/>
          </w:rPr>
        </w:r>
        <w:r w:rsidR="00D018FF">
          <w:rPr>
            <w:noProof/>
            <w:webHidden/>
          </w:rPr>
          <w:fldChar w:fldCharType="separate"/>
        </w:r>
        <w:r w:rsidR="00D018FF">
          <w:rPr>
            <w:noProof/>
            <w:webHidden/>
          </w:rPr>
          <w:t>17</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21" w:history="1">
        <w:r w:rsidR="00D018FF" w:rsidRPr="00BD3B9B">
          <w:rPr>
            <w:rStyle w:val="Hyperlink"/>
            <w:noProof/>
            <w:lang w:val="en-US"/>
          </w:rPr>
          <w:t>2.2.3.</w:t>
        </w:r>
        <w:r w:rsidR="00D018FF">
          <w:rPr>
            <w:rFonts w:asciiTheme="minorHAnsi" w:eastAsiaTheme="minorEastAsia" w:hAnsiTheme="minorHAnsi" w:cstheme="minorBidi"/>
            <w:noProof/>
            <w:sz w:val="22"/>
            <w:lang w:val="en-US"/>
          </w:rPr>
          <w:tab/>
        </w:r>
        <w:r w:rsidR="00D018FF" w:rsidRPr="00BD3B9B">
          <w:rPr>
            <w:rStyle w:val="Hyperlink"/>
            <w:noProof/>
            <w:lang w:val="en-US"/>
          </w:rPr>
          <w:t>Long term determinants</w:t>
        </w:r>
        <w:r w:rsidR="00D018FF">
          <w:rPr>
            <w:noProof/>
            <w:webHidden/>
          </w:rPr>
          <w:tab/>
        </w:r>
        <w:r w:rsidR="00D018FF">
          <w:rPr>
            <w:noProof/>
            <w:webHidden/>
          </w:rPr>
          <w:fldChar w:fldCharType="begin"/>
        </w:r>
        <w:r w:rsidR="00D018FF">
          <w:rPr>
            <w:noProof/>
            <w:webHidden/>
          </w:rPr>
          <w:instrText xml:space="preserve"> PAGEREF _Toc428399221 \h </w:instrText>
        </w:r>
        <w:r w:rsidR="00D018FF">
          <w:rPr>
            <w:noProof/>
            <w:webHidden/>
          </w:rPr>
        </w:r>
        <w:r w:rsidR="00D018FF">
          <w:rPr>
            <w:noProof/>
            <w:webHidden/>
          </w:rPr>
          <w:fldChar w:fldCharType="separate"/>
        </w:r>
        <w:r w:rsidR="00D018FF">
          <w:rPr>
            <w:noProof/>
            <w:webHidden/>
          </w:rPr>
          <w:t>19</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22" w:history="1">
        <w:r w:rsidR="00D018FF" w:rsidRPr="00BD3B9B">
          <w:rPr>
            <w:rStyle w:val="Hyperlink"/>
            <w:noProof/>
            <w:lang w:val="en-US"/>
          </w:rPr>
          <w:t>3.</w:t>
        </w:r>
        <w:r w:rsidR="00D018FF">
          <w:rPr>
            <w:rFonts w:asciiTheme="minorHAnsi" w:eastAsiaTheme="minorEastAsia" w:hAnsiTheme="minorHAnsi" w:cstheme="minorBidi"/>
            <w:noProof/>
            <w:sz w:val="22"/>
            <w:lang w:val="en-US"/>
          </w:rPr>
          <w:tab/>
        </w:r>
        <w:r w:rsidR="00D018FF" w:rsidRPr="00BD3B9B">
          <w:rPr>
            <w:rStyle w:val="Hyperlink"/>
            <w:noProof/>
            <w:lang w:val="en-US"/>
          </w:rPr>
          <w:t>Methodology</w:t>
        </w:r>
        <w:r w:rsidR="00D018FF">
          <w:rPr>
            <w:noProof/>
            <w:webHidden/>
          </w:rPr>
          <w:tab/>
        </w:r>
        <w:r w:rsidR="00D018FF">
          <w:rPr>
            <w:noProof/>
            <w:webHidden/>
          </w:rPr>
          <w:fldChar w:fldCharType="begin"/>
        </w:r>
        <w:r w:rsidR="00D018FF">
          <w:rPr>
            <w:noProof/>
            <w:webHidden/>
          </w:rPr>
          <w:instrText xml:space="preserve"> PAGEREF _Toc428399222 \h </w:instrText>
        </w:r>
        <w:r w:rsidR="00D018FF">
          <w:rPr>
            <w:noProof/>
            <w:webHidden/>
          </w:rPr>
        </w:r>
        <w:r w:rsidR="00D018FF">
          <w:rPr>
            <w:noProof/>
            <w:webHidden/>
          </w:rPr>
          <w:fldChar w:fldCharType="separate"/>
        </w:r>
        <w:r w:rsidR="00D018FF">
          <w:rPr>
            <w:noProof/>
            <w:webHidden/>
          </w:rPr>
          <w:t>24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23" w:history="1">
        <w:r w:rsidR="00D018FF" w:rsidRPr="00BD3B9B">
          <w:rPr>
            <w:rStyle w:val="Hyperlink"/>
            <w:noProof/>
            <w:lang w:val="en-US"/>
          </w:rPr>
          <w:t>3.1.</w:t>
        </w:r>
        <w:r w:rsidR="00D018FF">
          <w:rPr>
            <w:rFonts w:asciiTheme="minorHAnsi" w:eastAsiaTheme="minorEastAsia" w:hAnsiTheme="minorHAnsi" w:cstheme="minorBidi"/>
            <w:noProof/>
            <w:sz w:val="22"/>
            <w:lang w:val="en-US"/>
          </w:rPr>
          <w:tab/>
        </w:r>
        <w:r w:rsidR="00D018FF" w:rsidRPr="00BD3B9B">
          <w:rPr>
            <w:rStyle w:val="Hyperlink"/>
            <w:noProof/>
            <w:lang w:val="en-US"/>
          </w:rPr>
          <w:t>Choice of method</w:t>
        </w:r>
        <w:r w:rsidR="00D018FF">
          <w:rPr>
            <w:noProof/>
            <w:webHidden/>
          </w:rPr>
          <w:tab/>
        </w:r>
        <w:r w:rsidR="00D018FF">
          <w:rPr>
            <w:noProof/>
            <w:webHidden/>
          </w:rPr>
          <w:fldChar w:fldCharType="begin"/>
        </w:r>
        <w:r w:rsidR="00D018FF">
          <w:rPr>
            <w:noProof/>
            <w:webHidden/>
          </w:rPr>
          <w:instrText xml:space="preserve"> PAGEREF _Toc428399223 \h </w:instrText>
        </w:r>
        <w:r w:rsidR="00D018FF">
          <w:rPr>
            <w:noProof/>
            <w:webHidden/>
          </w:rPr>
        </w:r>
        <w:r w:rsidR="00D018FF">
          <w:rPr>
            <w:noProof/>
            <w:webHidden/>
          </w:rPr>
          <w:fldChar w:fldCharType="separate"/>
        </w:r>
        <w:r w:rsidR="00D018FF">
          <w:rPr>
            <w:noProof/>
            <w:webHidden/>
          </w:rPr>
          <w:t>24</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24" w:history="1">
        <w:r w:rsidR="00D018FF" w:rsidRPr="00BD3B9B">
          <w:rPr>
            <w:rStyle w:val="Hyperlink"/>
            <w:noProof/>
            <w:lang w:val="en-US"/>
          </w:rPr>
          <w:t>3.1.2</w:t>
        </w:r>
        <w:r w:rsidR="00D018FF">
          <w:rPr>
            <w:rFonts w:asciiTheme="minorHAnsi" w:eastAsiaTheme="minorEastAsia" w:hAnsiTheme="minorHAnsi" w:cstheme="minorBidi"/>
            <w:noProof/>
            <w:sz w:val="22"/>
            <w:lang w:val="en-US"/>
          </w:rPr>
          <w:tab/>
        </w:r>
        <w:r w:rsidR="00D018FF" w:rsidRPr="00BD3B9B">
          <w:rPr>
            <w:rStyle w:val="Hyperlink"/>
            <w:noProof/>
            <w:lang w:val="en-US"/>
          </w:rPr>
          <w:t>Inductive vs Deductive</w:t>
        </w:r>
        <w:r w:rsidR="00D018FF">
          <w:rPr>
            <w:noProof/>
            <w:webHidden/>
          </w:rPr>
          <w:tab/>
        </w:r>
        <w:r w:rsidR="00D018FF">
          <w:rPr>
            <w:noProof/>
            <w:webHidden/>
          </w:rPr>
          <w:fldChar w:fldCharType="begin"/>
        </w:r>
        <w:r w:rsidR="00D018FF">
          <w:rPr>
            <w:noProof/>
            <w:webHidden/>
          </w:rPr>
          <w:instrText xml:space="preserve"> PAGEREF _Toc428399224 \h </w:instrText>
        </w:r>
        <w:r w:rsidR="00D018FF">
          <w:rPr>
            <w:noProof/>
            <w:webHidden/>
          </w:rPr>
        </w:r>
        <w:r w:rsidR="00D018FF">
          <w:rPr>
            <w:noProof/>
            <w:webHidden/>
          </w:rPr>
          <w:fldChar w:fldCharType="separate"/>
        </w:r>
        <w:r w:rsidR="00D018FF">
          <w:rPr>
            <w:noProof/>
            <w:webHidden/>
          </w:rPr>
          <w:t>24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25" w:history="1">
        <w:r w:rsidR="00D018FF" w:rsidRPr="00BD3B9B">
          <w:rPr>
            <w:rStyle w:val="Hyperlink"/>
            <w:noProof/>
            <w:lang w:val="en-US"/>
          </w:rPr>
          <w:t>3.2.</w:t>
        </w:r>
        <w:r w:rsidR="00D018FF">
          <w:rPr>
            <w:rFonts w:asciiTheme="minorHAnsi" w:eastAsiaTheme="minorEastAsia" w:hAnsiTheme="minorHAnsi" w:cstheme="minorBidi"/>
            <w:noProof/>
            <w:sz w:val="22"/>
            <w:lang w:val="en-US"/>
          </w:rPr>
          <w:tab/>
        </w:r>
        <w:r w:rsidR="00D018FF" w:rsidRPr="00BD3B9B">
          <w:rPr>
            <w:rStyle w:val="Hyperlink"/>
            <w:noProof/>
            <w:lang w:val="en-US"/>
          </w:rPr>
          <w:t>Literature review</w:t>
        </w:r>
        <w:r w:rsidR="00D018FF">
          <w:rPr>
            <w:noProof/>
            <w:webHidden/>
          </w:rPr>
          <w:tab/>
        </w:r>
        <w:r w:rsidR="00D018FF">
          <w:rPr>
            <w:noProof/>
            <w:webHidden/>
          </w:rPr>
          <w:fldChar w:fldCharType="begin"/>
        </w:r>
        <w:r w:rsidR="00D018FF">
          <w:rPr>
            <w:noProof/>
            <w:webHidden/>
          </w:rPr>
          <w:instrText xml:space="preserve"> PAGEREF _Toc428399225 \h </w:instrText>
        </w:r>
        <w:r w:rsidR="00D018FF">
          <w:rPr>
            <w:noProof/>
            <w:webHidden/>
          </w:rPr>
        </w:r>
        <w:r w:rsidR="00D018FF">
          <w:rPr>
            <w:noProof/>
            <w:webHidden/>
          </w:rPr>
          <w:fldChar w:fldCharType="separate"/>
        </w:r>
        <w:r w:rsidR="00D018FF">
          <w:rPr>
            <w:noProof/>
            <w:webHidden/>
          </w:rPr>
          <w:t>25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26" w:history="1">
        <w:r w:rsidR="00D018FF" w:rsidRPr="00BD3B9B">
          <w:rPr>
            <w:rStyle w:val="Hyperlink"/>
            <w:noProof/>
            <w:lang w:val="en-US"/>
          </w:rPr>
          <w:t>3.3.</w:t>
        </w:r>
        <w:r w:rsidR="00D018FF">
          <w:rPr>
            <w:rFonts w:asciiTheme="minorHAnsi" w:eastAsiaTheme="minorEastAsia" w:hAnsiTheme="minorHAnsi" w:cstheme="minorBidi"/>
            <w:noProof/>
            <w:sz w:val="22"/>
            <w:lang w:val="en-US"/>
          </w:rPr>
          <w:tab/>
        </w:r>
        <w:r w:rsidR="00D018FF" w:rsidRPr="00BD3B9B">
          <w:rPr>
            <w:rStyle w:val="Hyperlink"/>
            <w:noProof/>
            <w:lang w:val="en-US"/>
          </w:rPr>
          <w:t>Event Study</w:t>
        </w:r>
        <w:r w:rsidR="00D018FF">
          <w:rPr>
            <w:noProof/>
            <w:webHidden/>
          </w:rPr>
          <w:tab/>
        </w:r>
        <w:r w:rsidR="00D018FF">
          <w:rPr>
            <w:noProof/>
            <w:webHidden/>
          </w:rPr>
          <w:fldChar w:fldCharType="begin"/>
        </w:r>
        <w:r w:rsidR="00D018FF">
          <w:rPr>
            <w:noProof/>
            <w:webHidden/>
          </w:rPr>
          <w:instrText xml:space="preserve"> PAGEREF _Toc428399226 \h </w:instrText>
        </w:r>
        <w:r w:rsidR="00D018FF">
          <w:rPr>
            <w:noProof/>
            <w:webHidden/>
          </w:rPr>
        </w:r>
        <w:r w:rsidR="00D018FF">
          <w:rPr>
            <w:noProof/>
            <w:webHidden/>
          </w:rPr>
          <w:fldChar w:fldCharType="separate"/>
        </w:r>
        <w:r w:rsidR="00D018FF">
          <w:rPr>
            <w:noProof/>
            <w:webHidden/>
          </w:rPr>
          <w:t>25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27" w:history="1">
        <w:r w:rsidR="00D018FF" w:rsidRPr="00BD3B9B">
          <w:rPr>
            <w:rStyle w:val="Hyperlink"/>
            <w:noProof/>
            <w:lang w:val="en-US"/>
          </w:rPr>
          <w:t>3.4.</w:t>
        </w:r>
        <w:r w:rsidR="00D018FF">
          <w:rPr>
            <w:rFonts w:asciiTheme="minorHAnsi" w:eastAsiaTheme="minorEastAsia" w:hAnsiTheme="minorHAnsi" w:cstheme="minorBidi"/>
            <w:noProof/>
            <w:sz w:val="22"/>
            <w:lang w:val="en-US"/>
          </w:rPr>
          <w:tab/>
        </w:r>
        <w:r w:rsidR="00D018FF" w:rsidRPr="00BD3B9B">
          <w:rPr>
            <w:rStyle w:val="Hyperlink"/>
            <w:noProof/>
            <w:lang w:val="en-US"/>
          </w:rPr>
          <w:t>Data Collection</w:t>
        </w:r>
        <w:r w:rsidR="00D018FF">
          <w:rPr>
            <w:noProof/>
            <w:webHidden/>
          </w:rPr>
          <w:tab/>
        </w:r>
        <w:r w:rsidR="00D018FF">
          <w:rPr>
            <w:noProof/>
            <w:webHidden/>
          </w:rPr>
          <w:fldChar w:fldCharType="begin"/>
        </w:r>
        <w:r w:rsidR="00D018FF">
          <w:rPr>
            <w:noProof/>
            <w:webHidden/>
          </w:rPr>
          <w:instrText xml:space="preserve"> PAGEREF _Toc428399227 \h </w:instrText>
        </w:r>
        <w:r w:rsidR="00D018FF">
          <w:rPr>
            <w:noProof/>
            <w:webHidden/>
          </w:rPr>
        </w:r>
        <w:r w:rsidR="00D018FF">
          <w:rPr>
            <w:noProof/>
            <w:webHidden/>
          </w:rPr>
          <w:fldChar w:fldCharType="separate"/>
        </w:r>
        <w:r w:rsidR="00D018FF">
          <w:rPr>
            <w:noProof/>
            <w:webHidden/>
          </w:rPr>
          <w:t>29</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28" w:history="1">
        <w:r w:rsidR="00D018FF" w:rsidRPr="00BD3B9B">
          <w:rPr>
            <w:rStyle w:val="Hyperlink"/>
            <w:noProof/>
            <w:lang w:val="en-US"/>
          </w:rPr>
          <w:t>3.5.</w:t>
        </w:r>
        <w:r w:rsidR="00D018FF">
          <w:rPr>
            <w:rFonts w:asciiTheme="minorHAnsi" w:eastAsiaTheme="minorEastAsia" w:hAnsiTheme="minorHAnsi" w:cstheme="minorBidi"/>
            <w:noProof/>
            <w:sz w:val="22"/>
            <w:lang w:val="en-US"/>
          </w:rPr>
          <w:tab/>
        </w:r>
        <w:r w:rsidR="00D018FF" w:rsidRPr="00BD3B9B">
          <w:rPr>
            <w:rStyle w:val="Hyperlink"/>
            <w:noProof/>
            <w:lang w:val="en-US"/>
          </w:rPr>
          <w:t>Model to calculate abnormal stock returns</w:t>
        </w:r>
        <w:r w:rsidR="00D018FF">
          <w:rPr>
            <w:noProof/>
            <w:webHidden/>
          </w:rPr>
          <w:tab/>
        </w:r>
        <w:r w:rsidR="00D018FF">
          <w:rPr>
            <w:noProof/>
            <w:webHidden/>
          </w:rPr>
          <w:fldChar w:fldCharType="begin"/>
        </w:r>
        <w:r w:rsidR="00D018FF">
          <w:rPr>
            <w:noProof/>
            <w:webHidden/>
          </w:rPr>
          <w:instrText xml:space="preserve"> PAGEREF _Toc428399228 \h </w:instrText>
        </w:r>
        <w:r w:rsidR="00D018FF">
          <w:rPr>
            <w:noProof/>
            <w:webHidden/>
          </w:rPr>
        </w:r>
        <w:r w:rsidR="00D018FF">
          <w:rPr>
            <w:noProof/>
            <w:webHidden/>
          </w:rPr>
          <w:fldChar w:fldCharType="separate"/>
        </w:r>
        <w:r w:rsidR="00D018FF">
          <w:rPr>
            <w:noProof/>
            <w:webHidden/>
          </w:rPr>
          <w:t>29</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29" w:history="1">
        <w:r w:rsidR="00D018FF" w:rsidRPr="00BD3B9B">
          <w:rPr>
            <w:rStyle w:val="Hyperlink"/>
            <w:noProof/>
            <w:lang w:val="en-US"/>
          </w:rPr>
          <w:t>3.5.1.</w:t>
        </w:r>
        <w:r w:rsidR="00D018FF">
          <w:rPr>
            <w:rFonts w:asciiTheme="minorHAnsi" w:eastAsiaTheme="minorEastAsia" w:hAnsiTheme="minorHAnsi" w:cstheme="minorBidi"/>
            <w:noProof/>
            <w:sz w:val="22"/>
            <w:lang w:val="en-US"/>
          </w:rPr>
          <w:tab/>
        </w:r>
        <w:r w:rsidR="00D018FF" w:rsidRPr="00BD3B9B">
          <w:rPr>
            <w:rStyle w:val="Hyperlink"/>
            <w:noProof/>
            <w:lang w:val="en-US"/>
          </w:rPr>
          <w:t>Selection of Benchmark firms</w:t>
        </w:r>
        <w:r w:rsidR="00D018FF">
          <w:rPr>
            <w:noProof/>
            <w:webHidden/>
          </w:rPr>
          <w:tab/>
        </w:r>
        <w:r w:rsidR="00D018FF">
          <w:rPr>
            <w:noProof/>
            <w:webHidden/>
          </w:rPr>
          <w:fldChar w:fldCharType="begin"/>
        </w:r>
        <w:r w:rsidR="00D018FF">
          <w:rPr>
            <w:noProof/>
            <w:webHidden/>
          </w:rPr>
          <w:instrText xml:space="preserve"> PAGEREF _Toc428399229 \h </w:instrText>
        </w:r>
        <w:r w:rsidR="00D018FF">
          <w:rPr>
            <w:noProof/>
            <w:webHidden/>
          </w:rPr>
        </w:r>
        <w:r w:rsidR="00D018FF">
          <w:rPr>
            <w:noProof/>
            <w:webHidden/>
          </w:rPr>
          <w:fldChar w:fldCharType="separate"/>
        </w:r>
        <w:r w:rsidR="00D018FF">
          <w:rPr>
            <w:noProof/>
            <w:webHidden/>
          </w:rPr>
          <w:t>30</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30" w:history="1">
        <w:r w:rsidR="00D018FF" w:rsidRPr="00BD3B9B">
          <w:rPr>
            <w:rStyle w:val="Hyperlink"/>
            <w:noProof/>
            <w:lang w:val="en-US"/>
          </w:rPr>
          <w:t>3.5.2.</w:t>
        </w:r>
        <w:r w:rsidR="00D018FF">
          <w:rPr>
            <w:rFonts w:asciiTheme="minorHAnsi" w:eastAsiaTheme="minorEastAsia" w:hAnsiTheme="minorHAnsi" w:cstheme="minorBidi"/>
            <w:noProof/>
            <w:sz w:val="22"/>
            <w:lang w:val="en-US"/>
          </w:rPr>
          <w:tab/>
        </w:r>
        <w:r w:rsidR="00D018FF" w:rsidRPr="00BD3B9B">
          <w:rPr>
            <w:rStyle w:val="Hyperlink"/>
            <w:noProof/>
            <w:lang w:val="en-US"/>
          </w:rPr>
          <w:t>Calculation of Abnormal Return</w:t>
        </w:r>
        <w:r w:rsidR="00D018FF">
          <w:rPr>
            <w:noProof/>
            <w:webHidden/>
          </w:rPr>
          <w:tab/>
        </w:r>
        <w:r w:rsidR="00D018FF">
          <w:rPr>
            <w:noProof/>
            <w:webHidden/>
          </w:rPr>
          <w:fldChar w:fldCharType="begin"/>
        </w:r>
        <w:r w:rsidR="00D018FF">
          <w:rPr>
            <w:noProof/>
            <w:webHidden/>
          </w:rPr>
          <w:instrText xml:space="preserve"> PAGEREF _Toc428399230 \h </w:instrText>
        </w:r>
        <w:r w:rsidR="00D018FF">
          <w:rPr>
            <w:noProof/>
            <w:webHidden/>
          </w:rPr>
        </w:r>
        <w:r w:rsidR="00D018FF">
          <w:rPr>
            <w:noProof/>
            <w:webHidden/>
          </w:rPr>
          <w:fldChar w:fldCharType="separate"/>
        </w:r>
        <w:r w:rsidR="00D018FF">
          <w:rPr>
            <w:noProof/>
            <w:webHidden/>
          </w:rPr>
          <w:t>31</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31" w:history="1">
        <w:r w:rsidR="00D018FF" w:rsidRPr="00BD3B9B">
          <w:rPr>
            <w:rStyle w:val="Hyperlink"/>
            <w:noProof/>
            <w:lang w:val="en-US"/>
          </w:rPr>
          <w:t>3.5.3.</w:t>
        </w:r>
        <w:r w:rsidR="00D018FF">
          <w:rPr>
            <w:rFonts w:asciiTheme="minorHAnsi" w:eastAsiaTheme="minorEastAsia" w:hAnsiTheme="minorHAnsi" w:cstheme="minorBidi"/>
            <w:noProof/>
            <w:sz w:val="22"/>
            <w:lang w:val="en-US"/>
          </w:rPr>
          <w:tab/>
        </w:r>
        <w:r w:rsidR="00D018FF" w:rsidRPr="00BD3B9B">
          <w:rPr>
            <w:rStyle w:val="Hyperlink"/>
            <w:noProof/>
            <w:lang w:val="en-US"/>
          </w:rPr>
          <w:t>Winzoring</w:t>
        </w:r>
        <w:r w:rsidR="00D018FF">
          <w:rPr>
            <w:noProof/>
            <w:webHidden/>
          </w:rPr>
          <w:tab/>
        </w:r>
        <w:r w:rsidR="00D018FF">
          <w:rPr>
            <w:noProof/>
            <w:webHidden/>
          </w:rPr>
          <w:fldChar w:fldCharType="begin"/>
        </w:r>
        <w:r w:rsidR="00D018FF">
          <w:rPr>
            <w:noProof/>
            <w:webHidden/>
          </w:rPr>
          <w:instrText xml:space="preserve"> PAGEREF _Toc428399231 \h </w:instrText>
        </w:r>
        <w:r w:rsidR="00D018FF">
          <w:rPr>
            <w:noProof/>
            <w:webHidden/>
          </w:rPr>
        </w:r>
        <w:r w:rsidR="00D018FF">
          <w:rPr>
            <w:noProof/>
            <w:webHidden/>
          </w:rPr>
          <w:fldChar w:fldCharType="separate"/>
        </w:r>
        <w:r w:rsidR="00D018FF">
          <w:rPr>
            <w:noProof/>
            <w:webHidden/>
          </w:rPr>
          <w:t>32</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32" w:history="1">
        <w:r w:rsidR="00D018FF" w:rsidRPr="00BD3B9B">
          <w:rPr>
            <w:rStyle w:val="Hyperlink"/>
            <w:noProof/>
            <w:lang w:val="en-US"/>
          </w:rPr>
          <w:t>3.6.</w:t>
        </w:r>
        <w:r w:rsidR="00D018FF">
          <w:rPr>
            <w:rFonts w:asciiTheme="minorHAnsi" w:eastAsiaTheme="minorEastAsia" w:hAnsiTheme="minorHAnsi" w:cstheme="minorBidi"/>
            <w:noProof/>
            <w:sz w:val="22"/>
            <w:lang w:val="en-US"/>
          </w:rPr>
          <w:tab/>
        </w:r>
        <w:r w:rsidR="00D018FF" w:rsidRPr="00BD3B9B">
          <w:rPr>
            <w:rStyle w:val="Hyperlink"/>
            <w:noProof/>
            <w:lang w:val="en-US"/>
          </w:rPr>
          <w:t>Choice and elaboration of benchmark for operating performance</w:t>
        </w:r>
        <w:r w:rsidR="00D018FF">
          <w:rPr>
            <w:noProof/>
            <w:webHidden/>
          </w:rPr>
          <w:tab/>
        </w:r>
        <w:r w:rsidR="00D018FF">
          <w:rPr>
            <w:noProof/>
            <w:webHidden/>
          </w:rPr>
          <w:fldChar w:fldCharType="begin"/>
        </w:r>
        <w:r w:rsidR="00D018FF">
          <w:rPr>
            <w:noProof/>
            <w:webHidden/>
          </w:rPr>
          <w:instrText xml:space="preserve"> PAGEREF _Toc428399232 \h </w:instrText>
        </w:r>
        <w:r w:rsidR="00D018FF">
          <w:rPr>
            <w:noProof/>
            <w:webHidden/>
          </w:rPr>
        </w:r>
        <w:r w:rsidR="00D018FF">
          <w:rPr>
            <w:noProof/>
            <w:webHidden/>
          </w:rPr>
          <w:fldChar w:fldCharType="separate"/>
        </w:r>
        <w:r w:rsidR="00D018FF">
          <w:rPr>
            <w:noProof/>
            <w:webHidden/>
          </w:rPr>
          <w:t>32</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33" w:history="1">
        <w:r w:rsidR="00D018FF" w:rsidRPr="00BD3B9B">
          <w:rPr>
            <w:rStyle w:val="Hyperlink"/>
            <w:noProof/>
            <w:lang w:val="en-US"/>
          </w:rPr>
          <w:t>3.7.</w:t>
        </w:r>
        <w:r w:rsidR="00D018FF">
          <w:rPr>
            <w:rFonts w:asciiTheme="minorHAnsi" w:eastAsiaTheme="minorEastAsia" w:hAnsiTheme="minorHAnsi" w:cstheme="minorBidi"/>
            <w:noProof/>
            <w:sz w:val="22"/>
            <w:lang w:val="en-US"/>
          </w:rPr>
          <w:tab/>
        </w:r>
        <w:r w:rsidR="00D018FF" w:rsidRPr="00BD3B9B">
          <w:rPr>
            <w:rStyle w:val="Hyperlink"/>
            <w:noProof/>
            <w:lang w:val="en-US"/>
          </w:rPr>
          <w:t>Correlation</w:t>
        </w:r>
        <w:r w:rsidR="00D018FF">
          <w:rPr>
            <w:noProof/>
            <w:webHidden/>
          </w:rPr>
          <w:tab/>
        </w:r>
        <w:r w:rsidR="00D018FF">
          <w:rPr>
            <w:noProof/>
            <w:webHidden/>
          </w:rPr>
          <w:fldChar w:fldCharType="begin"/>
        </w:r>
        <w:r w:rsidR="00D018FF">
          <w:rPr>
            <w:noProof/>
            <w:webHidden/>
          </w:rPr>
          <w:instrText xml:space="preserve"> PAGEREF _Toc428399233 \h </w:instrText>
        </w:r>
        <w:r w:rsidR="00D018FF">
          <w:rPr>
            <w:noProof/>
            <w:webHidden/>
          </w:rPr>
        </w:r>
        <w:r w:rsidR="00D018FF">
          <w:rPr>
            <w:noProof/>
            <w:webHidden/>
          </w:rPr>
          <w:fldChar w:fldCharType="separate"/>
        </w:r>
        <w:r w:rsidR="00D018FF">
          <w:rPr>
            <w:noProof/>
            <w:webHidden/>
          </w:rPr>
          <w:t>34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34" w:history="1">
        <w:r w:rsidR="00D018FF" w:rsidRPr="00BD3B9B">
          <w:rPr>
            <w:rStyle w:val="Hyperlink"/>
            <w:noProof/>
            <w:lang w:val="en-US"/>
          </w:rPr>
          <w:t>3.8.</w:t>
        </w:r>
        <w:r w:rsidR="00D018FF">
          <w:rPr>
            <w:rFonts w:asciiTheme="minorHAnsi" w:eastAsiaTheme="minorEastAsia" w:hAnsiTheme="minorHAnsi" w:cstheme="minorBidi"/>
            <w:noProof/>
            <w:sz w:val="22"/>
            <w:lang w:val="en-US"/>
          </w:rPr>
          <w:tab/>
        </w:r>
        <w:r w:rsidR="00D018FF" w:rsidRPr="00BD3B9B">
          <w:rPr>
            <w:rStyle w:val="Hyperlink"/>
            <w:noProof/>
            <w:lang w:val="en-US"/>
          </w:rPr>
          <w:t>Sample Exclusions</w:t>
        </w:r>
        <w:r w:rsidR="00D018FF">
          <w:rPr>
            <w:noProof/>
            <w:webHidden/>
          </w:rPr>
          <w:tab/>
        </w:r>
        <w:r w:rsidR="00D018FF">
          <w:rPr>
            <w:noProof/>
            <w:webHidden/>
          </w:rPr>
          <w:fldChar w:fldCharType="begin"/>
        </w:r>
        <w:r w:rsidR="00D018FF">
          <w:rPr>
            <w:noProof/>
            <w:webHidden/>
          </w:rPr>
          <w:instrText xml:space="preserve"> PAGEREF _Toc428399234 \h </w:instrText>
        </w:r>
        <w:r w:rsidR="00D018FF">
          <w:rPr>
            <w:noProof/>
            <w:webHidden/>
          </w:rPr>
        </w:r>
        <w:r w:rsidR="00D018FF">
          <w:rPr>
            <w:noProof/>
            <w:webHidden/>
          </w:rPr>
          <w:fldChar w:fldCharType="separate"/>
        </w:r>
        <w:r w:rsidR="00D018FF">
          <w:rPr>
            <w:noProof/>
            <w:webHidden/>
          </w:rPr>
          <w:t>35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35" w:history="1">
        <w:r w:rsidR="00D018FF" w:rsidRPr="00BD3B9B">
          <w:rPr>
            <w:rStyle w:val="Hyperlink"/>
            <w:noProof/>
            <w:lang w:val="en-US"/>
          </w:rPr>
          <w:t>3.9.</w:t>
        </w:r>
        <w:r w:rsidR="00D018FF">
          <w:rPr>
            <w:rFonts w:asciiTheme="minorHAnsi" w:eastAsiaTheme="minorEastAsia" w:hAnsiTheme="minorHAnsi" w:cstheme="minorBidi"/>
            <w:noProof/>
            <w:sz w:val="22"/>
            <w:lang w:val="en-US"/>
          </w:rPr>
          <w:tab/>
        </w:r>
        <w:r w:rsidR="00D018FF" w:rsidRPr="00BD3B9B">
          <w:rPr>
            <w:rStyle w:val="Hyperlink"/>
            <w:noProof/>
            <w:lang w:val="en-US"/>
          </w:rPr>
          <w:t>Multiple Linear Regression</w:t>
        </w:r>
        <w:r w:rsidR="00D018FF">
          <w:rPr>
            <w:noProof/>
            <w:webHidden/>
          </w:rPr>
          <w:tab/>
        </w:r>
        <w:r w:rsidR="00D018FF">
          <w:rPr>
            <w:noProof/>
            <w:webHidden/>
          </w:rPr>
          <w:fldChar w:fldCharType="begin"/>
        </w:r>
        <w:r w:rsidR="00D018FF">
          <w:rPr>
            <w:noProof/>
            <w:webHidden/>
          </w:rPr>
          <w:instrText xml:space="preserve"> PAGEREF _Toc428399235 \h </w:instrText>
        </w:r>
        <w:r w:rsidR="00D018FF">
          <w:rPr>
            <w:noProof/>
            <w:webHidden/>
          </w:rPr>
        </w:r>
        <w:r w:rsidR="00D018FF">
          <w:rPr>
            <w:noProof/>
            <w:webHidden/>
          </w:rPr>
          <w:fldChar w:fldCharType="separate"/>
        </w:r>
        <w:r w:rsidR="00D018FF">
          <w:rPr>
            <w:noProof/>
            <w:webHidden/>
          </w:rPr>
          <w:t>36</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36" w:history="1">
        <w:r w:rsidR="00D018FF" w:rsidRPr="00BD3B9B">
          <w:rPr>
            <w:rStyle w:val="Hyperlink"/>
            <w:noProof/>
            <w:lang w:val="en-US"/>
          </w:rPr>
          <w:t>3.9.1.</w:t>
        </w:r>
        <w:r w:rsidR="00D018FF">
          <w:rPr>
            <w:rFonts w:asciiTheme="minorHAnsi" w:eastAsiaTheme="minorEastAsia" w:hAnsiTheme="minorHAnsi" w:cstheme="minorBidi"/>
            <w:noProof/>
            <w:sz w:val="22"/>
            <w:lang w:val="en-US"/>
          </w:rPr>
          <w:tab/>
        </w:r>
        <w:r w:rsidR="00D018FF" w:rsidRPr="00BD3B9B">
          <w:rPr>
            <w:rStyle w:val="Hyperlink"/>
            <w:noProof/>
            <w:lang w:val="en-US"/>
          </w:rPr>
          <w:t>Dependent variables</w:t>
        </w:r>
        <w:r w:rsidR="00D018FF">
          <w:rPr>
            <w:noProof/>
            <w:webHidden/>
          </w:rPr>
          <w:tab/>
        </w:r>
        <w:r w:rsidR="00D018FF">
          <w:rPr>
            <w:noProof/>
            <w:webHidden/>
          </w:rPr>
          <w:fldChar w:fldCharType="begin"/>
        </w:r>
        <w:r w:rsidR="00D018FF">
          <w:rPr>
            <w:noProof/>
            <w:webHidden/>
          </w:rPr>
          <w:instrText xml:space="preserve"> PAGEREF _Toc428399236 \h </w:instrText>
        </w:r>
        <w:r w:rsidR="00D018FF">
          <w:rPr>
            <w:noProof/>
            <w:webHidden/>
          </w:rPr>
        </w:r>
        <w:r w:rsidR="00D018FF">
          <w:rPr>
            <w:noProof/>
            <w:webHidden/>
          </w:rPr>
          <w:fldChar w:fldCharType="separate"/>
        </w:r>
        <w:r w:rsidR="00D018FF">
          <w:rPr>
            <w:noProof/>
            <w:webHidden/>
          </w:rPr>
          <w:t>37</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37" w:history="1">
        <w:r w:rsidR="00D018FF" w:rsidRPr="00BD3B9B">
          <w:rPr>
            <w:rStyle w:val="Hyperlink"/>
            <w:noProof/>
            <w:lang w:val="en-US"/>
          </w:rPr>
          <w:t>3.9.2.</w:t>
        </w:r>
        <w:r w:rsidR="00D018FF">
          <w:rPr>
            <w:rFonts w:asciiTheme="minorHAnsi" w:eastAsiaTheme="minorEastAsia" w:hAnsiTheme="minorHAnsi" w:cstheme="minorBidi"/>
            <w:noProof/>
            <w:sz w:val="22"/>
            <w:lang w:val="en-US"/>
          </w:rPr>
          <w:tab/>
        </w:r>
        <w:r w:rsidR="00D018FF" w:rsidRPr="00BD3B9B">
          <w:rPr>
            <w:rStyle w:val="Hyperlink"/>
            <w:noProof/>
            <w:lang w:val="en-US"/>
          </w:rPr>
          <w:t>Independent Variables</w:t>
        </w:r>
        <w:r w:rsidR="00D018FF">
          <w:rPr>
            <w:noProof/>
            <w:webHidden/>
          </w:rPr>
          <w:tab/>
        </w:r>
        <w:r w:rsidR="00D018FF">
          <w:rPr>
            <w:noProof/>
            <w:webHidden/>
          </w:rPr>
          <w:fldChar w:fldCharType="begin"/>
        </w:r>
        <w:r w:rsidR="00D018FF">
          <w:rPr>
            <w:noProof/>
            <w:webHidden/>
          </w:rPr>
          <w:instrText xml:space="preserve"> PAGEREF _Toc428399237 \h </w:instrText>
        </w:r>
        <w:r w:rsidR="00D018FF">
          <w:rPr>
            <w:noProof/>
            <w:webHidden/>
          </w:rPr>
        </w:r>
        <w:r w:rsidR="00D018FF">
          <w:rPr>
            <w:noProof/>
            <w:webHidden/>
          </w:rPr>
          <w:fldChar w:fldCharType="separate"/>
        </w:r>
        <w:r w:rsidR="00D018FF">
          <w:rPr>
            <w:noProof/>
            <w:webHidden/>
          </w:rPr>
          <w:t>37</w:t>
        </w:r>
        <w:r w:rsidR="00D018FF">
          <w:rPr>
            <w:noProof/>
            <w:webHidden/>
          </w:rPr>
          <w:fldChar w:fldCharType="end"/>
        </w:r>
      </w:hyperlink>
    </w:p>
    <w:p w:rsidR="00D018FF" w:rsidRDefault="00E85166">
      <w:pPr>
        <w:pStyle w:val="TOC3"/>
        <w:tabs>
          <w:tab w:val="left" w:pos="1320"/>
          <w:tab w:val="right" w:leader="dot" w:pos="9062"/>
        </w:tabs>
        <w:rPr>
          <w:rFonts w:asciiTheme="minorHAnsi" w:eastAsiaTheme="minorEastAsia" w:hAnsiTheme="minorHAnsi" w:cstheme="minorBidi"/>
          <w:noProof/>
          <w:sz w:val="22"/>
          <w:lang w:val="en-US"/>
        </w:rPr>
      </w:pPr>
      <w:hyperlink w:anchor="_Toc428399238" w:history="1">
        <w:r w:rsidR="00D018FF" w:rsidRPr="00BD3B9B">
          <w:rPr>
            <w:rStyle w:val="Hyperlink"/>
            <w:noProof/>
            <w:lang w:val="en-US"/>
          </w:rPr>
          <w:t>3.9.3.</w:t>
        </w:r>
        <w:r w:rsidR="00D018FF">
          <w:rPr>
            <w:rFonts w:asciiTheme="minorHAnsi" w:eastAsiaTheme="minorEastAsia" w:hAnsiTheme="minorHAnsi" w:cstheme="minorBidi"/>
            <w:noProof/>
            <w:sz w:val="22"/>
            <w:lang w:val="en-US"/>
          </w:rPr>
          <w:tab/>
        </w:r>
        <w:r w:rsidR="00D018FF" w:rsidRPr="00BD3B9B">
          <w:rPr>
            <w:rStyle w:val="Hyperlink"/>
            <w:noProof/>
            <w:lang w:val="en-US"/>
          </w:rPr>
          <w:t>Goodness of fit – R</w:t>
        </w:r>
        <w:r w:rsidR="00D018FF" w:rsidRPr="00BD3B9B">
          <w:rPr>
            <w:rStyle w:val="Hyperlink"/>
            <w:noProof/>
            <w:vertAlign w:val="superscript"/>
            <w:lang w:val="en-US"/>
          </w:rPr>
          <w:t>2</w:t>
        </w:r>
        <w:r w:rsidR="00D018FF">
          <w:rPr>
            <w:noProof/>
            <w:webHidden/>
          </w:rPr>
          <w:tab/>
        </w:r>
        <w:r w:rsidR="00D018FF">
          <w:rPr>
            <w:noProof/>
            <w:webHidden/>
          </w:rPr>
          <w:fldChar w:fldCharType="begin"/>
        </w:r>
        <w:r w:rsidR="00D018FF">
          <w:rPr>
            <w:noProof/>
            <w:webHidden/>
          </w:rPr>
          <w:instrText xml:space="preserve"> PAGEREF _Toc428399238 \h </w:instrText>
        </w:r>
        <w:r w:rsidR="00D018FF">
          <w:rPr>
            <w:noProof/>
            <w:webHidden/>
          </w:rPr>
        </w:r>
        <w:r w:rsidR="00D018FF">
          <w:rPr>
            <w:noProof/>
            <w:webHidden/>
          </w:rPr>
          <w:fldChar w:fldCharType="separate"/>
        </w:r>
        <w:r w:rsidR="00D018FF">
          <w:rPr>
            <w:noProof/>
            <w:webHidden/>
          </w:rPr>
          <w:t>39</w:t>
        </w:r>
        <w:r w:rsidR="00D018FF">
          <w:rPr>
            <w:noProof/>
            <w:webHidden/>
          </w:rPr>
          <w:fldChar w:fldCharType="end"/>
        </w:r>
      </w:hyperlink>
    </w:p>
    <w:p w:rsidR="00D018FF" w:rsidRDefault="00E85166">
      <w:pPr>
        <w:pStyle w:val="TOC2"/>
        <w:tabs>
          <w:tab w:val="left" w:pos="1100"/>
          <w:tab w:val="right" w:leader="dot" w:pos="9062"/>
        </w:tabs>
        <w:rPr>
          <w:rFonts w:asciiTheme="minorHAnsi" w:eastAsiaTheme="minorEastAsia" w:hAnsiTheme="minorHAnsi" w:cstheme="minorBidi"/>
          <w:noProof/>
          <w:sz w:val="22"/>
          <w:lang w:val="en-US"/>
        </w:rPr>
      </w:pPr>
      <w:hyperlink w:anchor="_Toc428399239" w:history="1">
        <w:r w:rsidR="00D018FF" w:rsidRPr="00BD3B9B">
          <w:rPr>
            <w:rStyle w:val="Hyperlink"/>
            <w:noProof/>
            <w:lang w:val="en-US"/>
          </w:rPr>
          <w:t>3.10.</w:t>
        </w:r>
        <w:r w:rsidR="00D018FF">
          <w:rPr>
            <w:rFonts w:asciiTheme="minorHAnsi" w:eastAsiaTheme="minorEastAsia" w:hAnsiTheme="minorHAnsi" w:cstheme="minorBidi"/>
            <w:noProof/>
            <w:sz w:val="22"/>
            <w:lang w:val="en-US"/>
          </w:rPr>
          <w:tab/>
        </w:r>
        <w:r w:rsidR="00D018FF" w:rsidRPr="00BD3B9B">
          <w:rPr>
            <w:rStyle w:val="Hyperlink"/>
            <w:noProof/>
            <w:lang w:val="en-US"/>
          </w:rPr>
          <w:t>Ordinary least squares assumptions</w:t>
        </w:r>
        <w:r w:rsidR="00D018FF">
          <w:rPr>
            <w:noProof/>
            <w:webHidden/>
          </w:rPr>
          <w:tab/>
        </w:r>
        <w:r w:rsidR="00D018FF">
          <w:rPr>
            <w:noProof/>
            <w:webHidden/>
          </w:rPr>
          <w:fldChar w:fldCharType="begin"/>
        </w:r>
        <w:r w:rsidR="00D018FF">
          <w:rPr>
            <w:noProof/>
            <w:webHidden/>
          </w:rPr>
          <w:instrText xml:space="preserve"> PAGEREF _Toc428399239 \h </w:instrText>
        </w:r>
        <w:r w:rsidR="00D018FF">
          <w:rPr>
            <w:noProof/>
            <w:webHidden/>
          </w:rPr>
        </w:r>
        <w:r w:rsidR="00D018FF">
          <w:rPr>
            <w:noProof/>
            <w:webHidden/>
          </w:rPr>
          <w:fldChar w:fldCharType="separate"/>
        </w:r>
        <w:r w:rsidR="00D018FF">
          <w:rPr>
            <w:noProof/>
            <w:webHidden/>
          </w:rPr>
          <w:t>39</w:t>
        </w:r>
        <w:r w:rsidR="00D018FF">
          <w:rPr>
            <w:noProof/>
            <w:webHidden/>
          </w:rPr>
          <w:fldChar w:fldCharType="end"/>
        </w:r>
      </w:hyperlink>
    </w:p>
    <w:p w:rsidR="00D018FF" w:rsidRDefault="00E85166">
      <w:pPr>
        <w:pStyle w:val="TOC2"/>
        <w:tabs>
          <w:tab w:val="left" w:pos="1100"/>
          <w:tab w:val="right" w:leader="dot" w:pos="9062"/>
        </w:tabs>
        <w:rPr>
          <w:rFonts w:asciiTheme="minorHAnsi" w:eastAsiaTheme="minorEastAsia" w:hAnsiTheme="minorHAnsi" w:cstheme="minorBidi"/>
          <w:noProof/>
          <w:sz w:val="22"/>
          <w:lang w:val="en-US"/>
        </w:rPr>
      </w:pPr>
      <w:hyperlink w:anchor="_Toc428399240" w:history="1">
        <w:r w:rsidR="00D018FF" w:rsidRPr="00BD3B9B">
          <w:rPr>
            <w:rStyle w:val="Hyperlink"/>
            <w:noProof/>
            <w:lang w:val="en-US"/>
          </w:rPr>
          <w:t>3.11.</w:t>
        </w:r>
        <w:r w:rsidR="00D018FF">
          <w:rPr>
            <w:rFonts w:asciiTheme="minorHAnsi" w:eastAsiaTheme="minorEastAsia" w:hAnsiTheme="minorHAnsi" w:cstheme="minorBidi"/>
            <w:noProof/>
            <w:sz w:val="22"/>
            <w:lang w:val="en-US"/>
          </w:rPr>
          <w:tab/>
        </w:r>
        <w:r w:rsidR="00D018FF" w:rsidRPr="00BD3B9B">
          <w:rPr>
            <w:rStyle w:val="Hyperlink"/>
            <w:noProof/>
            <w:lang w:val="en-US"/>
          </w:rPr>
          <w:t>Reliability and validity</w:t>
        </w:r>
        <w:r w:rsidR="00D018FF">
          <w:rPr>
            <w:noProof/>
            <w:webHidden/>
          </w:rPr>
          <w:tab/>
        </w:r>
        <w:r w:rsidR="00D018FF">
          <w:rPr>
            <w:noProof/>
            <w:webHidden/>
          </w:rPr>
          <w:fldChar w:fldCharType="begin"/>
        </w:r>
        <w:r w:rsidR="00D018FF">
          <w:rPr>
            <w:noProof/>
            <w:webHidden/>
          </w:rPr>
          <w:instrText xml:space="preserve"> PAGEREF _Toc428399240 \h </w:instrText>
        </w:r>
        <w:r w:rsidR="00D018FF">
          <w:rPr>
            <w:noProof/>
            <w:webHidden/>
          </w:rPr>
        </w:r>
        <w:r w:rsidR="00D018FF">
          <w:rPr>
            <w:noProof/>
            <w:webHidden/>
          </w:rPr>
          <w:fldChar w:fldCharType="separate"/>
        </w:r>
        <w:r w:rsidR="00D018FF">
          <w:rPr>
            <w:noProof/>
            <w:webHidden/>
          </w:rPr>
          <w:t>41</w:t>
        </w:r>
        <w:r w:rsidR="00D018FF">
          <w:rPr>
            <w:noProof/>
            <w:webHidden/>
          </w:rPr>
          <w:fldChar w:fldCharType="end"/>
        </w:r>
      </w:hyperlink>
    </w:p>
    <w:p w:rsidR="00D018FF" w:rsidRDefault="00E85166">
      <w:pPr>
        <w:pStyle w:val="TOC3"/>
        <w:tabs>
          <w:tab w:val="left" w:pos="1540"/>
          <w:tab w:val="right" w:leader="dot" w:pos="9062"/>
        </w:tabs>
        <w:rPr>
          <w:rFonts w:asciiTheme="minorHAnsi" w:eastAsiaTheme="minorEastAsia" w:hAnsiTheme="minorHAnsi" w:cstheme="minorBidi"/>
          <w:noProof/>
          <w:sz w:val="22"/>
          <w:lang w:val="en-US"/>
        </w:rPr>
      </w:pPr>
      <w:hyperlink w:anchor="_Toc428399241" w:history="1">
        <w:r w:rsidR="00D018FF" w:rsidRPr="00BD3B9B">
          <w:rPr>
            <w:rStyle w:val="Hyperlink"/>
            <w:noProof/>
            <w:lang w:val="en-US"/>
          </w:rPr>
          <w:t>3.11.1.</w:t>
        </w:r>
        <w:r w:rsidR="00D018FF">
          <w:rPr>
            <w:rFonts w:asciiTheme="minorHAnsi" w:eastAsiaTheme="minorEastAsia" w:hAnsiTheme="minorHAnsi" w:cstheme="minorBidi"/>
            <w:noProof/>
            <w:sz w:val="22"/>
            <w:lang w:val="en-US"/>
          </w:rPr>
          <w:tab/>
        </w:r>
        <w:r w:rsidR="00D018FF" w:rsidRPr="00BD3B9B">
          <w:rPr>
            <w:rStyle w:val="Hyperlink"/>
            <w:noProof/>
            <w:lang w:val="en-US"/>
          </w:rPr>
          <w:t>Validity</w:t>
        </w:r>
        <w:r w:rsidR="00D018FF">
          <w:rPr>
            <w:noProof/>
            <w:webHidden/>
          </w:rPr>
          <w:tab/>
        </w:r>
        <w:r w:rsidR="00D018FF">
          <w:rPr>
            <w:noProof/>
            <w:webHidden/>
          </w:rPr>
          <w:fldChar w:fldCharType="begin"/>
        </w:r>
        <w:r w:rsidR="00D018FF">
          <w:rPr>
            <w:noProof/>
            <w:webHidden/>
          </w:rPr>
          <w:instrText xml:space="preserve"> PAGEREF _Toc428399241 \h </w:instrText>
        </w:r>
        <w:r w:rsidR="00D018FF">
          <w:rPr>
            <w:noProof/>
            <w:webHidden/>
          </w:rPr>
        </w:r>
        <w:r w:rsidR="00D018FF">
          <w:rPr>
            <w:noProof/>
            <w:webHidden/>
          </w:rPr>
          <w:fldChar w:fldCharType="separate"/>
        </w:r>
        <w:r w:rsidR="00D018FF">
          <w:rPr>
            <w:noProof/>
            <w:webHidden/>
          </w:rPr>
          <w:t>42</w:t>
        </w:r>
        <w:r w:rsidR="00D018FF">
          <w:rPr>
            <w:noProof/>
            <w:webHidden/>
          </w:rPr>
          <w:fldChar w:fldCharType="end"/>
        </w:r>
      </w:hyperlink>
    </w:p>
    <w:p w:rsidR="00D018FF" w:rsidRDefault="00E85166">
      <w:pPr>
        <w:pStyle w:val="TOC3"/>
        <w:tabs>
          <w:tab w:val="left" w:pos="1540"/>
          <w:tab w:val="right" w:leader="dot" w:pos="9062"/>
        </w:tabs>
        <w:rPr>
          <w:rFonts w:asciiTheme="minorHAnsi" w:eastAsiaTheme="minorEastAsia" w:hAnsiTheme="minorHAnsi" w:cstheme="minorBidi"/>
          <w:noProof/>
          <w:sz w:val="22"/>
          <w:lang w:val="en-US"/>
        </w:rPr>
      </w:pPr>
      <w:hyperlink w:anchor="_Toc428399242" w:history="1">
        <w:r w:rsidR="00D018FF" w:rsidRPr="00BD3B9B">
          <w:rPr>
            <w:rStyle w:val="Hyperlink"/>
            <w:noProof/>
            <w:lang w:val="en-US"/>
          </w:rPr>
          <w:t>3.11.2.</w:t>
        </w:r>
        <w:r w:rsidR="00D018FF">
          <w:rPr>
            <w:rFonts w:asciiTheme="minorHAnsi" w:eastAsiaTheme="minorEastAsia" w:hAnsiTheme="minorHAnsi" w:cstheme="minorBidi"/>
            <w:noProof/>
            <w:sz w:val="22"/>
            <w:lang w:val="en-US"/>
          </w:rPr>
          <w:tab/>
        </w:r>
        <w:r w:rsidR="00D018FF" w:rsidRPr="00BD3B9B">
          <w:rPr>
            <w:rStyle w:val="Hyperlink"/>
            <w:noProof/>
            <w:lang w:val="en-US"/>
          </w:rPr>
          <w:t>Reliability</w:t>
        </w:r>
        <w:r w:rsidR="00D018FF">
          <w:rPr>
            <w:noProof/>
            <w:webHidden/>
          </w:rPr>
          <w:tab/>
        </w:r>
        <w:r w:rsidR="00D018FF">
          <w:rPr>
            <w:noProof/>
            <w:webHidden/>
          </w:rPr>
          <w:fldChar w:fldCharType="begin"/>
        </w:r>
        <w:r w:rsidR="00D018FF">
          <w:rPr>
            <w:noProof/>
            <w:webHidden/>
          </w:rPr>
          <w:instrText xml:space="preserve"> PAGEREF _Toc428399242 \h </w:instrText>
        </w:r>
        <w:r w:rsidR="00D018FF">
          <w:rPr>
            <w:noProof/>
            <w:webHidden/>
          </w:rPr>
        </w:r>
        <w:r w:rsidR="00D018FF">
          <w:rPr>
            <w:noProof/>
            <w:webHidden/>
          </w:rPr>
          <w:fldChar w:fldCharType="separate"/>
        </w:r>
        <w:r w:rsidR="00D018FF">
          <w:rPr>
            <w:noProof/>
            <w:webHidden/>
          </w:rPr>
          <w:t>42</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43" w:history="1">
        <w:r w:rsidR="00D018FF" w:rsidRPr="00BD3B9B">
          <w:rPr>
            <w:rStyle w:val="Hyperlink"/>
            <w:noProof/>
            <w:lang w:val="en-US"/>
          </w:rPr>
          <w:t>4.</w:t>
        </w:r>
        <w:r w:rsidR="00D018FF">
          <w:rPr>
            <w:rFonts w:asciiTheme="minorHAnsi" w:eastAsiaTheme="minorEastAsia" w:hAnsiTheme="minorHAnsi" w:cstheme="minorBidi"/>
            <w:noProof/>
            <w:sz w:val="22"/>
            <w:lang w:val="en-US"/>
          </w:rPr>
          <w:tab/>
        </w:r>
        <w:r w:rsidR="00D018FF" w:rsidRPr="00BD3B9B">
          <w:rPr>
            <w:rStyle w:val="Hyperlink"/>
            <w:noProof/>
            <w:lang w:val="en-US"/>
          </w:rPr>
          <w:t>Results</w:t>
        </w:r>
        <w:r w:rsidR="00D018FF">
          <w:rPr>
            <w:noProof/>
            <w:webHidden/>
          </w:rPr>
          <w:tab/>
        </w:r>
        <w:r w:rsidR="00D018FF">
          <w:rPr>
            <w:noProof/>
            <w:webHidden/>
          </w:rPr>
          <w:fldChar w:fldCharType="begin"/>
        </w:r>
        <w:r w:rsidR="00D018FF">
          <w:rPr>
            <w:noProof/>
            <w:webHidden/>
          </w:rPr>
          <w:instrText xml:space="preserve"> PAGEREF _Toc428399243 \h </w:instrText>
        </w:r>
        <w:r w:rsidR="00D018FF">
          <w:rPr>
            <w:noProof/>
            <w:webHidden/>
          </w:rPr>
        </w:r>
        <w:r w:rsidR="00D018FF">
          <w:rPr>
            <w:noProof/>
            <w:webHidden/>
          </w:rPr>
          <w:fldChar w:fldCharType="separate"/>
        </w:r>
        <w:r w:rsidR="00D018FF">
          <w:rPr>
            <w:noProof/>
            <w:webHidden/>
          </w:rPr>
          <w:t>44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44" w:history="1">
        <w:r w:rsidR="00D018FF" w:rsidRPr="00BD3B9B">
          <w:rPr>
            <w:rStyle w:val="Hyperlink"/>
            <w:noProof/>
            <w:lang w:val="en-US"/>
          </w:rPr>
          <w:t>4.1.</w:t>
        </w:r>
        <w:r w:rsidR="00D018FF">
          <w:rPr>
            <w:rFonts w:asciiTheme="minorHAnsi" w:eastAsiaTheme="minorEastAsia" w:hAnsiTheme="minorHAnsi" w:cstheme="minorBidi"/>
            <w:noProof/>
            <w:sz w:val="22"/>
            <w:lang w:val="en-US"/>
          </w:rPr>
          <w:tab/>
        </w:r>
        <w:r w:rsidR="00D018FF" w:rsidRPr="00BD3B9B">
          <w:rPr>
            <w:rStyle w:val="Hyperlink"/>
            <w:noProof/>
            <w:lang w:val="en-US"/>
          </w:rPr>
          <w:t>Descriptive Statistics</w:t>
        </w:r>
        <w:r w:rsidR="00D018FF">
          <w:rPr>
            <w:noProof/>
            <w:webHidden/>
          </w:rPr>
          <w:tab/>
        </w:r>
        <w:r w:rsidR="00D018FF">
          <w:rPr>
            <w:noProof/>
            <w:webHidden/>
          </w:rPr>
          <w:fldChar w:fldCharType="begin"/>
        </w:r>
        <w:r w:rsidR="00D018FF">
          <w:rPr>
            <w:noProof/>
            <w:webHidden/>
          </w:rPr>
          <w:instrText xml:space="preserve"> PAGEREF _Toc428399244 \h </w:instrText>
        </w:r>
        <w:r w:rsidR="00D018FF">
          <w:rPr>
            <w:noProof/>
            <w:webHidden/>
          </w:rPr>
        </w:r>
        <w:r w:rsidR="00D018FF">
          <w:rPr>
            <w:noProof/>
            <w:webHidden/>
          </w:rPr>
          <w:fldChar w:fldCharType="separate"/>
        </w:r>
        <w:r w:rsidR="00D018FF">
          <w:rPr>
            <w:noProof/>
            <w:webHidden/>
          </w:rPr>
          <w:t>44</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45" w:history="1">
        <w:r w:rsidR="00D018FF" w:rsidRPr="00BD3B9B">
          <w:rPr>
            <w:rStyle w:val="Hyperlink"/>
            <w:noProof/>
            <w:lang w:val="en-US"/>
          </w:rPr>
          <w:t>4.2.</w:t>
        </w:r>
        <w:r w:rsidR="00D018FF">
          <w:rPr>
            <w:rFonts w:asciiTheme="minorHAnsi" w:eastAsiaTheme="minorEastAsia" w:hAnsiTheme="minorHAnsi" w:cstheme="minorBidi"/>
            <w:noProof/>
            <w:sz w:val="22"/>
            <w:lang w:val="en-US"/>
          </w:rPr>
          <w:tab/>
        </w:r>
        <w:r w:rsidR="00D018FF" w:rsidRPr="00BD3B9B">
          <w:rPr>
            <w:rStyle w:val="Hyperlink"/>
            <w:noProof/>
            <w:lang w:val="en-US"/>
          </w:rPr>
          <w:t>Results long term performance</w:t>
        </w:r>
        <w:r w:rsidR="00D018FF">
          <w:rPr>
            <w:noProof/>
            <w:webHidden/>
          </w:rPr>
          <w:tab/>
        </w:r>
        <w:r w:rsidR="00D018FF">
          <w:rPr>
            <w:noProof/>
            <w:webHidden/>
          </w:rPr>
          <w:fldChar w:fldCharType="begin"/>
        </w:r>
        <w:r w:rsidR="00D018FF">
          <w:rPr>
            <w:noProof/>
            <w:webHidden/>
          </w:rPr>
          <w:instrText xml:space="preserve"> PAGEREF _Toc428399245 \h </w:instrText>
        </w:r>
        <w:r w:rsidR="00D018FF">
          <w:rPr>
            <w:noProof/>
            <w:webHidden/>
          </w:rPr>
        </w:r>
        <w:r w:rsidR="00D018FF">
          <w:rPr>
            <w:noProof/>
            <w:webHidden/>
          </w:rPr>
          <w:fldChar w:fldCharType="separate"/>
        </w:r>
        <w:r w:rsidR="00D018FF">
          <w:rPr>
            <w:noProof/>
            <w:webHidden/>
          </w:rPr>
          <w:t>45</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46" w:history="1">
        <w:r w:rsidR="00D018FF" w:rsidRPr="00BD3B9B">
          <w:rPr>
            <w:rStyle w:val="Hyperlink"/>
            <w:noProof/>
            <w:lang w:val="en-US"/>
          </w:rPr>
          <w:t>4.3.</w:t>
        </w:r>
        <w:r w:rsidR="00D018FF">
          <w:rPr>
            <w:rFonts w:asciiTheme="minorHAnsi" w:eastAsiaTheme="minorEastAsia" w:hAnsiTheme="minorHAnsi" w:cstheme="minorBidi"/>
            <w:noProof/>
            <w:sz w:val="22"/>
            <w:lang w:val="en-US"/>
          </w:rPr>
          <w:tab/>
        </w:r>
        <w:r w:rsidR="00D018FF" w:rsidRPr="00BD3B9B">
          <w:rPr>
            <w:rStyle w:val="Hyperlink"/>
            <w:noProof/>
            <w:lang w:val="en-US"/>
          </w:rPr>
          <w:t>Correlation between the measures</w:t>
        </w:r>
        <w:r w:rsidR="00D018FF">
          <w:rPr>
            <w:noProof/>
            <w:webHidden/>
          </w:rPr>
          <w:tab/>
        </w:r>
        <w:r w:rsidR="00D018FF">
          <w:rPr>
            <w:noProof/>
            <w:webHidden/>
          </w:rPr>
          <w:fldChar w:fldCharType="begin"/>
        </w:r>
        <w:r w:rsidR="00D018FF">
          <w:rPr>
            <w:noProof/>
            <w:webHidden/>
          </w:rPr>
          <w:instrText xml:space="preserve"> PAGEREF _Toc428399246 \h </w:instrText>
        </w:r>
        <w:r w:rsidR="00D018FF">
          <w:rPr>
            <w:noProof/>
            <w:webHidden/>
          </w:rPr>
        </w:r>
        <w:r w:rsidR="00D018FF">
          <w:rPr>
            <w:noProof/>
            <w:webHidden/>
          </w:rPr>
          <w:fldChar w:fldCharType="separate"/>
        </w:r>
        <w:r w:rsidR="00D018FF">
          <w:rPr>
            <w:noProof/>
            <w:webHidden/>
          </w:rPr>
          <w:t>46</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47" w:history="1">
        <w:r w:rsidR="00D018FF" w:rsidRPr="00BD3B9B">
          <w:rPr>
            <w:rStyle w:val="Hyperlink"/>
            <w:noProof/>
            <w:lang w:val="en-US"/>
          </w:rPr>
          <w:t>4.4.</w:t>
        </w:r>
        <w:r w:rsidR="00D018FF">
          <w:rPr>
            <w:rFonts w:asciiTheme="minorHAnsi" w:eastAsiaTheme="minorEastAsia" w:hAnsiTheme="minorHAnsi" w:cstheme="minorBidi"/>
            <w:noProof/>
            <w:sz w:val="22"/>
            <w:lang w:val="en-US"/>
          </w:rPr>
          <w:tab/>
        </w:r>
        <w:r w:rsidR="00D018FF" w:rsidRPr="00BD3B9B">
          <w:rPr>
            <w:rStyle w:val="Hyperlink"/>
            <w:noProof/>
            <w:lang w:val="en-US"/>
          </w:rPr>
          <w:t>Multiple linear regressions</w:t>
        </w:r>
        <w:r w:rsidR="00D018FF">
          <w:rPr>
            <w:noProof/>
            <w:webHidden/>
          </w:rPr>
          <w:tab/>
        </w:r>
        <w:r w:rsidR="00D018FF">
          <w:rPr>
            <w:noProof/>
            <w:webHidden/>
          </w:rPr>
          <w:fldChar w:fldCharType="begin"/>
        </w:r>
        <w:r w:rsidR="00D018FF">
          <w:rPr>
            <w:noProof/>
            <w:webHidden/>
          </w:rPr>
          <w:instrText xml:space="preserve"> PAGEREF _Toc428399247 \h </w:instrText>
        </w:r>
        <w:r w:rsidR="00D018FF">
          <w:rPr>
            <w:noProof/>
            <w:webHidden/>
          </w:rPr>
        </w:r>
        <w:r w:rsidR="00D018FF">
          <w:rPr>
            <w:noProof/>
            <w:webHidden/>
          </w:rPr>
          <w:fldChar w:fldCharType="separate"/>
        </w:r>
        <w:r w:rsidR="00D018FF">
          <w:rPr>
            <w:noProof/>
            <w:webHidden/>
          </w:rPr>
          <w:t>47</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48" w:history="1">
        <w:r w:rsidR="00D018FF" w:rsidRPr="00BD3B9B">
          <w:rPr>
            <w:rStyle w:val="Hyperlink"/>
            <w:noProof/>
            <w:lang w:val="en-US"/>
          </w:rPr>
          <w:t>5.</w:t>
        </w:r>
        <w:r w:rsidR="00D018FF">
          <w:rPr>
            <w:rFonts w:asciiTheme="minorHAnsi" w:eastAsiaTheme="minorEastAsia" w:hAnsiTheme="minorHAnsi" w:cstheme="minorBidi"/>
            <w:noProof/>
            <w:sz w:val="22"/>
            <w:lang w:val="en-US"/>
          </w:rPr>
          <w:tab/>
        </w:r>
        <w:r w:rsidR="00D018FF" w:rsidRPr="00BD3B9B">
          <w:rPr>
            <w:rStyle w:val="Hyperlink"/>
            <w:noProof/>
            <w:lang w:val="en-US"/>
          </w:rPr>
          <w:t>Analysis</w:t>
        </w:r>
        <w:r w:rsidR="00D018FF">
          <w:rPr>
            <w:noProof/>
            <w:webHidden/>
          </w:rPr>
          <w:tab/>
        </w:r>
        <w:r w:rsidR="00D018FF">
          <w:rPr>
            <w:noProof/>
            <w:webHidden/>
          </w:rPr>
          <w:fldChar w:fldCharType="begin"/>
        </w:r>
        <w:r w:rsidR="00D018FF">
          <w:rPr>
            <w:noProof/>
            <w:webHidden/>
          </w:rPr>
          <w:instrText xml:space="preserve"> PAGEREF _Toc428399248 \h </w:instrText>
        </w:r>
        <w:r w:rsidR="00D018FF">
          <w:rPr>
            <w:noProof/>
            <w:webHidden/>
          </w:rPr>
        </w:r>
        <w:r w:rsidR="00D018FF">
          <w:rPr>
            <w:noProof/>
            <w:webHidden/>
          </w:rPr>
          <w:fldChar w:fldCharType="separate"/>
        </w:r>
        <w:r w:rsidR="00D018FF">
          <w:rPr>
            <w:noProof/>
            <w:webHidden/>
          </w:rPr>
          <w:t>50</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49" w:history="1">
        <w:r w:rsidR="00D018FF" w:rsidRPr="00BD3B9B">
          <w:rPr>
            <w:rStyle w:val="Hyperlink"/>
            <w:noProof/>
            <w:lang w:val="en-US"/>
          </w:rPr>
          <w:t>5.1.</w:t>
        </w:r>
        <w:r w:rsidR="00D018FF">
          <w:rPr>
            <w:rFonts w:asciiTheme="minorHAnsi" w:eastAsiaTheme="minorEastAsia" w:hAnsiTheme="minorHAnsi" w:cstheme="minorBidi"/>
            <w:noProof/>
            <w:sz w:val="22"/>
            <w:lang w:val="en-US"/>
          </w:rPr>
          <w:tab/>
        </w:r>
        <w:r w:rsidR="00D018FF" w:rsidRPr="00BD3B9B">
          <w:rPr>
            <w:rStyle w:val="Hyperlink"/>
            <w:noProof/>
            <w:lang w:val="en-US"/>
          </w:rPr>
          <w:t>Stock Performance</w:t>
        </w:r>
        <w:r w:rsidR="00D018FF">
          <w:rPr>
            <w:noProof/>
            <w:webHidden/>
          </w:rPr>
          <w:tab/>
        </w:r>
        <w:r w:rsidR="00D018FF">
          <w:rPr>
            <w:noProof/>
            <w:webHidden/>
          </w:rPr>
          <w:fldChar w:fldCharType="begin"/>
        </w:r>
        <w:r w:rsidR="00D018FF">
          <w:rPr>
            <w:noProof/>
            <w:webHidden/>
          </w:rPr>
          <w:instrText xml:space="preserve"> PAGEREF _Toc428399249 \h </w:instrText>
        </w:r>
        <w:r w:rsidR="00D018FF">
          <w:rPr>
            <w:noProof/>
            <w:webHidden/>
          </w:rPr>
        </w:r>
        <w:r w:rsidR="00D018FF">
          <w:rPr>
            <w:noProof/>
            <w:webHidden/>
          </w:rPr>
          <w:fldChar w:fldCharType="separate"/>
        </w:r>
        <w:r w:rsidR="00D018FF">
          <w:rPr>
            <w:noProof/>
            <w:webHidden/>
          </w:rPr>
          <w:t>50</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50" w:history="1">
        <w:r w:rsidR="00D018FF" w:rsidRPr="00BD3B9B">
          <w:rPr>
            <w:rStyle w:val="Hyperlink"/>
            <w:noProof/>
            <w:lang w:val="en-US"/>
          </w:rPr>
          <w:t>5.2.</w:t>
        </w:r>
        <w:r w:rsidR="00D018FF">
          <w:rPr>
            <w:rFonts w:asciiTheme="minorHAnsi" w:eastAsiaTheme="minorEastAsia" w:hAnsiTheme="minorHAnsi" w:cstheme="minorBidi"/>
            <w:noProof/>
            <w:sz w:val="22"/>
            <w:lang w:val="en-US"/>
          </w:rPr>
          <w:tab/>
        </w:r>
        <w:r w:rsidR="00D018FF" w:rsidRPr="00BD3B9B">
          <w:rPr>
            <w:rStyle w:val="Hyperlink"/>
            <w:noProof/>
            <w:lang w:val="en-US"/>
          </w:rPr>
          <w:t>Operating Performance</w:t>
        </w:r>
        <w:r w:rsidR="00D018FF">
          <w:rPr>
            <w:noProof/>
            <w:webHidden/>
          </w:rPr>
          <w:tab/>
        </w:r>
        <w:r w:rsidR="00D018FF">
          <w:rPr>
            <w:noProof/>
            <w:webHidden/>
          </w:rPr>
          <w:fldChar w:fldCharType="begin"/>
        </w:r>
        <w:r w:rsidR="00D018FF">
          <w:rPr>
            <w:noProof/>
            <w:webHidden/>
          </w:rPr>
          <w:instrText xml:space="preserve"> PAGEREF _Toc428399250 \h </w:instrText>
        </w:r>
        <w:r w:rsidR="00D018FF">
          <w:rPr>
            <w:noProof/>
            <w:webHidden/>
          </w:rPr>
        </w:r>
        <w:r w:rsidR="00D018FF">
          <w:rPr>
            <w:noProof/>
            <w:webHidden/>
          </w:rPr>
          <w:fldChar w:fldCharType="separate"/>
        </w:r>
        <w:r w:rsidR="00D018FF">
          <w:rPr>
            <w:noProof/>
            <w:webHidden/>
          </w:rPr>
          <w:t>51</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51" w:history="1">
        <w:r w:rsidR="00D018FF" w:rsidRPr="00BD3B9B">
          <w:rPr>
            <w:rStyle w:val="Hyperlink"/>
            <w:noProof/>
            <w:lang w:val="en-US"/>
          </w:rPr>
          <w:t>5.3.</w:t>
        </w:r>
        <w:r w:rsidR="00D018FF">
          <w:rPr>
            <w:rFonts w:asciiTheme="minorHAnsi" w:eastAsiaTheme="minorEastAsia" w:hAnsiTheme="minorHAnsi" w:cstheme="minorBidi"/>
            <w:noProof/>
            <w:sz w:val="22"/>
            <w:lang w:val="en-US"/>
          </w:rPr>
          <w:tab/>
        </w:r>
        <w:r w:rsidR="00D018FF" w:rsidRPr="00BD3B9B">
          <w:rPr>
            <w:rStyle w:val="Hyperlink"/>
            <w:noProof/>
            <w:lang w:val="en-US"/>
          </w:rPr>
          <w:t>Correlation</w:t>
        </w:r>
        <w:r w:rsidR="00D018FF">
          <w:rPr>
            <w:noProof/>
            <w:webHidden/>
          </w:rPr>
          <w:tab/>
        </w:r>
        <w:r w:rsidR="00D018FF">
          <w:rPr>
            <w:noProof/>
            <w:webHidden/>
          </w:rPr>
          <w:fldChar w:fldCharType="begin"/>
        </w:r>
        <w:r w:rsidR="00D018FF">
          <w:rPr>
            <w:noProof/>
            <w:webHidden/>
          </w:rPr>
          <w:instrText xml:space="preserve"> PAGEREF _Toc428399251 \h </w:instrText>
        </w:r>
        <w:r w:rsidR="00D018FF">
          <w:rPr>
            <w:noProof/>
            <w:webHidden/>
          </w:rPr>
        </w:r>
        <w:r w:rsidR="00D018FF">
          <w:rPr>
            <w:noProof/>
            <w:webHidden/>
          </w:rPr>
          <w:fldChar w:fldCharType="separate"/>
        </w:r>
        <w:r w:rsidR="00D018FF">
          <w:rPr>
            <w:noProof/>
            <w:webHidden/>
          </w:rPr>
          <w:t>52</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52" w:history="1">
        <w:r w:rsidR="00D018FF" w:rsidRPr="00BD3B9B">
          <w:rPr>
            <w:rStyle w:val="Hyperlink"/>
            <w:noProof/>
            <w:lang w:val="en-US"/>
          </w:rPr>
          <w:t>5.4.</w:t>
        </w:r>
        <w:r w:rsidR="00D018FF">
          <w:rPr>
            <w:rFonts w:asciiTheme="minorHAnsi" w:eastAsiaTheme="minorEastAsia" w:hAnsiTheme="minorHAnsi" w:cstheme="minorBidi"/>
            <w:noProof/>
            <w:sz w:val="22"/>
            <w:lang w:val="en-US"/>
          </w:rPr>
          <w:tab/>
        </w:r>
        <w:r w:rsidR="00D018FF" w:rsidRPr="00BD3B9B">
          <w:rPr>
            <w:rStyle w:val="Hyperlink"/>
            <w:noProof/>
            <w:lang w:val="en-US"/>
          </w:rPr>
          <w:t>Regressions</w:t>
        </w:r>
        <w:r w:rsidR="00D018FF">
          <w:rPr>
            <w:noProof/>
            <w:webHidden/>
          </w:rPr>
          <w:tab/>
        </w:r>
        <w:r w:rsidR="00D018FF">
          <w:rPr>
            <w:noProof/>
            <w:webHidden/>
          </w:rPr>
          <w:fldChar w:fldCharType="begin"/>
        </w:r>
        <w:r w:rsidR="00D018FF">
          <w:rPr>
            <w:noProof/>
            <w:webHidden/>
          </w:rPr>
          <w:instrText xml:space="preserve"> PAGEREF _Toc428399252 \h </w:instrText>
        </w:r>
        <w:r w:rsidR="00D018FF">
          <w:rPr>
            <w:noProof/>
            <w:webHidden/>
          </w:rPr>
        </w:r>
        <w:r w:rsidR="00D018FF">
          <w:rPr>
            <w:noProof/>
            <w:webHidden/>
          </w:rPr>
          <w:fldChar w:fldCharType="separate"/>
        </w:r>
        <w:r w:rsidR="00D018FF">
          <w:rPr>
            <w:noProof/>
            <w:webHidden/>
          </w:rPr>
          <w:t>53</w:t>
        </w:r>
        <w:r w:rsidR="00D018FF">
          <w:rPr>
            <w:noProof/>
            <w:webHidden/>
          </w:rPr>
          <w:fldChar w:fldCharType="end"/>
        </w:r>
      </w:hyperlink>
    </w:p>
    <w:p w:rsidR="00D018FF" w:rsidRDefault="00E85166">
      <w:pPr>
        <w:pStyle w:val="TOC1"/>
        <w:tabs>
          <w:tab w:val="left" w:pos="440"/>
          <w:tab w:val="right" w:leader="dot" w:pos="9062"/>
        </w:tabs>
        <w:rPr>
          <w:rFonts w:asciiTheme="minorHAnsi" w:eastAsiaTheme="minorEastAsia" w:hAnsiTheme="minorHAnsi" w:cstheme="minorBidi"/>
          <w:noProof/>
          <w:sz w:val="22"/>
          <w:lang w:val="en-US"/>
        </w:rPr>
      </w:pPr>
      <w:hyperlink w:anchor="_Toc428399253" w:history="1">
        <w:r w:rsidR="00D018FF" w:rsidRPr="00BD3B9B">
          <w:rPr>
            <w:rStyle w:val="Hyperlink"/>
            <w:noProof/>
            <w:lang w:val="en-US"/>
          </w:rPr>
          <w:t>6.</w:t>
        </w:r>
        <w:r w:rsidR="00D018FF">
          <w:rPr>
            <w:rFonts w:asciiTheme="minorHAnsi" w:eastAsiaTheme="minorEastAsia" w:hAnsiTheme="minorHAnsi" w:cstheme="minorBidi"/>
            <w:noProof/>
            <w:sz w:val="22"/>
            <w:lang w:val="en-US"/>
          </w:rPr>
          <w:tab/>
        </w:r>
        <w:r w:rsidR="00D018FF" w:rsidRPr="00BD3B9B">
          <w:rPr>
            <w:rStyle w:val="Hyperlink"/>
            <w:noProof/>
            <w:lang w:val="en-US"/>
          </w:rPr>
          <w:t>Conclusion</w:t>
        </w:r>
        <w:r w:rsidR="00D018FF">
          <w:rPr>
            <w:noProof/>
            <w:webHidden/>
          </w:rPr>
          <w:tab/>
        </w:r>
        <w:r w:rsidR="00D018FF">
          <w:rPr>
            <w:noProof/>
            <w:webHidden/>
          </w:rPr>
          <w:fldChar w:fldCharType="begin"/>
        </w:r>
        <w:r w:rsidR="00D018FF">
          <w:rPr>
            <w:noProof/>
            <w:webHidden/>
          </w:rPr>
          <w:instrText xml:space="preserve"> PAGEREF _Toc428399253 \h </w:instrText>
        </w:r>
        <w:r w:rsidR="00D018FF">
          <w:rPr>
            <w:noProof/>
            <w:webHidden/>
          </w:rPr>
        </w:r>
        <w:r w:rsidR="00D018FF">
          <w:rPr>
            <w:noProof/>
            <w:webHidden/>
          </w:rPr>
          <w:fldChar w:fldCharType="separate"/>
        </w:r>
        <w:r w:rsidR="00D018FF">
          <w:rPr>
            <w:noProof/>
            <w:webHidden/>
          </w:rPr>
          <w:t>58</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54" w:history="1">
        <w:r w:rsidR="00D018FF" w:rsidRPr="00BD3B9B">
          <w:rPr>
            <w:rStyle w:val="Hyperlink"/>
            <w:noProof/>
            <w:lang w:val="en-US"/>
          </w:rPr>
          <w:t>6.1.</w:t>
        </w:r>
        <w:r w:rsidR="00D018FF">
          <w:rPr>
            <w:rFonts w:asciiTheme="minorHAnsi" w:eastAsiaTheme="minorEastAsia" w:hAnsiTheme="minorHAnsi" w:cstheme="minorBidi"/>
            <w:noProof/>
            <w:sz w:val="22"/>
            <w:lang w:val="en-US"/>
          </w:rPr>
          <w:tab/>
        </w:r>
        <w:r w:rsidR="00D018FF" w:rsidRPr="00BD3B9B">
          <w:rPr>
            <w:rStyle w:val="Hyperlink"/>
            <w:noProof/>
            <w:lang w:val="en-US"/>
          </w:rPr>
          <w:t>Conclusion</w:t>
        </w:r>
        <w:r w:rsidR="00D018FF">
          <w:rPr>
            <w:noProof/>
            <w:webHidden/>
          </w:rPr>
          <w:tab/>
        </w:r>
        <w:r w:rsidR="00D018FF">
          <w:rPr>
            <w:noProof/>
            <w:webHidden/>
          </w:rPr>
          <w:fldChar w:fldCharType="begin"/>
        </w:r>
        <w:r w:rsidR="00D018FF">
          <w:rPr>
            <w:noProof/>
            <w:webHidden/>
          </w:rPr>
          <w:instrText xml:space="preserve"> PAGEREF _Toc428399254 \h </w:instrText>
        </w:r>
        <w:r w:rsidR="00D018FF">
          <w:rPr>
            <w:noProof/>
            <w:webHidden/>
          </w:rPr>
        </w:r>
        <w:r w:rsidR="00D018FF">
          <w:rPr>
            <w:noProof/>
            <w:webHidden/>
          </w:rPr>
          <w:fldChar w:fldCharType="separate"/>
        </w:r>
        <w:r w:rsidR="00D018FF">
          <w:rPr>
            <w:noProof/>
            <w:webHidden/>
          </w:rPr>
          <w:t>58</w:t>
        </w:r>
        <w:r w:rsidR="00D018FF">
          <w:rPr>
            <w:noProof/>
            <w:webHidden/>
          </w:rPr>
          <w:fldChar w:fldCharType="end"/>
        </w:r>
      </w:hyperlink>
    </w:p>
    <w:p w:rsidR="00D018FF" w:rsidRDefault="00E85166">
      <w:pPr>
        <w:pStyle w:val="TOC2"/>
        <w:tabs>
          <w:tab w:val="left" w:pos="880"/>
          <w:tab w:val="right" w:leader="dot" w:pos="9062"/>
        </w:tabs>
        <w:rPr>
          <w:rFonts w:asciiTheme="minorHAnsi" w:eastAsiaTheme="minorEastAsia" w:hAnsiTheme="minorHAnsi" w:cstheme="minorBidi"/>
          <w:noProof/>
          <w:sz w:val="22"/>
          <w:lang w:val="en-US"/>
        </w:rPr>
      </w:pPr>
      <w:hyperlink w:anchor="_Toc428399255" w:history="1">
        <w:r w:rsidR="00D018FF" w:rsidRPr="00BD3B9B">
          <w:rPr>
            <w:rStyle w:val="Hyperlink"/>
            <w:noProof/>
            <w:lang w:val="en-US"/>
          </w:rPr>
          <w:t>6.2.</w:t>
        </w:r>
        <w:r w:rsidR="00D018FF">
          <w:rPr>
            <w:rFonts w:asciiTheme="minorHAnsi" w:eastAsiaTheme="minorEastAsia" w:hAnsiTheme="minorHAnsi" w:cstheme="minorBidi"/>
            <w:noProof/>
            <w:sz w:val="22"/>
            <w:lang w:val="en-US"/>
          </w:rPr>
          <w:tab/>
        </w:r>
        <w:r w:rsidR="00D018FF" w:rsidRPr="00BD3B9B">
          <w:rPr>
            <w:rStyle w:val="Hyperlink"/>
            <w:noProof/>
            <w:lang w:val="en-US"/>
          </w:rPr>
          <w:t>Suggestions for further research</w:t>
        </w:r>
        <w:r w:rsidR="00D018FF">
          <w:rPr>
            <w:noProof/>
            <w:webHidden/>
          </w:rPr>
          <w:tab/>
        </w:r>
        <w:r w:rsidR="00D018FF">
          <w:rPr>
            <w:noProof/>
            <w:webHidden/>
          </w:rPr>
          <w:fldChar w:fldCharType="begin"/>
        </w:r>
        <w:r w:rsidR="00D018FF">
          <w:rPr>
            <w:noProof/>
            <w:webHidden/>
          </w:rPr>
          <w:instrText xml:space="preserve"> PAGEREF _Toc428399255 \h </w:instrText>
        </w:r>
        <w:r w:rsidR="00D018FF">
          <w:rPr>
            <w:noProof/>
            <w:webHidden/>
          </w:rPr>
        </w:r>
        <w:r w:rsidR="00D018FF">
          <w:rPr>
            <w:noProof/>
            <w:webHidden/>
          </w:rPr>
          <w:fldChar w:fldCharType="separate"/>
        </w:r>
        <w:r w:rsidR="00D018FF">
          <w:rPr>
            <w:noProof/>
            <w:webHidden/>
          </w:rPr>
          <w:t>61</w:t>
        </w:r>
        <w:r w:rsidR="00D018FF">
          <w:rPr>
            <w:noProof/>
            <w:webHidden/>
          </w:rPr>
          <w:fldChar w:fldCharType="end"/>
        </w:r>
      </w:hyperlink>
    </w:p>
    <w:p w:rsidR="00D018FF" w:rsidRDefault="00E85166">
      <w:pPr>
        <w:pStyle w:val="TOC1"/>
        <w:tabs>
          <w:tab w:val="right" w:leader="dot" w:pos="9062"/>
        </w:tabs>
        <w:rPr>
          <w:rFonts w:asciiTheme="minorHAnsi" w:eastAsiaTheme="minorEastAsia" w:hAnsiTheme="minorHAnsi" w:cstheme="minorBidi"/>
          <w:noProof/>
          <w:sz w:val="22"/>
          <w:lang w:val="en-US"/>
        </w:rPr>
      </w:pPr>
      <w:hyperlink w:anchor="_Toc428399256" w:history="1">
        <w:r w:rsidR="00D018FF" w:rsidRPr="00BD3B9B">
          <w:rPr>
            <w:rStyle w:val="Hyperlink"/>
            <w:noProof/>
            <w:lang w:val="en-US"/>
          </w:rPr>
          <w:t>References</w:t>
        </w:r>
        <w:r w:rsidR="00D018FF">
          <w:rPr>
            <w:noProof/>
            <w:webHidden/>
          </w:rPr>
          <w:tab/>
        </w:r>
        <w:r w:rsidR="00D018FF">
          <w:rPr>
            <w:noProof/>
            <w:webHidden/>
          </w:rPr>
          <w:fldChar w:fldCharType="begin"/>
        </w:r>
        <w:r w:rsidR="00D018FF">
          <w:rPr>
            <w:noProof/>
            <w:webHidden/>
          </w:rPr>
          <w:instrText xml:space="preserve"> PAGEREF _Toc428399256 \h </w:instrText>
        </w:r>
        <w:r w:rsidR="00D018FF">
          <w:rPr>
            <w:noProof/>
            <w:webHidden/>
          </w:rPr>
        </w:r>
        <w:r w:rsidR="00D018FF">
          <w:rPr>
            <w:noProof/>
            <w:webHidden/>
          </w:rPr>
          <w:fldChar w:fldCharType="separate"/>
        </w:r>
        <w:r w:rsidR="00D018FF">
          <w:rPr>
            <w:noProof/>
            <w:webHidden/>
          </w:rPr>
          <w:t>63</w:t>
        </w:r>
        <w:r w:rsidR="00D018FF">
          <w:rPr>
            <w:noProof/>
            <w:webHidden/>
          </w:rPr>
          <w:fldChar w:fldCharType="end"/>
        </w:r>
      </w:hyperlink>
    </w:p>
    <w:p w:rsidR="00D018FF" w:rsidRDefault="00E85166">
      <w:pPr>
        <w:pStyle w:val="TOC1"/>
        <w:tabs>
          <w:tab w:val="right" w:leader="dot" w:pos="9062"/>
        </w:tabs>
        <w:rPr>
          <w:rFonts w:asciiTheme="minorHAnsi" w:eastAsiaTheme="minorEastAsia" w:hAnsiTheme="minorHAnsi" w:cstheme="minorBidi"/>
          <w:noProof/>
          <w:sz w:val="22"/>
          <w:lang w:val="en-US"/>
        </w:rPr>
      </w:pPr>
      <w:hyperlink w:anchor="_Toc428399257" w:history="1">
        <w:r w:rsidR="00D018FF" w:rsidRPr="00BD3B9B">
          <w:rPr>
            <w:rStyle w:val="Hyperlink"/>
            <w:noProof/>
            <w:lang w:val="en-US"/>
          </w:rPr>
          <w:t>Appendices</w:t>
        </w:r>
        <w:r w:rsidR="00D018FF">
          <w:rPr>
            <w:noProof/>
            <w:webHidden/>
          </w:rPr>
          <w:tab/>
        </w:r>
        <w:r w:rsidR="00D018FF">
          <w:rPr>
            <w:noProof/>
            <w:webHidden/>
          </w:rPr>
          <w:fldChar w:fldCharType="begin"/>
        </w:r>
        <w:r w:rsidR="00D018FF">
          <w:rPr>
            <w:noProof/>
            <w:webHidden/>
          </w:rPr>
          <w:instrText xml:space="preserve"> PAGEREF _Toc428399257 \h </w:instrText>
        </w:r>
        <w:r w:rsidR="00D018FF">
          <w:rPr>
            <w:noProof/>
            <w:webHidden/>
          </w:rPr>
        </w:r>
        <w:r w:rsidR="00D018FF">
          <w:rPr>
            <w:noProof/>
            <w:webHidden/>
          </w:rPr>
          <w:fldChar w:fldCharType="separate"/>
        </w:r>
        <w:r w:rsidR="00D018FF">
          <w:rPr>
            <w:noProof/>
            <w:webHidden/>
          </w:rPr>
          <w:t>68</w:t>
        </w:r>
        <w:r w:rsidR="00D018FF">
          <w:rPr>
            <w:noProof/>
            <w:webHidden/>
          </w:rPr>
          <w:fldChar w:fldCharType="end"/>
        </w:r>
      </w:hyperlink>
    </w:p>
    <w:p w:rsidR="00D018FF" w:rsidRDefault="00E85166">
      <w:pPr>
        <w:pStyle w:val="TOC2"/>
        <w:tabs>
          <w:tab w:val="right" w:leader="dot" w:pos="9062"/>
        </w:tabs>
        <w:rPr>
          <w:rFonts w:asciiTheme="minorHAnsi" w:eastAsiaTheme="minorEastAsia" w:hAnsiTheme="minorHAnsi" w:cstheme="minorBidi"/>
          <w:noProof/>
          <w:sz w:val="22"/>
          <w:lang w:val="en-US"/>
        </w:rPr>
      </w:pPr>
      <w:hyperlink w:anchor="_Toc428399258" w:history="1">
        <w:r w:rsidR="00D018FF" w:rsidRPr="00BD3B9B">
          <w:rPr>
            <w:rStyle w:val="Hyperlink"/>
            <w:noProof/>
            <w:lang w:val="en-US"/>
          </w:rPr>
          <w:t>Appendix 1 - Tables</w:t>
        </w:r>
        <w:r w:rsidR="00D018FF">
          <w:rPr>
            <w:noProof/>
            <w:webHidden/>
          </w:rPr>
          <w:tab/>
        </w:r>
        <w:r w:rsidR="00D018FF">
          <w:rPr>
            <w:noProof/>
            <w:webHidden/>
          </w:rPr>
          <w:fldChar w:fldCharType="begin"/>
        </w:r>
        <w:r w:rsidR="00D018FF">
          <w:rPr>
            <w:noProof/>
            <w:webHidden/>
          </w:rPr>
          <w:instrText xml:space="preserve"> PAGEREF _Toc428399258 \h </w:instrText>
        </w:r>
        <w:r w:rsidR="00D018FF">
          <w:rPr>
            <w:noProof/>
            <w:webHidden/>
          </w:rPr>
        </w:r>
        <w:r w:rsidR="00D018FF">
          <w:rPr>
            <w:noProof/>
            <w:webHidden/>
          </w:rPr>
          <w:fldChar w:fldCharType="separate"/>
        </w:r>
        <w:r w:rsidR="00D018FF">
          <w:rPr>
            <w:noProof/>
            <w:webHidden/>
          </w:rPr>
          <w:t>68</w:t>
        </w:r>
        <w:r w:rsidR="00D018FF">
          <w:rPr>
            <w:noProof/>
            <w:webHidden/>
          </w:rPr>
          <w:fldChar w:fldCharType="end"/>
        </w:r>
      </w:hyperlink>
    </w:p>
    <w:p w:rsidR="00D018FF" w:rsidRDefault="00E85166">
      <w:pPr>
        <w:pStyle w:val="TOC2"/>
        <w:tabs>
          <w:tab w:val="right" w:leader="dot" w:pos="9062"/>
        </w:tabs>
        <w:rPr>
          <w:rFonts w:asciiTheme="minorHAnsi" w:eastAsiaTheme="minorEastAsia" w:hAnsiTheme="minorHAnsi" w:cstheme="minorBidi"/>
          <w:noProof/>
          <w:sz w:val="22"/>
          <w:lang w:val="en-US"/>
        </w:rPr>
      </w:pPr>
      <w:hyperlink w:anchor="_Toc428399259" w:history="1">
        <w:r w:rsidR="00D018FF" w:rsidRPr="00BD3B9B">
          <w:rPr>
            <w:rStyle w:val="Hyperlink"/>
            <w:noProof/>
          </w:rPr>
          <w:t>Appendix 2 - Article</w:t>
        </w:r>
        <w:r w:rsidR="00D018FF">
          <w:rPr>
            <w:noProof/>
            <w:webHidden/>
          </w:rPr>
          <w:tab/>
        </w:r>
        <w:r w:rsidR="00D018FF">
          <w:rPr>
            <w:noProof/>
            <w:webHidden/>
          </w:rPr>
          <w:fldChar w:fldCharType="begin"/>
        </w:r>
        <w:r w:rsidR="00D018FF">
          <w:rPr>
            <w:noProof/>
            <w:webHidden/>
          </w:rPr>
          <w:instrText xml:space="preserve"> PAGEREF _Toc428399259 \h </w:instrText>
        </w:r>
        <w:r w:rsidR="00D018FF">
          <w:rPr>
            <w:noProof/>
            <w:webHidden/>
          </w:rPr>
        </w:r>
        <w:r w:rsidR="00D018FF">
          <w:rPr>
            <w:noProof/>
            <w:webHidden/>
          </w:rPr>
          <w:fldChar w:fldCharType="separate"/>
        </w:r>
        <w:r w:rsidR="00D018FF">
          <w:rPr>
            <w:noProof/>
            <w:webHidden/>
          </w:rPr>
          <w:t>101</w:t>
        </w:r>
        <w:r w:rsidR="00D018FF">
          <w:rPr>
            <w:noProof/>
            <w:webHidden/>
          </w:rPr>
          <w:fldChar w:fldCharType="end"/>
        </w:r>
      </w:hyperlink>
    </w:p>
    <w:p w:rsidR="00D018FF" w:rsidRDefault="00E85166">
      <w:pPr>
        <w:pStyle w:val="TOC2"/>
        <w:tabs>
          <w:tab w:val="right" w:leader="dot" w:pos="9062"/>
        </w:tabs>
        <w:rPr>
          <w:rFonts w:asciiTheme="minorHAnsi" w:eastAsiaTheme="minorEastAsia" w:hAnsiTheme="minorHAnsi" w:cstheme="minorBidi"/>
          <w:noProof/>
          <w:sz w:val="22"/>
          <w:lang w:val="en-US"/>
        </w:rPr>
      </w:pPr>
      <w:hyperlink w:anchor="_Toc428399260" w:history="1">
        <w:r w:rsidR="00D018FF" w:rsidRPr="00BD3B9B">
          <w:rPr>
            <w:rStyle w:val="Hyperlink"/>
            <w:noProof/>
            <w:lang w:val="en-US"/>
          </w:rPr>
          <w:t>Appendix 3 - List of Abbreviations</w:t>
        </w:r>
        <w:r w:rsidR="00D018FF">
          <w:rPr>
            <w:noProof/>
            <w:webHidden/>
          </w:rPr>
          <w:tab/>
        </w:r>
        <w:r w:rsidR="00D018FF">
          <w:rPr>
            <w:noProof/>
            <w:webHidden/>
          </w:rPr>
          <w:fldChar w:fldCharType="begin"/>
        </w:r>
        <w:r w:rsidR="00D018FF">
          <w:rPr>
            <w:noProof/>
            <w:webHidden/>
          </w:rPr>
          <w:instrText xml:space="preserve"> PAGEREF _Toc428399260 \h </w:instrText>
        </w:r>
        <w:r w:rsidR="00D018FF">
          <w:rPr>
            <w:noProof/>
            <w:webHidden/>
          </w:rPr>
        </w:r>
        <w:r w:rsidR="00D018FF">
          <w:rPr>
            <w:noProof/>
            <w:webHidden/>
          </w:rPr>
          <w:fldChar w:fldCharType="separate"/>
        </w:r>
        <w:r w:rsidR="00D018FF">
          <w:rPr>
            <w:noProof/>
            <w:webHidden/>
          </w:rPr>
          <w:t>102</w:t>
        </w:r>
        <w:r w:rsidR="00D018FF">
          <w:rPr>
            <w:noProof/>
            <w:webHidden/>
          </w:rPr>
          <w:fldChar w:fldCharType="end"/>
        </w:r>
      </w:hyperlink>
    </w:p>
    <w:p w:rsidR="00F831DE" w:rsidRPr="00053C90" w:rsidRDefault="001971E0" w:rsidP="007A7F16">
      <w:pPr>
        <w:spacing w:line="360" w:lineRule="auto"/>
        <w:rPr>
          <w:lang w:val="en-US"/>
        </w:rPr>
      </w:pPr>
      <w:r w:rsidRPr="00053C90">
        <w:rPr>
          <w:b/>
          <w:bCs/>
          <w:noProof/>
          <w:lang w:val="en-US"/>
        </w:rPr>
        <w:fldChar w:fldCharType="end"/>
      </w:r>
    </w:p>
    <w:p w:rsidR="001B062E" w:rsidRPr="00053C90" w:rsidRDefault="001B062E" w:rsidP="001B062E">
      <w:pPr>
        <w:pStyle w:val="Heading1"/>
        <w:numPr>
          <w:ilvl w:val="0"/>
          <w:numId w:val="2"/>
        </w:numPr>
        <w:spacing w:line="360" w:lineRule="auto"/>
        <w:rPr>
          <w:rFonts w:ascii="Times New Roman" w:hAnsi="Times New Roman"/>
          <w:lang w:val="en-US"/>
        </w:rPr>
      </w:pPr>
      <w:bookmarkStart w:id="3" w:name="_Toc428399203"/>
      <w:r w:rsidRPr="00053C90">
        <w:rPr>
          <w:rFonts w:ascii="Times New Roman" w:hAnsi="Times New Roman"/>
          <w:lang w:val="en-US"/>
        </w:rPr>
        <w:t>Introduction</w:t>
      </w:r>
      <w:bookmarkEnd w:id="3"/>
    </w:p>
    <w:p w:rsidR="001B062E" w:rsidRPr="00053C90" w:rsidRDefault="001B062E" w:rsidP="00F0273C">
      <w:pPr>
        <w:pStyle w:val="Heading2"/>
        <w:numPr>
          <w:ilvl w:val="1"/>
          <w:numId w:val="2"/>
        </w:numPr>
        <w:rPr>
          <w:lang w:val="en-US"/>
        </w:rPr>
      </w:pPr>
      <w:bookmarkStart w:id="4" w:name="_Toc428399204"/>
      <w:r w:rsidRPr="00053C90">
        <w:rPr>
          <w:lang w:val="en-US"/>
        </w:rPr>
        <w:t>Background</w:t>
      </w:r>
      <w:bookmarkEnd w:id="4"/>
    </w:p>
    <w:p w:rsidR="001B062E" w:rsidRPr="00053C90" w:rsidRDefault="001B062E" w:rsidP="001B062E">
      <w:pPr>
        <w:spacing w:after="0" w:line="360" w:lineRule="auto"/>
        <w:rPr>
          <w:rFonts w:eastAsia="Times New Roman"/>
          <w:szCs w:val="24"/>
          <w:lang w:val="en-US" w:eastAsia="sv-SE"/>
        </w:rPr>
      </w:pPr>
      <w:r w:rsidRPr="00053C90">
        <w:rPr>
          <w:rFonts w:eastAsia="Times New Roman"/>
          <w:color w:val="000000"/>
          <w:szCs w:val="24"/>
          <w:lang w:val="en-US" w:eastAsia="sv-SE"/>
        </w:rPr>
        <w:t xml:space="preserve">When reading articles and statements about mergers and acquisitions it is hard not be struck by the optimism of the acquiring CEO. An example of this is when SSAB, a Swedish steel company, announced the acquisition of the Finnish company Rautarukki, in January 2014. At the time of the acquisition the CEO of SSAB gave his comments (Svenska Dagbladet, 2014-01-14): </w:t>
      </w:r>
    </w:p>
    <w:p w:rsidR="001B062E" w:rsidRPr="00053C90" w:rsidRDefault="001B062E" w:rsidP="001B062E">
      <w:pPr>
        <w:spacing w:after="0" w:line="360" w:lineRule="auto"/>
        <w:rPr>
          <w:rFonts w:eastAsia="Times New Roman"/>
          <w:szCs w:val="24"/>
          <w:lang w:val="en-US" w:eastAsia="sv-SE"/>
        </w:rPr>
      </w:pPr>
    </w:p>
    <w:p w:rsidR="001B062E" w:rsidRPr="00053C90" w:rsidRDefault="001B062E" w:rsidP="001B062E">
      <w:pPr>
        <w:spacing w:after="0" w:line="360" w:lineRule="auto"/>
        <w:rPr>
          <w:rFonts w:eastAsia="Times New Roman"/>
          <w:szCs w:val="24"/>
          <w:lang w:val="en-US" w:eastAsia="sv-SE"/>
        </w:rPr>
      </w:pPr>
      <w:r w:rsidRPr="00053C90">
        <w:rPr>
          <w:rFonts w:eastAsia="Times New Roman"/>
          <w:color w:val="000000"/>
          <w:szCs w:val="24"/>
          <w:shd w:val="clear" w:color="auto" w:fill="FEFEFE"/>
          <w:lang w:val="en-US" w:eastAsia="sv-SE"/>
        </w:rPr>
        <w:t xml:space="preserve">Martin Lindqvist, President and CEO of SSAB, said: </w:t>
      </w:r>
    </w:p>
    <w:p w:rsidR="001B062E" w:rsidRPr="00053C90" w:rsidRDefault="001B062E" w:rsidP="001B062E">
      <w:pPr>
        <w:spacing w:after="0" w:line="360" w:lineRule="auto"/>
        <w:rPr>
          <w:rFonts w:eastAsia="Times New Roman"/>
          <w:szCs w:val="24"/>
          <w:lang w:val="en-US" w:eastAsia="sv-SE"/>
        </w:rPr>
      </w:pPr>
      <w:r w:rsidRPr="00053C90">
        <w:rPr>
          <w:rFonts w:eastAsia="Times New Roman"/>
          <w:i/>
          <w:color w:val="000000"/>
          <w:szCs w:val="24"/>
          <w:shd w:val="clear" w:color="auto" w:fill="FEFEFE"/>
          <w:lang w:val="en-US" w:eastAsia="sv-SE"/>
        </w:rPr>
        <w:t>"The proposed combination of SSAB and Rautaruukki is based on clear industrial logic. The identified synergies will significantly improve the efficiency and industrial flexibility of the combined company. This combination will enable us to do more for our customers, and internally be more flexible in adapting supply to market demand in all periods of the steel business cycle."</w:t>
      </w:r>
      <w:r w:rsidRPr="00053C90">
        <w:rPr>
          <w:rFonts w:eastAsia="Times New Roman"/>
          <w:color w:val="000000"/>
          <w:szCs w:val="24"/>
          <w:shd w:val="clear" w:color="auto" w:fill="FEFEFE"/>
          <w:lang w:val="en-US" w:eastAsia="sv-SE"/>
        </w:rPr>
        <w:t xml:space="preserve"> – (Globenewswire, 2014)</w:t>
      </w:r>
    </w:p>
    <w:p w:rsidR="001B062E" w:rsidRPr="00053C90" w:rsidRDefault="001B062E" w:rsidP="001B062E">
      <w:pPr>
        <w:spacing w:line="360" w:lineRule="auto"/>
        <w:rPr>
          <w:rFonts w:eastAsia="Times New Roman"/>
          <w:color w:val="000000"/>
          <w:szCs w:val="24"/>
          <w:shd w:val="clear" w:color="auto" w:fill="FEFEFE"/>
          <w:lang w:val="en-US" w:eastAsia="sv-SE"/>
        </w:rPr>
      </w:pPr>
      <w:r w:rsidRPr="00053C90">
        <w:rPr>
          <w:rFonts w:eastAsia="Times New Roman"/>
          <w:szCs w:val="24"/>
          <w:lang w:val="en-US" w:eastAsia="sv-SE"/>
        </w:rPr>
        <w:br/>
      </w:r>
      <w:r w:rsidRPr="00053C90">
        <w:rPr>
          <w:rFonts w:eastAsia="Times New Roman"/>
          <w:color w:val="000000"/>
          <w:szCs w:val="24"/>
          <w:shd w:val="clear" w:color="auto" w:fill="FEFEFE"/>
          <w:lang w:val="en-US" w:eastAsia="sv-SE"/>
        </w:rPr>
        <w:t>Approximately 17 months has passed since these announcements. Although it is hard to fully evaluate the effects of the merger a few indications can be seen. The SSAB stock has underperformed in comparison to the market. The decline is not uncommon, both Loughran &amp; Vijh (1997) and Rau &amp; Vermaelen (1998) find negative long term abnormal returns in their studies. But what about the synergy effects, has the merger lead to enhanced operating performance, or is the stock price the only tool to use when evaluating M&amp;A?</w:t>
      </w:r>
    </w:p>
    <w:p w:rsidR="001B062E" w:rsidRPr="00053C90" w:rsidRDefault="001B062E" w:rsidP="00F0273C">
      <w:pPr>
        <w:pStyle w:val="Heading2"/>
        <w:numPr>
          <w:ilvl w:val="1"/>
          <w:numId w:val="2"/>
        </w:numPr>
        <w:rPr>
          <w:lang w:val="en-US"/>
        </w:rPr>
      </w:pPr>
      <w:bookmarkStart w:id="5" w:name="_Toc428399205"/>
      <w:r w:rsidRPr="00053C90">
        <w:rPr>
          <w:lang w:val="en-US"/>
        </w:rPr>
        <w:t>Problem discussion</w:t>
      </w:r>
      <w:bookmarkEnd w:id="5"/>
    </w:p>
    <w:p w:rsidR="001B062E" w:rsidRPr="00053C90" w:rsidRDefault="001B062E" w:rsidP="001B062E">
      <w:pPr>
        <w:spacing w:line="360" w:lineRule="auto"/>
        <w:rPr>
          <w:szCs w:val="24"/>
          <w:lang w:val="en-US"/>
        </w:rPr>
      </w:pPr>
      <w:r w:rsidRPr="00053C90">
        <w:rPr>
          <w:szCs w:val="24"/>
          <w:lang w:val="en-US"/>
        </w:rPr>
        <w:t xml:space="preserve">There is an impressive body of research within the Mergers and Acquisitions area. Researchers have looked at this topic from many different perspectives, two of the most common being from either a strategic or a financial perspective. Research conducted from a financial point of view tests several different aspects, common examples include; announcement effects, long term performance effects, if the method of payment, geographical area or type of acquisition affects the performance. The results are not unanimous, neither in terms of results or the appropriate methodology to measure these results. </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053C90"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w:t>
      </w:r>
      <w:r w:rsidR="001B062E" w:rsidRPr="00053C90">
        <w:rPr>
          <w:rFonts w:eastAsia="Times New Roman"/>
          <w:color w:val="000000"/>
          <w:spacing w:val="-2"/>
          <w:sz w:val="126"/>
          <w:szCs w:val="126"/>
          <w:lang w:val="en-US"/>
        </w:rPr>
        <w:t xml:space="preserv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Since the last meta-analytic review of merger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acquisition</w:t>
      </w:r>
    </w:p>
    <w:p w:rsidR="001B062E" w:rsidRPr="00053C90" w:rsidRDefault="001B062E" w:rsidP="001B062E">
      <w:pPr>
        <w:shd w:val="clear" w:color="auto" w:fill="FFFFFF"/>
        <w:spacing w:after="0" w:line="0" w:lineRule="auto"/>
        <w:rPr>
          <w:rFonts w:eastAsia="Times New Roman"/>
          <w:color w:val="000000"/>
          <w:sz w:val="78"/>
          <w:szCs w:val="78"/>
          <w:lang w:val="en-US"/>
        </w:rPr>
      </w:pPr>
      <w:r w:rsidRPr="00053C90">
        <w:rPr>
          <w:rFonts w:eastAsia="Times New Roman"/>
          <w:color w:val="000000"/>
          <w:sz w:val="78"/>
          <w:szCs w:val="78"/>
          <w:lang w:val="en-US"/>
        </w:rPr>
        <w:t>1</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(M&amp;A) performance (Datta,</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Narayanan, and Pinches, 1992), trillions of dol-</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lars have been spent in the acquisition of tens</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of thousands of firms (Gupta and Gerchak, 2002)</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and dozens of studies examining post-acquisition</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performance have been published. Unfortunately,</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research does not uniformly support managers’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apparent enthusiasm for the practice, with the</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impact of acquisitions on acquiring firm per-</w:t>
      </w:r>
    </w:p>
    <w:p w:rsidR="001B062E" w:rsidRPr="00053C90" w:rsidRDefault="001B062E" w:rsidP="001B062E">
      <w:pPr>
        <w:shd w:val="clear" w:color="auto" w:fill="FFFFFF"/>
        <w:spacing w:after="0" w:line="0" w:lineRule="auto"/>
        <w:rPr>
          <w:rFonts w:eastAsia="Times New Roman"/>
          <w:color w:val="000000"/>
          <w:spacing w:val="-1"/>
          <w:sz w:val="126"/>
          <w:szCs w:val="126"/>
          <w:lang w:val="en-US"/>
        </w:rPr>
      </w:pPr>
      <w:r w:rsidRPr="00053C90">
        <w:rPr>
          <w:rFonts w:eastAsia="Times New Roman"/>
          <w:color w:val="000000"/>
          <w:spacing w:val="-1"/>
          <w:sz w:val="126"/>
          <w:szCs w:val="126"/>
          <w:lang w:val="en-US"/>
        </w:rPr>
        <w:t>formance remaining ‘inconclusive’ (e.g., Haspes-</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lagh and Jemison, 1991; Roll, 1988; Sirower,</w:t>
      </w:r>
    </w:p>
    <w:p w:rsidR="001B062E" w:rsidRPr="00053C90" w:rsidRDefault="001B062E" w:rsidP="001B062E">
      <w:pPr>
        <w:shd w:val="clear" w:color="auto" w:fill="FFFFFF"/>
        <w:spacing w:after="0" w:line="0" w:lineRule="auto"/>
        <w:rPr>
          <w:rFonts w:eastAsia="Times New Roman"/>
          <w:color w:val="000000"/>
          <w:spacing w:val="-2"/>
          <w:sz w:val="126"/>
          <w:szCs w:val="126"/>
          <w:lang w:val="en-US"/>
        </w:rPr>
      </w:pPr>
      <w:r w:rsidRPr="00053C90">
        <w:rPr>
          <w:rFonts w:eastAsia="Times New Roman"/>
          <w:color w:val="000000"/>
          <w:spacing w:val="-2"/>
          <w:sz w:val="126"/>
          <w:szCs w:val="126"/>
          <w:lang w:val="en-US"/>
        </w:rPr>
        <w:t>1997). Further, existing empirical resea</w:t>
      </w:r>
    </w:p>
    <w:p w:rsidR="001B062E" w:rsidRPr="00053C90" w:rsidRDefault="001B062E" w:rsidP="001B062E">
      <w:pPr>
        <w:spacing w:line="360" w:lineRule="auto"/>
        <w:rPr>
          <w:szCs w:val="24"/>
          <w:lang w:val="en-US"/>
        </w:rPr>
      </w:pPr>
      <w:r w:rsidRPr="00053C90">
        <w:rPr>
          <w:szCs w:val="24"/>
          <w:lang w:val="en-US"/>
        </w:rPr>
        <w:t>However, there are some consensus in this area, Mandelker (1974), Dodd (1980) and Asquith (1981) all find a positive abnormal returns following a merger announcements for the targets and no significant returns for the acquirer. Their results concerning the target’s abnormal returns are supported by</w:t>
      </w:r>
      <w:r w:rsidR="00B57F3C" w:rsidRPr="00053C90">
        <w:rPr>
          <w:szCs w:val="24"/>
          <w:lang w:val="en-US"/>
        </w:rPr>
        <w:t xml:space="preserve"> King et al (2004) who conduct</w:t>
      </w:r>
      <w:r w:rsidRPr="00053C90">
        <w:rPr>
          <w:szCs w:val="24"/>
          <w:lang w:val="en-US"/>
        </w:rPr>
        <w:t xml:space="preserve"> a meta-analysis</w:t>
      </w:r>
      <w:r w:rsidR="00B57F3C" w:rsidRPr="00053C90">
        <w:rPr>
          <w:szCs w:val="24"/>
          <w:lang w:val="en-US"/>
        </w:rPr>
        <w:t xml:space="preserve"> on a sample consisting of 93 studies. A meta-analysis</w:t>
      </w:r>
      <w:r w:rsidRPr="00053C90">
        <w:rPr>
          <w:szCs w:val="24"/>
          <w:lang w:val="en-US"/>
        </w:rPr>
        <w:t xml:space="preserve"> is a technique that summarizes and draws conclusions based on other studies within the subject area. But contrary to Mandelker (1974), Dodd (1980) and Asquith (1981)</w:t>
      </w:r>
      <w:r w:rsidR="00B57F3C" w:rsidRPr="00053C90">
        <w:rPr>
          <w:szCs w:val="24"/>
          <w:lang w:val="en-US"/>
        </w:rPr>
        <w:t>, King et al (2004) also find</w:t>
      </w:r>
      <w:r w:rsidRPr="00053C90">
        <w:rPr>
          <w:szCs w:val="24"/>
          <w:lang w:val="en-US"/>
        </w:rPr>
        <w:t xml:space="preserve"> a small positive effect for the acquirer in the short term.</w:t>
      </w:r>
    </w:p>
    <w:p w:rsidR="001B062E" w:rsidRPr="00053C90" w:rsidRDefault="001B062E" w:rsidP="001B062E">
      <w:pPr>
        <w:spacing w:line="360" w:lineRule="auto"/>
        <w:rPr>
          <w:szCs w:val="24"/>
          <w:lang w:val="en-US"/>
        </w:rPr>
      </w:pPr>
      <w:r w:rsidRPr="00053C90">
        <w:rPr>
          <w:szCs w:val="24"/>
          <w:lang w:val="en-US"/>
        </w:rPr>
        <w:t>If the scope is changed to a longer perspective, the findings are more div</w:t>
      </w:r>
      <w:r w:rsidR="00B57F3C" w:rsidRPr="00053C90">
        <w:rPr>
          <w:szCs w:val="24"/>
          <w:lang w:val="en-US"/>
        </w:rPr>
        <w:t>erse. Agrawal et al (1992) find</w:t>
      </w:r>
      <w:r w:rsidRPr="00053C90">
        <w:rPr>
          <w:szCs w:val="24"/>
          <w:lang w:val="en-US"/>
        </w:rPr>
        <w:t xml:space="preserve"> that the returns of mergers between 1955 and 1987 in the U.S earned significant negative returns after five years. These results are supported by Loughran &amp; Vijh (1997) and Rau &amp; Vermaelen (1998</w:t>
      </w:r>
      <w:r w:rsidR="00B57F3C" w:rsidRPr="00053C90">
        <w:rPr>
          <w:szCs w:val="24"/>
          <w:lang w:val="en-US"/>
        </w:rPr>
        <w:t>) who also find</w:t>
      </w:r>
      <w:r w:rsidRPr="00053C90">
        <w:rPr>
          <w:szCs w:val="24"/>
          <w:lang w:val="en-US"/>
        </w:rPr>
        <w:t xml:space="preserve"> long term negative returns following mergers</w:t>
      </w:r>
      <w:r w:rsidR="00B57F3C" w:rsidRPr="00053C90">
        <w:rPr>
          <w:szCs w:val="24"/>
          <w:lang w:val="en-US"/>
        </w:rPr>
        <w:t>. Dutta &amp; Jog (2009) also look</w:t>
      </w:r>
      <w:r w:rsidRPr="00053C90">
        <w:rPr>
          <w:szCs w:val="24"/>
          <w:lang w:val="en-US"/>
        </w:rPr>
        <w:t xml:space="preserve"> at long term</w:t>
      </w:r>
      <w:r w:rsidR="00B57F3C" w:rsidRPr="00053C90">
        <w:rPr>
          <w:szCs w:val="24"/>
          <w:lang w:val="en-US"/>
        </w:rPr>
        <w:t xml:space="preserve"> stock performance, but examine</w:t>
      </w:r>
      <w:r w:rsidRPr="00053C90">
        <w:rPr>
          <w:szCs w:val="24"/>
          <w:lang w:val="en-US"/>
        </w:rPr>
        <w:t xml:space="preserve"> mergers in the Canadian market instead of</w:t>
      </w:r>
      <w:r w:rsidR="00B57F3C" w:rsidRPr="00053C90">
        <w:rPr>
          <w:szCs w:val="24"/>
          <w:lang w:val="en-US"/>
        </w:rPr>
        <w:t xml:space="preserve"> the more commonly used U.S.</w:t>
      </w:r>
      <w:r w:rsidRPr="00053C90">
        <w:rPr>
          <w:szCs w:val="24"/>
          <w:lang w:val="en-US"/>
        </w:rPr>
        <w:t xml:space="preserve"> market. Contrary to many U</w:t>
      </w:r>
      <w:r w:rsidR="00B57F3C" w:rsidRPr="00053C90">
        <w:rPr>
          <w:szCs w:val="24"/>
          <w:lang w:val="en-US"/>
        </w:rPr>
        <w:t>.</w:t>
      </w:r>
      <w:r w:rsidRPr="00053C90">
        <w:rPr>
          <w:szCs w:val="24"/>
          <w:lang w:val="en-US"/>
        </w:rPr>
        <w:t>S</w:t>
      </w:r>
      <w:r w:rsidR="00B57F3C" w:rsidRPr="00053C90">
        <w:rPr>
          <w:szCs w:val="24"/>
          <w:lang w:val="en-US"/>
        </w:rPr>
        <w:t>. studies, Dutta &amp; Jog (2009) find</w:t>
      </w:r>
      <w:r w:rsidRPr="00053C90">
        <w:rPr>
          <w:szCs w:val="24"/>
          <w:lang w:val="en-US"/>
        </w:rPr>
        <w:t xml:space="preserve"> no significant negative abnormal returns. The researchers highlight regulatory differences when conducting M&amp;A</w:t>
      </w:r>
      <w:r w:rsidR="005E0828">
        <w:rPr>
          <w:szCs w:val="24"/>
          <w:lang w:val="en-US"/>
        </w:rPr>
        <w:t>:</w:t>
      </w:r>
      <w:r w:rsidRPr="00053C90">
        <w:rPr>
          <w:szCs w:val="24"/>
          <w:lang w:val="en-US"/>
        </w:rPr>
        <w:t>s between the countries as a possible reason for these results. Another reason for differences in results can be that different model</w:t>
      </w:r>
      <w:r w:rsidR="00B57F3C" w:rsidRPr="00053C90">
        <w:rPr>
          <w:szCs w:val="24"/>
          <w:lang w:val="en-US"/>
        </w:rPr>
        <w:t>s are</w:t>
      </w:r>
      <w:r w:rsidRPr="00053C90">
        <w:rPr>
          <w:szCs w:val="24"/>
          <w:lang w:val="en-US"/>
        </w:rPr>
        <w:t xml:space="preserve"> applied in different studies. </w:t>
      </w:r>
    </w:p>
    <w:p w:rsidR="001B062E" w:rsidRPr="00053C90" w:rsidRDefault="001B062E" w:rsidP="001B062E">
      <w:pPr>
        <w:spacing w:line="360" w:lineRule="auto"/>
        <w:rPr>
          <w:szCs w:val="24"/>
          <w:lang w:val="en-US"/>
        </w:rPr>
      </w:pPr>
      <w:r w:rsidRPr="00053C90">
        <w:rPr>
          <w:szCs w:val="24"/>
          <w:lang w:val="en-US"/>
        </w:rPr>
        <w:t xml:space="preserve">Measuring the success of M&amp;A is in the most cases done by evaluating the stock performance. But other approaches have been made, for example it can be done using a qualitative methodology or it can be done using accounting measures. </w:t>
      </w:r>
      <w:r w:rsidR="005E0828" w:rsidRPr="00053C90">
        <w:rPr>
          <w:szCs w:val="24"/>
          <w:lang w:val="en-US"/>
        </w:rPr>
        <w:t>Examples of studies using the latter measurement are</w:t>
      </w:r>
      <w:r w:rsidR="00B57F3C" w:rsidRPr="00053C90">
        <w:rPr>
          <w:szCs w:val="24"/>
          <w:lang w:val="en-US"/>
        </w:rPr>
        <w:t xml:space="preserve"> Healy et al</w:t>
      </w:r>
      <w:r w:rsidRPr="00053C90">
        <w:rPr>
          <w:szCs w:val="24"/>
          <w:lang w:val="en-US"/>
        </w:rPr>
        <w:t xml:space="preserve"> (1992)</w:t>
      </w:r>
      <w:r w:rsidRPr="00053C90">
        <w:rPr>
          <w:rStyle w:val="FootnoteReference"/>
          <w:szCs w:val="24"/>
          <w:lang w:val="en-US"/>
        </w:rPr>
        <w:t xml:space="preserve"> </w:t>
      </w:r>
      <w:r w:rsidRPr="00053C90">
        <w:rPr>
          <w:szCs w:val="24"/>
          <w:lang w:val="en-US"/>
        </w:rPr>
        <w:t>and Ramaswamy &amp; Waegelein (2003). The accounting measure these studies focused on were operating cash flows and market v</w:t>
      </w:r>
      <w:r w:rsidR="00B57F3C" w:rsidRPr="00053C90">
        <w:rPr>
          <w:szCs w:val="24"/>
          <w:lang w:val="en-US"/>
        </w:rPr>
        <w:t>alue of assets. Both studies find</w:t>
      </w:r>
      <w:r w:rsidRPr="00053C90">
        <w:rPr>
          <w:szCs w:val="24"/>
          <w:lang w:val="en-US"/>
        </w:rPr>
        <w:t xml:space="preserve"> a significant positive effect of the performance on a long t</w:t>
      </w:r>
      <w:r w:rsidR="00B57F3C" w:rsidRPr="00053C90">
        <w:rPr>
          <w:szCs w:val="24"/>
          <w:lang w:val="en-US"/>
        </w:rPr>
        <w:t>erm. Ghosh (2001), who also use accounting measures does not find</w:t>
      </w:r>
      <w:r w:rsidRPr="00053C90">
        <w:rPr>
          <w:szCs w:val="24"/>
          <w:lang w:val="en-US"/>
        </w:rPr>
        <w:t xml:space="preserve"> any positive abnormal returns after a </w:t>
      </w:r>
      <w:r w:rsidR="00B57F3C" w:rsidRPr="00053C90">
        <w:rPr>
          <w:szCs w:val="24"/>
          <w:lang w:val="en-US"/>
        </w:rPr>
        <w:t>merger, which contradicts Healy</w:t>
      </w:r>
      <w:r w:rsidR="00910076" w:rsidRPr="00053C90">
        <w:rPr>
          <w:szCs w:val="24"/>
          <w:lang w:val="en-US"/>
        </w:rPr>
        <w:t xml:space="preserve"> et al’s </w:t>
      </w:r>
      <w:r w:rsidRPr="00053C90">
        <w:rPr>
          <w:szCs w:val="24"/>
          <w:lang w:val="en-US"/>
        </w:rPr>
        <w:t>(1992) findings. The reason can be due to different methodologies between the studies.</w:t>
      </w:r>
    </w:p>
    <w:p w:rsidR="001B062E" w:rsidRPr="00053C90" w:rsidRDefault="001B062E" w:rsidP="001B062E">
      <w:pPr>
        <w:spacing w:line="360" w:lineRule="auto"/>
        <w:rPr>
          <w:szCs w:val="24"/>
          <w:lang w:val="en-US"/>
        </w:rPr>
      </w:pPr>
      <w:r w:rsidRPr="00053C90">
        <w:rPr>
          <w:szCs w:val="24"/>
          <w:lang w:val="en-US"/>
        </w:rPr>
        <w:t xml:space="preserve">Some studies examine both the stock and </w:t>
      </w:r>
      <w:r w:rsidR="00B57F3C" w:rsidRPr="00053C90">
        <w:rPr>
          <w:szCs w:val="24"/>
          <w:lang w:val="en-US"/>
        </w:rPr>
        <w:t xml:space="preserve">the </w:t>
      </w:r>
      <w:r w:rsidRPr="00053C90">
        <w:rPr>
          <w:szCs w:val="24"/>
          <w:lang w:val="en-US"/>
        </w:rPr>
        <w:t>accounting measures following transactions. Dutta &amp; Jog (2009)</w:t>
      </w:r>
      <w:r w:rsidR="00B57F3C" w:rsidRPr="00053C90">
        <w:rPr>
          <w:szCs w:val="24"/>
          <w:lang w:val="en-US"/>
        </w:rPr>
        <w:t xml:space="preserve"> look</w:t>
      </w:r>
      <w:r w:rsidRPr="00053C90">
        <w:rPr>
          <w:szCs w:val="24"/>
          <w:lang w:val="en-US"/>
        </w:rPr>
        <w:t xml:space="preserve"> at both measures, but did not relate them to each other. This is also the case for Akben- Selcuk &amp; Yi</w:t>
      </w:r>
      <w:r w:rsidR="00B57F3C" w:rsidRPr="00053C90">
        <w:rPr>
          <w:szCs w:val="24"/>
          <w:lang w:val="en-US"/>
        </w:rPr>
        <w:t>lmaz (2011), who study</w:t>
      </w:r>
      <w:r w:rsidRPr="00053C90">
        <w:rPr>
          <w:szCs w:val="24"/>
          <w:lang w:val="en-US"/>
        </w:rPr>
        <w:t xml:space="preserve"> M&amp;A:s performed on the Turkish market. They did, like Dutta &amp; Jog also examine both measures but did not relate them to each other. </w:t>
      </w:r>
    </w:p>
    <w:p w:rsidR="001B062E" w:rsidRPr="00053C90" w:rsidRDefault="00910076" w:rsidP="001B062E">
      <w:pPr>
        <w:spacing w:line="360" w:lineRule="auto"/>
        <w:rPr>
          <w:szCs w:val="24"/>
          <w:lang w:val="en-US"/>
        </w:rPr>
      </w:pPr>
      <w:r w:rsidRPr="00053C90">
        <w:rPr>
          <w:szCs w:val="24"/>
          <w:lang w:val="en-US"/>
        </w:rPr>
        <w:t>Many studies focus</w:t>
      </w:r>
      <w:r w:rsidR="001B062E" w:rsidRPr="00053C90">
        <w:rPr>
          <w:szCs w:val="24"/>
          <w:lang w:val="en-US"/>
        </w:rPr>
        <w:t xml:space="preserve"> on underlying determinants of the long term performance, Healy</w:t>
      </w:r>
      <w:r w:rsidRPr="00053C90">
        <w:rPr>
          <w:szCs w:val="24"/>
          <w:lang w:val="en-US"/>
        </w:rPr>
        <w:t xml:space="preserve"> et al (1992) find</w:t>
      </w:r>
      <w:r w:rsidR="001B062E" w:rsidRPr="00053C90">
        <w:rPr>
          <w:szCs w:val="24"/>
          <w:lang w:val="en-US"/>
        </w:rPr>
        <w:t xml:space="preserve"> that transactions containing acquirers operating in the same industry as their target have a superior post-merger performance than tran</w:t>
      </w:r>
      <w:r w:rsidRPr="00053C90">
        <w:rPr>
          <w:szCs w:val="24"/>
          <w:lang w:val="en-US"/>
        </w:rPr>
        <w:t>sactions where this is</w:t>
      </w:r>
      <w:r w:rsidR="001B062E" w:rsidRPr="00053C90">
        <w:rPr>
          <w:szCs w:val="24"/>
          <w:lang w:val="en-US"/>
        </w:rPr>
        <w:t xml:space="preserve"> not the case. Another factor that has been examined is if the market-to-book ratio affects the long term performance. </w:t>
      </w:r>
      <w:r w:rsidRPr="00053C90">
        <w:rPr>
          <w:szCs w:val="24"/>
          <w:lang w:val="en-US"/>
        </w:rPr>
        <w:t>Rau &amp; Vermaelen (1998) find</w:t>
      </w:r>
      <w:r w:rsidR="001B062E" w:rsidRPr="00053C90">
        <w:rPr>
          <w:szCs w:val="24"/>
          <w:lang w:val="en-US"/>
        </w:rPr>
        <w:t xml:space="preserve"> evidence that companies with low ma</w:t>
      </w:r>
      <w:r w:rsidRPr="00053C90">
        <w:rPr>
          <w:szCs w:val="24"/>
          <w:lang w:val="en-US"/>
        </w:rPr>
        <w:t>rket-to-book ratios outperform</w:t>
      </w:r>
      <w:r w:rsidR="001B062E" w:rsidRPr="00053C90">
        <w:rPr>
          <w:szCs w:val="24"/>
          <w:lang w:val="en-US"/>
        </w:rPr>
        <w:t xml:space="preserve"> companies with high ratios. The relative size of the transaction and if the tr</w:t>
      </w:r>
      <w:r w:rsidR="00937744" w:rsidRPr="00053C90">
        <w:rPr>
          <w:szCs w:val="24"/>
          <w:lang w:val="en-US"/>
        </w:rPr>
        <w:t>ansaction was domestic or cross-</w:t>
      </w:r>
      <w:r w:rsidR="001B062E" w:rsidRPr="00053C90">
        <w:rPr>
          <w:szCs w:val="24"/>
          <w:lang w:val="en-US"/>
        </w:rPr>
        <w:t xml:space="preserve">border are also factors that have been examined with different results. </w:t>
      </w:r>
    </w:p>
    <w:p w:rsidR="001B062E" w:rsidRPr="00053C90" w:rsidRDefault="001B062E" w:rsidP="00F0273C">
      <w:pPr>
        <w:spacing w:line="360" w:lineRule="auto"/>
        <w:rPr>
          <w:szCs w:val="24"/>
          <w:lang w:val="en-US"/>
        </w:rPr>
      </w:pPr>
      <w:r w:rsidRPr="00053C90">
        <w:rPr>
          <w:szCs w:val="24"/>
          <w:lang w:val="en-US"/>
        </w:rPr>
        <w:t>The differences in results across countries, methodologies and type of measurement show that mergers &amp; acquisitions is an area of research where there still is a lot of research to be made. By looking at operating performance and stock returns as post-merger measurement, a gap in the current research is filled, since this study will also relate the measures to each other and examine how underlying factors affect both measures. The authors have not found any similar studies conducted in Sweden, Denmark, Norway or Finland and it would be interesting for decision makers in these countries to find out if M&amp;A:s in general are successful in these markets</w:t>
      </w:r>
      <w:r w:rsidR="002B3029" w:rsidRPr="00053C90">
        <w:rPr>
          <w:szCs w:val="24"/>
          <w:lang w:val="en-US"/>
        </w:rPr>
        <w:t xml:space="preserve"> from both a financial and an operating performance perspective</w:t>
      </w:r>
      <w:r w:rsidRPr="00053C90">
        <w:rPr>
          <w:szCs w:val="24"/>
          <w:lang w:val="en-US"/>
        </w:rPr>
        <w:t>. Furthermo</w:t>
      </w:r>
      <w:r w:rsidR="002B3029" w:rsidRPr="00053C90">
        <w:rPr>
          <w:szCs w:val="24"/>
          <w:lang w:val="en-US"/>
        </w:rPr>
        <w:t>re</w:t>
      </w:r>
      <w:r w:rsidR="00AE2427">
        <w:rPr>
          <w:szCs w:val="24"/>
          <w:lang w:val="en-US"/>
        </w:rPr>
        <w:t>,</w:t>
      </w:r>
      <w:r w:rsidR="002B3029" w:rsidRPr="00053C90">
        <w:rPr>
          <w:szCs w:val="24"/>
          <w:lang w:val="en-US"/>
        </w:rPr>
        <w:t xml:space="preserve"> previous </w:t>
      </w:r>
      <w:r w:rsidR="005E0828" w:rsidRPr="00053C90">
        <w:rPr>
          <w:szCs w:val="24"/>
          <w:lang w:val="en-US"/>
        </w:rPr>
        <w:t>research implies</w:t>
      </w:r>
      <w:r w:rsidRPr="00053C90">
        <w:rPr>
          <w:szCs w:val="24"/>
          <w:lang w:val="en-US"/>
        </w:rPr>
        <w:t xml:space="preserve"> that there could be differences in post-merger performance across countries, and that these differences could be explained by the regulatory environment. By focusing on the Swedish, Danish, Norwegian and Fi</w:t>
      </w:r>
      <w:r w:rsidR="002B3029" w:rsidRPr="00053C90">
        <w:rPr>
          <w:szCs w:val="24"/>
          <w:lang w:val="en-US"/>
        </w:rPr>
        <w:t>n</w:t>
      </w:r>
      <w:r w:rsidRPr="00053C90">
        <w:rPr>
          <w:szCs w:val="24"/>
          <w:lang w:val="en-US"/>
        </w:rPr>
        <w:t>nish markets the notion of different post-merger performance across countries are tested, since most research conducted up to date, take place in an U</w:t>
      </w:r>
      <w:r w:rsidR="002B3029" w:rsidRPr="00053C90">
        <w:rPr>
          <w:szCs w:val="24"/>
          <w:lang w:val="en-US"/>
        </w:rPr>
        <w:t>.</w:t>
      </w:r>
      <w:r w:rsidRPr="00053C90">
        <w:rPr>
          <w:szCs w:val="24"/>
          <w:lang w:val="en-US"/>
        </w:rPr>
        <w:t>S</w:t>
      </w:r>
      <w:r w:rsidR="002B3029" w:rsidRPr="00053C90">
        <w:rPr>
          <w:szCs w:val="24"/>
          <w:lang w:val="en-US"/>
        </w:rPr>
        <w:t>.</w:t>
      </w:r>
      <w:r w:rsidR="00F0273C" w:rsidRPr="00053C90">
        <w:rPr>
          <w:szCs w:val="24"/>
          <w:lang w:val="en-US"/>
        </w:rPr>
        <w:t xml:space="preserve"> market setting.  </w:t>
      </w:r>
    </w:p>
    <w:p w:rsidR="001B062E" w:rsidRPr="00053C90" w:rsidRDefault="001B062E" w:rsidP="00F0273C">
      <w:pPr>
        <w:pStyle w:val="Heading2"/>
        <w:numPr>
          <w:ilvl w:val="1"/>
          <w:numId w:val="2"/>
        </w:numPr>
        <w:rPr>
          <w:lang w:val="en-US"/>
        </w:rPr>
      </w:pPr>
      <w:bookmarkStart w:id="6" w:name="_Toc428399206"/>
      <w:r w:rsidRPr="00053C90">
        <w:rPr>
          <w:lang w:val="en-US"/>
        </w:rPr>
        <w:t>Question formulation</w:t>
      </w:r>
      <w:bookmarkEnd w:id="6"/>
      <w:r w:rsidRPr="00053C90">
        <w:rPr>
          <w:lang w:val="en-US"/>
        </w:rPr>
        <w:t xml:space="preserve"> </w:t>
      </w:r>
    </w:p>
    <w:p w:rsidR="001B062E" w:rsidRPr="00053C90" w:rsidRDefault="002B3029" w:rsidP="001B062E">
      <w:pPr>
        <w:spacing w:line="360" w:lineRule="auto"/>
        <w:rPr>
          <w:szCs w:val="24"/>
          <w:lang w:val="en-US"/>
        </w:rPr>
      </w:pPr>
      <w:r w:rsidRPr="00053C90">
        <w:rPr>
          <w:szCs w:val="24"/>
          <w:lang w:val="en-US"/>
        </w:rPr>
        <w:t>The objective</w:t>
      </w:r>
      <w:r w:rsidR="001B062E" w:rsidRPr="00053C90">
        <w:rPr>
          <w:szCs w:val="24"/>
          <w:lang w:val="en-US"/>
        </w:rPr>
        <w:t xml:space="preserve"> of this study is to answer the following four questions: </w:t>
      </w:r>
    </w:p>
    <w:p w:rsidR="001B062E" w:rsidRPr="00053C90" w:rsidRDefault="001B062E" w:rsidP="001B062E">
      <w:pPr>
        <w:pStyle w:val="ListParagraph"/>
        <w:numPr>
          <w:ilvl w:val="0"/>
          <w:numId w:val="32"/>
        </w:numPr>
        <w:spacing w:line="360" w:lineRule="auto"/>
        <w:rPr>
          <w:szCs w:val="24"/>
          <w:lang w:val="en-US"/>
        </w:rPr>
      </w:pPr>
      <w:r w:rsidRPr="00053C90">
        <w:rPr>
          <w:szCs w:val="24"/>
          <w:lang w:val="en-US"/>
        </w:rPr>
        <w:t>Is there any long-term abnormal stock returns following M&amp;A:s?</w:t>
      </w:r>
    </w:p>
    <w:p w:rsidR="001B062E" w:rsidRPr="00053C90" w:rsidRDefault="001B062E" w:rsidP="001B062E">
      <w:pPr>
        <w:pStyle w:val="ListParagraph"/>
        <w:numPr>
          <w:ilvl w:val="0"/>
          <w:numId w:val="32"/>
        </w:numPr>
        <w:spacing w:line="360" w:lineRule="auto"/>
        <w:rPr>
          <w:szCs w:val="24"/>
          <w:lang w:val="en-US"/>
        </w:rPr>
      </w:pPr>
      <w:r w:rsidRPr="00053C90">
        <w:rPr>
          <w:szCs w:val="24"/>
          <w:lang w:val="en-US"/>
        </w:rPr>
        <w:t>Is there any abnormal operating performance following M&amp;A:s in the long-term?</w:t>
      </w:r>
    </w:p>
    <w:p w:rsidR="001B062E" w:rsidRPr="00053C90" w:rsidRDefault="001B062E" w:rsidP="001B062E">
      <w:pPr>
        <w:pStyle w:val="ListParagraph"/>
        <w:numPr>
          <w:ilvl w:val="0"/>
          <w:numId w:val="32"/>
        </w:numPr>
        <w:spacing w:line="360" w:lineRule="auto"/>
        <w:rPr>
          <w:szCs w:val="24"/>
          <w:lang w:val="en-US"/>
        </w:rPr>
      </w:pPr>
      <w:r w:rsidRPr="00053C90">
        <w:rPr>
          <w:szCs w:val="24"/>
          <w:lang w:val="en-US"/>
        </w:rPr>
        <w:t>How are the development of operating performance and th</w:t>
      </w:r>
      <w:r w:rsidR="002B3029" w:rsidRPr="00053C90">
        <w:rPr>
          <w:szCs w:val="24"/>
          <w:lang w:val="en-US"/>
        </w:rPr>
        <w:t>e stock price correlated following</w:t>
      </w:r>
      <w:r w:rsidRPr="00053C90">
        <w:rPr>
          <w:szCs w:val="24"/>
          <w:lang w:val="en-US"/>
        </w:rPr>
        <w:t xml:space="preserve"> M&amp;A:s? </w:t>
      </w:r>
    </w:p>
    <w:p w:rsidR="001B062E" w:rsidRPr="00053C90" w:rsidRDefault="001B062E" w:rsidP="001B062E">
      <w:pPr>
        <w:pStyle w:val="ListParagraph"/>
        <w:numPr>
          <w:ilvl w:val="0"/>
          <w:numId w:val="32"/>
        </w:numPr>
        <w:spacing w:line="360" w:lineRule="auto"/>
        <w:rPr>
          <w:lang w:val="en-US"/>
        </w:rPr>
      </w:pPr>
      <w:r w:rsidRPr="00053C90">
        <w:rPr>
          <w:lang w:val="en-US"/>
        </w:rPr>
        <w:t>How are these measures affected by underlying variables?</w:t>
      </w:r>
    </w:p>
    <w:p w:rsidR="001B062E" w:rsidRPr="00053C90" w:rsidRDefault="001B062E" w:rsidP="001B062E">
      <w:pPr>
        <w:rPr>
          <w:lang w:val="en-US"/>
        </w:rPr>
      </w:pPr>
    </w:p>
    <w:p w:rsidR="001B062E" w:rsidRPr="00053C90" w:rsidRDefault="001B062E" w:rsidP="00F0273C">
      <w:pPr>
        <w:pStyle w:val="Heading2"/>
        <w:numPr>
          <w:ilvl w:val="1"/>
          <w:numId w:val="2"/>
        </w:numPr>
        <w:rPr>
          <w:lang w:val="en-US"/>
        </w:rPr>
      </w:pPr>
      <w:bookmarkStart w:id="7" w:name="_Toc428399207"/>
      <w:r w:rsidRPr="00053C90">
        <w:rPr>
          <w:lang w:val="en-US"/>
        </w:rPr>
        <w:t>Purpose</w:t>
      </w:r>
      <w:bookmarkEnd w:id="7"/>
    </w:p>
    <w:p w:rsidR="001B062E" w:rsidRPr="00053C90" w:rsidRDefault="001B062E" w:rsidP="001B062E">
      <w:pPr>
        <w:spacing w:line="360" w:lineRule="auto"/>
        <w:rPr>
          <w:szCs w:val="24"/>
          <w:lang w:val="en-US"/>
        </w:rPr>
      </w:pPr>
      <w:r w:rsidRPr="00053C90">
        <w:rPr>
          <w:szCs w:val="24"/>
          <w:lang w:val="en-US"/>
        </w:rPr>
        <w:t xml:space="preserve">There are two main purposes of this study. The first purpose is to review the performance of M&amp;A:s, both from an operating and a financial perspective in order to understand one has to take both measures into account when </w:t>
      </w:r>
      <w:r w:rsidR="005E0828" w:rsidRPr="00053C90">
        <w:rPr>
          <w:szCs w:val="24"/>
          <w:lang w:val="en-US"/>
        </w:rPr>
        <w:t>analyzing</w:t>
      </w:r>
      <w:r w:rsidRPr="00053C90">
        <w:rPr>
          <w:szCs w:val="24"/>
          <w:lang w:val="en-US"/>
        </w:rPr>
        <w:t xml:space="preserve"> the performance of M&amp;A:s.</w:t>
      </w:r>
      <w:r w:rsidR="005E0828">
        <w:rPr>
          <w:szCs w:val="24"/>
          <w:lang w:val="en-US"/>
        </w:rPr>
        <w:t xml:space="preserve"> The second purpose is to analyz</w:t>
      </w:r>
      <w:r w:rsidRPr="00053C90">
        <w:rPr>
          <w:szCs w:val="24"/>
          <w:lang w:val="en-US"/>
        </w:rPr>
        <w:t xml:space="preserve">e if a set of underlying variables affects the value creation or destruction after a transaction. </w:t>
      </w:r>
      <w:r w:rsidR="002B3029" w:rsidRPr="00053C90">
        <w:rPr>
          <w:szCs w:val="24"/>
          <w:lang w:val="en-US"/>
        </w:rPr>
        <w:t xml:space="preserve">The variables are: market-to-book ratio, size of the acquirer, relative size of the transaction, if the transaction is domestic or </w:t>
      </w:r>
      <w:r w:rsidR="00F0273C" w:rsidRPr="00053C90">
        <w:rPr>
          <w:szCs w:val="24"/>
          <w:lang w:val="en-US"/>
        </w:rPr>
        <w:t>c</w:t>
      </w:r>
      <w:r w:rsidR="00937744" w:rsidRPr="00053C90">
        <w:rPr>
          <w:szCs w:val="24"/>
          <w:lang w:val="en-US"/>
        </w:rPr>
        <w:t>ross-border</w:t>
      </w:r>
      <w:r w:rsidR="002B3029" w:rsidRPr="00053C90">
        <w:rPr>
          <w:szCs w:val="24"/>
          <w:lang w:val="en-US"/>
        </w:rPr>
        <w:t xml:space="preserve"> and industry relatedness. </w:t>
      </w:r>
    </w:p>
    <w:p w:rsidR="001B062E" w:rsidRPr="00053C90" w:rsidRDefault="001B062E" w:rsidP="001B062E">
      <w:pPr>
        <w:spacing w:line="360" w:lineRule="auto"/>
        <w:rPr>
          <w:szCs w:val="24"/>
          <w:lang w:val="en-US"/>
        </w:rPr>
      </w:pPr>
      <w:r w:rsidRPr="00053C90">
        <w:rPr>
          <w:szCs w:val="24"/>
          <w:lang w:val="en-US"/>
        </w:rPr>
        <w:t>This study’s c</w:t>
      </w:r>
      <w:r w:rsidR="00AE2427">
        <w:rPr>
          <w:szCs w:val="24"/>
          <w:lang w:val="en-US"/>
        </w:rPr>
        <w:t>ontribution to the mergers and a</w:t>
      </w:r>
      <w:r w:rsidRPr="00053C90">
        <w:rPr>
          <w:szCs w:val="24"/>
          <w:lang w:val="en-US"/>
        </w:rPr>
        <w:t>cquisitions field of study will be twofold. Firstly, there are to the researchers’ knowledge, no studies conducted in Sweden, Denmark, Norway and Finland that focuses</w:t>
      </w:r>
      <w:r w:rsidR="00B95422">
        <w:rPr>
          <w:szCs w:val="24"/>
          <w:lang w:val="en-US"/>
        </w:rPr>
        <w:t xml:space="preserve"> on</w:t>
      </w:r>
      <w:r w:rsidRPr="00053C90">
        <w:rPr>
          <w:szCs w:val="24"/>
          <w:lang w:val="en-US"/>
        </w:rPr>
        <w:t xml:space="preserve"> both the operating performance and stock price development when evaluating how successful M&amp;A are. Secondly, this study will not only focus on operating performance and stock price development, but also how underlying determinants affect them.</w:t>
      </w:r>
    </w:p>
    <w:p w:rsidR="001B062E" w:rsidRPr="00053C90" w:rsidRDefault="001B062E" w:rsidP="00F0273C">
      <w:pPr>
        <w:pStyle w:val="Heading2"/>
        <w:numPr>
          <w:ilvl w:val="1"/>
          <w:numId w:val="2"/>
        </w:numPr>
        <w:rPr>
          <w:lang w:val="en-US"/>
        </w:rPr>
      </w:pPr>
      <w:bookmarkStart w:id="8" w:name="_Toc428399208"/>
      <w:r w:rsidRPr="00053C90">
        <w:rPr>
          <w:lang w:val="en-US"/>
        </w:rPr>
        <w:t>Demarcations</w:t>
      </w:r>
      <w:bookmarkEnd w:id="8"/>
    </w:p>
    <w:p w:rsidR="001B062E" w:rsidRPr="00053C90" w:rsidRDefault="001B062E" w:rsidP="001B062E">
      <w:pPr>
        <w:spacing w:line="360" w:lineRule="auto"/>
        <w:rPr>
          <w:szCs w:val="24"/>
          <w:lang w:val="en-US"/>
        </w:rPr>
      </w:pPr>
      <w:r w:rsidRPr="00053C90">
        <w:rPr>
          <w:szCs w:val="24"/>
          <w:lang w:val="en-US"/>
        </w:rPr>
        <w:t>The study contains a set of limitations. First of all, only M&amp;A:s conducted by Swedish, Danish, Norwegian or Finnish acquirers are examined in this stud</w:t>
      </w:r>
      <w:r w:rsidR="002B3029" w:rsidRPr="00053C90">
        <w:rPr>
          <w:szCs w:val="24"/>
          <w:lang w:val="en-US"/>
        </w:rPr>
        <w:t>y. No limitations are applied to</w:t>
      </w:r>
      <w:r w:rsidRPr="00053C90">
        <w:rPr>
          <w:szCs w:val="24"/>
          <w:lang w:val="en-US"/>
        </w:rPr>
        <w:t xml:space="preserve"> the location of the targets. </w:t>
      </w:r>
      <w:r w:rsidR="002B3029" w:rsidRPr="00053C90">
        <w:rPr>
          <w:szCs w:val="24"/>
          <w:lang w:val="en-US"/>
        </w:rPr>
        <w:t>The t</w:t>
      </w:r>
      <w:r w:rsidRPr="00053C90">
        <w:rPr>
          <w:szCs w:val="24"/>
          <w:lang w:val="en-US"/>
        </w:rPr>
        <w:t xml:space="preserve">ransactions studied are mergers, acquisitions of shares and acquisitions of assets. Tender offers, which are examined in some of the prior </w:t>
      </w:r>
      <w:r w:rsidR="005E0828" w:rsidRPr="00053C90">
        <w:rPr>
          <w:szCs w:val="24"/>
          <w:lang w:val="en-US"/>
        </w:rPr>
        <w:t>studies,</w:t>
      </w:r>
      <w:r w:rsidRPr="00053C90">
        <w:rPr>
          <w:szCs w:val="24"/>
          <w:lang w:val="en-US"/>
        </w:rPr>
        <w:t xml:space="preserve"> will not be distinguished from other transaction due to limitations of the software used for retrieving information about the M&amp;A:s. </w:t>
      </w:r>
    </w:p>
    <w:p w:rsidR="001B062E" w:rsidRPr="00053C90" w:rsidRDefault="001B062E" w:rsidP="001B062E">
      <w:pPr>
        <w:spacing w:line="360" w:lineRule="auto"/>
        <w:rPr>
          <w:lang w:val="en-US"/>
        </w:rPr>
      </w:pPr>
      <w:r w:rsidRPr="00053C90">
        <w:rPr>
          <w:lang w:val="en-US"/>
        </w:rPr>
        <w:t xml:space="preserve">This study measures long-term stock and operating performance. Long-term in this study is defined as </w:t>
      </w:r>
      <w:r w:rsidR="002B3029" w:rsidRPr="00053C90">
        <w:rPr>
          <w:lang w:val="en-US"/>
        </w:rPr>
        <w:t xml:space="preserve">a </w:t>
      </w:r>
      <w:r w:rsidRPr="00053C90">
        <w:rPr>
          <w:lang w:val="en-US"/>
        </w:rPr>
        <w:t>time period of 1-</w:t>
      </w:r>
      <w:r w:rsidR="002B3029" w:rsidRPr="00053C90">
        <w:rPr>
          <w:lang w:val="en-US"/>
        </w:rPr>
        <w:t>3 years. Stock performance is measured with a model called buy and hold abnormal return, B</w:t>
      </w:r>
      <w:r w:rsidRPr="00053C90">
        <w:rPr>
          <w:lang w:val="en-US"/>
        </w:rPr>
        <w:t>HAR. Operating performance, which is the oth</w:t>
      </w:r>
      <w:r w:rsidR="002B3029" w:rsidRPr="00053C90">
        <w:rPr>
          <w:lang w:val="en-US"/>
        </w:rPr>
        <w:t xml:space="preserve">er measure, is in this study is </w:t>
      </w:r>
      <w:r w:rsidRPr="00053C90">
        <w:rPr>
          <w:lang w:val="en-US"/>
        </w:rPr>
        <w:t>defined as an adjusted form of return on assets.</w:t>
      </w:r>
    </w:p>
    <w:p w:rsidR="001B062E" w:rsidRPr="00053C90" w:rsidRDefault="001B062E" w:rsidP="00F0273C">
      <w:pPr>
        <w:spacing w:line="360" w:lineRule="auto"/>
        <w:rPr>
          <w:lang w:val="en-US"/>
        </w:rPr>
      </w:pPr>
      <w:r w:rsidRPr="00053C90">
        <w:rPr>
          <w:lang w:val="en-US"/>
        </w:rPr>
        <w:t>Five variables influence on the measures are also examined. T</w:t>
      </w:r>
      <w:r w:rsidR="0052197F" w:rsidRPr="00053C90">
        <w:rPr>
          <w:lang w:val="en-US"/>
        </w:rPr>
        <w:t>hese are market-to-book ratio, s</w:t>
      </w:r>
      <w:r w:rsidRPr="00053C90">
        <w:rPr>
          <w:lang w:val="en-US"/>
        </w:rPr>
        <w:t xml:space="preserve">ize of the acquirer, if the transaction was domestic or </w:t>
      </w:r>
      <w:r w:rsidR="00937744" w:rsidRPr="00053C90">
        <w:rPr>
          <w:lang w:val="en-US"/>
        </w:rPr>
        <w:t>cross-border</w:t>
      </w:r>
      <w:r w:rsidRPr="00053C90">
        <w:rPr>
          <w:lang w:val="en-US"/>
        </w:rPr>
        <w:t>, relative transaction size and industry relatedness. The researchers understand that there are more variables affecting operating and stock performance, but also that it is impossible to iden</w:t>
      </w:r>
      <w:r w:rsidR="00F0273C" w:rsidRPr="00053C90">
        <w:rPr>
          <w:lang w:val="en-US"/>
        </w:rPr>
        <w:t xml:space="preserve">tify and measure all of these. </w:t>
      </w:r>
    </w:p>
    <w:p w:rsidR="001B062E" w:rsidRPr="00053C90" w:rsidRDefault="001B062E" w:rsidP="00F0273C">
      <w:pPr>
        <w:pStyle w:val="Heading2"/>
        <w:numPr>
          <w:ilvl w:val="1"/>
          <w:numId w:val="2"/>
        </w:numPr>
        <w:rPr>
          <w:lang w:val="en-US"/>
        </w:rPr>
      </w:pPr>
      <w:bookmarkStart w:id="9" w:name="_Toc428399209"/>
      <w:r w:rsidRPr="00053C90">
        <w:rPr>
          <w:lang w:val="en-US"/>
        </w:rPr>
        <w:t>Target Group</w:t>
      </w:r>
      <w:bookmarkEnd w:id="9"/>
    </w:p>
    <w:p w:rsidR="001B062E" w:rsidRPr="00053C90" w:rsidRDefault="001B062E" w:rsidP="001B062E">
      <w:pPr>
        <w:spacing w:line="360" w:lineRule="auto"/>
        <w:rPr>
          <w:szCs w:val="24"/>
          <w:lang w:val="en-US"/>
        </w:rPr>
      </w:pPr>
      <w:r w:rsidRPr="00053C90">
        <w:rPr>
          <w:szCs w:val="24"/>
          <w:lang w:val="en-US"/>
        </w:rPr>
        <w:t>This study is of interest for academics within the field of corporate finance and auditing. Another target group that will find the study relevant and useful are consultants and decisio</w:t>
      </w:r>
      <w:r w:rsidR="00954617">
        <w:rPr>
          <w:szCs w:val="24"/>
          <w:lang w:val="en-US"/>
        </w:rPr>
        <w:t xml:space="preserve">n makers who are thinking </w:t>
      </w:r>
      <w:r w:rsidR="00954617" w:rsidRPr="005E0828">
        <w:rPr>
          <w:szCs w:val="24"/>
          <w:lang w:val="en-US"/>
        </w:rPr>
        <w:t>about,</w:t>
      </w:r>
      <w:r w:rsidR="005E0828">
        <w:rPr>
          <w:szCs w:val="24"/>
          <w:lang w:val="en-US"/>
        </w:rPr>
        <w:t xml:space="preserve"> are</w:t>
      </w:r>
      <w:r w:rsidRPr="00053C90">
        <w:rPr>
          <w:szCs w:val="24"/>
          <w:lang w:val="en-US"/>
        </w:rPr>
        <w:t xml:space="preserve"> in the process of undertaking or have conducted a M&amp;A.</w:t>
      </w:r>
    </w:p>
    <w:p w:rsidR="001B062E" w:rsidRPr="00053C90" w:rsidRDefault="001B062E" w:rsidP="001B062E">
      <w:pPr>
        <w:rPr>
          <w:lang w:val="en-US"/>
        </w:rPr>
      </w:pPr>
    </w:p>
    <w:p w:rsidR="00F0273C" w:rsidRPr="00053C90" w:rsidRDefault="00F0273C" w:rsidP="001B062E">
      <w:pPr>
        <w:rPr>
          <w:lang w:val="en-US"/>
        </w:rPr>
      </w:pPr>
    </w:p>
    <w:p w:rsidR="001B062E" w:rsidRPr="00053C90" w:rsidRDefault="001B062E" w:rsidP="00F0273C">
      <w:pPr>
        <w:pStyle w:val="Heading2"/>
        <w:numPr>
          <w:ilvl w:val="1"/>
          <w:numId w:val="2"/>
        </w:numPr>
        <w:rPr>
          <w:lang w:val="en-US"/>
        </w:rPr>
      </w:pPr>
      <w:bookmarkStart w:id="10" w:name="_Toc428399210"/>
      <w:r w:rsidRPr="00053C90">
        <w:rPr>
          <w:lang w:val="en-US"/>
        </w:rPr>
        <w:t>Thesis Outline</w:t>
      </w:r>
      <w:bookmarkEnd w:id="10"/>
    </w:p>
    <w:p w:rsidR="001B062E" w:rsidRPr="00053C90" w:rsidRDefault="001B062E" w:rsidP="001B062E">
      <w:pPr>
        <w:spacing w:line="360" w:lineRule="auto"/>
        <w:rPr>
          <w:szCs w:val="24"/>
          <w:lang w:val="en-US"/>
        </w:rPr>
      </w:pPr>
      <w:r w:rsidRPr="00053C90">
        <w:rPr>
          <w:szCs w:val="24"/>
          <w:lang w:val="en-US"/>
        </w:rPr>
        <w:t>This thesis has been divided into several parts.</w:t>
      </w:r>
    </w:p>
    <w:p w:rsidR="001B062E" w:rsidRPr="00053C90" w:rsidRDefault="00910076" w:rsidP="001B062E">
      <w:pPr>
        <w:spacing w:line="360" w:lineRule="auto"/>
        <w:rPr>
          <w:szCs w:val="24"/>
          <w:lang w:val="en-US"/>
        </w:rPr>
      </w:pPr>
      <w:r w:rsidRPr="00053C90">
        <w:rPr>
          <w:noProof/>
          <w:szCs w:val="24"/>
          <w:lang w:eastAsia="sv-SE"/>
        </w:rPr>
        <w:drawing>
          <wp:inline distT="0" distB="0" distL="0" distR="0">
            <wp:extent cx="5723255" cy="7098665"/>
            <wp:effectExtent l="38100" t="19050" r="67945" b="4508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B062E" w:rsidRPr="00053C90">
        <w:rPr>
          <w:lang w:val="en-US"/>
        </w:rPr>
        <w:tab/>
      </w:r>
    </w:p>
    <w:p w:rsidR="001B062E" w:rsidRPr="00053C90" w:rsidRDefault="001B062E" w:rsidP="001B062E">
      <w:pPr>
        <w:pStyle w:val="Heading1"/>
        <w:numPr>
          <w:ilvl w:val="0"/>
          <w:numId w:val="2"/>
        </w:numPr>
        <w:spacing w:line="360" w:lineRule="auto"/>
        <w:rPr>
          <w:rFonts w:ascii="Times New Roman" w:hAnsi="Times New Roman"/>
          <w:lang w:val="en-US"/>
        </w:rPr>
      </w:pPr>
      <w:bookmarkStart w:id="11" w:name="_Toc428399211"/>
      <w:r w:rsidRPr="00053C90">
        <w:rPr>
          <w:rFonts w:ascii="Times New Roman" w:hAnsi="Times New Roman"/>
          <w:lang w:val="en-US"/>
        </w:rPr>
        <w:t>Theoretical Framework</w:t>
      </w:r>
      <w:bookmarkEnd w:id="11"/>
      <w:r w:rsidRPr="00053C90">
        <w:rPr>
          <w:rFonts w:ascii="Times New Roman" w:hAnsi="Times New Roman"/>
          <w:lang w:val="en-US"/>
        </w:rPr>
        <w:t xml:space="preserve"> </w:t>
      </w:r>
    </w:p>
    <w:p w:rsidR="001B062E" w:rsidRPr="00053C90" w:rsidRDefault="001B062E" w:rsidP="001B062E">
      <w:pPr>
        <w:rPr>
          <w:i/>
          <w:lang w:val="en-US"/>
        </w:rPr>
      </w:pPr>
      <w:r w:rsidRPr="00053C90">
        <w:rPr>
          <w:i/>
          <w:lang w:val="en-US"/>
        </w:rPr>
        <w:t>This chapter starts with a description of what M&amp;A:s are. Then, motives for conducting M&amp;A:s is presented along with relevant theories for this study. This is followed by a review of previous studies that examines long term stock performance, long term operating performance and determinants of performance.</w:t>
      </w:r>
    </w:p>
    <w:p w:rsidR="001B062E" w:rsidRPr="00053C90" w:rsidRDefault="001B062E" w:rsidP="001B062E">
      <w:pPr>
        <w:rPr>
          <w:lang w:val="en-US"/>
        </w:rPr>
      </w:pPr>
    </w:p>
    <w:p w:rsidR="001B062E" w:rsidRPr="00053C90" w:rsidRDefault="001B062E" w:rsidP="001B062E">
      <w:pPr>
        <w:pStyle w:val="Heading2"/>
        <w:numPr>
          <w:ilvl w:val="1"/>
          <w:numId w:val="2"/>
        </w:numPr>
        <w:spacing w:after="0" w:line="360" w:lineRule="auto"/>
        <w:rPr>
          <w:lang w:val="en-US"/>
        </w:rPr>
      </w:pPr>
      <w:bookmarkStart w:id="12" w:name="_Toc428399212"/>
      <w:r w:rsidRPr="00053C90">
        <w:rPr>
          <w:lang w:val="en-US"/>
        </w:rPr>
        <w:t>Introduction to M&amp;A Theory</w:t>
      </w:r>
      <w:bookmarkEnd w:id="12"/>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 xml:space="preserve">Mergers and acquisitions are two different methods which bring two separate companies together to form a larger one. The aim of a merger is to combine two different companies, into one larger entity. The company that is left after the merger procedure is responsible for all the assets and liabilities of the two previous companies (Gaughan, 2007). An </w:t>
      </w:r>
      <w:r w:rsidR="005E0828" w:rsidRPr="00053C90">
        <w:rPr>
          <w:rFonts w:eastAsia="Times New Roman"/>
          <w:color w:val="222222"/>
          <w:szCs w:val="24"/>
          <w:lang w:val="en-US"/>
        </w:rPr>
        <w:t>acquisition</w:t>
      </w:r>
      <w:r w:rsidRPr="00053C90">
        <w:rPr>
          <w:rFonts w:eastAsia="Times New Roman"/>
          <w:color w:val="222222"/>
          <w:szCs w:val="24"/>
          <w:lang w:val="en-US"/>
        </w:rPr>
        <w:t xml:space="preserve"> differs from a merger in the way that the transaction has the aim to incorporate the target company into the acquiring company, and still keep strategy and vision of the acquiring company. This means that there is not a consolidation of two companies based on the same characteristics and terms as in a merger (Arnold, 2008). Literature has had difficulties distinguishing mergers a</w:t>
      </w:r>
      <w:r w:rsidR="005E0828">
        <w:rPr>
          <w:rFonts w:eastAsia="Times New Roman"/>
          <w:color w:val="222222"/>
          <w:szCs w:val="24"/>
          <w:lang w:val="en-US"/>
        </w:rPr>
        <w:t>nd acquisitions from each other. T</w:t>
      </w:r>
      <w:r w:rsidRPr="00053C90">
        <w:rPr>
          <w:rFonts w:eastAsia="Times New Roman"/>
          <w:color w:val="222222"/>
          <w:szCs w:val="24"/>
          <w:lang w:val="en-US"/>
        </w:rPr>
        <w:t xml:space="preserve">his is due to the fact that the original purpose for the transaction proves to be different in the end (Arnold, 2008). Finally, there is one more method for acquiring companies which is consolidation. </w:t>
      </w:r>
      <w:r w:rsidRPr="00053C90">
        <w:rPr>
          <w:szCs w:val="24"/>
          <w:lang w:val="en-US"/>
        </w:rPr>
        <w:t>Consolidation differs in the way that several companies can be formed into either several new firms or just one firm. Like merger their previous existence ends and they become a part of the new firm.</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pStyle w:val="Heading3"/>
        <w:numPr>
          <w:ilvl w:val="2"/>
          <w:numId w:val="2"/>
        </w:numPr>
        <w:spacing w:line="360" w:lineRule="auto"/>
        <w:rPr>
          <w:lang w:val="en-US"/>
        </w:rPr>
      </w:pPr>
      <w:bookmarkStart w:id="13" w:name="_Toc428399213"/>
      <w:r w:rsidRPr="00053C90">
        <w:rPr>
          <w:lang w:val="en-US"/>
        </w:rPr>
        <w:t>Motives for mergers and acquisitions</w:t>
      </w:r>
      <w:bookmarkEnd w:id="13"/>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A company can achieve growth either organically or through acquisitions. Firth (1980) states that growth is usually easier to achieve through acquisitions. Furthermore, Firth (1980) also reasons that there are two main theories for why companies perform acquisitions, and with these theories the performance of the companies after the acquisitions can be determined.</w:t>
      </w:r>
    </w:p>
    <w:p w:rsidR="0052197F" w:rsidRPr="00053C90" w:rsidRDefault="0052197F"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 xml:space="preserve">One of these theories for acquisitions is the </w:t>
      </w:r>
      <w:r w:rsidRPr="00053C90">
        <w:rPr>
          <w:rFonts w:eastAsia="Times New Roman"/>
          <w:i/>
          <w:color w:val="222222"/>
          <w:szCs w:val="24"/>
          <w:lang w:val="en-US"/>
        </w:rPr>
        <w:t>neoclassical</w:t>
      </w:r>
      <w:r w:rsidRPr="00053C90">
        <w:rPr>
          <w:rFonts w:eastAsia="Times New Roman"/>
          <w:color w:val="222222"/>
          <w:szCs w:val="24"/>
          <w:lang w:val="en-US"/>
        </w:rPr>
        <w:t xml:space="preserve"> </w:t>
      </w:r>
      <w:r w:rsidRPr="00053C90">
        <w:rPr>
          <w:rFonts w:eastAsia="Times New Roman"/>
          <w:i/>
          <w:color w:val="222222"/>
          <w:szCs w:val="24"/>
          <w:lang w:val="en-US"/>
        </w:rPr>
        <w:t xml:space="preserve">economic theory of profit maximization, </w:t>
      </w:r>
      <w:r w:rsidRPr="00053C90">
        <w:rPr>
          <w:rFonts w:eastAsia="Times New Roman"/>
          <w:color w:val="222222"/>
          <w:szCs w:val="24"/>
          <w:lang w:val="en-US"/>
        </w:rPr>
        <w:t xml:space="preserve">which states that competition in the market motivates companies to maximize shareholder wealth. The conclusion of the theory is that if </w:t>
      </w:r>
      <w:r w:rsidR="005E0828" w:rsidRPr="00053C90">
        <w:rPr>
          <w:rFonts w:eastAsia="Times New Roman"/>
          <w:color w:val="222222"/>
          <w:szCs w:val="24"/>
          <w:lang w:val="en-US"/>
        </w:rPr>
        <w:t>possible acquisitions</w:t>
      </w:r>
      <w:r w:rsidRPr="00053C90">
        <w:rPr>
          <w:rFonts w:eastAsia="Times New Roman"/>
          <w:color w:val="222222"/>
          <w:szCs w:val="24"/>
          <w:lang w:val="en-US"/>
        </w:rPr>
        <w:t xml:space="preserve"> will benefit shareholders the company will go through with the transaction.</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Firth (1980) argues that the other main reason for why acquisitions are made is because managers in the board of directors wish to maximize their own personal wealth. This reason is based on agency theory and that managers are not always aligned with shareholders’ interests.</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pStyle w:val="Heading3"/>
        <w:numPr>
          <w:ilvl w:val="2"/>
          <w:numId w:val="2"/>
        </w:numPr>
        <w:spacing w:line="360" w:lineRule="auto"/>
        <w:rPr>
          <w:lang w:val="en-US"/>
        </w:rPr>
      </w:pPr>
      <w:bookmarkStart w:id="14" w:name="_Toc428399214"/>
      <w:r w:rsidRPr="00053C90">
        <w:rPr>
          <w:lang w:val="en-US"/>
        </w:rPr>
        <w:t>Neoclassical reasons for acquisitions:</w:t>
      </w:r>
      <w:bookmarkEnd w:id="14"/>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Trautwein (1990) summarizes the most predominant theories and motives within mergers and acquisitions. The theories that Trautwein (1990) identifies for motives of merger and acquisitions are: the efficiency theory, monopoly theory, valuation theory, process theory, raider theory and disturbance theory. Below the most relevant theories w</w:t>
      </w:r>
      <w:r w:rsidR="0052197F" w:rsidRPr="00053C90">
        <w:rPr>
          <w:rFonts w:eastAsia="Times New Roman"/>
          <w:color w:val="222222"/>
          <w:szCs w:val="24"/>
          <w:lang w:val="en-US"/>
        </w:rPr>
        <w:t>ill be described more in-depth.</w:t>
      </w:r>
    </w:p>
    <w:p w:rsidR="0052197F" w:rsidRPr="00053C90" w:rsidRDefault="0052197F"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Synergy effects is one of the main arguments for</w:t>
      </w:r>
      <w:r w:rsidR="006A793D" w:rsidRPr="00053C90">
        <w:rPr>
          <w:rFonts w:eastAsia="Times New Roman"/>
          <w:color w:val="222222"/>
          <w:szCs w:val="24"/>
          <w:lang w:val="en-US"/>
        </w:rPr>
        <w:t xml:space="preserve"> acquisitions according to </w:t>
      </w:r>
      <w:r w:rsidRPr="00053C90">
        <w:rPr>
          <w:rFonts w:eastAsia="Times New Roman"/>
          <w:color w:val="222222"/>
          <w:szCs w:val="24"/>
          <w:lang w:val="en-US"/>
        </w:rPr>
        <w:t>advocates of the neoclassical theory, Trautwein (1990) also calls this the efficiency theory. The belief states that two companies will create greater shareholder value and thereby be more efficient than if they would continue as separate entities. These synergies can be divided into two subgroups: financial and operational (Devos et al. 2009). Examples of financial synergies include lower cost of capital and lower tax rates. Operational synergies can be of two different characters; revenue increasing or cost decreasing. The former of the operational synergies can arise from an increased access to each other markets or customers. Cost decreasing examples include usage of assets more efficiently and lower fixed costs (Gaughan, 2007).</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One of the other main theories is the monopoly theory which states that acquiring companies could also be used to exploit the market in a more favorable way. With large market shares, a company can dictate the market in a differ</w:t>
      </w:r>
      <w:r w:rsidR="006A793D" w:rsidRPr="00053C90">
        <w:rPr>
          <w:rFonts w:eastAsia="Times New Roman"/>
          <w:color w:val="222222"/>
          <w:szCs w:val="24"/>
          <w:lang w:val="en-US"/>
        </w:rPr>
        <w:t xml:space="preserve">ent manor </w:t>
      </w:r>
      <w:r w:rsidRPr="00053C90">
        <w:rPr>
          <w:rFonts w:eastAsia="Times New Roman"/>
          <w:color w:val="222222"/>
          <w:szCs w:val="24"/>
          <w:lang w:val="en-US"/>
        </w:rPr>
        <w:t>which benefits the sharehold</w:t>
      </w:r>
      <w:r w:rsidR="006A793D" w:rsidRPr="00053C90">
        <w:rPr>
          <w:rFonts w:eastAsia="Times New Roman"/>
          <w:color w:val="222222"/>
          <w:szCs w:val="24"/>
          <w:lang w:val="en-US"/>
        </w:rPr>
        <w:t>ers.</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The disturbance theory is based more in the field of macroeconomic factors and changes of these factors that force mergers and acquisitions. Deregul</w:t>
      </w:r>
      <w:r w:rsidR="006A793D" w:rsidRPr="00053C90">
        <w:rPr>
          <w:rFonts w:eastAsia="Times New Roman"/>
          <w:color w:val="222222"/>
          <w:szCs w:val="24"/>
          <w:lang w:val="en-US"/>
        </w:rPr>
        <w:t>ations, technical innovations and</w:t>
      </w:r>
      <w:r w:rsidRPr="00053C90">
        <w:rPr>
          <w:rFonts w:eastAsia="Times New Roman"/>
          <w:color w:val="222222"/>
          <w:szCs w:val="24"/>
          <w:lang w:val="en-US"/>
        </w:rPr>
        <w:t xml:space="preserve"> price changes are examples of macroeconomic factors that cause industrial shocks. The acquisitions are a response to these changes and its purpose is to increase the efficiency of the company and therefor also create value for the shareholders (Mitchell &amp; Mulherin, 1996).</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pStyle w:val="Heading3"/>
        <w:numPr>
          <w:ilvl w:val="2"/>
          <w:numId w:val="2"/>
        </w:numPr>
        <w:spacing w:line="360" w:lineRule="auto"/>
        <w:rPr>
          <w:lang w:val="en-US"/>
        </w:rPr>
      </w:pPr>
      <w:bookmarkStart w:id="15" w:name="_Toc428399215"/>
      <w:r w:rsidRPr="00053C90">
        <w:rPr>
          <w:lang w:val="en-US"/>
        </w:rPr>
        <w:t>Agency Theory</w:t>
      </w:r>
      <w:bookmarkEnd w:id="15"/>
      <w:r w:rsidRPr="00053C90">
        <w:rPr>
          <w:lang w:val="en-US"/>
        </w:rPr>
        <w:t xml:space="preserve"> </w:t>
      </w:r>
    </w:p>
    <w:p w:rsidR="001B062E" w:rsidRPr="00053C90" w:rsidRDefault="001B062E" w:rsidP="001B062E">
      <w:pPr>
        <w:spacing w:line="360" w:lineRule="auto"/>
        <w:rPr>
          <w:lang w:val="en-US"/>
        </w:rPr>
      </w:pPr>
      <w:r w:rsidRPr="00053C90">
        <w:rPr>
          <w:lang w:val="en-US"/>
        </w:rPr>
        <w:t xml:space="preserve">The theories where managers maximize personal wealth have their origin in the agency theory. Adam Smith wrote in his book the </w:t>
      </w:r>
      <w:r w:rsidRPr="00053C90">
        <w:rPr>
          <w:i/>
          <w:lang w:val="en-US"/>
        </w:rPr>
        <w:t>Wealth of Nations</w:t>
      </w:r>
      <w:r w:rsidRPr="00053C90">
        <w:rPr>
          <w:lang w:val="en-US"/>
        </w:rPr>
        <w:t xml:space="preserve"> (1776) that there will be a conflict of interest when managers deal with other people’s money rather than their own. This theory is developed by Jensen and Meckling (1976), who find that there </w:t>
      </w:r>
      <w:r w:rsidR="005E0828" w:rsidRPr="00053C90">
        <w:rPr>
          <w:lang w:val="en-US"/>
        </w:rPr>
        <w:t>is an</w:t>
      </w:r>
      <w:r w:rsidRPr="00053C90">
        <w:rPr>
          <w:lang w:val="en-US"/>
        </w:rPr>
        <w:t xml:space="preserve"> issue in how managers operate and manage a firm. Agency theory states that there are two different parties in the company. The principals (shareholders) who hire someone to do a certain job for them and the agents (managers) who are hired to do a certain job in return for a compensation. The problem with the agency theory is that people tend to act in their own best interest at the other party´s expense. Two motives, the empire building theory and hubris hypothesis are based on agency theory.</w:t>
      </w:r>
    </w:p>
    <w:p w:rsidR="001B062E" w:rsidRPr="00053C90" w:rsidRDefault="001B062E" w:rsidP="001B062E">
      <w:pPr>
        <w:pStyle w:val="TimesNewRoman"/>
        <w:rPr>
          <w:i/>
          <w:lang w:val="en-US"/>
        </w:rPr>
      </w:pPr>
      <w:r w:rsidRPr="00053C90">
        <w:rPr>
          <w:i/>
          <w:lang w:val="en-US"/>
        </w:rPr>
        <w:t>Empire Building Theory</w:t>
      </w: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The empire building theory is based on the notion that managers tries to build large “empires” through transaction</w:t>
      </w:r>
      <w:r w:rsidR="003C79FE" w:rsidRPr="00053C90">
        <w:rPr>
          <w:rFonts w:eastAsia="Times New Roman"/>
          <w:color w:val="222222"/>
          <w:szCs w:val="24"/>
          <w:lang w:val="en-US"/>
        </w:rPr>
        <w:t>s</w:t>
      </w:r>
      <w:r w:rsidRPr="00053C90">
        <w:rPr>
          <w:rFonts w:eastAsia="Times New Roman"/>
          <w:color w:val="222222"/>
          <w:szCs w:val="24"/>
          <w:lang w:val="en-US"/>
        </w:rPr>
        <w:t>, since the larger the empire is the more compensation the managers will receive (Trautwein, 1990). Large empires also entail that company is probably more diversified than a smaller company, this minimizes the chance that the manager will be removed or fired since the company will always be performing reasonably well (Firth, 1990). The problem for shareholders is that empire building can lead to investments that are not profitable and thereby not aligned with their interests.</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spacing w:after="0" w:line="360" w:lineRule="auto"/>
        <w:rPr>
          <w:rFonts w:eastAsia="Times New Roman"/>
          <w:i/>
          <w:color w:val="222222"/>
          <w:szCs w:val="24"/>
          <w:lang w:val="en-US"/>
        </w:rPr>
      </w:pPr>
      <w:r w:rsidRPr="00053C90">
        <w:rPr>
          <w:rFonts w:eastAsia="Times New Roman"/>
          <w:i/>
          <w:color w:val="222222"/>
          <w:szCs w:val="24"/>
          <w:lang w:val="en-US"/>
        </w:rPr>
        <w:t>Hubris Hypothesis</w:t>
      </w:r>
    </w:p>
    <w:p w:rsidR="003D5BF5" w:rsidRPr="00053C90" w:rsidRDefault="001B062E" w:rsidP="001B062E">
      <w:pPr>
        <w:spacing w:line="360" w:lineRule="auto"/>
        <w:rPr>
          <w:szCs w:val="24"/>
          <w:lang w:val="en-US"/>
        </w:rPr>
      </w:pPr>
      <w:r w:rsidRPr="00053C90">
        <w:rPr>
          <w:szCs w:val="24"/>
          <w:lang w:val="en-US"/>
        </w:rPr>
        <w:t>Another possible motive for transactions is presented by Roll (1986). This motive is called the hubris hypothesis and, like the empire building theory, is also a motive which is not aligned with the shareholders’ interests. Instead the managers focus on their own interest and to maximize their personal wealth. The hubris hypothesis is based on the idea that top management in the acquiring company believe them to have a more correct valuation of the target company than the market has, which leads to irrational decision making and paym</w:t>
      </w:r>
      <w:r w:rsidR="003D5BF5" w:rsidRPr="00053C90">
        <w:rPr>
          <w:szCs w:val="24"/>
          <w:lang w:val="en-US"/>
        </w:rPr>
        <w:t>ent premiums that is too high.</w:t>
      </w:r>
    </w:p>
    <w:p w:rsidR="001B062E" w:rsidRPr="00053C90" w:rsidRDefault="001B062E" w:rsidP="001B062E">
      <w:pPr>
        <w:spacing w:line="360" w:lineRule="auto"/>
        <w:rPr>
          <w:i/>
          <w:szCs w:val="24"/>
          <w:lang w:val="en-US"/>
        </w:rPr>
      </w:pPr>
      <w:r w:rsidRPr="00053C90">
        <w:rPr>
          <w:i/>
          <w:szCs w:val="24"/>
          <w:lang w:val="en-US"/>
        </w:rPr>
        <w:t>Relevance for this study</w:t>
      </w:r>
    </w:p>
    <w:p w:rsidR="001B062E" w:rsidRPr="00053C90" w:rsidRDefault="001B062E" w:rsidP="001B062E">
      <w:pPr>
        <w:spacing w:after="0" w:line="360" w:lineRule="auto"/>
        <w:rPr>
          <w:rFonts w:eastAsia="Times New Roman"/>
          <w:color w:val="222222"/>
          <w:szCs w:val="24"/>
          <w:lang w:val="en-US"/>
        </w:rPr>
      </w:pPr>
      <w:r w:rsidRPr="00053C90">
        <w:rPr>
          <w:szCs w:val="24"/>
          <w:lang w:val="en-US"/>
        </w:rPr>
        <w:t>It is important to understand that there are many different motives behind the decision to undertake M&amp;A</w:t>
      </w:r>
      <w:r w:rsidR="003C79FE" w:rsidRPr="00053C90">
        <w:rPr>
          <w:szCs w:val="24"/>
          <w:lang w:val="en-US"/>
        </w:rPr>
        <w:t>:s</w:t>
      </w:r>
      <w:r w:rsidRPr="00053C90">
        <w:rPr>
          <w:szCs w:val="24"/>
          <w:lang w:val="en-US"/>
        </w:rPr>
        <w:t xml:space="preserve"> and that not all motives are aligned with the shareholders’ interests. When managers act out of self-interest and try to build empires is an example of a situation where this occurs. The empire building theory could perhaps explain why the post-merger performance in many cases are poor on a long term.</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pStyle w:val="Heading3"/>
        <w:numPr>
          <w:ilvl w:val="2"/>
          <w:numId w:val="2"/>
        </w:numPr>
        <w:spacing w:line="360" w:lineRule="auto"/>
        <w:rPr>
          <w:lang w:val="en-US"/>
        </w:rPr>
      </w:pPr>
      <w:bookmarkStart w:id="16" w:name="_Toc428399216"/>
      <w:r w:rsidRPr="00053C90">
        <w:rPr>
          <w:lang w:val="en-US"/>
        </w:rPr>
        <w:t>Efficient Market Hypothesis</w:t>
      </w:r>
      <w:bookmarkEnd w:id="16"/>
    </w:p>
    <w:p w:rsidR="001B062E" w:rsidRPr="00053C90" w:rsidRDefault="001B062E" w:rsidP="001B062E">
      <w:pPr>
        <w:pStyle w:val="TimesNewRoman"/>
        <w:jc w:val="both"/>
        <w:rPr>
          <w:lang w:val="en-US"/>
        </w:rPr>
      </w:pPr>
      <w:r w:rsidRPr="00053C90">
        <w:rPr>
          <w:lang w:val="en-US"/>
        </w:rPr>
        <w:t>Eugene Fama developed a theory called efficient market hypothesis in 1970. In this hypothesis, Fama argues that a market is efficient if, at any given time, the stock price fully reflects all available information. The underlying assumptions in the market setting are that no transaction costs exist, there is no information asymmetry between market participants and all participants interpret the available information in the same way.</w:t>
      </w:r>
    </w:p>
    <w:p w:rsidR="001B062E" w:rsidRPr="00053C90" w:rsidRDefault="001B062E" w:rsidP="001B062E">
      <w:pPr>
        <w:pStyle w:val="TimesNewRoman"/>
        <w:jc w:val="both"/>
        <w:rPr>
          <w:lang w:val="en-US"/>
        </w:rPr>
      </w:pPr>
      <w:r w:rsidRPr="00053C90">
        <w:rPr>
          <w:lang w:val="en-US"/>
        </w:rPr>
        <w:t xml:space="preserve">Fama identifies three different types of market efficiency that differ in terms of how fast information is incorporated in the stock price. The three types are weak, semi strong and strong. </w:t>
      </w:r>
    </w:p>
    <w:p w:rsidR="001B062E" w:rsidRPr="00053C90" w:rsidRDefault="001B062E" w:rsidP="001B062E">
      <w:pPr>
        <w:pStyle w:val="TimesNewRoman"/>
        <w:rPr>
          <w:lang w:val="en-US"/>
        </w:rPr>
      </w:pPr>
      <w:r w:rsidRPr="00053C90">
        <w:rPr>
          <w:i/>
          <w:lang w:val="en-US"/>
        </w:rPr>
        <w:t>Weak Efficiency</w:t>
      </w:r>
      <w:r w:rsidRPr="00053C90">
        <w:rPr>
          <w:lang w:val="en-US"/>
        </w:rPr>
        <w:t xml:space="preserve"> </w:t>
      </w:r>
      <w:r w:rsidRPr="00053C90">
        <w:rPr>
          <w:lang w:val="en-US"/>
        </w:rPr>
        <w:br/>
        <w:t>If the market efficiency is weak, only historical data is incorporated in the stock price. This means that neither public nor private information about the corpo</w:t>
      </w:r>
      <w:r w:rsidR="00385BF9">
        <w:rPr>
          <w:lang w:val="en-US"/>
        </w:rPr>
        <w:t>ration is reflected immediately.</w:t>
      </w:r>
    </w:p>
    <w:p w:rsidR="001B062E" w:rsidRPr="00053C90" w:rsidRDefault="001B062E" w:rsidP="001B062E">
      <w:pPr>
        <w:pStyle w:val="TimesNewRoman"/>
        <w:rPr>
          <w:lang w:val="en-US"/>
        </w:rPr>
      </w:pPr>
      <w:r w:rsidRPr="00053C90">
        <w:rPr>
          <w:i/>
          <w:lang w:val="en-US"/>
        </w:rPr>
        <w:t>Semi Strong Efficiency</w:t>
      </w:r>
      <w:r w:rsidRPr="00053C90">
        <w:rPr>
          <w:i/>
          <w:lang w:val="en-US"/>
        </w:rPr>
        <w:br/>
      </w:r>
      <w:r w:rsidR="005E0828">
        <w:rPr>
          <w:lang w:val="en-US"/>
        </w:rPr>
        <w:t xml:space="preserve">A </w:t>
      </w:r>
      <w:r w:rsidRPr="00053C90">
        <w:rPr>
          <w:lang w:val="en-US"/>
        </w:rPr>
        <w:t xml:space="preserve">semi strong efficiency in the market is </w:t>
      </w:r>
      <w:r w:rsidR="005E0828" w:rsidRPr="00053C90">
        <w:rPr>
          <w:lang w:val="en-US"/>
        </w:rPr>
        <w:t>characterized</w:t>
      </w:r>
      <w:r w:rsidRPr="00053C90">
        <w:rPr>
          <w:lang w:val="en-US"/>
        </w:rPr>
        <w:t xml:space="preserve"> by public information, e.g. information in the annual report, and historical data is reflected in the stock price. Private information however, is not, which means that people with inside information about the company can trade, and gain returns on this information. </w:t>
      </w:r>
    </w:p>
    <w:p w:rsidR="001B062E" w:rsidRPr="00053C90" w:rsidRDefault="001B062E" w:rsidP="001B062E">
      <w:pPr>
        <w:pStyle w:val="TimesNewRoman"/>
        <w:rPr>
          <w:lang w:val="en-US"/>
        </w:rPr>
      </w:pPr>
      <w:r w:rsidRPr="00053C90">
        <w:rPr>
          <w:i/>
          <w:lang w:val="en-US"/>
        </w:rPr>
        <w:t>Strong Efficiency</w:t>
      </w:r>
      <w:r w:rsidRPr="00053C90">
        <w:rPr>
          <w:b/>
          <w:lang w:val="en-US"/>
        </w:rPr>
        <w:t xml:space="preserve"> </w:t>
      </w:r>
      <w:r w:rsidRPr="00053C90">
        <w:rPr>
          <w:b/>
          <w:lang w:val="en-US"/>
        </w:rPr>
        <w:br/>
      </w:r>
      <w:r w:rsidRPr="00053C90">
        <w:rPr>
          <w:lang w:val="en-US"/>
        </w:rPr>
        <w:t xml:space="preserve">In a market with strong efficiency, all information is reflected in the stock price. A strong market efficiency implies that no participants can earn an abnormal return based on historical data, public information or private information. </w:t>
      </w:r>
    </w:p>
    <w:p w:rsidR="001B062E" w:rsidRPr="00053C90" w:rsidRDefault="001B062E" w:rsidP="001B062E">
      <w:pPr>
        <w:spacing w:line="360" w:lineRule="auto"/>
        <w:rPr>
          <w:i/>
          <w:szCs w:val="24"/>
          <w:lang w:val="en-US"/>
        </w:rPr>
      </w:pPr>
      <w:r w:rsidRPr="00053C90">
        <w:rPr>
          <w:i/>
          <w:szCs w:val="24"/>
          <w:lang w:val="en-US"/>
        </w:rPr>
        <w:t xml:space="preserve">Criticism against efficient market hypothesis </w:t>
      </w:r>
    </w:p>
    <w:p w:rsidR="001B062E" w:rsidRPr="00053C90" w:rsidRDefault="005E0828" w:rsidP="001B062E">
      <w:pPr>
        <w:spacing w:line="360" w:lineRule="auto"/>
        <w:rPr>
          <w:szCs w:val="24"/>
          <w:lang w:val="en-US"/>
        </w:rPr>
      </w:pPr>
      <w:r w:rsidRPr="00053C90">
        <w:rPr>
          <w:szCs w:val="24"/>
          <w:lang w:val="en-US"/>
        </w:rPr>
        <w:t>Behavioral</w:t>
      </w:r>
      <w:r w:rsidR="001B062E" w:rsidRPr="00053C90">
        <w:rPr>
          <w:szCs w:val="24"/>
          <w:lang w:val="en-US"/>
        </w:rPr>
        <w:t xml:space="preserve"> finance is a field of study that stands in contrast to the efficient market hypothesis. Advocators of </w:t>
      </w:r>
      <w:r w:rsidRPr="00053C90">
        <w:rPr>
          <w:szCs w:val="24"/>
          <w:lang w:val="en-US"/>
        </w:rPr>
        <w:t>behavioral</w:t>
      </w:r>
      <w:r w:rsidR="001B062E" w:rsidRPr="00053C90">
        <w:rPr>
          <w:szCs w:val="24"/>
          <w:lang w:val="en-US"/>
        </w:rPr>
        <w:t xml:space="preserve"> finance challenge the idea that investors are rational at all times and includes psychological and sociological theories when studying finance (Shiller, 2003). The main notion of </w:t>
      </w:r>
      <w:r w:rsidRPr="00053C90">
        <w:rPr>
          <w:szCs w:val="24"/>
          <w:lang w:val="en-US"/>
        </w:rPr>
        <w:t>behavioral</w:t>
      </w:r>
      <w:r w:rsidR="001B062E" w:rsidRPr="00053C90">
        <w:rPr>
          <w:szCs w:val="24"/>
          <w:lang w:val="en-US"/>
        </w:rPr>
        <w:t xml:space="preserve"> finance is that markets are in fact not efficient and that investors </w:t>
      </w:r>
      <w:r w:rsidRPr="00053C90">
        <w:rPr>
          <w:szCs w:val="24"/>
          <w:lang w:val="en-US"/>
        </w:rPr>
        <w:t>behavior</w:t>
      </w:r>
      <w:r w:rsidR="001B062E" w:rsidRPr="00053C90">
        <w:rPr>
          <w:szCs w:val="24"/>
          <w:lang w:val="en-US"/>
        </w:rPr>
        <w:t xml:space="preserve"> is the reason for this. Shiller points out anomalies as support for this. </w:t>
      </w:r>
    </w:p>
    <w:p w:rsidR="001B062E" w:rsidRPr="00053C90" w:rsidRDefault="001B062E" w:rsidP="001B062E">
      <w:pPr>
        <w:pStyle w:val="TimesNewRoman"/>
        <w:rPr>
          <w:i/>
          <w:lang w:val="en-US"/>
        </w:rPr>
      </w:pPr>
      <w:r w:rsidRPr="00053C90">
        <w:rPr>
          <w:i/>
          <w:lang w:val="en-US"/>
        </w:rPr>
        <w:t>Relevance for this study</w:t>
      </w:r>
    </w:p>
    <w:p w:rsidR="001B062E" w:rsidRPr="00053C90" w:rsidRDefault="001B062E" w:rsidP="001B062E">
      <w:pPr>
        <w:pStyle w:val="TimesNewRoman"/>
        <w:rPr>
          <w:lang w:val="en-US"/>
        </w:rPr>
      </w:pPr>
      <w:r w:rsidRPr="00053C90">
        <w:rPr>
          <w:lang w:val="en-US"/>
        </w:rPr>
        <w:t xml:space="preserve">Applying this hypothesis to a merger and acquisition context, a strong market efficiency implies that companies involved in an M&amp;A are valued as separate firms by the market, and the potential premium the acquirer pays derives from the future presumed synergy effects. Systematic long term negative abnormal returns following a merger implies that the synergy effects are overestimated which suggests that the market is not efficient.   </w:t>
      </w:r>
    </w:p>
    <w:p w:rsidR="001B062E" w:rsidRPr="00053C90" w:rsidRDefault="001B062E" w:rsidP="003C79FE">
      <w:pPr>
        <w:pStyle w:val="Heading3"/>
        <w:numPr>
          <w:ilvl w:val="2"/>
          <w:numId w:val="2"/>
        </w:numPr>
        <w:spacing w:line="360" w:lineRule="auto"/>
        <w:rPr>
          <w:lang w:val="en-US"/>
        </w:rPr>
      </w:pPr>
      <w:bookmarkStart w:id="17" w:name="_Toc428399217"/>
      <w:r w:rsidRPr="00053C90">
        <w:rPr>
          <w:lang w:val="en-US"/>
        </w:rPr>
        <w:t>Asymmetric Information</w:t>
      </w:r>
      <w:bookmarkEnd w:id="17"/>
    </w:p>
    <w:p w:rsidR="001B062E" w:rsidRPr="00053C90" w:rsidRDefault="001B062E" w:rsidP="001B062E">
      <w:pPr>
        <w:spacing w:line="360" w:lineRule="auto"/>
        <w:rPr>
          <w:szCs w:val="24"/>
          <w:lang w:val="en-US"/>
        </w:rPr>
      </w:pPr>
      <w:r w:rsidRPr="00053C90">
        <w:rPr>
          <w:szCs w:val="24"/>
          <w:lang w:val="en-US"/>
        </w:rPr>
        <w:t xml:space="preserve">When one party holds more precise private information on the value of the good than another party a situation of information asymmetry arises. According to Wilson (1967), the party that is more informed has a much higher marginal expected return than the party that is uninformed. </w:t>
      </w:r>
    </w:p>
    <w:p w:rsidR="001B062E" w:rsidRPr="00053C90" w:rsidRDefault="001B062E" w:rsidP="001B062E">
      <w:pPr>
        <w:spacing w:line="360" w:lineRule="auto"/>
        <w:rPr>
          <w:szCs w:val="24"/>
          <w:lang w:val="en-US"/>
        </w:rPr>
      </w:pPr>
      <w:r w:rsidRPr="00053C90">
        <w:rPr>
          <w:szCs w:val="24"/>
          <w:lang w:val="en-US"/>
        </w:rPr>
        <w:t>Akerlof (1970) describes the phenomenon of asymmetric information on the used car market. In his example there are four types of cars; new and old, and both of these types can be either of good quality or bad quality (bad quality cars are mentioned as lemons). The owner of the car has more specific information about the quality of the car after owning it for a specific period of time than the rest of the market. This new information situation has led to information asymmetry between the sellers and the buyers. Since buyers have difficulties assessing the true value and quality of the used cars, lemons and good quality used cars trade at the same value. The owner of a good used car might assess the value of the used car to be the same as the new car, however, due to the existence of bad lemons in the used car market the buyers will expect the car to be of poorer quality than a new car. This will lead to owners of good used cars to not be willing to sell on the used car market since they will not receive the true value for the car, and this will further increase the likelihood and the expectance of cars being traded on the used car market to be of poorer quality. To summarize a viscous circle has arisen, where good quality cars are not being traded and only lemons are apparent in the used car market.</w:t>
      </w:r>
    </w:p>
    <w:p w:rsidR="001B062E" w:rsidRPr="00053C90" w:rsidRDefault="001B062E" w:rsidP="001B062E">
      <w:pPr>
        <w:spacing w:line="360" w:lineRule="auto"/>
        <w:rPr>
          <w:i/>
          <w:szCs w:val="24"/>
          <w:lang w:val="en-US"/>
        </w:rPr>
      </w:pPr>
      <w:r w:rsidRPr="00053C90">
        <w:rPr>
          <w:i/>
          <w:szCs w:val="24"/>
          <w:lang w:val="en-US"/>
        </w:rPr>
        <w:t>Relevance to our study</w:t>
      </w:r>
    </w:p>
    <w:p w:rsidR="001B062E" w:rsidRPr="00053C90" w:rsidRDefault="001B062E" w:rsidP="001B062E">
      <w:pPr>
        <w:spacing w:after="0" w:line="360" w:lineRule="auto"/>
        <w:rPr>
          <w:rFonts w:eastAsia="Times New Roman"/>
          <w:color w:val="222222"/>
          <w:szCs w:val="24"/>
          <w:lang w:val="en-US"/>
        </w:rPr>
      </w:pPr>
      <w:r w:rsidRPr="00053C90">
        <w:rPr>
          <w:rFonts w:eastAsia="Times New Roman"/>
          <w:color w:val="222222"/>
          <w:szCs w:val="24"/>
          <w:lang w:val="en-US"/>
        </w:rPr>
        <w:t xml:space="preserve">Information asymmetry is important to our study since it illustrates that there might be a difference in the perception in the value of the company from the market and the actual value that exists. Therefor successful mergers and acquisitions might not be seen as such from the market due to lack of information. </w:t>
      </w:r>
      <w:r w:rsidRPr="00053C90">
        <w:rPr>
          <w:lang w:val="en-US"/>
        </w:rPr>
        <w:t>Another relevant aspect is that a high degree of information asymmetry between the company and its stakeholders can lead to adverse selection. An increase in operating performance would send credible signals to the stakeholders, since this is a signal that is hard to mimic and thereby lower the information asymmetry and hen</w:t>
      </w:r>
      <w:r w:rsidR="003D5BF5" w:rsidRPr="00053C90">
        <w:rPr>
          <w:lang w:val="en-US"/>
        </w:rPr>
        <w:t>ce the adverse selection costs (Akerlof, 1970)</w:t>
      </w:r>
      <w:r w:rsidRPr="00053C90">
        <w:rPr>
          <w:lang w:val="en-US"/>
        </w:rPr>
        <w:t>. These signals would mainly be that the transaction was fairly successful, even if the stock has not performed well.</w:t>
      </w:r>
    </w:p>
    <w:p w:rsidR="001B062E" w:rsidRPr="00053C90" w:rsidRDefault="001B062E" w:rsidP="001B062E">
      <w:pPr>
        <w:spacing w:after="0" w:line="360" w:lineRule="auto"/>
        <w:rPr>
          <w:rFonts w:eastAsia="Times New Roman"/>
          <w:color w:val="222222"/>
          <w:szCs w:val="24"/>
          <w:lang w:val="en-US"/>
        </w:rPr>
      </w:pPr>
    </w:p>
    <w:p w:rsidR="001B062E" w:rsidRPr="00053C90" w:rsidRDefault="001B062E" w:rsidP="001B062E">
      <w:pPr>
        <w:pStyle w:val="Heading2"/>
        <w:numPr>
          <w:ilvl w:val="1"/>
          <w:numId w:val="2"/>
        </w:numPr>
        <w:rPr>
          <w:lang w:val="en-US"/>
        </w:rPr>
      </w:pPr>
      <w:bookmarkStart w:id="18" w:name="_Toc428399218"/>
      <w:r w:rsidRPr="00053C90">
        <w:rPr>
          <w:lang w:val="en-US"/>
        </w:rPr>
        <w:t>Earlier M&amp;A Studies</w:t>
      </w:r>
      <w:bookmarkEnd w:id="18"/>
    </w:p>
    <w:p w:rsidR="001B062E" w:rsidRPr="00053C90" w:rsidRDefault="001B062E" w:rsidP="001B062E">
      <w:pPr>
        <w:spacing w:line="360" w:lineRule="auto"/>
        <w:rPr>
          <w:lang w:val="en-US"/>
        </w:rPr>
      </w:pPr>
      <w:r w:rsidRPr="00053C90">
        <w:rPr>
          <w:lang w:val="en-US"/>
        </w:rPr>
        <w:t xml:space="preserve">M&amp;A is an area where a lot of studies </w:t>
      </w:r>
      <w:r w:rsidR="003C79FE" w:rsidRPr="00053C90">
        <w:rPr>
          <w:lang w:val="en-US"/>
        </w:rPr>
        <w:t>have</w:t>
      </w:r>
      <w:r w:rsidRPr="00053C90">
        <w:rPr>
          <w:lang w:val="en-US"/>
        </w:rPr>
        <w:t xml:space="preserve"> been condu</w:t>
      </w:r>
      <w:r w:rsidR="003C79FE" w:rsidRPr="00053C90">
        <w:rPr>
          <w:lang w:val="en-US"/>
        </w:rPr>
        <w:t>cted. This study will review</w:t>
      </w:r>
      <w:r w:rsidRPr="00053C90">
        <w:rPr>
          <w:lang w:val="en-US"/>
        </w:rPr>
        <w:t xml:space="preserve"> prior studies that examine long-term performance both when using stock performance and operating performance as measurements. Furthermore</w:t>
      </w:r>
      <w:r w:rsidR="003C79FE" w:rsidRPr="00053C90">
        <w:rPr>
          <w:lang w:val="en-US"/>
        </w:rPr>
        <w:t>,</w:t>
      </w:r>
      <w:r w:rsidRPr="00053C90">
        <w:rPr>
          <w:lang w:val="en-US"/>
        </w:rPr>
        <w:t xml:space="preserve"> studies that test different variables impact on performance will also be reviewed. </w:t>
      </w:r>
      <w:r w:rsidR="005E0828" w:rsidRPr="00053C90">
        <w:rPr>
          <w:lang w:val="en-US"/>
        </w:rPr>
        <w:t>Hypotheses for this study, based on prior research are</w:t>
      </w:r>
      <w:r w:rsidRPr="00053C90">
        <w:rPr>
          <w:lang w:val="en-US"/>
        </w:rPr>
        <w:t xml:space="preserve"> stipulated at the end of each section.</w:t>
      </w:r>
    </w:p>
    <w:p w:rsidR="001B062E" w:rsidRPr="00053C90" w:rsidRDefault="001B062E" w:rsidP="001B062E">
      <w:pPr>
        <w:pStyle w:val="Heading3"/>
        <w:numPr>
          <w:ilvl w:val="2"/>
          <w:numId w:val="2"/>
        </w:numPr>
        <w:rPr>
          <w:lang w:val="en-US"/>
        </w:rPr>
      </w:pPr>
      <w:bookmarkStart w:id="19" w:name="_Toc428399219"/>
      <w:r w:rsidRPr="00053C90">
        <w:rPr>
          <w:lang w:val="en-US"/>
        </w:rPr>
        <w:t>Long term stock performance</w:t>
      </w:r>
      <w:bookmarkEnd w:id="19"/>
      <w:r w:rsidRPr="00053C90">
        <w:rPr>
          <w:lang w:val="en-US"/>
        </w:rPr>
        <w:t xml:space="preserve"> </w:t>
      </w:r>
    </w:p>
    <w:p w:rsidR="001B062E" w:rsidRPr="00053C90" w:rsidRDefault="001B062E" w:rsidP="001B062E">
      <w:pPr>
        <w:spacing w:line="360" w:lineRule="auto"/>
        <w:rPr>
          <w:szCs w:val="24"/>
          <w:lang w:val="en-US"/>
        </w:rPr>
      </w:pPr>
      <w:r w:rsidRPr="00053C90">
        <w:rPr>
          <w:szCs w:val="24"/>
          <w:lang w:val="en-US"/>
        </w:rPr>
        <w:t>If a longer time perspective is adopted, the results are differen</w:t>
      </w:r>
      <w:r w:rsidR="003C79FE" w:rsidRPr="00053C90">
        <w:rPr>
          <w:szCs w:val="24"/>
          <w:lang w:val="en-US"/>
        </w:rPr>
        <w:t>t. Agrawal et al (1992) examine</w:t>
      </w:r>
      <w:r w:rsidRPr="00053C90">
        <w:rPr>
          <w:szCs w:val="24"/>
          <w:lang w:val="en-US"/>
        </w:rPr>
        <w:t xml:space="preserve"> long term post-merger performance. The mark</w:t>
      </w:r>
      <w:r w:rsidR="003C79FE" w:rsidRPr="00053C90">
        <w:rPr>
          <w:szCs w:val="24"/>
          <w:lang w:val="en-US"/>
        </w:rPr>
        <w:t>et setting where this study takes place is</w:t>
      </w:r>
      <w:r w:rsidRPr="00053C90">
        <w:rPr>
          <w:szCs w:val="24"/>
          <w:lang w:val="en-US"/>
        </w:rPr>
        <w:t xml:space="preserve"> the U</w:t>
      </w:r>
      <w:r w:rsidR="003C79FE" w:rsidRPr="00053C90">
        <w:rPr>
          <w:szCs w:val="24"/>
          <w:lang w:val="en-US"/>
        </w:rPr>
        <w:t>.</w:t>
      </w:r>
      <w:r w:rsidRPr="00053C90">
        <w:rPr>
          <w:szCs w:val="24"/>
          <w:lang w:val="en-US"/>
        </w:rPr>
        <w:t>S</w:t>
      </w:r>
      <w:r w:rsidR="003C79FE" w:rsidRPr="00053C90">
        <w:rPr>
          <w:szCs w:val="24"/>
          <w:lang w:val="en-US"/>
        </w:rPr>
        <w:t>. and the time frame</w:t>
      </w:r>
      <w:r w:rsidRPr="00053C90">
        <w:rPr>
          <w:szCs w:val="24"/>
          <w:lang w:val="en-US"/>
        </w:rPr>
        <w:t xml:space="preserve"> between 1955 and 1987. A methodology where a size </w:t>
      </w:r>
      <w:r w:rsidR="003C79FE" w:rsidRPr="00053C90">
        <w:rPr>
          <w:szCs w:val="24"/>
          <w:lang w:val="en-US"/>
        </w:rPr>
        <w:t>and beta adjusted portfolio is used and the results display</w:t>
      </w:r>
      <w:r w:rsidRPr="00053C90">
        <w:rPr>
          <w:szCs w:val="24"/>
          <w:lang w:val="en-US"/>
        </w:rPr>
        <w:t xml:space="preserve"> a loss of approximately 10% five years after a merg</w:t>
      </w:r>
      <w:r w:rsidR="003C79FE" w:rsidRPr="00053C90">
        <w:rPr>
          <w:szCs w:val="24"/>
          <w:lang w:val="en-US"/>
        </w:rPr>
        <w:t>er. Moreover, the authors test</w:t>
      </w:r>
      <w:r w:rsidRPr="00053C90">
        <w:rPr>
          <w:szCs w:val="24"/>
          <w:lang w:val="en-US"/>
        </w:rPr>
        <w:t xml:space="preserve"> the performance of each decade separately to investigate whether the market evolves and learns to value mergers more correctly. This wasn’t the case since underperformance occurred in the 1950s, the 1960s and the</w:t>
      </w:r>
      <w:r w:rsidR="009F601B" w:rsidRPr="00053C90">
        <w:rPr>
          <w:szCs w:val="24"/>
          <w:lang w:val="en-US"/>
        </w:rPr>
        <w:t xml:space="preserve"> </w:t>
      </w:r>
      <w:r w:rsidRPr="00053C90">
        <w:rPr>
          <w:szCs w:val="24"/>
          <w:lang w:val="en-US"/>
        </w:rPr>
        <w:t>1980s.</w:t>
      </w:r>
    </w:p>
    <w:p w:rsidR="001B062E" w:rsidRPr="00053C90" w:rsidRDefault="009F601B" w:rsidP="001B062E">
      <w:pPr>
        <w:spacing w:line="360" w:lineRule="auto"/>
        <w:rPr>
          <w:szCs w:val="24"/>
          <w:lang w:val="en-US"/>
        </w:rPr>
      </w:pPr>
      <w:r w:rsidRPr="00053C90">
        <w:rPr>
          <w:szCs w:val="24"/>
          <w:lang w:val="en-US"/>
        </w:rPr>
        <w:t>Loughran and Vijh (1997), come</w:t>
      </w:r>
      <w:r w:rsidR="001B062E" w:rsidRPr="00053C90">
        <w:rPr>
          <w:szCs w:val="24"/>
          <w:lang w:val="en-US"/>
        </w:rPr>
        <w:t xml:space="preserve"> to similar results as Agrawal et </w:t>
      </w:r>
      <w:r w:rsidRPr="00053C90">
        <w:rPr>
          <w:szCs w:val="24"/>
          <w:lang w:val="en-US"/>
        </w:rPr>
        <w:t>al (1992), when they   perform</w:t>
      </w:r>
      <w:r w:rsidR="001B062E" w:rsidRPr="00053C90">
        <w:rPr>
          <w:szCs w:val="24"/>
          <w:lang w:val="en-US"/>
        </w:rPr>
        <w:t xml:space="preserve"> a study in an U.S. </w:t>
      </w:r>
      <w:r w:rsidRPr="00053C90">
        <w:rPr>
          <w:szCs w:val="24"/>
          <w:lang w:val="en-US"/>
        </w:rPr>
        <w:t xml:space="preserve">market </w:t>
      </w:r>
      <w:r w:rsidR="001B062E" w:rsidRPr="00053C90">
        <w:rPr>
          <w:szCs w:val="24"/>
          <w:lang w:val="en-US"/>
        </w:rPr>
        <w:t>setting during 1970-1980. By using a b</w:t>
      </w:r>
      <w:r w:rsidRPr="00053C90">
        <w:rPr>
          <w:szCs w:val="24"/>
          <w:lang w:val="en-US"/>
        </w:rPr>
        <w:t>uy and hold method they obtain</w:t>
      </w:r>
      <w:r w:rsidR="005E0828">
        <w:rPr>
          <w:szCs w:val="24"/>
          <w:lang w:val="en-US"/>
        </w:rPr>
        <w:t xml:space="preserve"> results of -15.</w:t>
      </w:r>
      <w:r w:rsidR="001B062E" w:rsidRPr="00053C90">
        <w:rPr>
          <w:szCs w:val="24"/>
          <w:lang w:val="en-US"/>
        </w:rPr>
        <w:t>9% in 60 months after a merger and no significant negative abnormal returns in 60 months after a tender offer</w:t>
      </w:r>
      <w:r w:rsidR="001B062E" w:rsidRPr="00053C90">
        <w:rPr>
          <w:rStyle w:val="FootnoteReference"/>
          <w:szCs w:val="24"/>
          <w:lang w:val="en-US"/>
        </w:rPr>
        <w:footnoteReference w:id="1"/>
      </w:r>
      <w:r w:rsidRPr="00053C90">
        <w:rPr>
          <w:szCs w:val="24"/>
          <w:lang w:val="en-US"/>
        </w:rPr>
        <w:t>. The researchers also examine</w:t>
      </w:r>
      <w:r w:rsidR="001B062E" w:rsidRPr="00053C90">
        <w:rPr>
          <w:szCs w:val="24"/>
          <w:lang w:val="en-US"/>
        </w:rPr>
        <w:t xml:space="preserve"> the size of the target re</w:t>
      </w:r>
      <w:r w:rsidRPr="00053C90">
        <w:rPr>
          <w:szCs w:val="24"/>
          <w:lang w:val="en-US"/>
        </w:rPr>
        <w:t>lative to the acquirer and find</w:t>
      </w:r>
      <w:r w:rsidR="001B062E" w:rsidRPr="00053C90">
        <w:rPr>
          <w:szCs w:val="24"/>
          <w:lang w:val="en-US"/>
        </w:rPr>
        <w:t xml:space="preserve"> that the returns tend to decrease when the relative size of the target increases. </w:t>
      </w:r>
    </w:p>
    <w:p w:rsidR="001B062E" w:rsidRPr="00053C90" w:rsidRDefault="001B062E" w:rsidP="001B062E">
      <w:pPr>
        <w:spacing w:line="360" w:lineRule="auto"/>
        <w:rPr>
          <w:szCs w:val="24"/>
          <w:lang w:val="en-US"/>
        </w:rPr>
      </w:pPr>
      <w:r w:rsidRPr="00053C90">
        <w:rPr>
          <w:szCs w:val="24"/>
          <w:lang w:val="en-US"/>
        </w:rPr>
        <w:t>Rau and Vermaelen (1998) st</w:t>
      </w:r>
      <w:r w:rsidR="009F601B" w:rsidRPr="00053C90">
        <w:rPr>
          <w:szCs w:val="24"/>
          <w:lang w:val="en-US"/>
        </w:rPr>
        <w:t>udy</w:t>
      </w:r>
      <w:r w:rsidRPr="00053C90">
        <w:rPr>
          <w:szCs w:val="24"/>
          <w:lang w:val="en-US"/>
        </w:rPr>
        <w:t xml:space="preserve"> the long run performance of acquirers and the determinants of the performance. </w:t>
      </w:r>
      <w:bookmarkStart w:id="20" w:name="OLE_LINK1"/>
      <w:r w:rsidR="009F601B" w:rsidRPr="00053C90">
        <w:rPr>
          <w:szCs w:val="24"/>
          <w:lang w:val="en-US"/>
        </w:rPr>
        <w:t>They do</w:t>
      </w:r>
      <w:r w:rsidRPr="00053C90">
        <w:rPr>
          <w:szCs w:val="24"/>
          <w:lang w:val="en-US"/>
        </w:rPr>
        <w:t xml:space="preserve"> so by using a model that first adjusts for size and market</w:t>
      </w:r>
      <w:r w:rsidR="009F601B" w:rsidRPr="00053C90">
        <w:rPr>
          <w:szCs w:val="24"/>
          <w:lang w:val="en-US"/>
        </w:rPr>
        <w:t xml:space="preserve"> to book value and then compare</w:t>
      </w:r>
      <w:r w:rsidRPr="00053C90">
        <w:rPr>
          <w:szCs w:val="24"/>
          <w:lang w:val="en-US"/>
        </w:rPr>
        <w:t xml:space="preserve"> the returns with a reference </w:t>
      </w:r>
      <w:r w:rsidR="009F601B" w:rsidRPr="00053C90">
        <w:rPr>
          <w:szCs w:val="24"/>
          <w:lang w:val="en-US"/>
        </w:rPr>
        <w:t>portfolio. The researchers find</w:t>
      </w:r>
      <w:r w:rsidRPr="00053C90">
        <w:rPr>
          <w:szCs w:val="24"/>
          <w:lang w:val="en-US"/>
        </w:rPr>
        <w:t xml:space="preserve"> that acquirers earn negative abnormal returns over a period of three years after a merger</w:t>
      </w:r>
      <w:r w:rsidR="009F601B" w:rsidRPr="00053C90">
        <w:rPr>
          <w:szCs w:val="24"/>
          <w:lang w:val="en-US"/>
        </w:rPr>
        <w:t xml:space="preserve"> and that firms with low market-to-</w:t>
      </w:r>
      <w:r w:rsidRPr="00053C90">
        <w:rPr>
          <w:szCs w:val="24"/>
          <w:lang w:val="en-US"/>
        </w:rPr>
        <w:t xml:space="preserve">book </w:t>
      </w:r>
      <w:r w:rsidR="009F601B" w:rsidRPr="00053C90">
        <w:rPr>
          <w:szCs w:val="24"/>
          <w:lang w:val="en-US"/>
        </w:rPr>
        <w:t xml:space="preserve">ratio </w:t>
      </w:r>
      <w:r w:rsidRPr="00053C90">
        <w:rPr>
          <w:szCs w:val="24"/>
          <w:lang w:val="en-US"/>
        </w:rPr>
        <w:t xml:space="preserve">tend to </w:t>
      </w:r>
      <w:r w:rsidR="009F601B" w:rsidRPr="00053C90">
        <w:rPr>
          <w:szCs w:val="24"/>
          <w:lang w:val="en-US"/>
        </w:rPr>
        <w:t>outperform firms with high market-to-</w:t>
      </w:r>
      <w:r w:rsidRPr="00053C90">
        <w:rPr>
          <w:szCs w:val="24"/>
          <w:lang w:val="en-US"/>
        </w:rPr>
        <w:t>book</w:t>
      </w:r>
      <w:r w:rsidR="009F601B" w:rsidRPr="00053C90">
        <w:rPr>
          <w:szCs w:val="24"/>
          <w:lang w:val="en-US"/>
        </w:rPr>
        <w:t xml:space="preserve"> ratio</w:t>
      </w:r>
      <w:r w:rsidRPr="00053C90">
        <w:rPr>
          <w:szCs w:val="24"/>
          <w:lang w:val="en-US"/>
        </w:rPr>
        <w:t xml:space="preserve">. Another contribution of the study is findings that </w:t>
      </w:r>
      <w:r w:rsidR="005E0828" w:rsidRPr="00053C90">
        <w:rPr>
          <w:szCs w:val="24"/>
          <w:lang w:val="en-US"/>
        </w:rPr>
        <w:t>acquirers in tender offers earn</w:t>
      </w:r>
      <w:r w:rsidRPr="00053C90">
        <w:rPr>
          <w:szCs w:val="24"/>
          <w:lang w:val="en-US"/>
        </w:rPr>
        <w:t xml:space="preserve"> a significant positive abnormal return of 9% on average</w:t>
      </w:r>
      <w:bookmarkEnd w:id="20"/>
      <w:r w:rsidRPr="00053C90">
        <w:rPr>
          <w:szCs w:val="24"/>
          <w:lang w:val="en-US"/>
        </w:rPr>
        <w:t xml:space="preserve">. </w:t>
      </w:r>
    </w:p>
    <w:p w:rsidR="001B062E" w:rsidRPr="00053C90" w:rsidRDefault="001B062E" w:rsidP="001B062E">
      <w:pPr>
        <w:spacing w:line="360" w:lineRule="auto"/>
        <w:rPr>
          <w:szCs w:val="24"/>
          <w:lang w:val="en-US"/>
        </w:rPr>
      </w:pPr>
      <w:r w:rsidRPr="00053C90">
        <w:rPr>
          <w:szCs w:val="24"/>
          <w:lang w:val="en-US"/>
        </w:rPr>
        <w:t>Most studies are performed on a US market, Dutta an</w:t>
      </w:r>
      <w:r w:rsidR="009F601B" w:rsidRPr="00053C90">
        <w:rPr>
          <w:szCs w:val="24"/>
          <w:lang w:val="en-US"/>
        </w:rPr>
        <w:t>d Jog (2009), however, conduct</w:t>
      </w:r>
      <w:r w:rsidRPr="00053C90">
        <w:rPr>
          <w:szCs w:val="24"/>
          <w:lang w:val="en-US"/>
        </w:rPr>
        <w:t xml:space="preserve"> a study of the long term performance of acquiring firms in the Canadia</w:t>
      </w:r>
      <w:r w:rsidR="009F601B" w:rsidRPr="00053C90">
        <w:rPr>
          <w:szCs w:val="24"/>
          <w:lang w:val="en-US"/>
        </w:rPr>
        <w:t xml:space="preserve">n market. Their </w:t>
      </w:r>
      <w:r w:rsidR="005E0828" w:rsidRPr="00053C90">
        <w:rPr>
          <w:szCs w:val="24"/>
          <w:lang w:val="en-US"/>
        </w:rPr>
        <w:t>sample consists</w:t>
      </w:r>
      <w:r w:rsidRPr="00053C90">
        <w:rPr>
          <w:szCs w:val="24"/>
          <w:lang w:val="en-US"/>
        </w:rPr>
        <w:t xml:space="preserve"> of 1300 acquisitions during a period between 1993 and 2002</w:t>
      </w:r>
      <w:r w:rsidR="009F601B" w:rsidRPr="00053C90">
        <w:rPr>
          <w:szCs w:val="24"/>
          <w:lang w:val="en-US"/>
        </w:rPr>
        <w:t xml:space="preserve">. The buy and hold strategy is </w:t>
      </w:r>
      <w:r w:rsidRPr="00053C90">
        <w:rPr>
          <w:szCs w:val="24"/>
          <w:lang w:val="en-US"/>
        </w:rPr>
        <w:t>used as to calcu</w:t>
      </w:r>
      <w:r w:rsidR="009F601B" w:rsidRPr="00053C90">
        <w:rPr>
          <w:szCs w:val="24"/>
          <w:lang w:val="en-US"/>
        </w:rPr>
        <w:t>late returns, these returns are</w:t>
      </w:r>
      <w:r w:rsidRPr="00053C90">
        <w:rPr>
          <w:szCs w:val="24"/>
          <w:lang w:val="en-US"/>
        </w:rPr>
        <w:t xml:space="preserve"> then compared to a reference portfolio to</w:t>
      </w:r>
      <w:r w:rsidR="009F601B" w:rsidRPr="00053C90">
        <w:rPr>
          <w:szCs w:val="24"/>
          <w:lang w:val="en-US"/>
        </w:rPr>
        <w:t xml:space="preserve"> examine if abnormal returns is</w:t>
      </w:r>
      <w:r w:rsidRPr="00053C90">
        <w:rPr>
          <w:szCs w:val="24"/>
          <w:lang w:val="en-US"/>
        </w:rPr>
        <w:t xml:space="preserve"> obtained on a period of 1-3 years. Contrary to many studies performed on the US market, the researchers find no significant negative abnormal returns. Dutta and Jog</w:t>
      </w:r>
      <w:r w:rsidR="009F601B" w:rsidRPr="00053C90">
        <w:rPr>
          <w:szCs w:val="24"/>
          <w:lang w:val="en-US"/>
        </w:rPr>
        <w:t xml:space="preserve"> (2009) argue</w:t>
      </w:r>
      <w:r w:rsidRPr="00053C90">
        <w:rPr>
          <w:szCs w:val="24"/>
          <w:lang w:val="en-US"/>
        </w:rPr>
        <w:t xml:space="preserve"> that this can be due to two reasons. First, there are differences in the regulatory and capital market environment between the US and Canada which can account for different results and secondly, usage of a more appropriate methodologies and benchmark firms they used.  Based on the results of a majority of the research within this area leads to the following hypothesis:</w:t>
      </w:r>
    </w:p>
    <w:p w:rsidR="001B062E" w:rsidRPr="00053C90" w:rsidRDefault="001B062E" w:rsidP="001B062E">
      <w:pPr>
        <w:spacing w:line="360" w:lineRule="auto"/>
        <w:rPr>
          <w:i/>
          <w:szCs w:val="24"/>
          <w:lang w:val="en-US"/>
        </w:rPr>
      </w:pPr>
      <w:r w:rsidRPr="00053C90">
        <w:rPr>
          <w:i/>
          <w:szCs w:val="24"/>
          <w:lang w:val="en-US"/>
        </w:rPr>
        <w:t>Hypothesis 1: Long term abnormal returns are negat</w:t>
      </w:r>
      <w:r w:rsidR="00F0273C" w:rsidRPr="00053C90">
        <w:rPr>
          <w:i/>
          <w:szCs w:val="24"/>
          <w:lang w:val="en-US"/>
        </w:rPr>
        <w:t xml:space="preserve">ive following a transaction. </w:t>
      </w:r>
    </w:p>
    <w:p w:rsidR="001B062E" w:rsidRDefault="001B062E" w:rsidP="001B062E">
      <w:pPr>
        <w:spacing w:line="360" w:lineRule="auto"/>
        <w:rPr>
          <w:szCs w:val="24"/>
          <w:lang w:val="en-US"/>
        </w:rPr>
      </w:pPr>
      <w:r w:rsidRPr="00053C90">
        <w:rPr>
          <w:szCs w:val="24"/>
          <w:lang w:val="en-US"/>
        </w:rPr>
        <w:t xml:space="preserve">Below a summary of the relevant previous studies within long term stock performance is presented. </w:t>
      </w: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62387A" w:rsidRDefault="0062387A" w:rsidP="001B062E">
      <w:pPr>
        <w:spacing w:line="360" w:lineRule="auto"/>
        <w:rPr>
          <w:szCs w:val="24"/>
          <w:lang w:val="en-US"/>
        </w:rPr>
      </w:pPr>
    </w:p>
    <w:p w:rsidR="00191C3E" w:rsidRDefault="00191C3E" w:rsidP="001B062E">
      <w:pPr>
        <w:spacing w:line="360" w:lineRule="auto"/>
        <w:rPr>
          <w:szCs w:val="24"/>
          <w:lang w:val="en-US"/>
        </w:rPr>
      </w:pPr>
    </w:p>
    <w:p w:rsidR="00191C3E" w:rsidRDefault="00191C3E" w:rsidP="001B062E">
      <w:pPr>
        <w:spacing w:line="360" w:lineRule="auto"/>
        <w:rPr>
          <w:szCs w:val="24"/>
          <w:lang w:val="en-US"/>
        </w:rPr>
      </w:pPr>
    </w:p>
    <w:p w:rsidR="0062387A" w:rsidRDefault="0062387A" w:rsidP="001B062E">
      <w:pPr>
        <w:spacing w:line="360" w:lineRule="auto"/>
        <w:rPr>
          <w:szCs w:val="24"/>
          <w:lang w:val="en-US"/>
        </w:rPr>
      </w:pPr>
    </w:p>
    <w:p w:rsidR="00A652CD" w:rsidRPr="00A652CD" w:rsidRDefault="00A652CD" w:rsidP="00A652CD">
      <w:pPr>
        <w:spacing w:line="360" w:lineRule="auto"/>
        <w:jc w:val="center"/>
        <w:rPr>
          <w:i/>
          <w:sz w:val="20"/>
          <w:szCs w:val="20"/>
          <w:lang w:val="en-US"/>
        </w:rPr>
      </w:pPr>
      <w:r w:rsidRPr="00053C90">
        <w:rPr>
          <w:i/>
          <w:sz w:val="20"/>
          <w:szCs w:val="20"/>
          <w:lang w:val="en-US"/>
        </w:rPr>
        <w:t>Table 2.1: Summary of previous long-term stock performance studies.</w:t>
      </w:r>
    </w:p>
    <w:tbl>
      <w:tblPr>
        <w:tblW w:w="10180" w:type="dxa"/>
        <w:jc w:val="center"/>
        <w:tblLook w:val="04A0" w:firstRow="1" w:lastRow="0" w:firstColumn="1" w:lastColumn="0" w:noHBand="0" w:noVBand="1"/>
      </w:tblPr>
      <w:tblGrid>
        <w:gridCol w:w="1571"/>
        <w:gridCol w:w="1348"/>
        <w:gridCol w:w="2317"/>
        <w:gridCol w:w="1012"/>
        <w:gridCol w:w="3932"/>
      </w:tblGrid>
      <w:tr w:rsidR="001B062E" w:rsidRPr="00053C90" w:rsidTr="0002738A">
        <w:trPr>
          <w:trHeight w:val="499"/>
          <w:jc w:val="center"/>
        </w:trPr>
        <w:tc>
          <w:tcPr>
            <w:tcW w:w="0" w:type="auto"/>
            <w:tcBorders>
              <w:top w:val="single" w:sz="4" w:space="0" w:color="9BC2E6"/>
              <w:left w:val="single" w:sz="4" w:space="0" w:color="9BC2E6"/>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Study</w:t>
            </w:r>
          </w:p>
        </w:tc>
        <w:tc>
          <w:tcPr>
            <w:tcW w:w="0" w:type="auto"/>
            <w:tcBorders>
              <w:top w:val="single" w:sz="4" w:space="0" w:color="9BC2E6"/>
              <w:left w:val="nil"/>
              <w:bottom w:val="single" w:sz="4" w:space="0" w:color="9BC2E6"/>
              <w:right w:val="nil"/>
            </w:tcBorders>
            <w:shd w:val="clear" w:color="5B9BD5" w:fill="5B9BD5"/>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Market</w:t>
            </w:r>
          </w:p>
        </w:tc>
        <w:tc>
          <w:tcPr>
            <w:tcW w:w="0" w:type="auto"/>
            <w:tcBorders>
              <w:top w:val="single" w:sz="4" w:space="0" w:color="9BC2E6"/>
              <w:left w:val="nil"/>
              <w:bottom w:val="single" w:sz="4" w:space="0" w:color="9BC2E6"/>
              <w:right w:val="nil"/>
            </w:tcBorders>
            <w:shd w:val="clear" w:color="5B9BD5" w:fill="5B9BD5"/>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Methodology</w:t>
            </w:r>
          </w:p>
        </w:tc>
        <w:tc>
          <w:tcPr>
            <w:tcW w:w="0" w:type="auto"/>
            <w:tcBorders>
              <w:top w:val="single" w:sz="4" w:space="0" w:color="9BC2E6"/>
              <w:left w:val="nil"/>
              <w:bottom w:val="single" w:sz="4" w:space="0" w:color="9BC2E6"/>
              <w:right w:val="nil"/>
            </w:tcBorders>
            <w:shd w:val="clear" w:color="5B9BD5" w:fill="5B9BD5"/>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Time period</w:t>
            </w:r>
          </w:p>
        </w:tc>
        <w:tc>
          <w:tcPr>
            <w:tcW w:w="3932" w:type="dxa"/>
            <w:tcBorders>
              <w:top w:val="single" w:sz="4" w:space="0" w:color="9BC2E6"/>
              <w:left w:val="nil"/>
              <w:bottom w:val="single" w:sz="4" w:space="0" w:color="9BC2E6"/>
              <w:right w:val="single" w:sz="4" w:space="0" w:color="9BC2E6"/>
            </w:tcBorders>
            <w:shd w:val="clear" w:color="5B9BD5" w:fill="5B9BD5"/>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Results</w:t>
            </w:r>
          </w:p>
        </w:tc>
      </w:tr>
      <w:tr w:rsidR="001B062E" w:rsidRPr="00286008" w:rsidTr="0002738A">
        <w:trPr>
          <w:trHeight w:val="1206"/>
          <w:jc w:val="center"/>
        </w:trPr>
        <w:tc>
          <w:tcPr>
            <w:tcW w:w="0" w:type="auto"/>
            <w:tcBorders>
              <w:top w:val="single" w:sz="4" w:space="0" w:color="9BC2E6"/>
              <w:left w:val="single" w:sz="4" w:space="0" w:color="9BC2E6"/>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Agrawal. Et al (1992)</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US-market</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BHAR, Size and beta adjusted portfolio</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1955-1987</w:t>
            </w:r>
          </w:p>
        </w:tc>
        <w:tc>
          <w:tcPr>
            <w:tcW w:w="3932"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 xml:space="preserve"> -10.26% Significant abnormal return for mergers in 60 months; No significant abnormal return for tender offers</w:t>
            </w:r>
          </w:p>
        </w:tc>
      </w:tr>
      <w:tr w:rsidR="001B062E" w:rsidRPr="00286008" w:rsidTr="0002738A">
        <w:trPr>
          <w:trHeight w:val="779"/>
          <w:jc w:val="center"/>
        </w:trPr>
        <w:tc>
          <w:tcPr>
            <w:tcW w:w="0" w:type="auto"/>
            <w:tcBorders>
              <w:top w:val="single" w:sz="4" w:space="0" w:color="9BC2E6"/>
              <w:left w:val="single" w:sz="4" w:space="0" w:color="9BC2E6"/>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Loughran &amp; Vijh (1997)</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US-market</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BHAR, BV/MV adjustment)</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1970-1989</w:t>
            </w:r>
          </w:p>
        </w:tc>
        <w:tc>
          <w:tcPr>
            <w:tcW w:w="3932"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 xml:space="preserve"> - 15.4% significant abnormal return for mergers in 60 months</w:t>
            </w:r>
          </w:p>
        </w:tc>
      </w:tr>
      <w:tr w:rsidR="001B062E" w:rsidRPr="00286008" w:rsidTr="0002738A">
        <w:trPr>
          <w:trHeight w:val="1389"/>
          <w:jc w:val="center"/>
        </w:trPr>
        <w:tc>
          <w:tcPr>
            <w:tcW w:w="0" w:type="auto"/>
            <w:tcBorders>
              <w:top w:val="single" w:sz="4" w:space="0" w:color="9BC2E6"/>
              <w:left w:val="single" w:sz="4" w:space="0" w:color="9BC2E6"/>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Rau &amp; Vermaelen (1998)</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US-market</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BHAR, Control portfolio with size and BV/MV</w:t>
            </w:r>
            <w:r w:rsidRPr="00053C90">
              <w:rPr>
                <w:rFonts w:eastAsia="Times New Roman"/>
                <w:color w:val="000000"/>
                <w:szCs w:val="24"/>
                <w:lang w:val="en-US"/>
              </w:rPr>
              <w:br/>
              <w:t>adjustments</w:t>
            </w:r>
          </w:p>
        </w:tc>
        <w:tc>
          <w:tcPr>
            <w:tcW w:w="0" w:type="auto"/>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1980-1991</w:t>
            </w:r>
          </w:p>
        </w:tc>
        <w:tc>
          <w:tcPr>
            <w:tcW w:w="3932"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 xml:space="preserve"> -4% Significant abnormal return after transactions in</w:t>
            </w:r>
            <w:r w:rsidRPr="00053C90">
              <w:rPr>
                <w:rFonts w:eastAsia="Times New Roman"/>
                <w:color w:val="000000"/>
                <w:szCs w:val="24"/>
                <w:lang w:val="en-US"/>
              </w:rPr>
              <w:br/>
              <w:t>36 months; +8.56% significant abnormal return</w:t>
            </w:r>
            <w:r w:rsidRPr="00053C90">
              <w:rPr>
                <w:rFonts w:eastAsia="Times New Roman"/>
                <w:color w:val="000000"/>
                <w:szCs w:val="24"/>
                <w:lang w:val="en-US"/>
              </w:rPr>
              <w:br/>
              <w:t>for tender offers</w:t>
            </w:r>
          </w:p>
        </w:tc>
      </w:tr>
      <w:tr w:rsidR="001B062E" w:rsidRPr="00053C90" w:rsidTr="0002738A">
        <w:trPr>
          <w:trHeight w:val="953"/>
          <w:jc w:val="center"/>
        </w:trPr>
        <w:tc>
          <w:tcPr>
            <w:tcW w:w="0" w:type="auto"/>
            <w:tcBorders>
              <w:top w:val="single" w:sz="4" w:space="0" w:color="9BC2E6"/>
              <w:left w:val="single" w:sz="4" w:space="0" w:color="9BC2E6"/>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Dutta &amp; Jog (2009)</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Canadian-market</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BHAR, Both control firms and reference portfolio</w:t>
            </w:r>
          </w:p>
        </w:tc>
        <w:tc>
          <w:tcPr>
            <w:tcW w:w="0" w:type="auto"/>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1993-2002</w:t>
            </w:r>
          </w:p>
        </w:tc>
        <w:tc>
          <w:tcPr>
            <w:tcW w:w="3932"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Insignificant results</w:t>
            </w:r>
          </w:p>
        </w:tc>
      </w:tr>
    </w:tbl>
    <w:p w:rsidR="001B062E" w:rsidRPr="00053C90" w:rsidRDefault="001B062E" w:rsidP="001B062E">
      <w:pPr>
        <w:spacing w:line="360" w:lineRule="auto"/>
        <w:rPr>
          <w:szCs w:val="24"/>
          <w:lang w:val="en-US"/>
        </w:rPr>
      </w:pPr>
    </w:p>
    <w:p w:rsidR="001B062E" w:rsidRPr="00053C90" w:rsidRDefault="001B062E" w:rsidP="001B062E">
      <w:pPr>
        <w:pStyle w:val="Heading3"/>
        <w:numPr>
          <w:ilvl w:val="2"/>
          <w:numId w:val="2"/>
        </w:numPr>
        <w:rPr>
          <w:lang w:val="en-US"/>
        </w:rPr>
      </w:pPr>
      <w:bookmarkStart w:id="21" w:name="_Toc428399220"/>
      <w:r w:rsidRPr="00053C90">
        <w:rPr>
          <w:lang w:val="en-US"/>
        </w:rPr>
        <w:t>Long term operating performance</w:t>
      </w:r>
      <w:bookmarkEnd w:id="21"/>
    </w:p>
    <w:p w:rsidR="001B062E" w:rsidRPr="00053C90" w:rsidRDefault="009F601B" w:rsidP="001B062E">
      <w:pPr>
        <w:spacing w:line="360" w:lineRule="auto"/>
        <w:rPr>
          <w:szCs w:val="24"/>
          <w:lang w:val="en-US"/>
        </w:rPr>
      </w:pPr>
      <w:r w:rsidRPr="00053C90">
        <w:rPr>
          <w:szCs w:val="24"/>
          <w:lang w:val="en-US"/>
        </w:rPr>
        <w:t>Healy et al (1992) take</w:t>
      </w:r>
      <w:r w:rsidR="001B062E" w:rsidRPr="00053C90">
        <w:rPr>
          <w:szCs w:val="24"/>
          <w:lang w:val="en-US"/>
        </w:rPr>
        <w:t xml:space="preserve"> a different perspective than most other studies on the topic of post-acquisition perf</w:t>
      </w:r>
      <w:r w:rsidRPr="00053C90">
        <w:rPr>
          <w:szCs w:val="24"/>
          <w:lang w:val="en-US"/>
        </w:rPr>
        <w:t>ormance when they examine</w:t>
      </w:r>
      <w:r w:rsidR="001B062E" w:rsidRPr="00053C90">
        <w:rPr>
          <w:szCs w:val="24"/>
          <w:lang w:val="en-US"/>
        </w:rPr>
        <w:t xml:space="preserve"> the post-acquisition performance of 50 U.S mergers in 1979-1984. Instead of evaluating stock price perfor</w:t>
      </w:r>
      <w:r w:rsidRPr="00053C90">
        <w:rPr>
          <w:szCs w:val="24"/>
          <w:lang w:val="en-US"/>
        </w:rPr>
        <w:t>mance, the researchers evaluate and compare</w:t>
      </w:r>
      <w:r w:rsidR="001B062E" w:rsidRPr="00053C90">
        <w:rPr>
          <w:szCs w:val="24"/>
          <w:lang w:val="en-US"/>
        </w:rPr>
        <w:t xml:space="preserve"> the changes in operati</w:t>
      </w:r>
      <w:r w:rsidRPr="00053C90">
        <w:rPr>
          <w:szCs w:val="24"/>
          <w:lang w:val="en-US"/>
        </w:rPr>
        <w:t>ng cash flow. Healy et al</w:t>
      </w:r>
      <w:r w:rsidR="00B610F9" w:rsidRPr="00053C90">
        <w:rPr>
          <w:szCs w:val="24"/>
          <w:lang w:val="en-US"/>
        </w:rPr>
        <w:t xml:space="preserve"> (1992)</w:t>
      </w:r>
      <w:r w:rsidRPr="00053C90">
        <w:rPr>
          <w:szCs w:val="24"/>
          <w:lang w:val="en-US"/>
        </w:rPr>
        <w:t xml:space="preserve"> argue</w:t>
      </w:r>
      <w:r w:rsidR="001B062E" w:rsidRPr="00053C90">
        <w:rPr>
          <w:szCs w:val="24"/>
          <w:lang w:val="en-US"/>
        </w:rPr>
        <w:t xml:space="preserve"> that using stock performance as a measure does not</w:t>
      </w:r>
      <w:r w:rsidRPr="00053C90">
        <w:rPr>
          <w:szCs w:val="24"/>
          <w:lang w:val="en-US"/>
        </w:rPr>
        <w:t xml:space="preserve"> take possible market efficiency</w:t>
      </w:r>
      <w:r w:rsidR="001B062E" w:rsidRPr="00053C90">
        <w:rPr>
          <w:szCs w:val="24"/>
          <w:lang w:val="en-US"/>
        </w:rPr>
        <w:t xml:space="preserve"> into account. The findings of this study implies that merged firms display significant improvements in performance and that this is a result of better asset productivity if one compare them to their industry. Another implication of this study was that there seems to be a correlation between increases in performance after a merger and the stock returns at the time of announcements. </w:t>
      </w:r>
    </w:p>
    <w:p w:rsidR="001B062E" w:rsidRPr="00053C90" w:rsidRDefault="009F601B" w:rsidP="001B062E">
      <w:pPr>
        <w:spacing w:line="360" w:lineRule="auto"/>
        <w:rPr>
          <w:szCs w:val="24"/>
          <w:lang w:val="en-US"/>
        </w:rPr>
      </w:pPr>
      <w:r w:rsidRPr="00053C90">
        <w:rPr>
          <w:szCs w:val="24"/>
          <w:lang w:val="en-US"/>
        </w:rPr>
        <w:t>A study that uses</w:t>
      </w:r>
      <w:r w:rsidR="001B062E" w:rsidRPr="00053C90">
        <w:rPr>
          <w:szCs w:val="24"/>
          <w:lang w:val="en-US"/>
        </w:rPr>
        <w:t xml:space="preserve"> the same method</w:t>
      </w:r>
      <w:r w:rsidR="00B610F9" w:rsidRPr="00053C90">
        <w:rPr>
          <w:szCs w:val="24"/>
          <w:lang w:val="en-US"/>
        </w:rPr>
        <w:t>ology as Healy et al (1992), is</w:t>
      </w:r>
      <w:r w:rsidR="001B062E" w:rsidRPr="00053C90">
        <w:rPr>
          <w:szCs w:val="24"/>
          <w:lang w:val="en-US"/>
        </w:rPr>
        <w:t xml:space="preserve"> Ramaswamy &amp; Waegelein (2003). In their study a sample of 162 merging firms </w:t>
      </w:r>
      <w:r w:rsidRPr="00053C90">
        <w:rPr>
          <w:szCs w:val="24"/>
          <w:lang w:val="en-US"/>
        </w:rPr>
        <w:t>is used. The time frame is</w:t>
      </w:r>
      <w:r w:rsidR="001B062E" w:rsidRPr="00053C90">
        <w:rPr>
          <w:szCs w:val="24"/>
          <w:lang w:val="en-US"/>
        </w:rPr>
        <w:t xml:space="preserve"> set to five year</w:t>
      </w:r>
      <w:r w:rsidRPr="00053C90">
        <w:rPr>
          <w:szCs w:val="24"/>
          <w:lang w:val="en-US"/>
        </w:rPr>
        <w:t>s and the researchers identify</w:t>
      </w:r>
      <w:r w:rsidR="001B062E" w:rsidRPr="00053C90">
        <w:rPr>
          <w:szCs w:val="24"/>
          <w:lang w:val="en-US"/>
        </w:rPr>
        <w:t xml:space="preserve"> five variables that could affect the long term perfo</w:t>
      </w:r>
      <w:r w:rsidRPr="00053C90">
        <w:rPr>
          <w:szCs w:val="24"/>
          <w:lang w:val="en-US"/>
        </w:rPr>
        <w:t>rmance. These five variables are</w:t>
      </w:r>
      <w:r w:rsidR="001B062E" w:rsidRPr="00053C90">
        <w:rPr>
          <w:szCs w:val="24"/>
          <w:lang w:val="en-US"/>
        </w:rPr>
        <w:t xml:space="preserve"> long term performance plans, method of payment, if the takeover was hostile or not and the industry of the merging companies was rel</w:t>
      </w:r>
      <w:r w:rsidRPr="00053C90">
        <w:rPr>
          <w:szCs w:val="24"/>
          <w:lang w:val="en-US"/>
        </w:rPr>
        <w:t>ated. In addition, the sample i</w:t>
      </w:r>
      <w:r w:rsidR="001B062E" w:rsidRPr="00053C90">
        <w:rPr>
          <w:szCs w:val="24"/>
          <w:lang w:val="en-US"/>
        </w:rPr>
        <w:t>s divided into two subsamples, mergers prior to 1983 and mergers afterwards. Overall, the study finds a positive effect on operating financial performance after a merger, which is consistent with Healy et a</w:t>
      </w:r>
      <w:r w:rsidRPr="00053C90">
        <w:rPr>
          <w:szCs w:val="24"/>
          <w:lang w:val="en-US"/>
        </w:rPr>
        <w:t>l (1992). Another conclusion is that firms after 1982 had a</w:t>
      </w:r>
      <w:r w:rsidR="001B062E" w:rsidRPr="00053C90">
        <w:rPr>
          <w:szCs w:val="24"/>
          <w:lang w:val="en-US"/>
        </w:rPr>
        <w:t xml:space="preserve"> more positive financial post-merger performance if their managers were compensated with long term performance plans.</w:t>
      </w:r>
    </w:p>
    <w:p w:rsidR="001B062E" w:rsidRPr="00053C90" w:rsidRDefault="001B062E" w:rsidP="001B062E">
      <w:pPr>
        <w:spacing w:line="360" w:lineRule="auto"/>
        <w:rPr>
          <w:szCs w:val="24"/>
          <w:lang w:val="en-US"/>
        </w:rPr>
      </w:pPr>
      <w:r w:rsidRPr="00053C90">
        <w:rPr>
          <w:szCs w:val="24"/>
          <w:lang w:val="en-US"/>
        </w:rPr>
        <w:t xml:space="preserve">In </w:t>
      </w:r>
      <w:r w:rsidR="00B610F9" w:rsidRPr="00053C90">
        <w:rPr>
          <w:szCs w:val="24"/>
          <w:lang w:val="en-US"/>
        </w:rPr>
        <w:t>2001, Ghosh argued in a study</w:t>
      </w:r>
      <w:r w:rsidRPr="00053C90">
        <w:rPr>
          <w:szCs w:val="24"/>
          <w:lang w:val="en-US"/>
        </w:rPr>
        <w:t xml:space="preserve">, that firms undertake acquisitions in times of superior corporate performance and that this would lead to biased results when comparing them to their industry, which Healy et al (1992) did in their study. What Ghosh suggests is a procedure, where the operating performance of acquirer is compared to a benchmark firm. This is a similar approach as Loughran and Vijh (1997) used. Ghosh also tests if there is a difference in performance depending on whether the acquisition was made with cash or with stocks. Two conclusions are presented, firstly, that there is no evidence that the operating performance improves following an acquisition and secondly, that the operating performance is superior when the acquisition is made with cash. </w:t>
      </w:r>
    </w:p>
    <w:p w:rsidR="00C406A0" w:rsidRPr="00053C90" w:rsidRDefault="00C406A0" w:rsidP="001B062E">
      <w:pPr>
        <w:spacing w:line="360" w:lineRule="auto"/>
        <w:rPr>
          <w:szCs w:val="24"/>
          <w:lang w:val="en-US"/>
        </w:rPr>
      </w:pPr>
      <w:r w:rsidRPr="00053C90">
        <w:rPr>
          <w:szCs w:val="24"/>
          <w:lang w:val="en-US"/>
        </w:rPr>
        <w:t xml:space="preserve">The long term operating performance in a European market setting is examined by Martynova et al (2006). Their study is based on 155 mergers and acquisitions in continental Europe and the UK between 1997 and 2001.To be able to have a more extensive perspective on operating performance than previous studies, the authors use four different measures of operating performance. In addition to the common measure of operating performance, EBITDA, used by Healy et al (1992), Ramaswamy &amp; Waegelein (2003) and Ghosh (2001), this study also looks at EBITDA adjusted for working capital. Both these measures are scaled by both book value of assets and sales. The results show no evidence a significant better performance following a merger.  </w:t>
      </w:r>
    </w:p>
    <w:p w:rsidR="001B062E" w:rsidRPr="00053C90" w:rsidRDefault="001B062E" w:rsidP="001B062E">
      <w:pPr>
        <w:spacing w:line="360" w:lineRule="auto"/>
        <w:rPr>
          <w:szCs w:val="24"/>
          <w:lang w:val="en-US"/>
        </w:rPr>
      </w:pPr>
      <w:r w:rsidRPr="00053C90">
        <w:rPr>
          <w:szCs w:val="24"/>
          <w:lang w:val="en-US"/>
        </w:rPr>
        <w:t xml:space="preserve">A third approach to measure the post-merger performance is adopted by King et al (2004). This study performs a meta-analysis, which means that a sample consisting of earlier studies is tested and </w:t>
      </w:r>
      <w:r w:rsidR="005E0828" w:rsidRPr="00053C90">
        <w:rPr>
          <w:szCs w:val="24"/>
          <w:lang w:val="en-US"/>
        </w:rPr>
        <w:t>analyzed</w:t>
      </w:r>
      <w:r w:rsidRPr="00053C90">
        <w:rPr>
          <w:szCs w:val="24"/>
          <w:lang w:val="en-US"/>
        </w:rPr>
        <w:t>. Their results show an initial positive announcement effect, both for the acquirer and the target. In a long term perspective, the researchers find no evidence that the post-merger financial performance is positive, both in terms of accounting performance and abnormal returns. These results indicate, according to the researchers that unspecified variables explain drive post-merger performance. The findings of the most recent research combined with findings on a European market setting leads to the following hypothesis about long term operating performance:</w:t>
      </w:r>
    </w:p>
    <w:p w:rsidR="001B062E" w:rsidRPr="00053C90" w:rsidRDefault="001B062E" w:rsidP="001B062E">
      <w:pPr>
        <w:spacing w:line="360" w:lineRule="auto"/>
        <w:rPr>
          <w:i/>
          <w:szCs w:val="24"/>
          <w:lang w:val="en-US"/>
        </w:rPr>
      </w:pPr>
      <w:r w:rsidRPr="00053C90">
        <w:rPr>
          <w:i/>
          <w:szCs w:val="24"/>
          <w:lang w:val="en-US"/>
        </w:rPr>
        <w:t>Hypothesis 2: Long term operating performance is not superior following a transaction.</w:t>
      </w:r>
    </w:p>
    <w:p w:rsidR="001B062E" w:rsidRPr="00053C90" w:rsidRDefault="001B062E" w:rsidP="001B062E">
      <w:pPr>
        <w:spacing w:line="360" w:lineRule="auto"/>
        <w:rPr>
          <w:lang w:val="en-US"/>
        </w:rPr>
      </w:pPr>
      <w:r w:rsidRPr="00053C90">
        <w:rPr>
          <w:lang w:val="en-US"/>
        </w:rPr>
        <w:t>Hypotheses one and two combined imply that there is a divergence between the measures. Since one of the purposes with this study is to relate the two measures to each other, a third hypothesis is formulated:</w:t>
      </w:r>
    </w:p>
    <w:p w:rsidR="00385BF9" w:rsidRPr="00053C90" w:rsidRDefault="001B062E" w:rsidP="001B062E">
      <w:pPr>
        <w:spacing w:line="360" w:lineRule="auto"/>
        <w:rPr>
          <w:i/>
          <w:lang w:val="en-US"/>
        </w:rPr>
      </w:pPr>
      <w:r w:rsidRPr="00053C90">
        <w:rPr>
          <w:i/>
          <w:lang w:val="en-US"/>
        </w:rPr>
        <w:t>Hypothesis 3: The correlation between stock performance and operating performance is not significantly positive in the long term.</w:t>
      </w:r>
      <w:r w:rsidR="0062387A">
        <w:rPr>
          <w:i/>
          <w:lang w:val="en-US"/>
        </w:rPr>
        <w:t xml:space="preserve"> </w:t>
      </w:r>
    </w:p>
    <w:p w:rsidR="001B062E" w:rsidRDefault="001B062E" w:rsidP="001B062E">
      <w:pPr>
        <w:spacing w:line="360" w:lineRule="auto"/>
        <w:rPr>
          <w:lang w:val="en-US"/>
        </w:rPr>
      </w:pPr>
      <w:r w:rsidRPr="00053C90">
        <w:rPr>
          <w:lang w:val="en-US"/>
        </w:rPr>
        <w:t>In the table below a summary of previous studies within operating performance is presented.</w:t>
      </w:r>
    </w:p>
    <w:p w:rsidR="00A652CD" w:rsidRPr="00A652CD" w:rsidRDefault="00A652CD" w:rsidP="00A652CD">
      <w:pPr>
        <w:spacing w:line="360" w:lineRule="auto"/>
        <w:jc w:val="center"/>
        <w:rPr>
          <w:i/>
          <w:sz w:val="20"/>
          <w:szCs w:val="20"/>
          <w:lang w:val="en-US"/>
        </w:rPr>
      </w:pPr>
      <w:r w:rsidRPr="00053C90">
        <w:rPr>
          <w:i/>
          <w:sz w:val="20"/>
          <w:szCs w:val="20"/>
          <w:lang w:val="en-US"/>
        </w:rPr>
        <w:t>Table 2.2: Summary of previous long-term operating performa</w:t>
      </w:r>
      <w:r>
        <w:rPr>
          <w:i/>
          <w:sz w:val="20"/>
          <w:szCs w:val="20"/>
          <w:lang w:val="en-US"/>
        </w:rPr>
        <w:t>nce studies.</w:t>
      </w:r>
    </w:p>
    <w:tbl>
      <w:tblPr>
        <w:tblW w:w="0" w:type="auto"/>
        <w:tblInd w:w="113" w:type="dxa"/>
        <w:tblLook w:val="04A0" w:firstRow="1" w:lastRow="0" w:firstColumn="1" w:lastColumn="0" w:noHBand="0" w:noVBand="1"/>
      </w:tblPr>
      <w:tblGrid>
        <w:gridCol w:w="1795"/>
        <w:gridCol w:w="1248"/>
        <w:gridCol w:w="1932"/>
        <w:gridCol w:w="1303"/>
        <w:gridCol w:w="2671"/>
      </w:tblGrid>
      <w:tr w:rsidR="001B062E" w:rsidRPr="00053C90" w:rsidTr="00385BF9">
        <w:trPr>
          <w:trHeight w:val="288"/>
        </w:trPr>
        <w:tc>
          <w:tcPr>
            <w:tcW w:w="1795" w:type="dxa"/>
            <w:tcBorders>
              <w:top w:val="single" w:sz="4" w:space="0" w:color="9BC2E6"/>
              <w:left w:val="single" w:sz="4" w:space="0" w:color="9BC2E6"/>
              <w:bottom w:val="single" w:sz="4" w:space="0" w:color="9BC2E6"/>
              <w:right w:val="nil"/>
            </w:tcBorders>
            <w:shd w:val="clear" w:color="5B9BD5" w:fill="5B9BD5"/>
            <w:noWrap/>
            <w:vAlign w:val="center"/>
            <w:hideMark/>
          </w:tcPr>
          <w:p w:rsidR="001B062E" w:rsidRPr="00053C90" w:rsidRDefault="001B062E" w:rsidP="00385BF9">
            <w:pPr>
              <w:spacing w:after="0" w:line="240" w:lineRule="auto"/>
              <w:jc w:val="center"/>
              <w:rPr>
                <w:rFonts w:eastAsia="Times New Roman"/>
                <w:b/>
                <w:bCs/>
                <w:color w:val="FFFFFF"/>
                <w:sz w:val="22"/>
                <w:lang w:val="en-US"/>
              </w:rPr>
            </w:pPr>
            <w:r w:rsidRPr="00053C90">
              <w:rPr>
                <w:rFonts w:eastAsia="Times New Roman"/>
                <w:b/>
                <w:bCs/>
                <w:color w:val="FFFFFF"/>
                <w:sz w:val="22"/>
                <w:lang w:val="en-US"/>
              </w:rPr>
              <w:t>Study</w:t>
            </w:r>
          </w:p>
        </w:tc>
        <w:tc>
          <w:tcPr>
            <w:tcW w:w="1260" w:type="dxa"/>
            <w:tcBorders>
              <w:top w:val="single" w:sz="4" w:space="0" w:color="9BC2E6"/>
              <w:left w:val="nil"/>
              <w:bottom w:val="single" w:sz="4" w:space="0" w:color="9BC2E6"/>
              <w:right w:val="nil"/>
            </w:tcBorders>
            <w:shd w:val="clear" w:color="5B9BD5" w:fill="5B9BD5"/>
            <w:vAlign w:val="center"/>
            <w:hideMark/>
          </w:tcPr>
          <w:p w:rsidR="001B062E" w:rsidRPr="00053C90" w:rsidRDefault="001B062E" w:rsidP="00385BF9">
            <w:pPr>
              <w:spacing w:after="0" w:line="240" w:lineRule="auto"/>
              <w:jc w:val="center"/>
              <w:rPr>
                <w:rFonts w:eastAsia="Times New Roman"/>
                <w:b/>
                <w:bCs/>
                <w:color w:val="FFFFFF"/>
                <w:sz w:val="22"/>
                <w:lang w:val="en-US"/>
              </w:rPr>
            </w:pPr>
            <w:r w:rsidRPr="00053C90">
              <w:rPr>
                <w:rFonts w:eastAsia="Times New Roman"/>
                <w:b/>
                <w:bCs/>
                <w:color w:val="FFFFFF"/>
                <w:sz w:val="22"/>
                <w:lang w:val="en-US"/>
              </w:rPr>
              <w:t>Market</w:t>
            </w:r>
          </w:p>
        </w:tc>
        <w:tc>
          <w:tcPr>
            <w:tcW w:w="1980" w:type="dxa"/>
            <w:tcBorders>
              <w:top w:val="single" w:sz="4" w:space="0" w:color="9BC2E6"/>
              <w:left w:val="nil"/>
              <w:bottom w:val="single" w:sz="4" w:space="0" w:color="9BC2E6"/>
              <w:right w:val="nil"/>
            </w:tcBorders>
            <w:shd w:val="clear" w:color="5B9BD5" w:fill="5B9BD5"/>
            <w:vAlign w:val="center"/>
            <w:hideMark/>
          </w:tcPr>
          <w:p w:rsidR="001B062E" w:rsidRPr="00053C90" w:rsidRDefault="001B062E" w:rsidP="00385BF9">
            <w:pPr>
              <w:spacing w:after="0" w:line="240" w:lineRule="auto"/>
              <w:jc w:val="center"/>
              <w:rPr>
                <w:rFonts w:eastAsia="Times New Roman"/>
                <w:b/>
                <w:bCs/>
                <w:color w:val="FFFFFF"/>
                <w:sz w:val="22"/>
                <w:lang w:val="en-US"/>
              </w:rPr>
            </w:pPr>
            <w:r w:rsidRPr="00053C90">
              <w:rPr>
                <w:rFonts w:eastAsia="Times New Roman"/>
                <w:b/>
                <w:bCs/>
                <w:color w:val="FFFFFF"/>
                <w:sz w:val="22"/>
                <w:lang w:val="en-US"/>
              </w:rPr>
              <w:t>Methodology</w:t>
            </w:r>
          </w:p>
        </w:tc>
        <w:tc>
          <w:tcPr>
            <w:tcW w:w="1350" w:type="dxa"/>
            <w:tcBorders>
              <w:top w:val="single" w:sz="4" w:space="0" w:color="9BC2E6"/>
              <w:left w:val="nil"/>
              <w:bottom w:val="single" w:sz="4" w:space="0" w:color="9BC2E6"/>
              <w:right w:val="nil"/>
            </w:tcBorders>
            <w:shd w:val="clear" w:color="5B9BD5" w:fill="5B9BD5"/>
            <w:vAlign w:val="center"/>
            <w:hideMark/>
          </w:tcPr>
          <w:p w:rsidR="001B062E" w:rsidRPr="00053C90" w:rsidRDefault="001B062E" w:rsidP="00385BF9">
            <w:pPr>
              <w:spacing w:after="0" w:line="240" w:lineRule="auto"/>
              <w:jc w:val="center"/>
              <w:rPr>
                <w:rFonts w:eastAsia="Times New Roman"/>
                <w:b/>
                <w:bCs/>
                <w:color w:val="FFFFFF"/>
                <w:sz w:val="22"/>
                <w:lang w:val="en-US"/>
              </w:rPr>
            </w:pPr>
            <w:r w:rsidRPr="00053C90">
              <w:rPr>
                <w:rFonts w:eastAsia="Times New Roman"/>
                <w:b/>
                <w:bCs/>
                <w:color w:val="FFFFFF"/>
                <w:sz w:val="22"/>
                <w:lang w:val="en-US"/>
              </w:rPr>
              <w:t>Time period</w:t>
            </w:r>
          </w:p>
        </w:tc>
        <w:tc>
          <w:tcPr>
            <w:tcW w:w="2790" w:type="dxa"/>
            <w:tcBorders>
              <w:top w:val="single" w:sz="4" w:space="0" w:color="9BC2E6"/>
              <w:left w:val="nil"/>
              <w:bottom w:val="single" w:sz="4" w:space="0" w:color="9BC2E6"/>
              <w:right w:val="single" w:sz="4" w:space="0" w:color="9BC2E6"/>
            </w:tcBorders>
            <w:shd w:val="clear" w:color="5B9BD5" w:fill="5B9BD5"/>
            <w:vAlign w:val="center"/>
            <w:hideMark/>
          </w:tcPr>
          <w:p w:rsidR="001B062E" w:rsidRPr="00053C90" w:rsidRDefault="001B062E" w:rsidP="00385BF9">
            <w:pPr>
              <w:spacing w:after="0" w:line="240" w:lineRule="auto"/>
              <w:jc w:val="center"/>
              <w:rPr>
                <w:rFonts w:eastAsia="Times New Roman"/>
                <w:b/>
                <w:bCs/>
                <w:color w:val="FFFFFF"/>
                <w:sz w:val="22"/>
                <w:lang w:val="en-US"/>
              </w:rPr>
            </w:pPr>
            <w:r w:rsidRPr="00053C90">
              <w:rPr>
                <w:rFonts w:eastAsia="Times New Roman"/>
                <w:b/>
                <w:bCs/>
                <w:color w:val="FFFFFF"/>
                <w:sz w:val="22"/>
                <w:lang w:val="en-US"/>
              </w:rPr>
              <w:t>Results</w:t>
            </w:r>
          </w:p>
        </w:tc>
      </w:tr>
      <w:tr w:rsidR="001B062E" w:rsidRPr="00286008" w:rsidTr="0002738A">
        <w:trPr>
          <w:trHeight w:val="840"/>
        </w:trPr>
        <w:tc>
          <w:tcPr>
            <w:tcW w:w="1795" w:type="dxa"/>
            <w:tcBorders>
              <w:top w:val="single" w:sz="4" w:space="0" w:color="9BC2E6"/>
              <w:left w:val="single" w:sz="4" w:space="0" w:color="9BC2E6"/>
              <w:bottom w:val="single" w:sz="4" w:space="0" w:color="9BC2E6"/>
              <w:right w:val="nil"/>
            </w:tcBorders>
            <w:shd w:val="clear" w:color="DDEBF7" w:fill="DDEBF7"/>
            <w:hideMark/>
          </w:tcPr>
          <w:p w:rsidR="001B062E" w:rsidRPr="00053C90" w:rsidRDefault="005E0828" w:rsidP="005E0828">
            <w:pPr>
              <w:spacing w:after="0" w:line="240" w:lineRule="auto"/>
              <w:rPr>
                <w:rFonts w:eastAsia="Times New Roman"/>
                <w:color w:val="000000"/>
                <w:sz w:val="22"/>
                <w:lang w:val="en-US"/>
              </w:rPr>
            </w:pPr>
            <w:r>
              <w:rPr>
                <w:rFonts w:eastAsia="Times New Roman"/>
                <w:color w:val="000000"/>
                <w:sz w:val="22"/>
                <w:lang w:val="en-US"/>
              </w:rPr>
              <w:t>Healy et al</w:t>
            </w:r>
            <w:r w:rsidR="001B062E" w:rsidRPr="00053C90">
              <w:rPr>
                <w:rFonts w:eastAsia="Times New Roman"/>
                <w:color w:val="000000"/>
                <w:sz w:val="22"/>
                <w:lang w:val="en-US"/>
              </w:rPr>
              <w:br/>
              <w:t>(1992)</w:t>
            </w:r>
          </w:p>
        </w:tc>
        <w:tc>
          <w:tcPr>
            <w:tcW w:w="126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US-market</w:t>
            </w:r>
          </w:p>
        </w:tc>
        <w:tc>
          <w:tcPr>
            <w:tcW w:w="198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Industry-adjusted ROA</w:t>
            </w:r>
          </w:p>
        </w:tc>
        <w:tc>
          <w:tcPr>
            <w:tcW w:w="135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1979-1984</w:t>
            </w:r>
          </w:p>
        </w:tc>
        <w:tc>
          <w:tcPr>
            <w:tcW w:w="279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+2.8% abnormal operating performance after 60 months</w:t>
            </w:r>
          </w:p>
        </w:tc>
      </w:tr>
      <w:tr w:rsidR="001B062E" w:rsidRPr="00286008" w:rsidTr="0002738A">
        <w:trPr>
          <w:trHeight w:val="840"/>
        </w:trPr>
        <w:tc>
          <w:tcPr>
            <w:tcW w:w="1795" w:type="dxa"/>
            <w:tcBorders>
              <w:top w:val="single" w:sz="4" w:space="0" w:color="9BC2E6"/>
              <w:left w:val="single" w:sz="4" w:space="0" w:color="9BC2E6"/>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 xml:space="preserve">Ghosh (2001) </w:t>
            </w:r>
          </w:p>
        </w:tc>
        <w:tc>
          <w:tcPr>
            <w:tcW w:w="126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US-market</w:t>
            </w:r>
          </w:p>
        </w:tc>
        <w:tc>
          <w:tcPr>
            <w:tcW w:w="198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ROA adjusted with control firms</w:t>
            </w:r>
          </w:p>
        </w:tc>
        <w:tc>
          <w:tcPr>
            <w:tcW w:w="135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1981-1995</w:t>
            </w:r>
          </w:p>
        </w:tc>
        <w:tc>
          <w:tcPr>
            <w:tcW w:w="2790"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No improvements in operating performance following a merger</w:t>
            </w:r>
          </w:p>
        </w:tc>
      </w:tr>
      <w:tr w:rsidR="001B062E" w:rsidRPr="00286008" w:rsidTr="0002738A">
        <w:trPr>
          <w:trHeight w:val="840"/>
        </w:trPr>
        <w:tc>
          <w:tcPr>
            <w:tcW w:w="1795" w:type="dxa"/>
            <w:tcBorders>
              <w:top w:val="single" w:sz="4" w:space="0" w:color="9BC2E6"/>
              <w:left w:val="single" w:sz="4" w:space="0" w:color="9BC2E6"/>
              <w:bottom w:val="single" w:sz="4" w:space="0" w:color="9BC2E6"/>
              <w:right w:val="nil"/>
            </w:tcBorders>
            <w:shd w:val="clear" w:color="DDEBF7" w:fill="DDEBF7"/>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Ramaswamy &amp; Waegelein (2003)</w:t>
            </w:r>
          </w:p>
        </w:tc>
        <w:tc>
          <w:tcPr>
            <w:tcW w:w="126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US-market</w:t>
            </w:r>
          </w:p>
        </w:tc>
        <w:tc>
          <w:tcPr>
            <w:tcW w:w="198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Industry-adjusted ROA</w:t>
            </w:r>
          </w:p>
        </w:tc>
        <w:tc>
          <w:tcPr>
            <w:tcW w:w="135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1975-1990</w:t>
            </w:r>
          </w:p>
        </w:tc>
        <w:tc>
          <w:tcPr>
            <w:tcW w:w="279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+12.7% abnormal operating performance after 60 months</w:t>
            </w:r>
          </w:p>
        </w:tc>
      </w:tr>
      <w:tr w:rsidR="001B062E" w:rsidRPr="00286008" w:rsidTr="0002738A">
        <w:trPr>
          <w:trHeight w:val="840"/>
        </w:trPr>
        <w:tc>
          <w:tcPr>
            <w:tcW w:w="1795" w:type="dxa"/>
            <w:tcBorders>
              <w:top w:val="single" w:sz="4" w:space="0" w:color="9BC2E6"/>
              <w:left w:val="single" w:sz="4" w:space="0" w:color="9BC2E6"/>
              <w:bottom w:val="single" w:sz="4" w:space="0" w:color="9BC2E6"/>
              <w:right w:val="nil"/>
            </w:tcBorders>
            <w:shd w:val="clear" w:color="auto" w:fill="auto"/>
            <w:hideMark/>
          </w:tcPr>
          <w:p w:rsidR="001B062E" w:rsidRPr="00053C90" w:rsidRDefault="005E0828" w:rsidP="005E0828">
            <w:pPr>
              <w:spacing w:after="0" w:line="240" w:lineRule="auto"/>
              <w:rPr>
                <w:rFonts w:eastAsia="Times New Roman"/>
                <w:color w:val="000000"/>
                <w:sz w:val="22"/>
                <w:lang w:val="en-US"/>
              </w:rPr>
            </w:pPr>
            <w:r>
              <w:rPr>
                <w:rFonts w:eastAsia="Times New Roman"/>
                <w:color w:val="000000"/>
                <w:sz w:val="22"/>
                <w:lang w:val="en-US"/>
              </w:rPr>
              <w:t>Martynova et al</w:t>
            </w:r>
            <w:r w:rsidR="0062387A">
              <w:rPr>
                <w:rFonts w:eastAsia="Times New Roman"/>
                <w:color w:val="000000"/>
                <w:sz w:val="22"/>
                <w:lang w:val="en-US"/>
              </w:rPr>
              <w:t xml:space="preserve"> </w:t>
            </w:r>
            <w:r w:rsidR="001B062E" w:rsidRPr="00053C90">
              <w:rPr>
                <w:rFonts w:eastAsia="Times New Roman"/>
                <w:color w:val="000000"/>
                <w:sz w:val="22"/>
                <w:lang w:val="en-US"/>
              </w:rPr>
              <w:t>(2006)</w:t>
            </w:r>
          </w:p>
        </w:tc>
        <w:tc>
          <w:tcPr>
            <w:tcW w:w="126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European-market</w:t>
            </w:r>
          </w:p>
        </w:tc>
        <w:tc>
          <w:tcPr>
            <w:tcW w:w="198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ROA adjusted with control firms</w:t>
            </w:r>
          </w:p>
        </w:tc>
        <w:tc>
          <w:tcPr>
            <w:tcW w:w="135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1997-2001</w:t>
            </w:r>
          </w:p>
        </w:tc>
        <w:tc>
          <w:tcPr>
            <w:tcW w:w="2790"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No improvements in operating performance following a merger</w:t>
            </w:r>
          </w:p>
        </w:tc>
      </w:tr>
    </w:tbl>
    <w:p w:rsidR="001B062E" w:rsidRPr="00053C90" w:rsidRDefault="001B062E" w:rsidP="001B062E">
      <w:pPr>
        <w:spacing w:line="360" w:lineRule="auto"/>
        <w:rPr>
          <w:lang w:val="en-US"/>
        </w:rPr>
      </w:pPr>
    </w:p>
    <w:p w:rsidR="001B062E" w:rsidRPr="00053C90" w:rsidRDefault="001B062E" w:rsidP="001B062E">
      <w:pPr>
        <w:pStyle w:val="Heading3"/>
        <w:numPr>
          <w:ilvl w:val="2"/>
          <w:numId w:val="2"/>
        </w:numPr>
        <w:spacing w:line="360" w:lineRule="auto"/>
        <w:rPr>
          <w:lang w:val="en-US"/>
        </w:rPr>
      </w:pPr>
      <w:bookmarkStart w:id="22" w:name="_Toc428399221"/>
      <w:r w:rsidRPr="00053C90">
        <w:rPr>
          <w:lang w:val="en-US"/>
        </w:rPr>
        <w:t>Long term determinants</w:t>
      </w:r>
      <w:bookmarkEnd w:id="22"/>
      <w:r w:rsidRPr="00053C90">
        <w:rPr>
          <w:lang w:val="en-US"/>
        </w:rPr>
        <w:t xml:space="preserve"> </w:t>
      </w:r>
    </w:p>
    <w:p w:rsidR="001B062E" w:rsidRPr="00053C90" w:rsidRDefault="001B062E" w:rsidP="001B062E">
      <w:pPr>
        <w:spacing w:line="360" w:lineRule="auto"/>
        <w:rPr>
          <w:lang w:val="en-US"/>
        </w:rPr>
      </w:pPr>
      <w:r w:rsidRPr="00053C90">
        <w:rPr>
          <w:lang w:val="en-US"/>
        </w:rPr>
        <w:t>This section will present possible determinants of the long term performance. These determinants are divided into five variables, each of these will be described and be related to the findings of previous studies. The purpose of including these variables is to examine how they affect the value.</w:t>
      </w:r>
    </w:p>
    <w:p w:rsidR="001B062E" w:rsidRPr="00053C90" w:rsidRDefault="001B062E" w:rsidP="001B062E">
      <w:pPr>
        <w:pStyle w:val="TimesNewRoman"/>
        <w:rPr>
          <w:i/>
          <w:lang w:val="en-US"/>
        </w:rPr>
      </w:pPr>
      <w:r w:rsidRPr="00053C90">
        <w:rPr>
          <w:i/>
          <w:lang w:val="en-US"/>
        </w:rPr>
        <w:t>Market-to-book ratio</w:t>
      </w: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When looking at the growth potential of companies it is c</w:t>
      </w:r>
      <w:r w:rsidR="00C406A0" w:rsidRPr="00053C90">
        <w:rPr>
          <w:szCs w:val="24"/>
          <w:lang w:val="en-US"/>
        </w:rPr>
        <w:t xml:space="preserve">ommon to use the market-to-book </w:t>
      </w:r>
      <w:r w:rsidR="00B610F9" w:rsidRPr="00053C90">
        <w:rPr>
          <w:szCs w:val="24"/>
          <w:lang w:val="en-US"/>
        </w:rPr>
        <w:t>ratio</w:t>
      </w:r>
      <w:r w:rsidRPr="00053C90">
        <w:rPr>
          <w:szCs w:val="24"/>
          <w:lang w:val="en-US"/>
        </w:rPr>
        <w:t xml:space="preserve"> (Berk &amp; DeMarzo, 2011). Rau &amp; Vermaelen (1998) claim that managers in companies with high market-to-book ratios have a higher tendency to be overconfident and thereby conduct transactions under the influence by hubris. The reason for this is tha</w:t>
      </w:r>
      <w:r w:rsidR="00C406A0" w:rsidRPr="00053C90">
        <w:rPr>
          <w:szCs w:val="24"/>
          <w:lang w:val="en-US"/>
        </w:rPr>
        <w:t>t companies with high ratios</w:t>
      </w:r>
      <w:r w:rsidRPr="00053C90">
        <w:rPr>
          <w:szCs w:val="24"/>
          <w:lang w:val="en-US"/>
        </w:rPr>
        <w:t xml:space="preserve"> tend to have high past stock returns and high past growth in cash flows (Lakonishok et al, 1994). This suggests that companies with low market-to-book ratios should outperform companies with high ratios in the long run, since the analysis of the transaction and possible gains is more likely to be more careful.  </w:t>
      </w:r>
    </w:p>
    <w:p w:rsidR="001B062E" w:rsidRPr="00053C90" w:rsidRDefault="001B062E" w:rsidP="001B062E">
      <w:pPr>
        <w:autoSpaceDE w:val="0"/>
        <w:autoSpaceDN w:val="0"/>
        <w:adjustRightInd w:val="0"/>
        <w:spacing w:after="0" w:line="360" w:lineRule="auto"/>
        <w:rPr>
          <w:szCs w:val="24"/>
          <w:lang w:val="en-US"/>
        </w:rPr>
      </w:pPr>
    </w:p>
    <w:p w:rsidR="001B062E" w:rsidRPr="00053C90" w:rsidRDefault="001B062E" w:rsidP="001B062E">
      <w:pPr>
        <w:autoSpaceDE w:val="0"/>
        <w:autoSpaceDN w:val="0"/>
        <w:adjustRightInd w:val="0"/>
        <w:spacing w:after="0" w:line="360" w:lineRule="auto"/>
        <w:rPr>
          <w:i/>
          <w:szCs w:val="24"/>
          <w:lang w:val="en-US"/>
        </w:rPr>
      </w:pPr>
      <w:r w:rsidRPr="00053C90">
        <w:rPr>
          <w:i/>
          <w:szCs w:val="24"/>
          <w:lang w:val="en-US"/>
        </w:rPr>
        <w:t>H</w:t>
      </w:r>
      <w:r w:rsidR="00C406A0" w:rsidRPr="00053C90">
        <w:rPr>
          <w:i/>
          <w:szCs w:val="24"/>
          <w:lang w:val="en-US"/>
        </w:rPr>
        <w:t>ypothesis 4: There is a negative</w:t>
      </w:r>
      <w:r w:rsidRPr="00053C90">
        <w:rPr>
          <w:i/>
          <w:szCs w:val="24"/>
          <w:lang w:val="en-US"/>
        </w:rPr>
        <w:t xml:space="preserve"> relationship between the market-to-book ratio and post-merger performance, both in terms of stock and operating performance.</w:t>
      </w:r>
    </w:p>
    <w:p w:rsidR="001B062E" w:rsidRPr="00053C90" w:rsidRDefault="001B062E" w:rsidP="001B062E">
      <w:pPr>
        <w:autoSpaceDE w:val="0"/>
        <w:autoSpaceDN w:val="0"/>
        <w:adjustRightInd w:val="0"/>
        <w:spacing w:after="0" w:line="360" w:lineRule="auto"/>
        <w:rPr>
          <w:szCs w:val="24"/>
          <w:lang w:val="en-US"/>
        </w:rPr>
      </w:pPr>
    </w:p>
    <w:p w:rsidR="001B062E" w:rsidRPr="00053C90" w:rsidRDefault="001B062E" w:rsidP="001B062E">
      <w:pPr>
        <w:pStyle w:val="TimesNewRoman"/>
        <w:rPr>
          <w:i/>
          <w:lang w:val="en-US"/>
        </w:rPr>
      </w:pPr>
      <w:r w:rsidRPr="00053C90">
        <w:rPr>
          <w:i/>
          <w:lang w:val="en-US"/>
        </w:rPr>
        <w:t>Size of the acquiring company</w:t>
      </w:r>
    </w:p>
    <w:p w:rsidR="001B062E" w:rsidRPr="00053C90" w:rsidRDefault="00C406A0" w:rsidP="001B062E">
      <w:pPr>
        <w:spacing w:line="360" w:lineRule="auto"/>
        <w:rPr>
          <w:szCs w:val="24"/>
          <w:lang w:val="en-US"/>
        </w:rPr>
      </w:pPr>
      <w:r w:rsidRPr="00053C90">
        <w:rPr>
          <w:szCs w:val="24"/>
          <w:lang w:val="en-US"/>
        </w:rPr>
        <w:t>Moeller et al</w:t>
      </w:r>
      <w:r w:rsidR="001B062E" w:rsidRPr="00053C90">
        <w:rPr>
          <w:szCs w:val="24"/>
          <w:lang w:val="en-US"/>
        </w:rPr>
        <w:t xml:space="preserve"> (2004) find that the stock </w:t>
      </w:r>
      <w:r w:rsidR="0062387A" w:rsidRPr="00053C90">
        <w:rPr>
          <w:szCs w:val="24"/>
          <w:lang w:val="en-US"/>
        </w:rPr>
        <w:t>performance for larger companies is</w:t>
      </w:r>
      <w:r w:rsidR="001B062E" w:rsidRPr="00053C90">
        <w:rPr>
          <w:szCs w:val="24"/>
          <w:lang w:val="en-US"/>
        </w:rPr>
        <w:t xml:space="preserve"> poorer than for small companies, followi</w:t>
      </w:r>
      <w:r w:rsidRPr="00053C90">
        <w:rPr>
          <w:szCs w:val="24"/>
          <w:lang w:val="en-US"/>
        </w:rPr>
        <w:t>ng a transaction, both on short-term and long-</w:t>
      </w:r>
      <w:r w:rsidR="001B062E" w:rsidRPr="00053C90">
        <w:rPr>
          <w:szCs w:val="24"/>
          <w:lang w:val="en-US"/>
        </w:rPr>
        <w:t xml:space="preserve">term. One reason for this can according to the researchers </w:t>
      </w:r>
      <w:r w:rsidR="0062387A" w:rsidRPr="00053C90">
        <w:rPr>
          <w:szCs w:val="24"/>
          <w:lang w:val="en-US"/>
        </w:rPr>
        <w:t>is</w:t>
      </w:r>
      <w:r w:rsidR="001B062E" w:rsidRPr="00053C90">
        <w:rPr>
          <w:szCs w:val="24"/>
          <w:lang w:val="en-US"/>
        </w:rPr>
        <w:t xml:space="preserve"> that large companies pay higher premiums than smaller companies. Another reason presented b</w:t>
      </w:r>
      <w:r w:rsidRPr="00053C90">
        <w:rPr>
          <w:szCs w:val="24"/>
          <w:lang w:val="en-US"/>
        </w:rPr>
        <w:t xml:space="preserve">y Moeller el al </w:t>
      </w:r>
      <w:r w:rsidR="001B062E" w:rsidRPr="00053C90">
        <w:rPr>
          <w:szCs w:val="24"/>
          <w:lang w:val="en-US"/>
        </w:rPr>
        <w:t>(2004) is that managers in smaller companies are better aligned with shareholders than in larger companies and that this would lead managers not to take actions out of self-interest, e.g. hubris or conduct empire building.</w:t>
      </w:r>
    </w:p>
    <w:p w:rsidR="001B062E" w:rsidRPr="00053C90" w:rsidRDefault="001B062E" w:rsidP="001B062E">
      <w:pPr>
        <w:spacing w:line="360" w:lineRule="auto"/>
        <w:rPr>
          <w:i/>
          <w:szCs w:val="24"/>
          <w:lang w:val="en-US"/>
        </w:rPr>
      </w:pPr>
      <w:r w:rsidRPr="00053C90">
        <w:rPr>
          <w:i/>
          <w:szCs w:val="24"/>
          <w:lang w:val="en-US"/>
        </w:rPr>
        <w:t xml:space="preserve">Hypothesis 5: The size of the acquiring firm is affecting the long term stock and operating performance negatively.    </w:t>
      </w:r>
    </w:p>
    <w:p w:rsidR="001B062E" w:rsidRPr="00053C90" w:rsidRDefault="001B062E" w:rsidP="001B062E">
      <w:pPr>
        <w:spacing w:line="360" w:lineRule="auto"/>
        <w:rPr>
          <w:i/>
          <w:szCs w:val="24"/>
          <w:lang w:val="en-US"/>
        </w:rPr>
      </w:pPr>
    </w:p>
    <w:p w:rsidR="001B062E" w:rsidRPr="00053C90" w:rsidRDefault="001B062E" w:rsidP="001B062E">
      <w:pPr>
        <w:pStyle w:val="TimesNewRoman"/>
        <w:rPr>
          <w:i/>
          <w:lang w:val="en-US"/>
        </w:rPr>
      </w:pPr>
      <w:r w:rsidRPr="00053C90">
        <w:rPr>
          <w:i/>
          <w:lang w:val="en-US"/>
        </w:rPr>
        <w:t>Relative size of the transaction</w:t>
      </w:r>
    </w:p>
    <w:p w:rsidR="001B062E" w:rsidRPr="00053C90" w:rsidRDefault="001B062E" w:rsidP="001B062E">
      <w:pPr>
        <w:spacing w:line="360" w:lineRule="auto"/>
        <w:rPr>
          <w:szCs w:val="24"/>
          <w:lang w:val="en-US"/>
        </w:rPr>
      </w:pPr>
      <w:r w:rsidRPr="00053C90">
        <w:rPr>
          <w:szCs w:val="24"/>
          <w:lang w:val="en-US"/>
        </w:rPr>
        <w:t xml:space="preserve">Martynova et al (2006) find that the relative </w:t>
      </w:r>
      <w:r w:rsidR="0062387A" w:rsidRPr="00053C90">
        <w:rPr>
          <w:szCs w:val="24"/>
          <w:lang w:val="en-US"/>
        </w:rPr>
        <w:t>size of the acquisition in comparison to the acquiring company´s size has</w:t>
      </w:r>
      <w:r w:rsidRPr="00053C90">
        <w:rPr>
          <w:szCs w:val="24"/>
          <w:lang w:val="en-US"/>
        </w:rPr>
        <w:t xml:space="preserve"> a negative relationship for the acquiring company’s operating performance. Dutta &amp; Jog (2009) also find similar results when examining the stock performance relationship with </w:t>
      </w:r>
      <w:r w:rsidR="00C406A0" w:rsidRPr="00053C90">
        <w:rPr>
          <w:szCs w:val="24"/>
          <w:lang w:val="en-US"/>
        </w:rPr>
        <w:t xml:space="preserve">the </w:t>
      </w:r>
      <w:r w:rsidRPr="00053C90">
        <w:rPr>
          <w:szCs w:val="24"/>
          <w:lang w:val="en-US"/>
        </w:rPr>
        <w:t>relative</w:t>
      </w:r>
      <w:r w:rsidR="00C406A0" w:rsidRPr="00053C90">
        <w:rPr>
          <w:szCs w:val="24"/>
          <w:lang w:val="en-US"/>
        </w:rPr>
        <w:t xml:space="preserve"> size of</w:t>
      </w:r>
      <w:r w:rsidRPr="00053C90">
        <w:rPr>
          <w:szCs w:val="24"/>
          <w:lang w:val="en-US"/>
        </w:rPr>
        <w:t xml:space="preserve"> transaction deals. One possible explanation could be the difficulty in managing big companies (Martynova et al, 2006). Contradictory results are found by Capron (1999) who argues that </w:t>
      </w:r>
      <w:r w:rsidR="0062387A" w:rsidRPr="00053C90">
        <w:rPr>
          <w:szCs w:val="24"/>
          <w:lang w:val="en-US"/>
        </w:rPr>
        <w:t>larger transactions increase</w:t>
      </w:r>
      <w:r w:rsidRPr="00053C90">
        <w:rPr>
          <w:szCs w:val="24"/>
          <w:lang w:val="en-US"/>
        </w:rPr>
        <w:t xml:space="preserve"> the opportunities to realize synergi</w:t>
      </w:r>
      <w:r w:rsidR="00C406A0" w:rsidRPr="00053C90">
        <w:rPr>
          <w:szCs w:val="24"/>
          <w:lang w:val="en-US"/>
        </w:rPr>
        <w:t>es. Bhagat et al (2011) examine</w:t>
      </w:r>
      <w:r w:rsidRPr="00053C90">
        <w:rPr>
          <w:szCs w:val="24"/>
          <w:lang w:val="en-US"/>
        </w:rPr>
        <w:t xml:space="preserve"> the relative transaction size influence on short term performance and their findings indic</w:t>
      </w:r>
      <w:r w:rsidR="00C406A0" w:rsidRPr="00053C90">
        <w:rPr>
          <w:szCs w:val="24"/>
          <w:lang w:val="en-US"/>
        </w:rPr>
        <w:t xml:space="preserve">ate a positive result as well. </w:t>
      </w:r>
      <w:r w:rsidRPr="00053C90">
        <w:rPr>
          <w:szCs w:val="24"/>
          <w:lang w:val="en-US"/>
        </w:rPr>
        <w:t>The divergence in results makes this an interesting variable to examining when applying a northern European market setting. The hypothesis in this</w:t>
      </w:r>
      <w:r w:rsidR="00C406A0" w:rsidRPr="00053C90">
        <w:rPr>
          <w:szCs w:val="24"/>
          <w:lang w:val="en-US"/>
        </w:rPr>
        <w:t xml:space="preserve"> study is based on the</w:t>
      </w:r>
      <w:r w:rsidRPr="00053C90">
        <w:rPr>
          <w:szCs w:val="24"/>
          <w:lang w:val="en-US"/>
        </w:rPr>
        <w:t xml:space="preserve"> theory </w:t>
      </w:r>
      <w:r w:rsidR="00C406A0" w:rsidRPr="00053C90">
        <w:rPr>
          <w:szCs w:val="24"/>
          <w:lang w:val="en-US"/>
        </w:rPr>
        <w:t xml:space="preserve">that there </w:t>
      </w:r>
      <w:r w:rsidR="0062387A" w:rsidRPr="00053C90">
        <w:rPr>
          <w:szCs w:val="24"/>
          <w:lang w:val="en-US"/>
        </w:rPr>
        <w:t>is larger deals lead</w:t>
      </w:r>
      <w:r w:rsidR="00C406A0" w:rsidRPr="00053C90">
        <w:rPr>
          <w:szCs w:val="24"/>
          <w:lang w:val="en-US"/>
        </w:rPr>
        <w:t xml:space="preserve"> to increased opportunities to realize synergies:</w:t>
      </w:r>
    </w:p>
    <w:p w:rsidR="001B062E" w:rsidRPr="00053C90" w:rsidRDefault="001B062E" w:rsidP="001B062E">
      <w:pPr>
        <w:spacing w:line="360" w:lineRule="auto"/>
        <w:rPr>
          <w:i/>
          <w:szCs w:val="24"/>
          <w:lang w:val="en-US"/>
        </w:rPr>
      </w:pPr>
      <w:r w:rsidRPr="00053C90">
        <w:rPr>
          <w:i/>
          <w:szCs w:val="24"/>
          <w:lang w:val="en-US"/>
        </w:rPr>
        <w:t xml:space="preserve">Hypothesis 6: Relative large transactions affect the stock and operating performance positively. </w:t>
      </w:r>
    </w:p>
    <w:p w:rsidR="001B062E" w:rsidRPr="00053C90" w:rsidRDefault="001B062E" w:rsidP="001B062E">
      <w:pPr>
        <w:spacing w:line="360" w:lineRule="auto"/>
        <w:rPr>
          <w:i/>
          <w:szCs w:val="24"/>
          <w:lang w:val="en-US"/>
        </w:rPr>
      </w:pPr>
    </w:p>
    <w:p w:rsidR="001B062E" w:rsidRPr="00053C90" w:rsidRDefault="001B062E" w:rsidP="001B062E">
      <w:pPr>
        <w:pStyle w:val="TimesNewRoman"/>
        <w:rPr>
          <w:i/>
          <w:lang w:val="en-US"/>
        </w:rPr>
      </w:pPr>
      <w:r w:rsidRPr="00053C90">
        <w:rPr>
          <w:i/>
          <w:lang w:val="en-US"/>
        </w:rPr>
        <w:t>Domestic or cross-border transaction</w:t>
      </w: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 xml:space="preserve">Evidence has been found that </w:t>
      </w:r>
      <w:r w:rsidR="00937744" w:rsidRPr="00053C90">
        <w:rPr>
          <w:szCs w:val="24"/>
          <w:lang w:val="en-US"/>
        </w:rPr>
        <w:t>cross-border</w:t>
      </w:r>
      <w:r w:rsidRPr="00053C90">
        <w:rPr>
          <w:szCs w:val="24"/>
          <w:lang w:val="en-US"/>
        </w:rPr>
        <w:t xml:space="preserve"> transactions are correlated with poor performing deals. Hit</w:t>
      </w:r>
      <w:r w:rsidR="00C406A0" w:rsidRPr="00053C90">
        <w:rPr>
          <w:szCs w:val="24"/>
          <w:lang w:val="en-US"/>
        </w:rPr>
        <w:t>t &amp; Pisano (2003) find that possible reasons can</w:t>
      </w:r>
      <w:r w:rsidRPr="00053C90">
        <w:rPr>
          <w:szCs w:val="24"/>
          <w:lang w:val="en-US"/>
        </w:rPr>
        <w:t xml:space="preserve"> be that international transactions have a more complex nature than national transactions due to laws, organizational cultures, and regulation being dif</w:t>
      </w:r>
      <w:r w:rsidR="00C406A0" w:rsidRPr="00053C90">
        <w:rPr>
          <w:szCs w:val="24"/>
          <w:lang w:val="en-US"/>
        </w:rPr>
        <w:t>ferent. Black et al (2001) find</w:t>
      </w:r>
      <w:r w:rsidRPr="00053C90">
        <w:rPr>
          <w:szCs w:val="24"/>
          <w:lang w:val="en-US"/>
        </w:rPr>
        <w:t xml:space="preserve"> significant negative stock performance when comparing cross-border with domestic ones. Conn et al</w:t>
      </w:r>
      <w:r w:rsidR="00C406A0" w:rsidRPr="00053C90">
        <w:rPr>
          <w:szCs w:val="24"/>
          <w:lang w:val="en-US"/>
        </w:rPr>
        <w:t xml:space="preserve"> (2001) on the other hand, find</w:t>
      </w:r>
      <w:r w:rsidRPr="00053C90">
        <w:rPr>
          <w:szCs w:val="24"/>
          <w:lang w:val="en-US"/>
        </w:rPr>
        <w:t xml:space="preserve"> no significant underperformance of cross-border transactions compared to domestic, this is in line with the findings of Martynova et al (2006) who</w:t>
      </w:r>
      <w:r w:rsidR="00C406A0" w:rsidRPr="00053C90">
        <w:rPr>
          <w:szCs w:val="24"/>
          <w:lang w:val="en-US"/>
        </w:rPr>
        <w:t xml:space="preserve"> examine</w:t>
      </w:r>
      <w:r w:rsidRPr="00053C90">
        <w:rPr>
          <w:szCs w:val="24"/>
          <w:lang w:val="en-US"/>
        </w:rPr>
        <w:t xml:space="preserve"> the European market. A third result was pr</w:t>
      </w:r>
      <w:r w:rsidR="009561CD" w:rsidRPr="00053C90">
        <w:rPr>
          <w:szCs w:val="24"/>
          <w:lang w:val="en-US"/>
        </w:rPr>
        <w:t>esented by Kang (1993) who find</w:t>
      </w:r>
      <w:r w:rsidRPr="00053C90">
        <w:rPr>
          <w:szCs w:val="24"/>
          <w:lang w:val="en-US"/>
        </w:rPr>
        <w:t xml:space="preserve"> evidence that Japane</w:t>
      </w:r>
      <w:r w:rsidR="009561CD" w:rsidRPr="00053C90">
        <w:rPr>
          <w:szCs w:val="24"/>
          <w:lang w:val="en-US"/>
        </w:rPr>
        <w:t>se companies acquiring U.S. targets earn</w:t>
      </w:r>
      <w:r w:rsidRPr="00053C90">
        <w:rPr>
          <w:szCs w:val="24"/>
          <w:lang w:val="en-US"/>
        </w:rPr>
        <w:t xml:space="preserve"> significant positive abnormal returns.  The difference in results from prior studies makes it an interesting variable to examine fu</w:t>
      </w:r>
      <w:r w:rsidR="009561CD" w:rsidRPr="00053C90">
        <w:rPr>
          <w:szCs w:val="24"/>
          <w:lang w:val="en-US"/>
        </w:rPr>
        <w:t>rther and the hypothesis is</w:t>
      </w:r>
      <w:r w:rsidRPr="00053C90">
        <w:rPr>
          <w:szCs w:val="24"/>
          <w:lang w:val="en-US"/>
        </w:rPr>
        <w:t xml:space="preserve"> based on the results from the majority of the reviewed studies.</w:t>
      </w:r>
    </w:p>
    <w:p w:rsidR="009561CD" w:rsidRPr="00053C90" w:rsidRDefault="009561CD" w:rsidP="001B062E">
      <w:pPr>
        <w:autoSpaceDE w:val="0"/>
        <w:autoSpaceDN w:val="0"/>
        <w:adjustRightInd w:val="0"/>
        <w:spacing w:after="0" w:line="360" w:lineRule="auto"/>
        <w:rPr>
          <w:szCs w:val="24"/>
          <w:lang w:val="en-US"/>
        </w:rPr>
      </w:pPr>
    </w:p>
    <w:p w:rsidR="001B062E" w:rsidRPr="00053C90" w:rsidRDefault="001B062E" w:rsidP="001B062E">
      <w:pPr>
        <w:autoSpaceDE w:val="0"/>
        <w:autoSpaceDN w:val="0"/>
        <w:adjustRightInd w:val="0"/>
        <w:spacing w:after="0" w:line="360" w:lineRule="auto"/>
        <w:rPr>
          <w:i/>
          <w:szCs w:val="24"/>
          <w:lang w:val="en-US"/>
        </w:rPr>
      </w:pPr>
      <w:r w:rsidRPr="00053C90">
        <w:rPr>
          <w:i/>
          <w:szCs w:val="24"/>
          <w:lang w:val="en-US"/>
        </w:rPr>
        <w:t>Hypothesis 7:</w:t>
      </w:r>
      <w:r w:rsidRPr="00053C90">
        <w:rPr>
          <w:szCs w:val="24"/>
          <w:lang w:val="en-US"/>
        </w:rPr>
        <w:t xml:space="preserve">  </w:t>
      </w:r>
      <w:r w:rsidRPr="00053C90">
        <w:rPr>
          <w:i/>
          <w:szCs w:val="24"/>
          <w:lang w:val="en-US"/>
        </w:rPr>
        <w:t>Domesti</w:t>
      </w:r>
      <w:r w:rsidR="0062387A">
        <w:rPr>
          <w:i/>
          <w:szCs w:val="24"/>
          <w:lang w:val="en-US"/>
        </w:rPr>
        <w:t xml:space="preserve">c transactions </w:t>
      </w:r>
      <w:r w:rsidR="009561CD" w:rsidRPr="00053C90">
        <w:rPr>
          <w:i/>
          <w:szCs w:val="24"/>
          <w:lang w:val="en-US"/>
        </w:rPr>
        <w:t>outperform</w:t>
      </w:r>
      <w:r w:rsidRPr="00053C90">
        <w:rPr>
          <w:i/>
          <w:szCs w:val="24"/>
          <w:lang w:val="en-US"/>
        </w:rPr>
        <w:t xml:space="preserve"> </w:t>
      </w:r>
      <w:r w:rsidR="00937744" w:rsidRPr="00053C90">
        <w:rPr>
          <w:i/>
          <w:szCs w:val="24"/>
          <w:lang w:val="en-US"/>
        </w:rPr>
        <w:t>cross-border</w:t>
      </w:r>
      <w:r w:rsidRPr="00053C90">
        <w:rPr>
          <w:i/>
          <w:szCs w:val="24"/>
          <w:lang w:val="en-US"/>
        </w:rPr>
        <w:t xml:space="preserve"> transactions in operating and stock performance in the long term. </w:t>
      </w:r>
    </w:p>
    <w:p w:rsidR="001B062E" w:rsidRPr="00053C90" w:rsidRDefault="001B062E" w:rsidP="001B062E">
      <w:pPr>
        <w:spacing w:line="360" w:lineRule="auto"/>
        <w:rPr>
          <w:lang w:val="en-US"/>
        </w:rPr>
      </w:pPr>
    </w:p>
    <w:p w:rsidR="001B062E" w:rsidRPr="00053C90" w:rsidRDefault="001B062E" w:rsidP="001B062E">
      <w:pPr>
        <w:pStyle w:val="TimesNewRoman"/>
        <w:rPr>
          <w:i/>
          <w:lang w:val="en-US"/>
        </w:rPr>
      </w:pPr>
      <w:r w:rsidRPr="00053C90">
        <w:rPr>
          <w:i/>
          <w:lang w:val="en-US"/>
        </w:rPr>
        <w:t>Industry relatedness</w:t>
      </w:r>
    </w:p>
    <w:p w:rsidR="001B062E" w:rsidRPr="00053C90" w:rsidRDefault="001B062E" w:rsidP="001B062E">
      <w:pPr>
        <w:spacing w:line="360" w:lineRule="auto"/>
        <w:rPr>
          <w:lang w:val="en-US"/>
        </w:rPr>
      </w:pPr>
      <w:r w:rsidRPr="00053C90">
        <w:rPr>
          <w:lang w:val="en-US"/>
        </w:rPr>
        <w:t>A determinant that researchers have examined from both an accounting and stock perspective is if the relatedness of the industries of the acqui</w:t>
      </w:r>
      <w:r w:rsidR="009561CD" w:rsidRPr="00053C90">
        <w:rPr>
          <w:lang w:val="en-US"/>
        </w:rPr>
        <w:t>ring firm and the target affects</w:t>
      </w:r>
      <w:r w:rsidRPr="00053C90">
        <w:rPr>
          <w:lang w:val="en-US"/>
        </w:rPr>
        <w:t xml:space="preserve"> the post-merger performance. Jensen (1986) claims that transactions between firms in unrelated industries are less likely to succeed, because the acquiring firm is unfamiliar with the target’s industry. </w:t>
      </w:r>
    </w:p>
    <w:p w:rsidR="001B062E" w:rsidRPr="00053C90" w:rsidRDefault="009561CD" w:rsidP="001B062E">
      <w:pPr>
        <w:spacing w:line="360" w:lineRule="auto"/>
        <w:rPr>
          <w:lang w:val="en-US"/>
        </w:rPr>
      </w:pPr>
      <w:r w:rsidRPr="00053C90">
        <w:rPr>
          <w:lang w:val="en-US"/>
        </w:rPr>
        <w:t>One study that focuses on</w:t>
      </w:r>
      <w:r w:rsidR="001B062E" w:rsidRPr="00053C90">
        <w:rPr>
          <w:lang w:val="en-US"/>
        </w:rPr>
        <w:t xml:space="preserve"> relatedness in industries is Agrawal et al (1992). They find evidence that firms in transaction</w:t>
      </w:r>
      <w:r w:rsidRPr="00053C90">
        <w:rPr>
          <w:lang w:val="en-US"/>
        </w:rPr>
        <w:t>s</w:t>
      </w:r>
      <w:r w:rsidR="001B062E" w:rsidRPr="00053C90">
        <w:rPr>
          <w:lang w:val="en-US"/>
        </w:rPr>
        <w:t xml:space="preserve"> that operated </w:t>
      </w:r>
      <w:r w:rsidRPr="00053C90">
        <w:rPr>
          <w:lang w:val="en-US"/>
        </w:rPr>
        <w:t>within the same industry</w:t>
      </w:r>
      <w:r w:rsidR="001B062E" w:rsidRPr="00053C90">
        <w:rPr>
          <w:lang w:val="en-US"/>
        </w:rPr>
        <w:t xml:space="preserve"> underperform firms in transaction</w:t>
      </w:r>
      <w:r w:rsidRPr="00053C90">
        <w:rPr>
          <w:lang w:val="en-US"/>
        </w:rPr>
        <w:t>s</w:t>
      </w:r>
      <w:r w:rsidR="001B062E" w:rsidRPr="00053C90">
        <w:rPr>
          <w:lang w:val="en-US"/>
        </w:rPr>
        <w:t xml:space="preserve"> were this was not the case. A possible reason for this can, according to the researchers </w:t>
      </w:r>
      <w:r w:rsidR="0062387A" w:rsidRPr="00053C90">
        <w:rPr>
          <w:lang w:val="en-US"/>
        </w:rPr>
        <w:t>is</w:t>
      </w:r>
      <w:r w:rsidR="001B062E" w:rsidRPr="00053C90">
        <w:rPr>
          <w:lang w:val="en-US"/>
        </w:rPr>
        <w:t xml:space="preserve"> access to lower financing costs. This is contradicto</w:t>
      </w:r>
      <w:r w:rsidRPr="00053C90">
        <w:rPr>
          <w:lang w:val="en-US"/>
        </w:rPr>
        <w:t>ry to the findings of Maquiera et al (1998), whose results are</w:t>
      </w:r>
      <w:r w:rsidR="001B062E" w:rsidRPr="00053C90">
        <w:rPr>
          <w:lang w:val="en-US"/>
        </w:rPr>
        <w:t xml:space="preserve"> positive when studying the returns of acquirers in transactions wher</w:t>
      </w:r>
      <w:r w:rsidRPr="00053C90">
        <w:rPr>
          <w:lang w:val="en-US"/>
        </w:rPr>
        <w:t xml:space="preserve">e the industries are related. </w:t>
      </w:r>
      <w:r w:rsidR="001B062E" w:rsidRPr="00053C90">
        <w:rPr>
          <w:lang w:val="en-US"/>
        </w:rPr>
        <w:t xml:space="preserve">Healy et al (1992) did not find any significance when examining if the relatedness of the industries has any impact on the operating performance, but after adjusting for outliers they find superior performance of firms that are related. The researchers state that firms within the same industry had increased opportunities to realize synergies as a possible reason for this performance. The hypothesis in this study will be based on the findings of </w:t>
      </w:r>
      <w:r w:rsidRPr="00053C90">
        <w:rPr>
          <w:lang w:val="en-US"/>
        </w:rPr>
        <w:t xml:space="preserve">the </w:t>
      </w:r>
      <w:r w:rsidR="001B062E" w:rsidRPr="00053C90">
        <w:rPr>
          <w:lang w:val="en-US"/>
        </w:rPr>
        <w:t>most recent studies conducted within this area.</w:t>
      </w:r>
    </w:p>
    <w:p w:rsidR="001B062E" w:rsidRPr="00053C90" w:rsidRDefault="001B062E" w:rsidP="001B062E">
      <w:pPr>
        <w:spacing w:line="360" w:lineRule="auto"/>
        <w:rPr>
          <w:i/>
          <w:lang w:val="en-US"/>
        </w:rPr>
      </w:pPr>
      <w:r w:rsidRPr="00053C90">
        <w:rPr>
          <w:i/>
          <w:lang w:val="en-US"/>
        </w:rPr>
        <w:t xml:space="preserve">Hypothesis 8: Transactions where the acquirer and the target are within the same industry outperform transactions where this is not the case. </w:t>
      </w:r>
    </w:p>
    <w:p w:rsidR="001B062E" w:rsidRPr="00053C90" w:rsidRDefault="001B062E" w:rsidP="001B062E">
      <w:pPr>
        <w:rPr>
          <w:lang w:val="en-US"/>
        </w:rPr>
      </w:pPr>
    </w:p>
    <w:p w:rsidR="001B062E" w:rsidRPr="00A652CD" w:rsidRDefault="00A652CD" w:rsidP="00A652CD">
      <w:pPr>
        <w:spacing w:line="360" w:lineRule="auto"/>
        <w:jc w:val="center"/>
        <w:rPr>
          <w:i/>
          <w:sz w:val="20"/>
          <w:szCs w:val="20"/>
          <w:lang w:val="en-US"/>
        </w:rPr>
      </w:pPr>
      <w:r w:rsidRPr="00053C90">
        <w:rPr>
          <w:i/>
          <w:sz w:val="20"/>
          <w:szCs w:val="20"/>
          <w:lang w:val="en-US"/>
        </w:rPr>
        <w:t>Table 2.3: Summary of previous studies examining determina</w:t>
      </w:r>
      <w:r>
        <w:rPr>
          <w:i/>
          <w:sz w:val="20"/>
          <w:szCs w:val="20"/>
          <w:lang w:val="en-US"/>
        </w:rPr>
        <w:t>nt influences and performances.</w:t>
      </w:r>
    </w:p>
    <w:tbl>
      <w:tblPr>
        <w:tblW w:w="9399" w:type="dxa"/>
        <w:jc w:val="center"/>
        <w:tblBorders>
          <w:top w:val="single" w:sz="4" w:space="0" w:color="8DB3E2"/>
          <w:left w:val="single" w:sz="4" w:space="0" w:color="8DB3E2"/>
          <w:bottom w:val="single" w:sz="4" w:space="0" w:color="8DB3E2"/>
          <w:right w:val="single" w:sz="4" w:space="0" w:color="8DB3E2"/>
        </w:tblBorders>
        <w:tblLook w:val="04A0" w:firstRow="1" w:lastRow="0" w:firstColumn="1" w:lastColumn="0" w:noHBand="0" w:noVBand="1"/>
      </w:tblPr>
      <w:tblGrid>
        <w:gridCol w:w="2642"/>
        <w:gridCol w:w="6757"/>
      </w:tblGrid>
      <w:tr w:rsidR="001B062E" w:rsidRPr="00053C90" w:rsidTr="00385BF9">
        <w:trPr>
          <w:trHeight w:val="503"/>
          <w:jc w:val="center"/>
        </w:trPr>
        <w:tc>
          <w:tcPr>
            <w:tcW w:w="2642" w:type="dxa"/>
            <w:shd w:val="clear" w:color="4F81BD" w:fill="4F81BD"/>
            <w:noWrap/>
            <w:vAlign w:val="center"/>
            <w:hideMark/>
          </w:tcPr>
          <w:p w:rsidR="001B062E" w:rsidRPr="00053C90" w:rsidRDefault="001B062E" w:rsidP="00385BF9">
            <w:pPr>
              <w:spacing w:after="0" w:line="240" w:lineRule="auto"/>
              <w:rPr>
                <w:rFonts w:eastAsia="Times New Roman"/>
                <w:b/>
                <w:bCs/>
                <w:color w:val="FFFFFF"/>
                <w:szCs w:val="24"/>
                <w:lang w:val="en-US"/>
              </w:rPr>
            </w:pPr>
            <w:r w:rsidRPr="00053C90">
              <w:rPr>
                <w:rFonts w:eastAsia="Times New Roman"/>
                <w:b/>
                <w:bCs/>
                <w:color w:val="FFFFFF"/>
                <w:szCs w:val="24"/>
                <w:lang w:val="en-US"/>
              </w:rPr>
              <w:t>Previous Studies</w:t>
            </w:r>
          </w:p>
        </w:tc>
        <w:tc>
          <w:tcPr>
            <w:tcW w:w="6757" w:type="dxa"/>
            <w:shd w:val="clear" w:color="4F81BD" w:fill="4F81BD"/>
            <w:noWrap/>
            <w:vAlign w:val="center"/>
            <w:hideMark/>
          </w:tcPr>
          <w:p w:rsidR="001B062E" w:rsidRPr="00053C90" w:rsidRDefault="001B062E" w:rsidP="00385BF9">
            <w:pPr>
              <w:spacing w:after="0" w:line="240" w:lineRule="auto"/>
              <w:rPr>
                <w:rFonts w:eastAsia="Times New Roman"/>
                <w:b/>
                <w:bCs/>
                <w:color w:val="FFFFFF"/>
                <w:szCs w:val="24"/>
                <w:lang w:val="en-US"/>
              </w:rPr>
            </w:pPr>
            <w:r w:rsidRPr="00053C90">
              <w:rPr>
                <w:rFonts w:eastAsia="Times New Roman"/>
                <w:b/>
                <w:bCs/>
                <w:color w:val="FFFFFF"/>
                <w:szCs w:val="24"/>
                <w:lang w:val="en-US"/>
              </w:rPr>
              <w:t>Findings</w:t>
            </w:r>
          </w:p>
        </w:tc>
      </w:tr>
      <w:tr w:rsidR="001B062E" w:rsidRPr="00053C90" w:rsidTr="0002738A">
        <w:trPr>
          <w:trHeight w:val="451"/>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b/>
                <w:bCs/>
                <w:color w:val="000000"/>
                <w:sz w:val="22"/>
                <w:lang w:val="en-US"/>
              </w:rPr>
            </w:pPr>
            <w:r w:rsidRPr="00053C90">
              <w:rPr>
                <w:rFonts w:eastAsia="Times New Roman"/>
                <w:b/>
                <w:bCs/>
                <w:color w:val="000000"/>
                <w:sz w:val="22"/>
                <w:lang w:val="en-US"/>
              </w:rPr>
              <w:t>Market to Book</w:t>
            </w:r>
          </w:p>
        </w:tc>
        <w:tc>
          <w:tcPr>
            <w:tcW w:w="6757" w:type="dxa"/>
            <w:shd w:val="clear" w:color="DCE6F1" w:fill="DCE6F1"/>
            <w:noWrap/>
            <w:vAlign w:val="bottom"/>
            <w:hideMark/>
          </w:tcPr>
          <w:p w:rsidR="001B062E" w:rsidRPr="00053C90" w:rsidRDefault="001B062E" w:rsidP="0002738A">
            <w:pPr>
              <w:spacing w:after="0" w:line="240" w:lineRule="auto"/>
              <w:rPr>
                <w:rFonts w:eastAsia="Times New Roman"/>
                <w:b/>
                <w:bCs/>
                <w:color w:val="000000"/>
                <w:sz w:val="22"/>
                <w:lang w:val="en-US"/>
              </w:rPr>
            </w:pPr>
          </w:p>
        </w:tc>
      </w:tr>
      <w:tr w:rsidR="001B062E" w:rsidRPr="00286008" w:rsidTr="0002738A">
        <w:trPr>
          <w:trHeight w:val="451"/>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 xml:space="preserve">Rau &amp; </w:t>
            </w:r>
            <w:r w:rsidRPr="00053C90">
              <w:rPr>
                <w:rFonts w:eastAsia="Times New Roman"/>
                <w:color w:val="000000"/>
                <w:sz w:val="18"/>
                <w:lang w:val="en-US"/>
              </w:rPr>
              <w:t>Verm</w:t>
            </w:r>
            <w:r w:rsidRPr="00053C90">
              <w:rPr>
                <w:rFonts w:eastAsia="Times New Roman"/>
                <w:color w:val="000000"/>
                <w:sz w:val="22"/>
                <w:lang w:val="en-US"/>
              </w:rPr>
              <w:t>aelen (1998)</w:t>
            </w:r>
          </w:p>
        </w:tc>
        <w:tc>
          <w:tcPr>
            <w:tcW w:w="6757"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Acquirers with low M/B have a superior post-merger performance than acquirers with high M/B</w:t>
            </w:r>
          </w:p>
        </w:tc>
      </w:tr>
      <w:tr w:rsidR="001B062E" w:rsidRPr="00286008" w:rsidTr="0002738A">
        <w:trPr>
          <w:trHeight w:val="86"/>
          <w:jc w:val="center"/>
        </w:trPr>
        <w:tc>
          <w:tcPr>
            <w:tcW w:w="2642" w:type="dxa"/>
            <w:shd w:val="clear" w:color="auto" w:fill="DBE5F1"/>
            <w:noWrap/>
            <w:vAlign w:val="bottom"/>
          </w:tcPr>
          <w:p w:rsidR="001B062E" w:rsidRPr="00053C90" w:rsidRDefault="001B062E" w:rsidP="0002738A">
            <w:pPr>
              <w:spacing w:after="0" w:line="240" w:lineRule="auto"/>
              <w:rPr>
                <w:rFonts w:eastAsia="Times New Roman"/>
                <w:b/>
                <w:bCs/>
                <w:color w:val="000000"/>
                <w:szCs w:val="24"/>
                <w:lang w:val="en-US"/>
              </w:rPr>
            </w:pPr>
          </w:p>
        </w:tc>
        <w:tc>
          <w:tcPr>
            <w:tcW w:w="6757" w:type="dxa"/>
            <w:shd w:val="clear" w:color="auto" w:fill="DBE5F1"/>
            <w:noWrap/>
            <w:vAlign w:val="bottom"/>
          </w:tcPr>
          <w:p w:rsidR="001B062E" w:rsidRPr="00053C90" w:rsidRDefault="001B062E" w:rsidP="0002738A">
            <w:pPr>
              <w:spacing w:after="0" w:line="240" w:lineRule="auto"/>
              <w:rPr>
                <w:rFonts w:eastAsia="Times New Roman"/>
                <w:b/>
                <w:bCs/>
                <w:color w:val="000000"/>
                <w:sz w:val="22"/>
                <w:lang w:val="en-US"/>
              </w:rPr>
            </w:pPr>
          </w:p>
        </w:tc>
      </w:tr>
      <w:tr w:rsidR="001B062E" w:rsidRPr="00053C90" w:rsidTr="0002738A">
        <w:trPr>
          <w:trHeight w:val="451"/>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b/>
                <w:bCs/>
                <w:color w:val="000000"/>
                <w:sz w:val="22"/>
                <w:lang w:val="en-US"/>
              </w:rPr>
            </w:pPr>
            <w:r w:rsidRPr="00053C90">
              <w:rPr>
                <w:rFonts w:eastAsia="Times New Roman"/>
                <w:b/>
                <w:bCs/>
                <w:color w:val="000000"/>
                <w:sz w:val="22"/>
                <w:lang w:val="en-US"/>
              </w:rPr>
              <w:t>Size</w:t>
            </w:r>
          </w:p>
        </w:tc>
        <w:tc>
          <w:tcPr>
            <w:tcW w:w="6757" w:type="dxa"/>
            <w:shd w:val="clear" w:color="auto" w:fill="auto"/>
            <w:noWrap/>
            <w:vAlign w:val="bottom"/>
            <w:hideMark/>
          </w:tcPr>
          <w:p w:rsidR="001B062E" w:rsidRPr="00053C90" w:rsidRDefault="001B062E" w:rsidP="0002738A">
            <w:pPr>
              <w:spacing w:after="0" w:line="240" w:lineRule="auto"/>
              <w:rPr>
                <w:rFonts w:eastAsia="Times New Roman"/>
                <w:b/>
                <w:bCs/>
                <w:color w:val="000000"/>
                <w:sz w:val="22"/>
                <w:lang w:val="en-US"/>
              </w:rPr>
            </w:pPr>
          </w:p>
        </w:tc>
      </w:tr>
      <w:tr w:rsidR="001B062E" w:rsidRPr="00286008" w:rsidTr="0002738A">
        <w:trPr>
          <w:trHeight w:val="451"/>
          <w:jc w:val="center"/>
        </w:trPr>
        <w:tc>
          <w:tcPr>
            <w:tcW w:w="2642" w:type="dxa"/>
            <w:shd w:val="clear" w:color="DCE6F1" w:fill="DCE6F1"/>
            <w:noWrap/>
            <w:vAlign w:val="bottom"/>
            <w:hideMark/>
          </w:tcPr>
          <w:p w:rsidR="001B062E" w:rsidRPr="00053C90" w:rsidRDefault="0062387A" w:rsidP="0062387A">
            <w:pPr>
              <w:spacing w:after="0" w:line="240" w:lineRule="auto"/>
              <w:rPr>
                <w:rFonts w:eastAsia="Times New Roman"/>
                <w:color w:val="000000"/>
                <w:szCs w:val="24"/>
                <w:lang w:val="en-US"/>
              </w:rPr>
            </w:pPr>
            <w:r>
              <w:rPr>
                <w:rFonts w:eastAsia="Times New Roman"/>
                <w:color w:val="000000"/>
                <w:szCs w:val="24"/>
                <w:lang w:val="en-US"/>
              </w:rPr>
              <w:t xml:space="preserve">Moeller et al </w:t>
            </w:r>
            <w:r w:rsidR="001B062E" w:rsidRPr="00053C90">
              <w:rPr>
                <w:rFonts w:eastAsia="Times New Roman"/>
                <w:color w:val="000000"/>
                <w:szCs w:val="24"/>
                <w:lang w:val="en-US"/>
              </w:rPr>
              <w:t>(2004)</w:t>
            </w:r>
          </w:p>
        </w:tc>
        <w:tc>
          <w:tcPr>
            <w:tcW w:w="6757"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Large acquirers underperform smaller acquirers on both long-term and short-term</w:t>
            </w: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p>
        </w:tc>
        <w:tc>
          <w:tcPr>
            <w:tcW w:w="6757" w:type="dxa"/>
            <w:shd w:val="clear" w:color="auto" w:fill="auto"/>
            <w:noWrap/>
            <w:vAlign w:val="bottom"/>
            <w:hideMark/>
          </w:tcPr>
          <w:p w:rsidR="001B062E" w:rsidRPr="00053C90" w:rsidRDefault="001B062E" w:rsidP="0002738A">
            <w:pPr>
              <w:spacing w:after="0" w:line="240" w:lineRule="auto"/>
              <w:rPr>
                <w:rFonts w:eastAsia="Times New Roman"/>
                <w:sz w:val="20"/>
                <w:szCs w:val="20"/>
                <w:lang w:val="en-US"/>
              </w:rPr>
            </w:pPr>
          </w:p>
        </w:tc>
      </w:tr>
      <w:tr w:rsidR="001B062E" w:rsidRPr="00053C90" w:rsidTr="0002738A">
        <w:trPr>
          <w:trHeight w:val="416"/>
          <w:jc w:val="center"/>
        </w:trPr>
        <w:tc>
          <w:tcPr>
            <w:tcW w:w="2642" w:type="dxa"/>
            <w:shd w:val="clear" w:color="auto" w:fill="DBE5F1"/>
            <w:noWrap/>
            <w:vAlign w:val="bottom"/>
            <w:hideMark/>
          </w:tcPr>
          <w:p w:rsidR="001B062E" w:rsidRPr="00053C90" w:rsidRDefault="001B062E" w:rsidP="0002738A">
            <w:pPr>
              <w:spacing w:after="0" w:line="240" w:lineRule="auto"/>
              <w:rPr>
                <w:rFonts w:eastAsia="Times New Roman"/>
                <w:b/>
                <w:bCs/>
                <w:color w:val="000000"/>
                <w:sz w:val="22"/>
                <w:lang w:val="en-US"/>
              </w:rPr>
            </w:pPr>
            <w:r w:rsidRPr="00053C90">
              <w:rPr>
                <w:rFonts w:eastAsia="Times New Roman"/>
                <w:b/>
                <w:bCs/>
                <w:color w:val="000000"/>
                <w:sz w:val="22"/>
                <w:lang w:val="en-US"/>
              </w:rPr>
              <w:t>Relative Size of Transaction</w:t>
            </w:r>
          </w:p>
        </w:tc>
        <w:tc>
          <w:tcPr>
            <w:tcW w:w="6757" w:type="dxa"/>
            <w:shd w:val="clear" w:color="auto" w:fill="DBE5F1"/>
            <w:noWrap/>
            <w:vAlign w:val="bottom"/>
            <w:hideMark/>
          </w:tcPr>
          <w:p w:rsidR="001B062E" w:rsidRPr="00053C90" w:rsidRDefault="001B062E" w:rsidP="0002738A">
            <w:pPr>
              <w:spacing w:after="0" w:line="240" w:lineRule="auto"/>
              <w:rPr>
                <w:rFonts w:eastAsia="Times New Roman"/>
                <w:b/>
                <w:bCs/>
                <w:color w:val="000000"/>
                <w:sz w:val="22"/>
                <w:lang w:val="en-US"/>
              </w:rPr>
            </w:pP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Capron (1999)</w:t>
            </w:r>
          </w:p>
        </w:tc>
        <w:tc>
          <w:tcPr>
            <w:tcW w:w="6757"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Positive re</w:t>
            </w:r>
            <w:r w:rsidR="00937744" w:rsidRPr="00053C90">
              <w:rPr>
                <w:rFonts w:eastAsia="Times New Roman"/>
                <w:color w:val="000000"/>
                <w:sz w:val="22"/>
                <w:lang w:val="en-US"/>
              </w:rPr>
              <w:t>lationship between relative transaction</w:t>
            </w:r>
            <w:r w:rsidRPr="00053C90">
              <w:rPr>
                <w:rFonts w:eastAsia="Times New Roman"/>
                <w:color w:val="000000"/>
                <w:sz w:val="22"/>
                <w:lang w:val="en-US"/>
              </w:rPr>
              <w:t xml:space="preserve"> size and post-merger performance</w:t>
            </w:r>
          </w:p>
        </w:tc>
      </w:tr>
      <w:tr w:rsidR="001B062E" w:rsidRPr="00286008"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Martynova et al (2006)</w:t>
            </w:r>
          </w:p>
        </w:tc>
        <w:tc>
          <w:tcPr>
            <w:tcW w:w="6757" w:type="dxa"/>
            <w:shd w:val="clear" w:color="DCE6F1" w:fill="DCE6F1"/>
            <w:noWrap/>
            <w:vAlign w:val="center"/>
            <w:hideMark/>
          </w:tcPr>
          <w:p w:rsidR="001B062E" w:rsidRPr="00053C90" w:rsidRDefault="00937744" w:rsidP="0002738A">
            <w:pPr>
              <w:spacing w:after="0" w:line="240" w:lineRule="auto"/>
              <w:rPr>
                <w:rFonts w:eastAsia="Times New Roman"/>
                <w:color w:val="000000"/>
                <w:sz w:val="22"/>
                <w:lang w:val="en-US"/>
              </w:rPr>
            </w:pPr>
            <w:r w:rsidRPr="00053C90">
              <w:rPr>
                <w:rFonts w:eastAsia="Times New Roman"/>
                <w:color w:val="000000"/>
                <w:sz w:val="22"/>
                <w:lang w:val="en-US"/>
              </w:rPr>
              <w:t>Relative transaction</w:t>
            </w:r>
            <w:r w:rsidR="001B062E" w:rsidRPr="00053C90">
              <w:rPr>
                <w:rFonts w:eastAsia="Times New Roman"/>
                <w:color w:val="000000"/>
                <w:sz w:val="22"/>
                <w:lang w:val="en-US"/>
              </w:rPr>
              <w:t xml:space="preserve"> size has a negative relationship with long term performance after a transaction</w:t>
            </w: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Dutta &amp; Jog (2009)</w:t>
            </w:r>
          </w:p>
        </w:tc>
        <w:tc>
          <w:tcPr>
            <w:tcW w:w="6757" w:type="dxa"/>
            <w:shd w:val="clear" w:color="auto" w:fill="auto"/>
            <w:noWrap/>
            <w:vAlign w:val="center"/>
            <w:hideMark/>
          </w:tcPr>
          <w:p w:rsidR="001B062E" w:rsidRPr="00053C90" w:rsidRDefault="00937744" w:rsidP="0002738A">
            <w:pPr>
              <w:spacing w:after="0" w:line="240" w:lineRule="auto"/>
              <w:rPr>
                <w:rFonts w:eastAsia="Times New Roman"/>
                <w:color w:val="000000"/>
                <w:sz w:val="22"/>
                <w:lang w:val="en-US"/>
              </w:rPr>
            </w:pPr>
            <w:r w:rsidRPr="00053C90">
              <w:rPr>
                <w:rFonts w:eastAsia="Times New Roman"/>
                <w:color w:val="000000"/>
                <w:sz w:val="22"/>
                <w:lang w:val="en-US"/>
              </w:rPr>
              <w:t>Relative transaction</w:t>
            </w:r>
            <w:r w:rsidR="001B062E" w:rsidRPr="00053C90">
              <w:rPr>
                <w:rFonts w:eastAsia="Times New Roman"/>
                <w:color w:val="000000"/>
                <w:sz w:val="22"/>
                <w:lang w:val="en-US"/>
              </w:rPr>
              <w:t xml:space="preserve"> size has a negative relationship with long term post-merger performance</w:t>
            </w:r>
          </w:p>
        </w:tc>
      </w:tr>
      <w:tr w:rsidR="001B062E" w:rsidRPr="00286008"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Bhagat et al (2011)</w:t>
            </w:r>
          </w:p>
        </w:tc>
        <w:tc>
          <w:tcPr>
            <w:tcW w:w="6757" w:type="dxa"/>
            <w:shd w:val="clear" w:color="DCE6F1" w:fill="DCE6F1"/>
            <w:noWrap/>
            <w:vAlign w:val="center"/>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Positive short-term effects following a transaction for large deals</w:t>
            </w: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p>
        </w:tc>
        <w:tc>
          <w:tcPr>
            <w:tcW w:w="6757" w:type="dxa"/>
            <w:shd w:val="clear" w:color="auto" w:fill="auto"/>
            <w:noWrap/>
            <w:vAlign w:val="bottom"/>
            <w:hideMark/>
          </w:tcPr>
          <w:p w:rsidR="001B062E" w:rsidRPr="00053C90" w:rsidRDefault="001B062E" w:rsidP="0002738A">
            <w:pPr>
              <w:spacing w:after="0" w:line="240" w:lineRule="auto"/>
              <w:rPr>
                <w:rFonts w:eastAsia="Times New Roman"/>
                <w:sz w:val="20"/>
                <w:szCs w:val="20"/>
                <w:lang w:val="en-US"/>
              </w:rPr>
            </w:pPr>
          </w:p>
        </w:tc>
      </w:tr>
      <w:tr w:rsidR="001B062E" w:rsidRPr="00053C90"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b/>
                <w:bCs/>
                <w:color w:val="000000"/>
                <w:sz w:val="22"/>
                <w:lang w:val="en-US"/>
              </w:rPr>
            </w:pPr>
            <w:r w:rsidRPr="00053C90">
              <w:rPr>
                <w:rFonts w:eastAsia="Times New Roman"/>
                <w:b/>
                <w:bCs/>
                <w:color w:val="000000"/>
                <w:sz w:val="22"/>
                <w:lang w:val="en-US"/>
              </w:rPr>
              <w:t>Domestic or Cross-border</w:t>
            </w:r>
          </w:p>
        </w:tc>
        <w:tc>
          <w:tcPr>
            <w:tcW w:w="6757" w:type="dxa"/>
            <w:shd w:val="clear" w:color="DCE6F1" w:fill="DCE6F1"/>
            <w:noWrap/>
            <w:vAlign w:val="bottom"/>
            <w:hideMark/>
          </w:tcPr>
          <w:p w:rsidR="001B062E" w:rsidRPr="00053C90" w:rsidRDefault="001B062E" w:rsidP="0002738A">
            <w:pPr>
              <w:spacing w:after="0" w:line="240" w:lineRule="auto"/>
              <w:rPr>
                <w:rFonts w:eastAsia="Times New Roman"/>
                <w:b/>
                <w:bCs/>
                <w:color w:val="000000"/>
                <w:sz w:val="22"/>
                <w:lang w:val="en-US"/>
              </w:rPr>
            </w:pP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Kang (1993)</w:t>
            </w:r>
          </w:p>
        </w:tc>
        <w:tc>
          <w:tcPr>
            <w:tcW w:w="6757" w:type="dxa"/>
            <w:shd w:val="clear" w:color="auto" w:fill="auto"/>
            <w:noWrap/>
            <w:vAlign w:val="center"/>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Positive abnormal returns for Japanese acquiring U.S. targets</w:t>
            </w:r>
          </w:p>
        </w:tc>
      </w:tr>
      <w:tr w:rsidR="001B062E" w:rsidRPr="00AA1ABB"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Black et al (2001)</w:t>
            </w:r>
          </w:p>
        </w:tc>
        <w:tc>
          <w:tcPr>
            <w:tcW w:w="6757"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Domestic transactions outperform cross-border transactions</w:t>
            </w: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Conn et al (2001)</w:t>
            </w:r>
          </w:p>
        </w:tc>
        <w:tc>
          <w:tcPr>
            <w:tcW w:w="6757"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 xml:space="preserve">Location of target does not affect performance after a transaction </w:t>
            </w:r>
          </w:p>
        </w:tc>
      </w:tr>
      <w:tr w:rsidR="001B062E" w:rsidRPr="00286008"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Hitt &amp; Pisano (2003)</w:t>
            </w:r>
          </w:p>
        </w:tc>
        <w:tc>
          <w:tcPr>
            <w:tcW w:w="6757" w:type="dxa"/>
            <w:shd w:val="clear" w:color="DCE6F1" w:fill="DCE6F1"/>
            <w:noWrap/>
            <w:vAlign w:val="center"/>
            <w:hideMark/>
          </w:tcPr>
          <w:p w:rsidR="001B062E" w:rsidRPr="00053C90" w:rsidRDefault="00937744" w:rsidP="0002738A">
            <w:pPr>
              <w:spacing w:after="0" w:line="240" w:lineRule="auto"/>
              <w:rPr>
                <w:rFonts w:eastAsia="Times New Roman"/>
                <w:color w:val="000000"/>
                <w:sz w:val="22"/>
                <w:lang w:val="en-US"/>
              </w:rPr>
            </w:pPr>
            <w:r w:rsidRPr="00053C90">
              <w:rPr>
                <w:rFonts w:eastAsia="Times New Roman"/>
                <w:color w:val="000000"/>
                <w:sz w:val="22"/>
                <w:lang w:val="en-US"/>
              </w:rPr>
              <w:t>Cross-border</w:t>
            </w:r>
            <w:r w:rsidR="001B062E" w:rsidRPr="00053C90">
              <w:rPr>
                <w:rFonts w:eastAsia="Times New Roman"/>
                <w:color w:val="000000"/>
                <w:sz w:val="22"/>
                <w:lang w:val="en-US"/>
              </w:rPr>
              <w:t xml:space="preserve"> transactions underperform compared to domestic transactions</w:t>
            </w:r>
          </w:p>
        </w:tc>
      </w:tr>
      <w:tr w:rsidR="001B062E" w:rsidRPr="00286008"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Martynova et al (2006)</w:t>
            </w:r>
          </w:p>
        </w:tc>
        <w:tc>
          <w:tcPr>
            <w:tcW w:w="6757" w:type="dxa"/>
            <w:shd w:val="clear" w:color="auto" w:fill="auto"/>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Location of target does not affect performance</w:t>
            </w:r>
          </w:p>
        </w:tc>
      </w:tr>
      <w:tr w:rsidR="001B062E" w:rsidRPr="00286008" w:rsidTr="0002738A">
        <w:trPr>
          <w:trHeight w:val="86"/>
          <w:jc w:val="center"/>
        </w:trPr>
        <w:tc>
          <w:tcPr>
            <w:tcW w:w="2642" w:type="dxa"/>
            <w:shd w:val="clear" w:color="auto" w:fill="DBE5F1"/>
            <w:noWrap/>
            <w:vAlign w:val="bottom"/>
          </w:tcPr>
          <w:p w:rsidR="001B062E" w:rsidRPr="00053C90" w:rsidRDefault="001B062E" w:rsidP="0002738A">
            <w:pPr>
              <w:spacing w:after="0" w:line="240" w:lineRule="auto"/>
              <w:rPr>
                <w:rFonts w:eastAsia="Times New Roman"/>
                <w:b/>
                <w:bCs/>
                <w:color w:val="000000"/>
                <w:szCs w:val="24"/>
                <w:lang w:val="en-US"/>
              </w:rPr>
            </w:pPr>
          </w:p>
        </w:tc>
        <w:tc>
          <w:tcPr>
            <w:tcW w:w="6757" w:type="dxa"/>
            <w:shd w:val="clear" w:color="auto" w:fill="DBE5F1"/>
            <w:noWrap/>
            <w:vAlign w:val="bottom"/>
          </w:tcPr>
          <w:p w:rsidR="001B062E" w:rsidRPr="00053C90" w:rsidRDefault="001B062E" w:rsidP="0002738A">
            <w:pPr>
              <w:spacing w:after="0" w:line="240" w:lineRule="auto"/>
              <w:rPr>
                <w:rFonts w:eastAsia="Times New Roman"/>
                <w:b/>
                <w:bCs/>
                <w:color w:val="000000"/>
                <w:sz w:val="22"/>
                <w:lang w:val="en-US"/>
              </w:rPr>
            </w:pPr>
          </w:p>
        </w:tc>
      </w:tr>
      <w:tr w:rsidR="001B062E" w:rsidRPr="00053C90" w:rsidTr="0002738A">
        <w:trPr>
          <w:trHeight w:val="416"/>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b/>
                <w:bCs/>
                <w:color w:val="000000"/>
                <w:sz w:val="22"/>
                <w:lang w:val="en-US"/>
              </w:rPr>
            </w:pPr>
            <w:r w:rsidRPr="00053C90">
              <w:rPr>
                <w:rFonts w:eastAsia="Times New Roman"/>
                <w:b/>
                <w:bCs/>
                <w:color w:val="000000"/>
                <w:sz w:val="22"/>
                <w:lang w:val="en-US"/>
              </w:rPr>
              <w:t>Relatedness of Industries</w:t>
            </w:r>
          </w:p>
        </w:tc>
        <w:tc>
          <w:tcPr>
            <w:tcW w:w="6757" w:type="dxa"/>
            <w:shd w:val="clear" w:color="auto" w:fill="auto"/>
            <w:noWrap/>
            <w:vAlign w:val="bottom"/>
            <w:hideMark/>
          </w:tcPr>
          <w:p w:rsidR="001B062E" w:rsidRPr="00053C90" w:rsidRDefault="001B062E" w:rsidP="0002738A">
            <w:pPr>
              <w:spacing w:after="0" w:line="240" w:lineRule="auto"/>
              <w:rPr>
                <w:rFonts w:eastAsia="Times New Roman"/>
                <w:b/>
                <w:bCs/>
                <w:color w:val="000000"/>
                <w:sz w:val="22"/>
                <w:lang w:val="en-US"/>
              </w:rPr>
            </w:pPr>
          </w:p>
        </w:tc>
      </w:tr>
      <w:tr w:rsidR="001B062E" w:rsidRPr="00286008" w:rsidTr="0002738A">
        <w:trPr>
          <w:trHeight w:val="416"/>
          <w:jc w:val="center"/>
        </w:trPr>
        <w:tc>
          <w:tcPr>
            <w:tcW w:w="2642" w:type="dxa"/>
            <w:shd w:val="clear" w:color="DCE6F1" w:fill="DCE6F1"/>
            <w:noWrap/>
            <w:vAlign w:val="bottom"/>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Agrawal et al (1992)</w:t>
            </w:r>
          </w:p>
        </w:tc>
        <w:tc>
          <w:tcPr>
            <w:tcW w:w="6757" w:type="dxa"/>
            <w:shd w:val="clear" w:color="DCE6F1" w:fill="DCE6F1"/>
            <w:noWrap/>
            <w:vAlign w:val="center"/>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 xml:space="preserve">Unrelated industry acquisitions outperform industry-related acquisitions </w:t>
            </w:r>
          </w:p>
        </w:tc>
      </w:tr>
      <w:tr w:rsidR="001B062E" w:rsidRPr="00AA1ABB" w:rsidTr="0002738A">
        <w:trPr>
          <w:trHeight w:val="451"/>
          <w:jc w:val="center"/>
        </w:trPr>
        <w:tc>
          <w:tcPr>
            <w:tcW w:w="2642" w:type="dxa"/>
            <w:shd w:val="clear" w:color="auto" w:fill="auto"/>
            <w:noWrap/>
            <w:vAlign w:val="bottom"/>
            <w:hideMark/>
          </w:tcPr>
          <w:p w:rsidR="001B062E" w:rsidRPr="00053C90" w:rsidRDefault="001B062E" w:rsidP="0002738A">
            <w:pPr>
              <w:spacing w:after="0" w:line="240" w:lineRule="auto"/>
              <w:rPr>
                <w:rFonts w:eastAsia="Times New Roman"/>
                <w:color w:val="000000"/>
                <w:szCs w:val="24"/>
                <w:lang w:val="en-US"/>
              </w:rPr>
            </w:pPr>
            <w:r w:rsidRPr="00053C90">
              <w:rPr>
                <w:rFonts w:eastAsia="Times New Roman"/>
                <w:color w:val="000000"/>
                <w:szCs w:val="24"/>
                <w:lang w:val="en-US"/>
              </w:rPr>
              <w:t xml:space="preserve">Healy et al (1992) </w:t>
            </w:r>
          </w:p>
        </w:tc>
        <w:tc>
          <w:tcPr>
            <w:tcW w:w="6757" w:type="dxa"/>
            <w:shd w:val="clear" w:color="auto" w:fill="auto"/>
            <w:noWrap/>
            <w:vAlign w:val="center"/>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Acquisitions in related industries outperform acquisitions in unrelated industries</w:t>
            </w:r>
          </w:p>
        </w:tc>
      </w:tr>
      <w:tr w:rsidR="001B062E" w:rsidRPr="00286008" w:rsidTr="0002738A">
        <w:trPr>
          <w:trHeight w:val="451"/>
          <w:jc w:val="center"/>
        </w:trPr>
        <w:tc>
          <w:tcPr>
            <w:tcW w:w="2642" w:type="dxa"/>
            <w:shd w:val="clear" w:color="DCE6F1" w:fill="DCE6F1"/>
            <w:noWrap/>
            <w:vAlign w:val="bottom"/>
            <w:hideMark/>
          </w:tcPr>
          <w:p w:rsidR="001B062E" w:rsidRPr="00053C90" w:rsidRDefault="001B062E" w:rsidP="0062387A">
            <w:pPr>
              <w:spacing w:after="0" w:line="240" w:lineRule="auto"/>
              <w:rPr>
                <w:rFonts w:eastAsia="Times New Roman"/>
                <w:color w:val="000000"/>
                <w:szCs w:val="24"/>
                <w:lang w:val="en-US"/>
              </w:rPr>
            </w:pPr>
            <w:r w:rsidRPr="00053C90">
              <w:rPr>
                <w:rFonts w:eastAsia="Times New Roman"/>
                <w:color w:val="000000"/>
                <w:szCs w:val="24"/>
                <w:lang w:val="en-US"/>
              </w:rPr>
              <w:t xml:space="preserve">Maquiera, </w:t>
            </w:r>
            <w:r w:rsidR="0062387A">
              <w:rPr>
                <w:rFonts w:eastAsia="Times New Roman"/>
                <w:color w:val="000000"/>
                <w:szCs w:val="24"/>
                <w:lang w:val="en-US"/>
              </w:rPr>
              <w:t xml:space="preserve"> et al </w:t>
            </w:r>
            <w:r w:rsidRPr="00053C90">
              <w:rPr>
                <w:rFonts w:eastAsia="Times New Roman"/>
                <w:color w:val="000000"/>
                <w:szCs w:val="24"/>
                <w:lang w:val="en-US"/>
              </w:rPr>
              <w:t>(1998)</w:t>
            </w:r>
          </w:p>
        </w:tc>
        <w:tc>
          <w:tcPr>
            <w:tcW w:w="6757" w:type="dxa"/>
            <w:shd w:val="clear" w:color="DCE6F1" w:fill="DCE6F1"/>
            <w:noWrap/>
            <w:vAlign w:val="center"/>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Industry-related acquisitions have a superior performance than acquisitions where the industries are unrelated</w:t>
            </w:r>
          </w:p>
        </w:tc>
      </w:tr>
    </w:tbl>
    <w:p w:rsidR="00A652CD" w:rsidRDefault="00A652CD" w:rsidP="001B062E">
      <w:pPr>
        <w:spacing w:line="360" w:lineRule="auto"/>
        <w:rPr>
          <w:i/>
          <w:sz w:val="20"/>
          <w:szCs w:val="20"/>
          <w:lang w:val="en-US"/>
        </w:rPr>
      </w:pPr>
    </w:p>
    <w:p w:rsidR="001B062E" w:rsidRPr="00053C90" w:rsidRDefault="001B062E" w:rsidP="001B062E">
      <w:pPr>
        <w:spacing w:line="360" w:lineRule="auto"/>
        <w:rPr>
          <w:i/>
          <w:lang w:val="en-US"/>
        </w:rPr>
      </w:pPr>
      <w:r w:rsidRPr="00053C90">
        <w:rPr>
          <w:i/>
          <w:lang w:val="en-US"/>
        </w:rPr>
        <w:t>Relevance for this study</w:t>
      </w:r>
    </w:p>
    <w:p w:rsidR="001B062E" w:rsidRPr="00053C90" w:rsidRDefault="001B062E" w:rsidP="001B062E">
      <w:pPr>
        <w:spacing w:line="360" w:lineRule="auto"/>
        <w:rPr>
          <w:lang w:val="en-US"/>
        </w:rPr>
      </w:pPr>
      <w:r w:rsidRPr="00053C90">
        <w:rPr>
          <w:lang w:val="en-US"/>
        </w:rPr>
        <w:t>The relevance of describing the previous studies is to show what fields of the mergers and acquisitions have been researched, what methodologies have been used, and what results that have been present. Prior research lays the foundations on which the hypotheses in</w:t>
      </w:r>
      <w:r w:rsidR="00F0273C" w:rsidRPr="00053C90">
        <w:rPr>
          <w:lang w:val="en-US"/>
        </w:rPr>
        <w:t xml:space="preserve"> this study are based as well. </w:t>
      </w:r>
    </w:p>
    <w:p w:rsidR="001B062E" w:rsidRPr="00053C90" w:rsidRDefault="001B062E" w:rsidP="001B062E">
      <w:pPr>
        <w:spacing w:line="360" w:lineRule="auto"/>
        <w:rPr>
          <w:lang w:val="en-US"/>
        </w:rPr>
      </w:pPr>
    </w:p>
    <w:p w:rsidR="001B062E" w:rsidRDefault="001B062E" w:rsidP="001B062E">
      <w:pPr>
        <w:spacing w:line="360" w:lineRule="auto"/>
        <w:rPr>
          <w:lang w:val="en-US"/>
        </w:rPr>
      </w:pPr>
      <w:r w:rsidRPr="00053C90">
        <w:rPr>
          <w:lang w:val="en-US"/>
        </w:rPr>
        <w:t>All the hypotheses are gathered in the table below to give the reader an easier overview of the aim of the study.</w:t>
      </w:r>
    </w:p>
    <w:p w:rsidR="00A652CD" w:rsidRPr="00053C90" w:rsidRDefault="00A652CD" w:rsidP="00A652CD">
      <w:pPr>
        <w:spacing w:line="360" w:lineRule="auto"/>
        <w:jc w:val="center"/>
        <w:rPr>
          <w:lang w:val="en-US"/>
        </w:rPr>
      </w:pPr>
      <w:r w:rsidRPr="00053C90">
        <w:rPr>
          <w:i/>
          <w:sz w:val="20"/>
          <w:szCs w:val="20"/>
          <w:lang w:val="en-US"/>
        </w:rPr>
        <w:t>Table 2.4: Summary of hypotheses</w:t>
      </w:r>
    </w:p>
    <w:tbl>
      <w:tblPr>
        <w:tblW w:w="7460" w:type="dxa"/>
        <w:jc w:val="center"/>
        <w:tblLook w:val="04A0" w:firstRow="1" w:lastRow="0" w:firstColumn="1" w:lastColumn="0" w:noHBand="0" w:noVBand="1"/>
      </w:tblPr>
      <w:tblGrid>
        <w:gridCol w:w="7460"/>
      </w:tblGrid>
      <w:tr w:rsidR="001B062E" w:rsidRPr="00053C90" w:rsidTr="0002738A">
        <w:trPr>
          <w:trHeight w:val="312"/>
          <w:jc w:val="center"/>
        </w:trPr>
        <w:tc>
          <w:tcPr>
            <w:tcW w:w="7460" w:type="dxa"/>
            <w:tcBorders>
              <w:top w:val="single" w:sz="4" w:space="0" w:color="9BC2E6"/>
              <w:left w:val="single" w:sz="4" w:space="0" w:color="9BC2E6"/>
              <w:bottom w:val="single" w:sz="4" w:space="0" w:color="9BC2E6"/>
              <w:right w:val="single" w:sz="4" w:space="0" w:color="9BC2E6"/>
            </w:tcBorders>
            <w:shd w:val="clear" w:color="5B9BD5" w:fill="5B9BD5"/>
            <w:noWrap/>
            <w:vAlign w:val="bottom"/>
            <w:hideMark/>
          </w:tcPr>
          <w:p w:rsidR="001B062E" w:rsidRPr="00053C90" w:rsidRDefault="001B062E" w:rsidP="0002738A">
            <w:pPr>
              <w:spacing w:after="0" w:line="240" w:lineRule="auto"/>
              <w:rPr>
                <w:rFonts w:eastAsia="Times New Roman"/>
                <w:b/>
                <w:bCs/>
                <w:color w:val="FFFFFF"/>
                <w:szCs w:val="24"/>
                <w:lang w:val="en-US"/>
              </w:rPr>
            </w:pPr>
            <w:r w:rsidRPr="00053C90">
              <w:rPr>
                <w:rFonts w:eastAsia="Times New Roman"/>
                <w:b/>
                <w:bCs/>
                <w:color w:val="FFFFFF"/>
                <w:szCs w:val="24"/>
                <w:lang w:val="en-US"/>
              </w:rPr>
              <w:t>Summary of Hypotheses</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DDEBF7" w:fill="DDEBF7"/>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1</w:t>
            </w:r>
            <w:r w:rsidRPr="00053C90">
              <w:rPr>
                <w:rFonts w:eastAsia="Times New Roman"/>
                <w:i/>
                <w:iCs/>
                <w:color w:val="000000"/>
                <w:szCs w:val="24"/>
                <w:lang w:val="en-US"/>
              </w:rPr>
              <w:t xml:space="preserve">: Long term abnormal returns are negative following a transaction. </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2</w:t>
            </w:r>
            <w:r w:rsidRPr="00053C90">
              <w:rPr>
                <w:rFonts w:eastAsia="Times New Roman"/>
                <w:i/>
                <w:iCs/>
                <w:color w:val="000000"/>
                <w:szCs w:val="24"/>
                <w:lang w:val="en-US"/>
              </w:rPr>
              <w:t>: Long term operating performance is not superior following a transaction.</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DDEBF7" w:fill="DDEBF7"/>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3</w:t>
            </w:r>
            <w:r w:rsidRPr="00053C90">
              <w:rPr>
                <w:rFonts w:eastAsia="Times New Roman"/>
                <w:i/>
                <w:iCs/>
                <w:color w:val="000000"/>
                <w:szCs w:val="24"/>
                <w:lang w:val="en-US"/>
              </w:rPr>
              <w:t xml:space="preserve">: The correlation between stock performance and operating performance is not significantly positive in the long term. </w:t>
            </w:r>
          </w:p>
        </w:tc>
      </w:tr>
      <w:tr w:rsidR="001B062E" w:rsidRPr="00286008" w:rsidTr="0002738A">
        <w:trPr>
          <w:trHeight w:val="948"/>
          <w:jc w:val="center"/>
        </w:trPr>
        <w:tc>
          <w:tcPr>
            <w:tcW w:w="746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4</w:t>
            </w:r>
            <w:r w:rsidRPr="00053C90">
              <w:rPr>
                <w:rFonts w:eastAsia="Times New Roman"/>
                <w:i/>
                <w:iCs/>
                <w:color w:val="000000"/>
                <w:szCs w:val="24"/>
                <w:lang w:val="en-US"/>
              </w:rPr>
              <w:t>: There is a positive relationship between the market-to-book ratio and post-merger performance, both in terms of stock and operating performance.</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DDEBF7" w:fill="DDEBF7"/>
            <w:vAlign w:val="bottom"/>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5</w:t>
            </w:r>
            <w:r w:rsidRPr="00053C90">
              <w:rPr>
                <w:rFonts w:eastAsia="Times New Roman"/>
                <w:i/>
                <w:iCs/>
                <w:color w:val="000000"/>
                <w:szCs w:val="24"/>
                <w:lang w:val="en-US"/>
              </w:rPr>
              <w:t>: The size of the acquiring firm is affecting the long term stock and operating performance negatively</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6</w:t>
            </w:r>
            <w:r w:rsidRPr="00053C90">
              <w:rPr>
                <w:rFonts w:eastAsia="Times New Roman"/>
                <w:i/>
                <w:iCs/>
                <w:color w:val="000000"/>
                <w:szCs w:val="24"/>
                <w:lang w:val="en-US"/>
              </w:rPr>
              <w:t xml:space="preserve">: Relative large transactions affect the stock and operating performance positively. </w:t>
            </w:r>
          </w:p>
        </w:tc>
      </w:tr>
      <w:tr w:rsidR="001B062E" w:rsidRPr="00286008" w:rsidTr="0002738A">
        <w:trPr>
          <w:trHeight w:val="636"/>
          <w:jc w:val="center"/>
        </w:trPr>
        <w:tc>
          <w:tcPr>
            <w:tcW w:w="7460" w:type="dxa"/>
            <w:tcBorders>
              <w:top w:val="single" w:sz="4" w:space="0" w:color="9BC2E6"/>
              <w:left w:val="single" w:sz="4" w:space="0" w:color="9BC2E6"/>
              <w:bottom w:val="single" w:sz="4" w:space="0" w:color="9BC2E6"/>
              <w:right w:val="single" w:sz="4" w:space="0" w:color="9BC2E6"/>
            </w:tcBorders>
            <w:shd w:val="clear" w:color="DDEBF7" w:fill="DDEBF7"/>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7</w:t>
            </w:r>
            <w:r w:rsidRPr="00053C90">
              <w:rPr>
                <w:rFonts w:eastAsia="Times New Roman"/>
                <w:i/>
                <w:iCs/>
                <w:color w:val="000000"/>
                <w:szCs w:val="24"/>
                <w:lang w:val="en-US"/>
              </w:rPr>
              <w:t>:</w:t>
            </w:r>
            <w:r w:rsidRPr="00053C90">
              <w:rPr>
                <w:rFonts w:eastAsia="Times New Roman"/>
                <w:color w:val="000000"/>
                <w:szCs w:val="24"/>
                <w:lang w:val="en-US"/>
              </w:rPr>
              <w:t xml:space="preserve">  </w:t>
            </w:r>
            <w:r w:rsidRPr="00053C90">
              <w:rPr>
                <w:rFonts w:eastAsia="Times New Roman"/>
                <w:i/>
                <w:iCs/>
                <w:color w:val="000000"/>
                <w:szCs w:val="24"/>
                <w:lang w:val="en-US"/>
              </w:rPr>
              <w:t xml:space="preserve">Domestic transactions are outperforming </w:t>
            </w:r>
            <w:r w:rsidR="00937744" w:rsidRPr="00053C90">
              <w:rPr>
                <w:rFonts w:eastAsia="Times New Roman"/>
                <w:i/>
                <w:iCs/>
                <w:color w:val="000000"/>
                <w:szCs w:val="24"/>
                <w:lang w:val="en-US"/>
              </w:rPr>
              <w:t>cross-border</w:t>
            </w:r>
            <w:r w:rsidRPr="00053C90">
              <w:rPr>
                <w:rFonts w:eastAsia="Times New Roman"/>
                <w:i/>
                <w:iCs/>
                <w:color w:val="000000"/>
                <w:szCs w:val="24"/>
                <w:lang w:val="en-US"/>
              </w:rPr>
              <w:t xml:space="preserve"> transactions in operating and stock performance in the long term. </w:t>
            </w:r>
          </w:p>
        </w:tc>
      </w:tr>
      <w:tr w:rsidR="001B062E" w:rsidRPr="00286008" w:rsidTr="0002738A">
        <w:trPr>
          <w:trHeight w:val="948"/>
          <w:jc w:val="center"/>
        </w:trPr>
        <w:tc>
          <w:tcPr>
            <w:tcW w:w="7460" w:type="dxa"/>
            <w:tcBorders>
              <w:top w:val="single" w:sz="4" w:space="0" w:color="9BC2E6"/>
              <w:left w:val="single" w:sz="4" w:space="0" w:color="9BC2E6"/>
              <w:bottom w:val="single" w:sz="4" w:space="0" w:color="9BC2E6"/>
              <w:right w:val="single" w:sz="4" w:space="0" w:color="9BC2E6"/>
            </w:tcBorders>
            <w:shd w:val="clear" w:color="auto" w:fill="auto"/>
            <w:vAlign w:val="center"/>
            <w:hideMark/>
          </w:tcPr>
          <w:p w:rsidR="001B062E" w:rsidRPr="00053C90" w:rsidRDefault="001B062E" w:rsidP="0002738A">
            <w:pPr>
              <w:spacing w:after="0" w:line="240" w:lineRule="auto"/>
              <w:rPr>
                <w:rFonts w:eastAsia="Times New Roman"/>
                <w:i/>
                <w:iCs/>
                <w:color w:val="000000"/>
                <w:szCs w:val="24"/>
                <w:lang w:val="en-US"/>
              </w:rPr>
            </w:pPr>
            <w:r w:rsidRPr="00053C90">
              <w:rPr>
                <w:rFonts w:eastAsia="Times New Roman"/>
                <w:b/>
                <w:bCs/>
                <w:i/>
                <w:iCs/>
                <w:color w:val="000000"/>
                <w:szCs w:val="24"/>
                <w:lang w:val="en-US"/>
              </w:rPr>
              <w:t>Hypothesis 8</w:t>
            </w:r>
            <w:r w:rsidRPr="00053C90">
              <w:rPr>
                <w:rFonts w:eastAsia="Times New Roman"/>
                <w:i/>
                <w:iCs/>
                <w:color w:val="000000"/>
                <w:szCs w:val="24"/>
                <w:lang w:val="en-US"/>
              </w:rPr>
              <w:t xml:space="preserve">: Transactions where the acquirer and the target are within the same industry outperform transactions where this is not the case. </w:t>
            </w:r>
          </w:p>
        </w:tc>
      </w:tr>
    </w:tbl>
    <w:p w:rsidR="001B062E" w:rsidRPr="00053C90" w:rsidRDefault="001B062E" w:rsidP="001B062E">
      <w:pPr>
        <w:spacing w:line="360" w:lineRule="auto"/>
        <w:rPr>
          <w:lang w:val="en-US"/>
        </w:rPr>
      </w:pPr>
    </w:p>
    <w:p w:rsidR="001B062E" w:rsidRPr="00053C90" w:rsidRDefault="001B062E" w:rsidP="001B062E">
      <w:pPr>
        <w:spacing w:line="360" w:lineRule="auto"/>
        <w:rPr>
          <w:lang w:val="en-US"/>
        </w:rPr>
      </w:pPr>
    </w:p>
    <w:p w:rsidR="001B062E" w:rsidRPr="00053C90" w:rsidRDefault="001B062E" w:rsidP="001B062E">
      <w:pPr>
        <w:pStyle w:val="Heading1"/>
        <w:numPr>
          <w:ilvl w:val="0"/>
          <w:numId w:val="2"/>
        </w:numPr>
        <w:spacing w:line="360" w:lineRule="auto"/>
        <w:rPr>
          <w:rFonts w:ascii="Times New Roman" w:hAnsi="Times New Roman"/>
          <w:lang w:val="en-US"/>
        </w:rPr>
      </w:pPr>
      <w:bookmarkStart w:id="23" w:name="_Toc428399222"/>
      <w:r w:rsidRPr="00053C90">
        <w:rPr>
          <w:rFonts w:ascii="Times New Roman" w:hAnsi="Times New Roman"/>
          <w:lang w:val="en-US"/>
        </w:rPr>
        <w:t>Methodology</w:t>
      </w:r>
      <w:bookmarkEnd w:id="23"/>
    </w:p>
    <w:p w:rsidR="001B062E" w:rsidRPr="00053C90" w:rsidRDefault="001B062E" w:rsidP="001B062E">
      <w:pPr>
        <w:spacing w:line="360" w:lineRule="auto"/>
        <w:rPr>
          <w:i/>
          <w:szCs w:val="24"/>
          <w:lang w:val="en-US"/>
        </w:rPr>
      </w:pPr>
      <w:r w:rsidRPr="00053C90">
        <w:rPr>
          <w:i/>
          <w:szCs w:val="24"/>
          <w:lang w:val="en-US"/>
        </w:rPr>
        <w:t>This study will, as mentioned earlier, examine both the abno</w:t>
      </w:r>
      <w:r w:rsidR="00ED56C2">
        <w:rPr>
          <w:i/>
          <w:szCs w:val="24"/>
          <w:lang w:val="en-US"/>
        </w:rPr>
        <w:t xml:space="preserve">rmal stock returns and the </w:t>
      </w:r>
      <w:r w:rsidRPr="00053C90">
        <w:rPr>
          <w:i/>
          <w:szCs w:val="24"/>
          <w:lang w:val="en-US"/>
        </w:rPr>
        <w:t>operating performance. The methodology chapter will start with a general discussion of what research design this</w:t>
      </w:r>
      <w:r w:rsidR="00ED56C2">
        <w:rPr>
          <w:i/>
          <w:szCs w:val="24"/>
          <w:lang w:val="en-US"/>
        </w:rPr>
        <w:t xml:space="preserve"> study is</w:t>
      </w:r>
      <w:r w:rsidRPr="00053C90">
        <w:rPr>
          <w:i/>
          <w:szCs w:val="24"/>
          <w:lang w:val="en-US"/>
        </w:rPr>
        <w:t xml:space="preserve"> based on. After that a section </w:t>
      </w:r>
      <w:r w:rsidR="00ED56C2">
        <w:rPr>
          <w:i/>
          <w:szCs w:val="24"/>
          <w:lang w:val="en-US"/>
        </w:rPr>
        <w:t>about the event studies used is presented, which is</w:t>
      </w:r>
      <w:r w:rsidRPr="00053C90">
        <w:rPr>
          <w:i/>
          <w:szCs w:val="24"/>
          <w:lang w:val="en-US"/>
        </w:rPr>
        <w:t xml:space="preserve"> followed by a section about the sample selecti</w:t>
      </w:r>
      <w:r w:rsidR="00ED56C2">
        <w:rPr>
          <w:i/>
          <w:szCs w:val="24"/>
          <w:lang w:val="en-US"/>
        </w:rPr>
        <w:t>on criteria and how the data is</w:t>
      </w:r>
      <w:r w:rsidRPr="00053C90">
        <w:rPr>
          <w:i/>
          <w:szCs w:val="24"/>
          <w:lang w:val="en-US"/>
        </w:rPr>
        <w:t xml:space="preserve"> c</w:t>
      </w:r>
      <w:r w:rsidR="00ED56C2">
        <w:rPr>
          <w:i/>
          <w:szCs w:val="24"/>
          <w:lang w:val="en-US"/>
        </w:rPr>
        <w:t>ollected. Then, the methods used</w:t>
      </w:r>
      <w:r w:rsidRPr="00053C90">
        <w:rPr>
          <w:i/>
          <w:szCs w:val="24"/>
          <w:lang w:val="en-US"/>
        </w:rPr>
        <w:t xml:space="preserve"> to calculate abnormal stock returns, accounting perf</w:t>
      </w:r>
      <w:r w:rsidR="00ED56C2">
        <w:rPr>
          <w:i/>
          <w:szCs w:val="24"/>
          <w:lang w:val="en-US"/>
        </w:rPr>
        <w:t>ormance and the correlation are</w:t>
      </w:r>
      <w:r w:rsidRPr="00053C90">
        <w:rPr>
          <w:i/>
          <w:szCs w:val="24"/>
          <w:lang w:val="en-US"/>
        </w:rPr>
        <w:t xml:space="preserve"> described thoroughly. This </w:t>
      </w:r>
      <w:r w:rsidR="00ED56C2">
        <w:rPr>
          <w:i/>
          <w:szCs w:val="24"/>
          <w:lang w:val="en-US"/>
        </w:rPr>
        <w:t>is</w:t>
      </w:r>
      <w:r w:rsidRPr="00053C90">
        <w:rPr>
          <w:i/>
          <w:szCs w:val="24"/>
          <w:lang w:val="en-US"/>
        </w:rPr>
        <w:t xml:space="preserve"> followed by a description of</w:t>
      </w:r>
      <w:r w:rsidR="00ED56C2">
        <w:rPr>
          <w:i/>
          <w:szCs w:val="24"/>
          <w:lang w:val="en-US"/>
        </w:rPr>
        <w:t xml:space="preserve"> how the regression analysis is</w:t>
      </w:r>
      <w:r w:rsidRPr="00053C90">
        <w:rPr>
          <w:i/>
          <w:szCs w:val="24"/>
          <w:lang w:val="en-US"/>
        </w:rPr>
        <w:t xml:space="preserve"> </w:t>
      </w:r>
      <w:r w:rsidR="00ED56C2">
        <w:rPr>
          <w:i/>
          <w:szCs w:val="24"/>
          <w:lang w:val="en-US"/>
        </w:rPr>
        <w:t>conducted</w:t>
      </w:r>
      <w:r w:rsidRPr="00053C90">
        <w:rPr>
          <w:i/>
          <w:szCs w:val="24"/>
          <w:lang w:val="en-US"/>
        </w:rPr>
        <w:t xml:space="preserve">. </w:t>
      </w:r>
    </w:p>
    <w:p w:rsidR="001B062E" w:rsidRPr="00053C90" w:rsidRDefault="001B062E" w:rsidP="001B062E">
      <w:pPr>
        <w:pStyle w:val="Heading2"/>
        <w:numPr>
          <w:ilvl w:val="1"/>
          <w:numId w:val="2"/>
        </w:numPr>
        <w:rPr>
          <w:lang w:val="en-US"/>
        </w:rPr>
      </w:pPr>
      <w:bookmarkStart w:id="24" w:name="_Toc428399223"/>
      <w:r w:rsidRPr="00053C90">
        <w:rPr>
          <w:lang w:val="en-US"/>
        </w:rPr>
        <w:t>Choice of method</w:t>
      </w:r>
      <w:bookmarkEnd w:id="24"/>
    </w:p>
    <w:p w:rsidR="001B062E" w:rsidRPr="00053C90" w:rsidRDefault="001B062E" w:rsidP="001B062E">
      <w:pPr>
        <w:spacing w:line="360" w:lineRule="auto"/>
        <w:rPr>
          <w:szCs w:val="24"/>
          <w:lang w:val="en-US"/>
        </w:rPr>
      </w:pPr>
      <w:r w:rsidRPr="00053C90">
        <w:rPr>
          <w:szCs w:val="24"/>
          <w:lang w:val="en-US"/>
        </w:rPr>
        <w:t>During the execution of a study, two elementary approaches of empirics gathering can be made. The two approaches that can be used are quantitative approach and qualitative app</w:t>
      </w:r>
      <w:r w:rsidR="00ED56C2">
        <w:rPr>
          <w:szCs w:val="24"/>
          <w:lang w:val="en-US"/>
        </w:rPr>
        <w:t>roach. This study takes</w:t>
      </w:r>
      <w:r w:rsidRPr="00053C90">
        <w:rPr>
          <w:szCs w:val="24"/>
          <w:lang w:val="en-US"/>
        </w:rPr>
        <w:t xml:space="preserve"> a quantitative approach. The purpose and interest of this study is to evaluate performance from quantitative perspectives, therefore the quantitative approach is a natural choice. </w:t>
      </w:r>
      <w:r w:rsidRPr="00053C90">
        <w:rPr>
          <w:lang w:val="en-US"/>
        </w:rPr>
        <w:t>By using a quantitative research design a positivistic view on knowledge is applied. This means that knowledge is based on empirical methods, which is the case in this in study (Bryman &amp; Bell, 2011).</w:t>
      </w:r>
    </w:p>
    <w:p w:rsidR="001B062E" w:rsidRPr="00053C90" w:rsidRDefault="001B062E" w:rsidP="001B062E">
      <w:pPr>
        <w:pStyle w:val="Heading3"/>
        <w:numPr>
          <w:ilvl w:val="2"/>
          <w:numId w:val="36"/>
        </w:numPr>
        <w:spacing w:line="360" w:lineRule="auto"/>
        <w:rPr>
          <w:lang w:val="en-US"/>
        </w:rPr>
      </w:pPr>
      <w:r w:rsidRPr="00053C90">
        <w:rPr>
          <w:lang w:val="en-US"/>
        </w:rPr>
        <w:t xml:space="preserve"> </w:t>
      </w:r>
      <w:bookmarkStart w:id="25" w:name="_Toc428399224"/>
      <w:r w:rsidRPr="00053C90">
        <w:rPr>
          <w:lang w:val="en-US"/>
        </w:rPr>
        <w:t>Inductive vs Deductive</w:t>
      </w:r>
      <w:bookmarkEnd w:id="25"/>
    </w:p>
    <w:p w:rsidR="001B062E" w:rsidRPr="00053C90" w:rsidRDefault="001B062E" w:rsidP="001B062E">
      <w:pPr>
        <w:spacing w:line="360" w:lineRule="auto"/>
        <w:rPr>
          <w:szCs w:val="24"/>
          <w:lang w:val="en-US"/>
        </w:rPr>
      </w:pPr>
      <w:r w:rsidRPr="00053C90">
        <w:rPr>
          <w:szCs w:val="24"/>
          <w:lang w:val="en-US"/>
        </w:rPr>
        <w:t xml:space="preserve">There are two approaches when looking at empirics according to Bryman &amp; Bell (2011). These approaches are deductive and inductive. A deductive approach means that the researcher takes a point of view from what is known within a certain area and takes into account the theoretical assumptions and thereafter deducts a hypothesis that needs to be revised from the empirics. The inductive approach means that the researcher deduces conclusions from empirical experiences. The results from the research area are analyzed and consequences of the results are drawn, and finally a possible conclusion can be reached. In this thesis a deductive approach will be used. Hypotheses are formulated based on the theoretical framework which consists of literature and previous studies within the field of M&amp;A:s. The data collection is in conjunction with the stipulated hypothesis and the literature studied. The hypothesis and the formulated problem </w:t>
      </w:r>
      <w:r w:rsidR="0062387A" w:rsidRPr="00053C90">
        <w:rPr>
          <w:szCs w:val="24"/>
          <w:lang w:val="en-US"/>
        </w:rPr>
        <w:t>require</w:t>
      </w:r>
      <w:r w:rsidRPr="00053C90">
        <w:rPr>
          <w:szCs w:val="24"/>
          <w:lang w:val="en-US"/>
        </w:rPr>
        <w:t xml:space="preserve"> a deductive appro</w:t>
      </w:r>
      <w:r w:rsidR="00931C12">
        <w:rPr>
          <w:szCs w:val="24"/>
          <w:lang w:val="en-US"/>
        </w:rPr>
        <w:t>ach since secondary data is</w:t>
      </w:r>
      <w:r w:rsidRPr="00053C90">
        <w:rPr>
          <w:szCs w:val="24"/>
          <w:lang w:val="en-US"/>
        </w:rPr>
        <w:t xml:space="preserve"> analyzed and will lead to conclusions. One issue with a deductive method is that the data collection is limited and information is disregarded (Jacobsen, 2002). It is of great importance that there is an understanding for previous studies and their theoretical framework as well as a complete sample of data. </w:t>
      </w:r>
    </w:p>
    <w:p w:rsidR="001B062E" w:rsidRPr="00053C90" w:rsidRDefault="001B062E" w:rsidP="001B062E">
      <w:pPr>
        <w:spacing w:line="360" w:lineRule="auto"/>
        <w:rPr>
          <w:szCs w:val="24"/>
          <w:lang w:val="en-US"/>
        </w:rPr>
      </w:pPr>
    </w:p>
    <w:p w:rsidR="001B062E" w:rsidRPr="00053C90" w:rsidRDefault="001B062E" w:rsidP="001B062E">
      <w:pPr>
        <w:pStyle w:val="Heading2"/>
        <w:numPr>
          <w:ilvl w:val="1"/>
          <w:numId w:val="2"/>
        </w:numPr>
        <w:rPr>
          <w:lang w:val="en-US"/>
        </w:rPr>
      </w:pPr>
      <w:bookmarkStart w:id="26" w:name="_Toc428399225"/>
      <w:r w:rsidRPr="00053C90">
        <w:rPr>
          <w:lang w:val="en-US"/>
        </w:rPr>
        <w:t>Literature review</w:t>
      </w:r>
      <w:bookmarkEnd w:id="26"/>
      <w:r w:rsidRPr="00053C90">
        <w:rPr>
          <w:lang w:val="en-US"/>
        </w:rPr>
        <w:t xml:space="preserve"> </w:t>
      </w:r>
    </w:p>
    <w:p w:rsidR="001B062E" w:rsidRPr="00053C90" w:rsidRDefault="00931C12" w:rsidP="001B062E">
      <w:pPr>
        <w:spacing w:line="360" w:lineRule="auto"/>
        <w:rPr>
          <w:szCs w:val="24"/>
          <w:lang w:val="en-US"/>
        </w:rPr>
      </w:pPr>
      <w:r>
        <w:rPr>
          <w:szCs w:val="24"/>
          <w:lang w:val="en-US"/>
        </w:rPr>
        <w:t xml:space="preserve">Articles are </w:t>
      </w:r>
      <w:r w:rsidR="001B062E" w:rsidRPr="00053C90">
        <w:rPr>
          <w:szCs w:val="24"/>
          <w:lang w:val="en-US"/>
        </w:rPr>
        <w:t>retrieved from LUBsearch and Google Scholar. The former is the University of Lund’s library’s search engine and the latter is a search engine from Google, specified on scientific articles. Both sources provide articles from reputable journals, e.g. Journal of Finance and Journal of Financial Economics. Furthermore, the articles used</w:t>
      </w:r>
      <w:r>
        <w:rPr>
          <w:szCs w:val="24"/>
          <w:lang w:val="en-US"/>
        </w:rPr>
        <w:t>,</w:t>
      </w:r>
      <w:r w:rsidR="001B062E" w:rsidRPr="00053C90">
        <w:rPr>
          <w:szCs w:val="24"/>
          <w:lang w:val="en-US"/>
        </w:rPr>
        <w:t xml:space="preserve"> cover both different time f</w:t>
      </w:r>
      <w:r>
        <w:rPr>
          <w:szCs w:val="24"/>
          <w:lang w:val="en-US"/>
        </w:rPr>
        <w:t>rames and different countries. Information is also</w:t>
      </w:r>
      <w:r w:rsidR="001B062E" w:rsidRPr="00053C90">
        <w:rPr>
          <w:szCs w:val="24"/>
          <w:lang w:val="en-US"/>
        </w:rPr>
        <w:t xml:space="preserve"> retrieved</w:t>
      </w:r>
      <w:r>
        <w:rPr>
          <w:szCs w:val="24"/>
          <w:lang w:val="en-US"/>
        </w:rPr>
        <w:t xml:space="preserve"> from books, the books have been</w:t>
      </w:r>
      <w:r w:rsidR="001B062E" w:rsidRPr="00053C90">
        <w:rPr>
          <w:szCs w:val="24"/>
          <w:lang w:val="en-US"/>
        </w:rPr>
        <w:t xml:space="preserve"> borrowed from the University of Lunds’s library.  </w:t>
      </w:r>
    </w:p>
    <w:p w:rsidR="001B062E" w:rsidRPr="00053C90" w:rsidRDefault="001B062E" w:rsidP="001B062E">
      <w:pPr>
        <w:spacing w:line="360" w:lineRule="auto"/>
        <w:rPr>
          <w:szCs w:val="24"/>
          <w:lang w:val="en-US"/>
        </w:rPr>
      </w:pPr>
    </w:p>
    <w:p w:rsidR="001B062E" w:rsidRPr="00053C90" w:rsidRDefault="001B062E" w:rsidP="001B062E">
      <w:pPr>
        <w:pStyle w:val="Heading2"/>
        <w:numPr>
          <w:ilvl w:val="1"/>
          <w:numId w:val="2"/>
        </w:numPr>
        <w:rPr>
          <w:lang w:val="en-US"/>
        </w:rPr>
      </w:pPr>
      <w:bookmarkStart w:id="27" w:name="_Toc428399226"/>
      <w:r w:rsidRPr="00053C90">
        <w:rPr>
          <w:lang w:val="en-US"/>
        </w:rPr>
        <w:t>Event Study</w:t>
      </w:r>
      <w:bookmarkEnd w:id="27"/>
    </w:p>
    <w:p w:rsidR="001B062E" w:rsidRPr="00053C90" w:rsidRDefault="001B062E" w:rsidP="001B062E">
      <w:pPr>
        <w:spacing w:line="360" w:lineRule="auto"/>
        <w:rPr>
          <w:szCs w:val="24"/>
          <w:lang w:val="en-US"/>
        </w:rPr>
      </w:pPr>
      <w:r w:rsidRPr="00053C90">
        <w:rPr>
          <w:szCs w:val="24"/>
          <w:lang w:val="en-US"/>
        </w:rPr>
        <w:t xml:space="preserve">In order to conduct this study, event studies will be performed, both when examining the abnormal stock returns following a merger and the operating performance after a merger. By using an event study, a framework where one can </w:t>
      </w:r>
      <w:r w:rsidR="0062387A" w:rsidRPr="00053C90">
        <w:rPr>
          <w:szCs w:val="24"/>
          <w:lang w:val="en-US"/>
        </w:rPr>
        <w:t>analyses</w:t>
      </w:r>
      <w:r w:rsidRPr="00053C90">
        <w:rPr>
          <w:szCs w:val="24"/>
          <w:lang w:val="en-US"/>
        </w:rPr>
        <w:t xml:space="preserve"> the specific impact incurring from an event, is adopted. In this study’s case, the event of interest is M&amp;A and the impact it has on stock and operating performance. MacKinlay (1997) discusses that the procedures in event studies are generally similar but it is also stressed that no unique structure exists. A description of the stages included in this study and the decisions involved are shown below. </w:t>
      </w:r>
    </w:p>
    <w:p w:rsidR="001B062E" w:rsidRPr="00053C90" w:rsidRDefault="001B062E" w:rsidP="001B062E">
      <w:pPr>
        <w:pStyle w:val="ListParagraph"/>
        <w:numPr>
          <w:ilvl w:val="0"/>
          <w:numId w:val="12"/>
        </w:numPr>
        <w:spacing w:line="360" w:lineRule="auto"/>
        <w:rPr>
          <w:i/>
          <w:szCs w:val="24"/>
          <w:lang w:val="en-US"/>
        </w:rPr>
      </w:pPr>
      <w:r w:rsidRPr="00053C90">
        <w:rPr>
          <w:i/>
          <w:szCs w:val="24"/>
          <w:lang w:val="en-US"/>
        </w:rPr>
        <w:t>Identify the event of interest and the event windows.</w:t>
      </w:r>
    </w:p>
    <w:p w:rsidR="001B062E" w:rsidRPr="00053C90" w:rsidRDefault="001B062E" w:rsidP="001B062E">
      <w:pPr>
        <w:spacing w:line="360" w:lineRule="auto"/>
        <w:rPr>
          <w:szCs w:val="24"/>
          <w:lang w:val="en-US"/>
        </w:rPr>
      </w:pPr>
      <w:r w:rsidRPr="00053C90">
        <w:rPr>
          <w:szCs w:val="24"/>
          <w:lang w:val="en-US"/>
        </w:rPr>
        <w:t>As mentioned above, the event identified is M&amp;As, more specifically, the event is the date when the deal is completed. This study will contain three event widows; 12, 24 and 36 months. MacKinley (1997) proposes that the event win</w:t>
      </w:r>
      <w:r w:rsidR="00931C12">
        <w:rPr>
          <w:szCs w:val="24"/>
          <w:lang w:val="en-US"/>
        </w:rPr>
        <w:t xml:space="preserve">dow could start </w:t>
      </w:r>
      <w:r w:rsidRPr="00053C90">
        <w:rPr>
          <w:szCs w:val="24"/>
          <w:lang w:val="en-US"/>
        </w:rPr>
        <w:t xml:space="preserve">before the event in order to capture potential leakage. </w:t>
      </w:r>
      <w:r w:rsidR="0062387A" w:rsidRPr="00053C90">
        <w:rPr>
          <w:szCs w:val="24"/>
          <w:lang w:val="en-US"/>
        </w:rPr>
        <w:t>Examples of potential leakage involve</w:t>
      </w:r>
      <w:r w:rsidRPr="00053C90">
        <w:rPr>
          <w:szCs w:val="24"/>
          <w:lang w:val="en-US"/>
        </w:rPr>
        <w:t xml:space="preserve"> </w:t>
      </w:r>
      <w:r w:rsidR="0062387A" w:rsidRPr="00053C90">
        <w:rPr>
          <w:szCs w:val="24"/>
          <w:lang w:val="en-US"/>
        </w:rPr>
        <w:t>rumors</w:t>
      </w:r>
      <w:r w:rsidRPr="00053C90">
        <w:rPr>
          <w:szCs w:val="24"/>
          <w:lang w:val="en-US"/>
        </w:rPr>
        <w:t xml:space="preserve"> and insider trading. For that reason the event window in this study will start 30 days before the event takes place. </w:t>
      </w:r>
    </w:p>
    <w:p w:rsidR="001B062E" w:rsidRPr="00053C90" w:rsidRDefault="001B062E" w:rsidP="001B062E">
      <w:pPr>
        <w:pStyle w:val="ListParagraph"/>
        <w:numPr>
          <w:ilvl w:val="0"/>
          <w:numId w:val="12"/>
        </w:numPr>
        <w:spacing w:line="360" w:lineRule="auto"/>
        <w:rPr>
          <w:i/>
          <w:szCs w:val="24"/>
          <w:lang w:val="en-US"/>
        </w:rPr>
      </w:pPr>
      <w:r w:rsidRPr="00053C90">
        <w:rPr>
          <w:i/>
          <w:szCs w:val="24"/>
          <w:lang w:val="en-US"/>
        </w:rPr>
        <w:t xml:space="preserve">Define sample selection criteria </w:t>
      </w:r>
    </w:p>
    <w:p w:rsidR="001B062E" w:rsidRPr="00053C90" w:rsidRDefault="001B062E" w:rsidP="001B062E">
      <w:pPr>
        <w:spacing w:line="360" w:lineRule="auto"/>
        <w:rPr>
          <w:szCs w:val="24"/>
          <w:lang w:val="en-US"/>
        </w:rPr>
      </w:pPr>
      <w:r w:rsidRPr="00053C90">
        <w:rPr>
          <w:szCs w:val="24"/>
          <w:lang w:val="en-US"/>
        </w:rPr>
        <w:t>When deciding what sample to use a lot of considerations are done. Firstly, on</w:t>
      </w:r>
      <w:r w:rsidR="00931C12">
        <w:rPr>
          <w:szCs w:val="24"/>
          <w:lang w:val="en-US"/>
        </w:rPr>
        <w:t>ly completed transactions are</w:t>
      </w:r>
      <w:r w:rsidRPr="00053C90">
        <w:rPr>
          <w:szCs w:val="24"/>
          <w:lang w:val="en-US"/>
        </w:rPr>
        <w:t xml:space="preserve"> included. Furthermore, M&amp;A where either the acquirer or the target were within the financial industry is also excluded due to the different capital structure and regulations in these firms (Michelsen &amp; Klein, 2011). To be able to find all relevant info, only acquirers and target companies that were public at least five year prior to the merger are </w:t>
      </w:r>
      <w:r w:rsidR="00931C12">
        <w:rPr>
          <w:szCs w:val="24"/>
          <w:lang w:val="en-US"/>
        </w:rPr>
        <w:t>included.</w:t>
      </w:r>
      <w:r w:rsidRPr="00053C90">
        <w:rPr>
          <w:szCs w:val="24"/>
          <w:lang w:val="en-US"/>
        </w:rPr>
        <w:t xml:space="preserve"> </w:t>
      </w:r>
      <w:r w:rsidRPr="00053C90">
        <w:rPr>
          <w:i/>
          <w:szCs w:val="24"/>
          <w:lang w:val="en-US"/>
        </w:rPr>
        <w:t>Time period,</w:t>
      </w:r>
      <w:r w:rsidRPr="00053C90">
        <w:rPr>
          <w:szCs w:val="24"/>
          <w:lang w:val="en-US"/>
        </w:rPr>
        <w:t xml:space="preserve"> </w:t>
      </w:r>
      <w:r w:rsidR="00931C12">
        <w:rPr>
          <w:i/>
          <w:szCs w:val="24"/>
          <w:lang w:val="en-US"/>
        </w:rPr>
        <w:t>g</w:t>
      </w:r>
      <w:r w:rsidRPr="00053C90">
        <w:rPr>
          <w:i/>
          <w:szCs w:val="24"/>
          <w:lang w:val="en-US"/>
        </w:rPr>
        <w:t>eographical area</w:t>
      </w:r>
      <w:r w:rsidRPr="00053C90">
        <w:rPr>
          <w:szCs w:val="24"/>
          <w:lang w:val="en-US"/>
        </w:rPr>
        <w:t xml:space="preserve">, and </w:t>
      </w:r>
      <w:r w:rsidRPr="00053C90">
        <w:rPr>
          <w:i/>
          <w:szCs w:val="24"/>
          <w:lang w:val="en-US"/>
        </w:rPr>
        <w:t>size</w:t>
      </w:r>
      <w:r w:rsidRPr="00053C90">
        <w:rPr>
          <w:szCs w:val="24"/>
          <w:lang w:val="en-US"/>
        </w:rPr>
        <w:t xml:space="preserve"> are additional factors where considerations are made, these will be discussed below. </w:t>
      </w:r>
    </w:p>
    <w:p w:rsidR="001B062E" w:rsidRPr="00053C90" w:rsidRDefault="001B062E" w:rsidP="001B062E">
      <w:pPr>
        <w:spacing w:line="360" w:lineRule="auto"/>
        <w:rPr>
          <w:rFonts w:eastAsia="Times New Roman"/>
          <w:bCs/>
          <w:i/>
          <w:color w:val="000000"/>
          <w:szCs w:val="24"/>
          <w:lang w:val="en-US" w:eastAsia="sv-SE"/>
        </w:rPr>
      </w:pPr>
      <w:r w:rsidRPr="00053C90">
        <w:rPr>
          <w:i/>
          <w:szCs w:val="24"/>
          <w:lang w:val="en-US"/>
        </w:rPr>
        <w:t xml:space="preserve">Time period </w:t>
      </w:r>
    </w:p>
    <w:p w:rsidR="001B062E" w:rsidRPr="00053C90" w:rsidRDefault="001B062E" w:rsidP="001B062E">
      <w:pPr>
        <w:spacing w:line="360" w:lineRule="auto"/>
        <w:rPr>
          <w:rFonts w:eastAsia="Times New Roman"/>
          <w:bCs/>
          <w:color w:val="000000"/>
          <w:szCs w:val="24"/>
          <w:lang w:val="en-US" w:eastAsia="sv-SE"/>
        </w:rPr>
      </w:pPr>
      <w:r w:rsidRPr="00053C90">
        <w:rPr>
          <w:rFonts w:eastAsia="Times New Roman"/>
          <w:bCs/>
          <w:color w:val="000000"/>
          <w:szCs w:val="24"/>
          <w:lang w:val="en-US" w:eastAsia="sv-SE"/>
        </w:rPr>
        <w:t>This study is going to use an event window of 1-3 years which is the same as Rau &amp; Vermaelen (1</w:t>
      </w:r>
      <w:r w:rsidR="00931C12">
        <w:rPr>
          <w:rFonts w:eastAsia="Times New Roman"/>
          <w:bCs/>
          <w:color w:val="000000"/>
          <w:szCs w:val="24"/>
          <w:lang w:val="en-US" w:eastAsia="sv-SE"/>
        </w:rPr>
        <w:t>998) and Dutta &amp; Jog (2009) use</w:t>
      </w:r>
      <w:r w:rsidRPr="00053C90">
        <w:rPr>
          <w:rFonts w:eastAsia="Times New Roman"/>
          <w:bCs/>
          <w:color w:val="000000"/>
          <w:szCs w:val="24"/>
          <w:lang w:val="en-US" w:eastAsia="sv-SE"/>
        </w:rPr>
        <w:t xml:space="preserve"> in their studies. The reason for this is to be able to look at how the performance develops in a long perspective and also remove temporary effects caused by the event (</w:t>
      </w:r>
      <w:r w:rsidRPr="00053C90">
        <w:rPr>
          <w:szCs w:val="24"/>
          <w:lang w:val="en-US"/>
        </w:rPr>
        <w:t>Andrade et al, 2001)</w:t>
      </w:r>
      <w:r w:rsidR="00931C12">
        <w:rPr>
          <w:rFonts w:eastAsia="Times New Roman"/>
          <w:bCs/>
          <w:color w:val="000000"/>
          <w:szCs w:val="24"/>
          <w:lang w:val="en-US" w:eastAsia="sv-SE"/>
        </w:rPr>
        <w:t>. The data is</w:t>
      </w:r>
      <w:r w:rsidRPr="00053C90">
        <w:rPr>
          <w:rFonts w:eastAsia="Times New Roman"/>
          <w:bCs/>
          <w:color w:val="000000"/>
          <w:szCs w:val="24"/>
          <w:lang w:val="en-US" w:eastAsia="sv-SE"/>
        </w:rPr>
        <w:t xml:space="preserve"> collected between 2004 and 2012, for two reasons. Firstly, to be able to capture as recent deals as possible and secondly, to have a timeframe with a manageable amount of deals that also capture</w:t>
      </w:r>
      <w:r w:rsidR="00931C12">
        <w:rPr>
          <w:rFonts w:eastAsia="Times New Roman"/>
          <w:bCs/>
          <w:color w:val="000000"/>
          <w:szCs w:val="24"/>
          <w:lang w:val="en-US" w:eastAsia="sv-SE"/>
        </w:rPr>
        <w:t>s</w:t>
      </w:r>
      <w:r w:rsidRPr="00053C90">
        <w:rPr>
          <w:rFonts w:eastAsia="Times New Roman"/>
          <w:bCs/>
          <w:color w:val="000000"/>
          <w:szCs w:val="24"/>
          <w:lang w:val="en-US" w:eastAsia="sv-SE"/>
        </w:rPr>
        <w:t xml:space="preserve"> transactions performed during different market conditions, such as the financial crisis around 2008, the financial boom preceding it and the recovery following the crisis.</w:t>
      </w:r>
    </w:p>
    <w:p w:rsidR="001B062E" w:rsidRPr="00053C90" w:rsidRDefault="001B062E" w:rsidP="001B062E">
      <w:pPr>
        <w:spacing w:line="360" w:lineRule="auto"/>
        <w:rPr>
          <w:i/>
          <w:szCs w:val="24"/>
          <w:lang w:val="en-US"/>
        </w:rPr>
      </w:pPr>
      <w:r w:rsidRPr="00053C90">
        <w:rPr>
          <w:i/>
          <w:szCs w:val="24"/>
          <w:lang w:val="en-US"/>
        </w:rPr>
        <w:t>Geographical Area</w:t>
      </w:r>
    </w:p>
    <w:p w:rsidR="001B062E" w:rsidRPr="00053C90" w:rsidRDefault="001B062E" w:rsidP="001B062E">
      <w:pPr>
        <w:spacing w:line="360" w:lineRule="auto"/>
        <w:rPr>
          <w:szCs w:val="24"/>
          <w:lang w:val="en-US"/>
        </w:rPr>
      </w:pPr>
      <w:r w:rsidRPr="00053C90">
        <w:rPr>
          <w:szCs w:val="24"/>
          <w:lang w:val="en-US"/>
        </w:rPr>
        <w:t xml:space="preserve">Most of the previous research is conducted on </w:t>
      </w:r>
      <w:r w:rsidR="00931C12">
        <w:rPr>
          <w:szCs w:val="24"/>
          <w:lang w:val="en-US"/>
        </w:rPr>
        <w:t xml:space="preserve">a </w:t>
      </w:r>
      <w:r w:rsidRPr="00053C90">
        <w:rPr>
          <w:szCs w:val="24"/>
          <w:lang w:val="en-US"/>
        </w:rPr>
        <w:t>U</w:t>
      </w:r>
      <w:r w:rsidR="00931C12">
        <w:rPr>
          <w:szCs w:val="24"/>
          <w:lang w:val="en-US"/>
        </w:rPr>
        <w:t>.</w:t>
      </w:r>
      <w:r w:rsidRPr="00053C90">
        <w:rPr>
          <w:szCs w:val="24"/>
          <w:lang w:val="en-US"/>
        </w:rPr>
        <w:t>S</w:t>
      </w:r>
      <w:r w:rsidR="00931C12">
        <w:rPr>
          <w:szCs w:val="24"/>
          <w:lang w:val="en-US"/>
        </w:rPr>
        <w:t>. market</w:t>
      </w:r>
      <w:r w:rsidRPr="00053C90">
        <w:rPr>
          <w:szCs w:val="24"/>
          <w:lang w:val="en-US"/>
        </w:rPr>
        <w:t>. However, Dutta &amp; Jog (2009) examine a non-US market and find diffe</w:t>
      </w:r>
      <w:r w:rsidR="00931C12">
        <w:rPr>
          <w:szCs w:val="24"/>
          <w:lang w:val="en-US"/>
        </w:rPr>
        <w:t>rent results. This study is</w:t>
      </w:r>
      <w:r w:rsidRPr="00053C90">
        <w:rPr>
          <w:szCs w:val="24"/>
          <w:lang w:val="en-US"/>
        </w:rPr>
        <w:t xml:space="preserve"> using Sweden, Denmark, Norway and Finland as market settings, since this is developed market</w:t>
      </w:r>
      <w:r w:rsidR="00931C12">
        <w:rPr>
          <w:szCs w:val="24"/>
          <w:lang w:val="en-US"/>
        </w:rPr>
        <w:t>s</w:t>
      </w:r>
      <w:r w:rsidRPr="00053C90">
        <w:rPr>
          <w:szCs w:val="24"/>
          <w:lang w:val="en-US"/>
        </w:rPr>
        <w:t xml:space="preserve"> where lots of M&amp;A</w:t>
      </w:r>
      <w:r w:rsidR="00931C12">
        <w:rPr>
          <w:szCs w:val="24"/>
          <w:lang w:val="en-US"/>
        </w:rPr>
        <w:t>:s</w:t>
      </w:r>
      <w:r w:rsidRPr="00053C90">
        <w:rPr>
          <w:szCs w:val="24"/>
          <w:lang w:val="en-US"/>
        </w:rPr>
        <w:t xml:space="preserve"> take place. Furthermore, as in Dutta &amp; Jog</w:t>
      </w:r>
      <w:r w:rsidR="00931C12">
        <w:rPr>
          <w:szCs w:val="24"/>
          <w:lang w:val="en-US"/>
        </w:rPr>
        <w:t>’s</w:t>
      </w:r>
      <w:r w:rsidRPr="00053C90">
        <w:rPr>
          <w:szCs w:val="24"/>
          <w:lang w:val="en-US"/>
        </w:rPr>
        <w:t xml:space="preserve"> (2009) case, there are regulatory differences between these countries and the US regarding M&amp;A:s which can lead to different results. Another aspect o</w:t>
      </w:r>
      <w:r w:rsidR="00931C12">
        <w:rPr>
          <w:szCs w:val="24"/>
          <w:lang w:val="en-US"/>
        </w:rPr>
        <w:t>f why this geographical area is</w:t>
      </w:r>
      <w:r w:rsidRPr="00053C90">
        <w:rPr>
          <w:szCs w:val="24"/>
          <w:lang w:val="en-US"/>
        </w:rPr>
        <w:t xml:space="preserve"> chosen is that the researchers have not found any similar research in these markets and it would be of interest to examine the effects of M&amp;A:s, both accounting wise and stock wise.   </w:t>
      </w:r>
      <w:r w:rsidRPr="00053C90">
        <w:rPr>
          <w:szCs w:val="24"/>
          <w:lang w:val="en-US"/>
        </w:rPr>
        <w:tab/>
      </w:r>
      <w:r w:rsidRPr="00053C90">
        <w:rPr>
          <w:szCs w:val="24"/>
          <w:lang w:val="en-US"/>
        </w:rPr>
        <w:tab/>
      </w:r>
    </w:p>
    <w:p w:rsidR="001B062E" w:rsidRPr="00053C90" w:rsidRDefault="001B062E" w:rsidP="001B062E">
      <w:pPr>
        <w:spacing w:line="360" w:lineRule="auto"/>
        <w:rPr>
          <w:szCs w:val="24"/>
          <w:lang w:val="en-US"/>
        </w:rPr>
      </w:pPr>
      <w:r w:rsidRPr="00053C90">
        <w:rPr>
          <w:i/>
          <w:szCs w:val="24"/>
          <w:lang w:val="en-US"/>
        </w:rPr>
        <w:t xml:space="preserve">Transaction Size </w:t>
      </w:r>
    </w:p>
    <w:p w:rsidR="001B062E" w:rsidRDefault="001B062E" w:rsidP="001B062E">
      <w:pPr>
        <w:spacing w:line="360" w:lineRule="auto"/>
        <w:rPr>
          <w:szCs w:val="24"/>
          <w:lang w:val="en-US"/>
        </w:rPr>
      </w:pPr>
      <w:r w:rsidRPr="00053C90">
        <w:rPr>
          <w:szCs w:val="24"/>
          <w:lang w:val="en-US"/>
        </w:rPr>
        <w:t>The criterion transaction size w</w:t>
      </w:r>
      <w:r w:rsidR="00931C12">
        <w:rPr>
          <w:szCs w:val="24"/>
          <w:lang w:val="en-US"/>
        </w:rPr>
        <w:t>ill include deals exceeding $50 million</w:t>
      </w:r>
      <w:r w:rsidRPr="00053C90">
        <w:rPr>
          <w:szCs w:val="24"/>
          <w:lang w:val="en-US"/>
        </w:rPr>
        <w:t xml:space="preserve">. To use the large transactions is consistent with the findings of Bhagat et al (2011), who </w:t>
      </w:r>
      <w:r w:rsidR="0062387A" w:rsidRPr="00053C90">
        <w:rPr>
          <w:szCs w:val="24"/>
          <w:lang w:val="en-US"/>
        </w:rPr>
        <w:t>find</w:t>
      </w:r>
      <w:r w:rsidRPr="00053C90">
        <w:rPr>
          <w:szCs w:val="24"/>
          <w:lang w:val="en-US"/>
        </w:rPr>
        <w:t xml:space="preserve"> a positive relationship between transaction size and the abnormal returns following a transaction. Bhagat et al (2011) did, however, only look at a short term effects, which makes it interesting to examine if the effects of the transaction size are present in a longer time period too. The reason why the currency is dollars is because the software used, Thomson Eikon, states all deals in dollars by default.</w:t>
      </w:r>
      <w:r w:rsidR="00931C12">
        <w:rPr>
          <w:szCs w:val="24"/>
          <w:lang w:val="en-US"/>
        </w:rPr>
        <w:t xml:space="preserve"> Another reason for only including large deals is that this is a common way, used by previous studies, e.g. Healy et al (1992) and Ghosh (2001), to make the amount of observations manageable to handle.  </w:t>
      </w:r>
    </w:p>
    <w:p w:rsidR="0062387A" w:rsidRPr="00053C90" w:rsidRDefault="0062387A" w:rsidP="001B062E">
      <w:pPr>
        <w:spacing w:line="360" w:lineRule="auto"/>
        <w:rPr>
          <w:szCs w:val="24"/>
          <w:lang w:val="en-US"/>
        </w:rPr>
      </w:pPr>
    </w:p>
    <w:p w:rsidR="001B062E" w:rsidRPr="00053C90" w:rsidRDefault="001B062E" w:rsidP="001B062E">
      <w:pPr>
        <w:pStyle w:val="ListParagraph"/>
        <w:numPr>
          <w:ilvl w:val="0"/>
          <w:numId w:val="12"/>
        </w:numPr>
        <w:spacing w:line="360" w:lineRule="auto"/>
        <w:rPr>
          <w:i/>
          <w:szCs w:val="24"/>
          <w:lang w:val="en-US"/>
        </w:rPr>
      </w:pPr>
      <w:r w:rsidRPr="00053C90">
        <w:rPr>
          <w:i/>
          <w:szCs w:val="24"/>
          <w:lang w:val="en-US"/>
        </w:rPr>
        <w:t xml:space="preserve">Decide a model to calculate abnormal return </w:t>
      </w:r>
    </w:p>
    <w:p w:rsidR="001B062E" w:rsidRPr="00053C90" w:rsidRDefault="00931C12" w:rsidP="001B062E">
      <w:pPr>
        <w:spacing w:line="360" w:lineRule="auto"/>
        <w:rPr>
          <w:szCs w:val="24"/>
          <w:lang w:val="en-US"/>
        </w:rPr>
      </w:pPr>
      <w:r>
        <w:rPr>
          <w:szCs w:val="24"/>
          <w:lang w:val="en-US"/>
        </w:rPr>
        <w:t>This study is not</w:t>
      </w:r>
      <w:r w:rsidR="001B062E" w:rsidRPr="00053C90">
        <w:rPr>
          <w:szCs w:val="24"/>
          <w:lang w:val="en-US"/>
        </w:rPr>
        <w:t xml:space="preserve"> using an asset pricing model, e.g. CAPM. Instead, a model calle</w:t>
      </w:r>
      <w:r w:rsidR="00F0273C" w:rsidRPr="00053C90">
        <w:rPr>
          <w:szCs w:val="24"/>
          <w:lang w:val="en-US"/>
        </w:rPr>
        <w:t>d buy and hold abnormal return, further referred to as BHAR,</w:t>
      </w:r>
      <w:r w:rsidR="001B062E" w:rsidRPr="00053C90">
        <w:rPr>
          <w:szCs w:val="24"/>
          <w:lang w:val="en-US"/>
        </w:rPr>
        <w:t xml:space="preserve"> </w:t>
      </w:r>
      <w:r>
        <w:rPr>
          <w:szCs w:val="24"/>
          <w:lang w:val="en-US"/>
        </w:rPr>
        <w:t>is</w:t>
      </w:r>
      <w:r w:rsidR="001B062E" w:rsidRPr="00053C90">
        <w:rPr>
          <w:szCs w:val="24"/>
          <w:lang w:val="en-US"/>
        </w:rPr>
        <w:t xml:space="preserve"> used to calculate the stock performance a thorough description of this model </w:t>
      </w:r>
      <w:r>
        <w:rPr>
          <w:szCs w:val="24"/>
          <w:lang w:val="en-US"/>
        </w:rPr>
        <w:t>is</w:t>
      </w:r>
      <w:r w:rsidR="001B062E" w:rsidRPr="00053C90">
        <w:rPr>
          <w:szCs w:val="24"/>
          <w:lang w:val="en-US"/>
        </w:rPr>
        <w:t xml:space="preserve"> presented in section </w:t>
      </w:r>
      <w:r w:rsidR="00F0273C" w:rsidRPr="00053C90">
        <w:rPr>
          <w:szCs w:val="24"/>
          <w:lang w:val="en-US"/>
        </w:rPr>
        <w:t>3.5</w:t>
      </w:r>
      <w:r w:rsidR="001B062E" w:rsidRPr="00053C90">
        <w:rPr>
          <w:szCs w:val="24"/>
          <w:lang w:val="en-US"/>
        </w:rPr>
        <w:t>. When calculating the opera</w:t>
      </w:r>
      <w:r>
        <w:rPr>
          <w:szCs w:val="24"/>
          <w:lang w:val="en-US"/>
        </w:rPr>
        <w:t>ting performance this study</w:t>
      </w:r>
      <w:r w:rsidR="001B062E" w:rsidRPr="00053C90">
        <w:rPr>
          <w:szCs w:val="24"/>
          <w:lang w:val="en-US"/>
        </w:rPr>
        <w:t xml:space="preserve"> adopt</w:t>
      </w:r>
      <w:r>
        <w:rPr>
          <w:szCs w:val="24"/>
          <w:lang w:val="en-US"/>
        </w:rPr>
        <w:t>s</w:t>
      </w:r>
      <w:r w:rsidR="001B062E" w:rsidRPr="00053C90">
        <w:rPr>
          <w:szCs w:val="24"/>
          <w:lang w:val="en-US"/>
        </w:rPr>
        <w:t xml:space="preserve"> the method used b</w:t>
      </w:r>
      <w:r>
        <w:rPr>
          <w:szCs w:val="24"/>
          <w:lang w:val="en-US"/>
        </w:rPr>
        <w:t>y Ghosh (2001). This model is</w:t>
      </w:r>
      <w:r w:rsidR="001B062E" w:rsidRPr="00053C90">
        <w:rPr>
          <w:szCs w:val="24"/>
          <w:lang w:val="en-US"/>
        </w:rPr>
        <w:t xml:space="preserve"> described in section </w:t>
      </w:r>
      <w:r w:rsidR="00F0273C" w:rsidRPr="00053C90">
        <w:rPr>
          <w:szCs w:val="24"/>
          <w:lang w:val="en-US"/>
        </w:rPr>
        <w:t xml:space="preserve">3.6. </w:t>
      </w:r>
    </w:p>
    <w:p w:rsidR="001B062E" w:rsidRPr="00053C90" w:rsidRDefault="001B062E" w:rsidP="001B062E">
      <w:pPr>
        <w:pStyle w:val="ListParagraph"/>
        <w:numPr>
          <w:ilvl w:val="0"/>
          <w:numId w:val="19"/>
        </w:numPr>
        <w:spacing w:line="360" w:lineRule="auto"/>
        <w:rPr>
          <w:szCs w:val="24"/>
          <w:lang w:val="en-US"/>
        </w:rPr>
      </w:pPr>
      <w:r w:rsidRPr="00053C90">
        <w:rPr>
          <w:i/>
          <w:szCs w:val="24"/>
          <w:lang w:val="en-US"/>
        </w:rPr>
        <w:t xml:space="preserve">Statistical Testing </w:t>
      </w:r>
    </w:p>
    <w:p w:rsidR="001B062E" w:rsidRPr="00053C90" w:rsidRDefault="001B062E" w:rsidP="001B062E">
      <w:pPr>
        <w:spacing w:line="360" w:lineRule="auto"/>
        <w:rPr>
          <w:szCs w:val="24"/>
          <w:lang w:val="en-US"/>
        </w:rPr>
      </w:pPr>
      <w:r w:rsidRPr="00053C90">
        <w:rPr>
          <w:szCs w:val="24"/>
          <w:lang w:val="en-US"/>
        </w:rPr>
        <w:t>In order to conduct these statistical tests a null hypothesis (H</w:t>
      </w:r>
      <w:r w:rsidRPr="00154B8D">
        <w:rPr>
          <w:szCs w:val="24"/>
          <w:vertAlign w:val="subscript"/>
          <w:lang w:val="en-US"/>
        </w:rPr>
        <w:t>0</w:t>
      </w:r>
      <w:r w:rsidRPr="00053C90">
        <w:rPr>
          <w:szCs w:val="24"/>
          <w:lang w:val="en-US"/>
        </w:rPr>
        <w:t>) and an alternative hypothesis (H</w:t>
      </w:r>
      <w:r w:rsidRPr="00154B8D">
        <w:rPr>
          <w:szCs w:val="24"/>
          <w:vertAlign w:val="subscript"/>
          <w:lang w:val="en-US"/>
        </w:rPr>
        <w:t>1</w:t>
      </w:r>
      <w:r w:rsidRPr="00053C90">
        <w:rPr>
          <w:szCs w:val="24"/>
          <w:lang w:val="en-US"/>
        </w:rPr>
        <w:t>) have to be formulated. Körner &amp; Wahlgren (2006). If no statistical difference can be detected, H</w:t>
      </w:r>
      <w:r w:rsidRPr="00154B8D">
        <w:rPr>
          <w:szCs w:val="24"/>
          <w:vertAlign w:val="subscript"/>
          <w:lang w:val="en-US"/>
        </w:rPr>
        <w:t>0</w:t>
      </w:r>
      <w:r w:rsidRPr="00053C90">
        <w:rPr>
          <w:szCs w:val="24"/>
          <w:lang w:val="en-US"/>
        </w:rPr>
        <w:t xml:space="preserve"> is rejected. On the other hand, if there is a statistical difference, H</w:t>
      </w:r>
      <w:r w:rsidRPr="00154B8D">
        <w:rPr>
          <w:szCs w:val="24"/>
          <w:vertAlign w:val="subscript"/>
          <w:lang w:val="en-US"/>
        </w:rPr>
        <w:t>1</w:t>
      </w:r>
      <w:r w:rsidRPr="00053C90">
        <w:rPr>
          <w:szCs w:val="24"/>
          <w:lang w:val="en-US"/>
        </w:rPr>
        <w:t xml:space="preserve"> is not rejected which is interpreted that there is a statistical difference. In this study the difference to examine is whether the BHAR and ROA </w:t>
      </w:r>
      <w:r w:rsidR="0062387A" w:rsidRPr="00053C90">
        <w:rPr>
          <w:szCs w:val="24"/>
          <w:lang w:val="en-US"/>
        </w:rPr>
        <w:t>are</w:t>
      </w:r>
      <w:r w:rsidRPr="00053C90">
        <w:rPr>
          <w:szCs w:val="24"/>
          <w:lang w:val="en-US"/>
        </w:rPr>
        <w:t xml:space="preserve"> statistically different from zero in different time periods. </w:t>
      </w:r>
    </w:p>
    <w:p w:rsidR="001B062E" w:rsidRPr="00286008" w:rsidRDefault="001B062E" w:rsidP="001B062E">
      <w:pPr>
        <w:spacing w:line="360" w:lineRule="auto"/>
        <w:jc w:val="center"/>
        <w:rPr>
          <w:szCs w:val="24"/>
          <w:lang w:val="en-US"/>
        </w:rPr>
      </w:pPr>
      <w:r w:rsidRPr="00286008">
        <w:rPr>
          <w:szCs w:val="24"/>
          <w:lang w:val="en-US"/>
        </w:rPr>
        <w:t>H</w:t>
      </w:r>
      <w:r w:rsidRPr="00286008">
        <w:rPr>
          <w:szCs w:val="24"/>
          <w:vertAlign w:val="subscript"/>
          <w:lang w:val="en-US"/>
        </w:rPr>
        <w:t>0</w:t>
      </w:r>
      <w:r w:rsidRPr="00286008">
        <w:rPr>
          <w:szCs w:val="24"/>
          <w:lang w:val="en-US"/>
        </w:rPr>
        <w:t>: BHAR</w:t>
      </w:r>
      <w:r w:rsidRPr="00286008">
        <w:rPr>
          <w:szCs w:val="24"/>
          <w:vertAlign w:val="subscript"/>
          <w:lang w:val="en-US"/>
        </w:rPr>
        <w:t>12,24,36</w:t>
      </w:r>
      <w:r w:rsidRPr="00286008">
        <w:rPr>
          <w:szCs w:val="24"/>
          <w:lang w:val="en-US"/>
        </w:rPr>
        <w:t xml:space="preserve"> = 0</w:t>
      </w:r>
    </w:p>
    <w:p w:rsidR="001B062E" w:rsidRPr="00286008" w:rsidRDefault="001B062E" w:rsidP="001B062E">
      <w:pPr>
        <w:spacing w:line="360" w:lineRule="auto"/>
        <w:jc w:val="center"/>
        <w:rPr>
          <w:szCs w:val="24"/>
          <w:lang w:val="en-US"/>
        </w:rPr>
      </w:pPr>
      <w:r w:rsidRPr="00286008">
        <w:rPr>
          <w:szCs w:val="24"/>
          <w:lang w:val="en-US"/>
        </w:rPr>
        <w:t>H</w:t>
      </w:r>
      <w:r w:rsidRPr="00286008">
        <w:rPr>
          <w:szCs w:val="24"/>
          <w:vertAlign w:val="subscript"/>
          <w:lang w:val="en-US"/>
        </w:rPr>
        <w:t>1</w:t>
      </w:r>
      <w:r w:rsidRPr="00286008">
        <w:rPr>
          <w:szCs w:val="24"/>
          <w:lang w:val="en-US"/>
        </w:rPr>
        <w:t>: BHAR</w:t>
      </w:r>
      <w:r w:rsidRPr="00286008">
        <w:rPr>
          <w:szCs w:val="24"/>
          <w:vertAlign w:val="subscript"/>
          <w:lang w:val="en-US"/>
        </w:rPr>
        <w:t>12,24,36</w:t>
      </w:r>
      <w:r w:rsidRPr="00286008">
        <w:rPr>
          <w:szCs w:val="24"/>
          <w:lang w:val="en-US"/>
        </w:rPr>
        <w:t xml:space="preserve"> ≠ 0</w:t>
      </w:r>
    </w:p>
    <w:p w:rsidR="001B062E" w:rsidRPr="00286008" w:rsidRDefault="001B062E" w:rsidP="001B062E">
      <w:pPr>
        <w:spacing w:line="360" w:lineRule="auto"/>
        <w:jc w:val="center"/>
        <w:rPr>
          <w:szCs w:val="24"/>
          <w:lang w:val="en-US"/>
        </w:rPr>
      </w:pPr>
      <w:r w:rsidRPr="00286008">
        <w:rPr>
          <w:szCs w:val="24"/>
          <w:lang w:val="en-US"/>
        </w:rPr>
        <w:t>H</w:t>
      </w:r>
      <w:r w:rsidRPr="00286008">
        <w:rPr>
          <w:szCs w:val="24"/>
          <w:vertAlign w:val="subscript"/>
          <w:lang w:val="en-US"/>
        </w:rPr>
        <w:t>0</w:t>
      </w:r>
      <w:r w:rsidRPr="00286008">
        <w:rPr>
          <w:szCs w:val="24"/>
          <w:lang w:val="en-US"/>
        </w:rPr>
        <w:t>: ROA</w:t>
      </w:r>
      <w:r w:rsidRPr="00286008">
        <w:rPr>
          <w:szCs w:val="24"/>
          <w:vertAlign w:val="subscript"/>
          <w:lang w:val="en-US"/>
        </w:rPr>
        <w:t>12,24,36</w:t>
      </w:r>
      <w:r w:rsidRPr="00286008">
        <w:rPr>
          <w:szCs w:val="24"/>
          <w:lang w:val="en-US"/>
        </w:rPr>
        <w:t xml:space="preserve"> = 0</w:t>
      </w:r>
    </w:p>
    <w:p w:rsidR="001B062E" w:rsidRPr="00053C90" w:rsidRDefault="001B062E" w:rsidP="001B062E">
      <w:pPr>
        <w:spacing w:line="360" w:lineRule="auto"/>
        <w:jc w:val="center"/>
        <w:rPr>
          <w:szCs w:val="24"/>
          <w:lang w:val="en-US"/>
        </w:rPr>
      </w:pPr>
      <w:r w:rsidRPr="00053C90">
        <w:rPr>
          <w:szCs w:val="24"/>
          <w:lang w:val="en-US"/>
        </w:rPr>
        <w:t>H</w:t>
      </w:r>
      <w:r w:rsidRPr="00053C90">
        <w:rPr>
          <w:szCs w:val="24"/>
          <w:vertAlign w:val="subscript"/>
          <w:lang w:val="en-US"/>
        </w:rPr>
        <w:t>1</w:t>
      </w:r>
      <w:r w:rsidRPr="00053C90">
        <w:rPr>
          <w:szCs w:val="24"/>
          <w:lang w:val="en-US"/>
        </w:rPr>
        <w:t>: ROA</w:t>
      </w:r>
      <w:r w:rsidRPr="00053C90">
        <w:rPr>
          <w:szCs w:val="24"/>
          <w:vertAlign w:val="subscript"/>
          <w:lang w:val="en-US"/>
        </w:rPr>
        <w:t>12,24,36</w:t>
      </w:r>
      <w:r w:rsidRPr="00053C90">
        <w:rPr>
          <w:szCs w:val="24"/>
          <w:lang w:val="en-US"/>
        </w:rPr>
        <w:t xml:space="preserve"> ≠ 0</w:t>
      </w:r>
    </w:p>
    <w:p w:rsidR="001B062E" w:rsidRPr="00053C90" w:rsidRDefault="001B062E" w:rsidP="001B062E">
      <w:pPr>
        <w:spacing w:line="360" w:lineRule="auto"/>
        <w:rPr>
          <w:szCs w:val="24"/>
          <w:lang w:val="en-US"/>
        </w:rPr>
      </w:pPr>
      <w:r w:rsidRPr="00053C90">
        <w:rPr>
          <w:szCs w:val="24"/>
          <w:lang w:val="en-US"/>
        </w:rPr>
        <w:t xml:space="preserve">There are two types of errors that can occur when testing hypotheses, type I and type II errors. Type I errors occur when the null hypothesis falsely is rejected and type II errors occur when null hypothesis is falsely accepted. Out of these two errors, type I are far more severe, since that leads to statistically significant conclusions about the characteristics of a sample that is not true. (Körner &amp; Wahlgren, 2006) </w:t>
      </w:r>
    </w:p>
    <w:p w:rsidR="001B062E" w:rsidRPr="00053C90" w:rsidRDefault="001B062E" w:rsidP="001B062E">
      <w:pPr>
        <w:spacing w:line="360" w:lineRule="auto"/>
        <w:rPr>
          <w:szCs w:val="24"/>
          <w:lang w:val="en-US"/>
        </w:rPr>
      </w:pPr>
      <w:r w:rsidRPr="00053C90">
        <w:rPr>
          <w:szCs w:val="24"/>
          <w:lang w:val="en-US"/>
        </w:rPr>
        <w:t>A factor that has to be determined when testing hypotheses is the significance level. A significance level can be described as the probability of rejecting the null hypothesis when it is true, i.e. the probability of making a type I error. The most common significance levels are 10%, 5% and 1%. To find out whether the results are statically significant or not, two tests have been conducted, the t-test and Wilcoxon’s signed rank test. These two tests will be described below.</w:t>
      </w:r>
    </w:p>
    <w:p w:rsidR="001B062E" w:rsidRPr="00053C90" w:rsidRDefault="001B062E" w:rsidP="001B062E">
      <w:pPr>
        <w:spacing w:line="360" w:lineRule="auto"/>
        <w:rPr>
          <w:szCs w:val="24"/>
          <w:lang w:val="en-US"/>
        </w:rPr>
      </w:pPr>
      <w:r w:rsidRPr="00053C90">
        <w:rPr>
          <w:szCs w:val="24"/>
          <w:lang w:val="en-US"/>
        </w:rPr>
        <w:t xml:space="preserve">T-tests are a common way to test for significance and aim to examine if the results of the sample are generalizable on a population. Furthermore, since this study presents results on both stock and accounting performance, tests will be conducted on both set of measures for three time periods, 12, 24 and 36 months. </w:t>
      </w:r>
    </w:p>
    <w:p w:rsidR="001B062E" w:rsidRPr="00053C90" w:rsidRDefault="00154B8D" w:rsidP="001B062E">
      <w:pPr>
        <w:spacing w:line="360" w:lineRule="auto"/>
        <w:rPr>
          <w:szCs w:val="24"/>
          <w:lang w:val="en-US"/>
        </w:rPr>
      </w:pPr>
      <w:r>
        <w:rPr>
          <w:szCs w:val="24"/>
          <w:lang w:val="en-US"/>
        </w:rPr>
        <w:t>There are, however,</w:t>
      </w:r>
      <w:r w:rsidR="001B062E" w:rsidRPr="00053C90">
        <w:rPr>
          <w:szCs w:val="24"/>
          <w:lang w:val="en-US"/>
        </w:rPr>
        <w:t xml:space="preserve"> some problems with this test. Firstly, Barber &amp; Lyon (1997) claim that t-tests can be negatively biased when testing long term performance. Since this is the case in this study, to only test the significance with a t-test would lower the validity of the results. Another problem with the t-test is that it is a parametric test, which means that it assumes the observations to be normally distributed. (Körner &amp; Wahlgren, 2006)  But according to the central limit theorem, a sample can be assumed to be normally distributed if the number of observations exceeds 30 (Westerlund, 2005). Since there are 64 observations in this study, the sample can be assumed to be normally distributed. This means that a t-test can work as suitable test for significance. In spite of the implications of the central limit theorem a norma</w:t>
      </w:r>
      <w:r>
        <w:rPr>
          <w:szCs w:val="24"/>
          <w:lang w:val="en-US"/>
        </w:rPr>
        <w:t>lity test is</w:t>
      </w:r>
      <w:r w:rsidR="001B062E" w:rsidRPr="00053C90">
        <w:rPr>
          <w:szCs w:val="24"/>
          <w:lang w:val="en-US"/>
        </w:rPr>
        <w:t xml:space="preserve"> conducted to check if the samples are normally distributed. </w:t>
      </w:r>
    </w:p>
    <w:p w:rsidR="001B062E" w:rsidRPr="00053C90" w:rsidRDefault="001B062E" w:rsidP="001B062E">
      <w:pPr>
        <w:spacing w:line="360" w:lineRule="auto"/>
        <w:rPr>
          <w:szCs w:val="24"/>
          <w:lang w:val="en-US"/>
        </w:rPr>
      </w:pPr>
      <w:r w:rsidRPr="00053C90">
        <w:rPr>
          <w:szCs w:val="24"/>
          <w:lang w:val="en-US"/>
        </w:rPr>
        <w:t>To solve for the potential problems wi</w:t>
      </w:r>
      <w:r w:rsidR="00154B8D">
        <w:rPr>
          <w:szCs w:val="24"/>
          <w:lang w:val="en-US"/>
        </w:rPr>
        <w:t>th a t-test another test is</w:t>
      </w:r>
      <w:r w:rsidRPr="00053C90">
        <w:rPr>
          <w:szCs w:val="24"/>
          <w:lang w:val="en-US"/>
        </w:rPr>
        <w:t xml:space="preserve"> used as well, Wilcoxon’s signed rank test. This is a non-parametric test, which means that it does not assume the underlying data to be normally distributed. Moreover, Wilcoxon’s test eliminates the potential distortion that can be caused by extreme outliers. A disadvantage of using Wilcoxon’s test is that it can lack statically power, especially on a smaller sample when compared to the t-test. A difference between the two tests is that Wilcoxon’s test compares if the median is significantly different from zero, whereas the t-test that compare the mean. (Körner &amp; Wahlgren, 2006)  Both the t-test and the Wilcoxon’s test will be conducted using a software named SPSS. </w:t>
      </w:r>
    </w:p>
    <w:p w:rsidR="001B062E" w:rsidRPr="00053C90" w:rsidRDefault="001B062E" w:rsidP="001B062E">
      <w:pPr>
        <w:spacing w:line="360" w:lineRule="auto"/>
        <w:rPr>
          <w:i/>
          <w:szCs w:val="24"/>
          <w:lang w:val="en-US"/>
        </w:rPr>
      </w:pPr>
      <w:r w:rsidRPr="00053C90">
        <w:rPr>
          <w:i/>
          <w:szCs w:val="24"/>
          <w:lang w:val="en-US"/>
        </w:rPr>
        <w:t>Test for normality</w:t>
      </w:r>
    </w:p>
    <w:p w:rsidR="0062387A" w:rsidRPr="00053C90" w:rsidRDefault="001B062E" w:rsidP="001B062E">
      <w:pPr>
        <w:spacing w:line="360" w:lineRule="auto"/>
        <w:rPr>
          <w:szCs w:val="24"/>
          <w:lang w:val="en-US"/>
        </w:rPr>
      </w:pPr>
      <w:r w:rsidRPr="00053C90">
        <w:rPr>
          <w:szCs w:val="24"/>
          <w:lang w:val="en-US"/>
        </w:rPr>
        <w:t xml:space="preserve">In order to find out whether the observations are normally distributed or not, a normality test is conducted. In this study a Jarque-Bera test is conducted with a software program named Eviews. A Jarque-Bera test examines the skewness and kurtosis of a set of observations in order to determine if they are normally distributed. The skewness </w:t>
      </w:r>
      <w:r w:rsidR="004417BA" w:rsidRPr="00053C90">
        <w:rPr>
          <w:szCs w:val="24"/>
          <w:lang w:val="en-US"/>
        </w:rPr>
        <w:t>measures</w:t>
      </w:r>
      <w:r w:rsidRPr="00053C90">
        <w:rPr>
          <w:szCs w:val="24"/>
          <w:lang w:val="en-US"/>
        </w:rPr>
        <w:t xml:space="preserve"> the </w:t>
      </w:r>
      <w:r w:rsidR="004417BA" w:rsidRPr="00053C90">
        <w:rPr>
          <w:szCs w:val="24"/>
          <w:lang w:val="en-US"/>
        </w:rPr>
        <w:t xml:space="preserve">distribution´s symmetry around its mean </w:t>
      </w:r>
      <w:r w:rsidRPr="00053C90">
        <w:rPr>
          <w:szCs w:val="24"/>
          <w:lang w:val="en-US"/>
        </w:rPr>
        <w:t xml:space="preserve">and the kurtosis </w:t>
      </w:r>
      <w:r w:rsidR="004417BA" w:rsidRPr="00053C90">
        <w:rPr>
          <w:szCs w:val="24"/>
          <w:lang w:val="en-US"/>
        </w:rPr>
        <w:t xml:space="preserve">is the fatness of the </w:t>
      </w:r>
      <w:r w:rsidR="00154B8D">
        <w:rPr>
          <w:szCs w:val="24"/>
          <w:lang w:val="en-US"/>
        </w:rPr>
        <w:t xml:space="preserve">distribution’s </w:t>
      </w:r>
      <w:r w:rsidR="004417BA" w:rsidRPr="00053C90">
        <w:rPr>
          <w:szCs w:val="24"/>
          <w:lang w:val="en-US"/>
        </w:rPr>
        <w:t xml:space="preserve">tails </w:t>
      </w:r>
      <w:r w:rsidRPr="00053C90">
        <w:rPr>
          <w:szCs w:val="24"/>
          <w:lang w:val="en-US"/>
        </w:rPr>
        <w:t>(Brooks, 2008).</w:t>
      </w:r>
    </w:p>
    <w:p w:rsidR="001B062E" w:rsidRPr="00053C90" w:rsidRDefault="001B062E" w:rsidP="001B062E">
      <w:pPr>
        <w:pStyle w:val="ListParagraph"/>
        <w:numPr>
          <w:ilvl w:val="0"/>
          <w:numId w:val="19"/>
        </w:numPr>
        <w:spacing w:line="360" w:lineRule="auto"/>
        <w:rPr>
          <w:i/>
          <w:szCs w:val="24"/>
          <w:lang w:val="en-US"/>
        </w:rPr>
      </w:pPr>
      <w:r w:rsidRPr="00053C90">
        <w:rPr>
          <w:i/>
          <w:szCs w:val="24"/>
          <w:lang w:val="en-US"/>
        </w:rPr>
        <w:t xml:space="preserve">Calculate and </w:t>
      </w:r>
      <w:r w:rsidR="0062387A" w:rsidRPr="00053C90">
        <w:rPr>
          <w:i/>
          <w:szCs w:val="24"/>
          <w:lang w:val="en-US"/>
        </w:rPr>
        <w:t>analyses</w:t>
      </w:r>
      <w:r w:rsidRPr="00053C90">
        <w:rPr>
          <w:i/>
          <w:szCs w:val="24"/>
          <w:lang w:val="en-US"/>
        </w:rPr>
        <w:t xml:space="preserve"> abnormal returns</w:t>
      </w:r>
    </w:p>
    <w:p w:rsidR="001B062E" w:rsidRPr="00053C90" w:rsidRDefault="001B062E" w:rsidP="001B062E">
      <w:pPr>
        <w:spacing w:line="360" w:lineRule="auto"/>
        <w:rPr>
          <w:szCs w:val="24"/>
          <w:lang w:val="en-US"/>
        </w:rPr>
      </w:pPr>
      <w:r w:rsidRPr="00053C90">
        <w:rPr>
          <w:szCs w:val="24"/>
          <w:lang w:val="en-US"/>
        </w:rPr>
        <w:t>The re</w:t>
      </w:r>
      <w:r w:rsidR="00154B8D">
        <w:rPr>
          <w:szCs w:val="24"/>
          <w:lang w:val="en-US"/>
        </w:rPr>
        <w:t>sults of the event study is</w:t>
      </w:r>
      <w:r w:rsidRPr="00053C90">
        <w:rPr>
          <w:szCs w:val="24"/>
          <w:lang w:val="en-US"/>
        </w:rPr>
        <w:t xml:space="preserve"> presented in chapter four and then </w:t>
      </w:r>
      <w:r w:rsidR="0062387A" w:rsidRPr="00053C90">
        <w:rPr>
          <w:szCs w:val="24"/>
          <w:lang w:val="en-US"/>
        </w:rPr>
        <w:t>analyzed</w:t>
      </w:r>
      <w:r w:rsidRPr="00053C90">
        <w:rPr>
          <w:szCs w:val="24"/>
          <w:lang w:val="en-US"/>
        </w:rPr>
        <w:t xml:space="preserve"> in chapter five. </w:t>
      </w:r>
    </w:p>
    <w:p w:rsidR="001B062E" w:rsidRPr="00053C90" w:rsidRDefault="001B062E" w:rsidP="001B062E">
      <w:pPr>
        <w:spacing w:line="360" w:lineRule="auto"/>
        <w:ind w:left="360"/>
        <w:rPr>
          <w:szCs w:val="24"/>
          <w:lang w:val="en-US"/>
        </w:rPr>
      </w:pPr>
    </w:p>
    <w:p w:rsidR="001B062E" w:rsidRPr="00053C90" w:rsidRDefault="001B062E" w:rsidP="001B062E">
      <w:pPr>
        <w:pStyle w:val="Heading2"/>
        <w:numPr>
          <w:ilvl w:val="1"/>
          <w:numId w:val="2"/>
        </w:numPr>
        <w:rPr>
          <w:lang w:val="en-US"/>
        </w:rPr>
      </w:pPr>
      <w:bookmarkStart w:id="28" w:name="_Toc428399227"/>
      <w:r w:rsidRPr="00053C90">
        <w:rPr>
          <w:lang w:val="en-US"/>
        </w:rPr>
        <w:t>Data Collection</w:t>
      </w:r>
      <w:bookmarkEnd w:id="28"/>
    </w:p>
    <w:p w:rsidR="001B062E" w:rsidRPr="00053C90" w:rsidRDefault="001B062E" w:rsidP="001B062E">
      <w:pPr>
        <w:spacing w:line="360" w:lineRule="auto"/>
        <w:rPr>
          <w:szCs w:val="24"/>
          <w:lang w:val="en-US"/>
        </w:rPr>
      </w:pPr>
      <w:r w:rsidRPr="00053C90">
        <w:rPr>
          <w:szCs w:val="24"/>
          <w:lang w:val="en-US"/>
        </w:rPr>
        <w:t>Four programs have been used in this study, Thomson Reuters Datastream, Thomson Reuters Eikon, Eviews and SPSS. Thomson Reuters Datastream is a database and Thomson Reuters Eikon is used to retrieve and a</w:t>
      </w:r>
      <w:r w:rsidR="00154B8D">
        <w:rPr>
          <w:szCs w:val="24"/>
          <w:lang w:val="en-US"/>
        </w:rPr>
        <w:t>nalyse data. The former is used</w:t>
      </w:r>
      <w:r w:rsidRPr="00053C90">
        <w:rPr>
          <w:szCs w:val="24"/>
          <w:lang w:val="en-US"/>
        </w:rPr>
        <w:t xml:space="preserve"> to collect accounting data and stock prices from the firms of int</w:t>
      </w:r>
      <w:r w:rsidR="00154B8D">
        <w:rPr>
          <w:szCs w:val="24"/>
          <w:lang w:val="en-US"/>
        </w:rPr>
        <w:t>erest. Thomson Reuters Eikon is</w:t>
      </w:r>
      <w:r w:rsidRPr="00053C90">
        <w:rPr>
          <w:szCs w:val="24"/>
          <w:lang w:val="en-US"/>
        </w:rPr>
        <w:t xml:space="preserve"> used to identify and filter M&amp;A that matched the sample selection criteria. Both these programs are considered reliable and </w:t>
      </w:r>
      <w:r w:rsidR="0062387A" w:rsidRPr="00053C90">
        <w:rPr>
          <w:szCs w:val="24"/>
          <w:lang w:val="en-US"/>
        </w:rPr>
        <w:t>have</w:t>
      </w:r>
      <w:r w:rsidRPr="00053C90">
        <w:rPr>
          <w:szCs w:val="24"/>
          <w:lang w:val="en-US"/>
        </w:rPr>
        <w:t xml:space="preserve"> been used extensively by previous researches. In order to ensure the validity of the data retrie</w:t>
      </w:r>
      <w:r w:rsidR="00154B8D">
        <w:rPr>
          <w:szCs w:val="24"/>
          <w:lang w:val="en-US"/>
        </w:rPr>
        <w:t>ved from the programs is</w:t>
      </w:r>
      <w:r w:rsidRPr="00053C90">
        <w:rPr>
          <w:szCs w:val="24"/>
          <w:lang w:val="en-US"/>
        </w:rPr>
        <w:t xml:space="preserve"> double checked with the firms’ annual reports. SPSS and Eviews are software </w:t>
      </w:r>
      <w:r w:rsidR="0062387A" w:rsidRPr="00053C90">
        <w:rPr>
          <w:szCs w:val="24"/>
          <w:lang w:val="en-US"/>
        </w:rPr>
        <w:t>packages used for statistical ana</w:t>
      </w:r>
      <w:r w:rsidR="0062387A">
        <w:rPr>
          <w:szCs w:val="24"/>
          <w:lang w:val="en-US"/>
        </w:rPr>
        <w:t>lysis and are</w:t>
      </w:r>
      <w:r w:rsidR="00154B8D">
        <w:rPr>
          <w:szCs w:val="24"/>
          <w:lang w:val="en-US"/>
        </w:rPr>
        <w:t xml:space="preserve"> used when conducting the statistical tests in this study.</w:t>
      </w:r>
    </w:p>
    <w:p w:rsidR="001B062E" w:rsidRPr="00053C90" w:rsidRDefault="001B062E" w:rsidP="001B062E">
      <w:pPr>
        <w:spacing w:line="360" w:lineRule="auto"/>
        <w:rPr>
          <w:lang w:val="en-US"/>
        </w:rPr>
      </w:pPr>
    </w:p>
    <w:p w:rsidR="001B062E" w:rsidRPr="00053C90" w:rsidRDefault="001B062E" w:rsidP="001B062E">
      <w:pPr>
        <w:pStyle w:val="Heading2"/>
        <w:numPr>
          <w:ilvl w:val="1"/>
          <w:numId w:val="2"/>
        </w:numPr>
        <w:rPr>
          <w:lang w:val="en-US"/>
        </w:rPr>
      </w:pPr>
      <w:bookmarkStart w:id="29" w:name="_Toc428399228"/>
      <w:r w:rsidRPr="00053C90">
        <w:rPr>
          <w:lang w:val="en-US"/>
        </w:rPr>
        <w:t>Model to calculate abnormal stock returns</w:t>
      </w:r>
      <w:bookmarkEnd w:id="29"/>
    </w:p>
    <w:p w:rsidR="001B062E" w:rsidRPr="00053C90" w:rsidRDefault="001B062E" w:rsidP="001B062E">
      <w:pPr>
        <w:spacing w:line="360" w:lineRule="auto"/>
        <w:rPr>
          <w:szCs w:val="24"/>
          <w:lang w:val="en-US"/>
        </w:rPr>
      </w:pPr>
      <w:r w:rsidRPr="00053C90">
        <w:rPr>
          <w:szCs w:val="24"/>
          <w:lang w:val="en-US"/>
        </w:rPr>
        <w:t>As stated in section 3.2, a method called Buy and Hold Abnormal Return (BHAR) is used to study the abnormal returns of the stocks. BHAR is a method in which the returns of the sample firms are compared to either benchmark firms with similar characteristics a</w:t>
      </w:r>
      <w:r w:rsidR="00154B8D">
        <w:rPr>
          <w:szCs w:val="24"/>
          <w:lang w:val="en-US"/>
        </w:rPr>
        <w:t>s a</w:t>
      </w:r>
      <w:r w:rsidRPr="00053C90">
        <w:rPr>
          <w:szCs w:val="24"/>
          <w:lang w:val="en-US"/>
        </w:rPr>
        <w:t xml:space="preserve"> reference portfolio. Examples of studies using benchmark firms are Dutta &amp; Jog (2009) and Loughran &amp; Vijh (1997). There are however, other methods available. Rau &amp; Vermaelen (1998) use a reference portfolio that is adjusted for size and market-to-book ratio. Agrawal et al (1992) also used a reference portfolio but adjusted for size and beta.</w:t>
      </w:r>
    </w:p>
    <w:p w:rsidR="001B062E" w:rsidRPr="00053C90" w:rsidRDefault="001B062E" w:rsidP="001B062E">
      <w:pPr>
        <w:spacing w:line="360" w:lineRule="auto"/>
        <w:rPr>
          <w:szCs w:val="24"/>
          <w:lang w:val="en-US"/>
        </w:rPr>
      </w:pPr>
      <w:r w:rsidRPr="00053C90">
        <w:rPr>
          <w:szCs w:val="24"/>
          <w:lang w:val="en-US"/>
        </w:rPr>
        <w:t>This study uses a model with benchmark firms since usage of reference portfolios have a tendency to lead to biased results (Barber &amp; Lyon, 1997). In their study, Barber &amp; Lyon (1997) describe three reasons that can explain the biased results when using a reference portfolio to calculate long term abnormal returns:</w:t>
      </w:r>
    </w:p>
    <w:p w:rsidR="001B062E" w:rsidRPr="00053C90" w:rsidRDefault="001B062E" w:rsidP="001B062E">
      <w:pPr>
        <w:spacing w:line="360" w:lineRule="auto"/>
        <w:ind w:left="360"/>
        <w:rPr>
          <w:szCs w:val="24"/>
          <w:lang w:val="en-US"/>
        </w:rPr>
      </w:pPr>
      <w:r w:rsidRPr="00053C90">
        <w:rPr>
          <w:i/>
          <w:szCs w:val="24"/>
          <w:lang w:val="en-US"/>
        </w:rPr>
        <w:t>New listing bias:</w:t>
      </w:r>
      <w:r w:rsidRPr="00053C90">
        <w:rPr>
          <w:szCs w:val="24"/>
          <w:lang w:val="en-US"/>
        </w:rPr>
        <w:t xml:space="preserve"> can occur when using a reference portfolio, if new firms a listed and will cause biased results</w:t>
      </w:r>
    </w:p>
    <w:p w:rsidR="001B062E" w:rsidRPr="00053C90" w:rsidRDefault="001B062E" w:rsidP="001B062E">
      <w:pPr>
        <w:spacing w:line="360" w:lineRule="auto"/>
        <w:ind w:left="360"/>
        <w:rPr>
          <w:szCs w:val="24"/>
          <w:lang w:val="en-US"/>
        </w:rPr>
      </w:pPr>
      <w:r w:rsidRPr="00053C90">
        <w:rPr>
          <w:i/>
          <w:szCs w:val="24"/>
          <w:lang w:val="en-US"/>
        </w:rPr>
        <w:t xml:space="preserve">Rebalancing bias: </w:t>
      </w:r>
      <w:r w:rsidRPr="00053C90">
        <w:rPr>
          <w:szCs w:val="24"/>
          <w:lang w:val="en-US"/>
        </w:rPr>
        <w:t>incurs due to the returns of reference portfolios, e.g. equally weighted market index, are most often using a periodic rebalancing. This is not the case of the sample firms, which leads to biased results.</w:t>
      </w:r>
    </w:p>
    <w:p w:rsidR="001B062E" w:rsidRPr="00053C90" w:rsidRDefault="001B062E" w:rsidP="001B062E">
      <w:pPr>
        <w:spacing w:line="360" w:lineRule="auto"/>
        <w:ind w:left="360"/>
        <w:rPr>
          <w:szCs w:val="24"/>
          <w:lang w:val="en-US"/>
        </w:rPr>
      </w:pPr>
      <w:r w:rsidRPr="00053C90">
        <w:rPr>
          <w:i/>
          <w:szCs w:val="24"/>
          <w:lang w:val="en-US"/>
        </w:rPr>
        <w:t>Skewness bias:</w:t>
      </w:r>
      <w:r w:rsidRPr="00053C90">
        <w:rPr>
          <w:szCs w:val="24"/>
          <w:lang w:val="en-US"/>
        </w:rPr>
        <w:t xml:space="preserve"> is due to the long-term abnormal return potentially being positively skewed.</w:t>
      </w:r>
    </w:p>
    <w:p w:rsidR="001B062E" w:rsidRPr="00053C90" w:rsidRDefault="001B062E" w:rsidP="001B062E">
      <w:pPr>
        <w:spacing w:line="360" w:lineRule="auto"/>
        <w:rPr>
          <w:szCs w:val="24"/>
          <w:lang w:val="en-US"/>
        </w:rPr>
      </w:pPr>
      <w:r w:rsidRPr="00053C90">
        <w:rPr>
          <w:szCs w:val="24"/>
          <w:lang w:val="en-US"/>
        </w:rPr>
        <w:t xml:space="preserve">By using an approach with benchmark firms instead of a reference portfolio, all of these biases are mitigated. There will not be any new listings since there is only one firm to compare with, the returns of the benchmark is not using rebalancing when calculating returns and the benchmark firm is equally exposed to potential large returns. A different approach could have been to use an asset pricing model such as CAPM or Fama-French three factor model to calculate cumulative abnormal returns. These models however, have the drawback of potentially yielding miss specified test statics (Kothari &amp; Warner, 1997) </w:t>
      </w:r>
    </w:p>
    <w:p w:rsidR="001B062E" w:rsidRPr="00053C90" w:rsidRDefault="001B062E" w:rsidP="001B062E">
      <w:pPr>
        <w:spacing w:line="360" w:lineRule="auto"/>
        <w:rPr>
          <w:szCs w:val="24"/>
          <w:lang w:val="en-US"/>
        </w:rPr>
      </w:pPr>
      <w:r w:rsidRPr="00053C90">
        <w:rPr>
          <w:szCs w:val="24"/>
          <w:lang w:val="en-US"/>
        </w:rPr>
        <w:t xml:space="preserve">Criticism has been raised against BHAR in general. Fama (1998) argues that usage of this model leads to a bad-model problem and that there is a probability that effects of other factors than the transaction is captured in the development of long term stock returns. Although this problem potentially exists, the measure Fama (1998) suggests, cumulative abnormal returns, causes statistical distortion when calculating long term returns (Conrad &amp; Kaul, 1993).  Furthermore, there is according to </w:t>
      </w:r>
      <w:r w:rsidR="009561CD" w:rsidRPr="00053C90">
        <w:rPr>
          <w:szCs w:val="24"/>
          <w:lang w:val="en-US"/>
        </w:rPr>
        <w:t xml:space="preserve">Andrade et al </w:t>
      </w:r>
      <w:r w:rsidRPr="00053C90">
        <w:rPr>
          <w:szCs w:val="24"/>
          <w:lang w:val="en-US"/>
        </w:rPr>
        <w:t xml:space="preserve">(2001), hard for investors to evaluate the expected effects of a transaction on a short term, which makes BHAR more appropriate to use as measure. </w:t>
      </w:r>
    </w:p>
    <w:p w:rsidR="001B062E" w:rsidRPr="00053C90" w:rsidRDefault="001B062E" w:rsidP="001B062E">
      <w:pPr>
        <w:pStyle w:val="Heading3"/>
        <w:numPr>
          <w:ilvl w:val="2"/>
          <w:numId w:val="2"/>
        </w:numPr>
        <w:rPr>
          <w:lang w:val="en-US"/>
        </w:rPr>
      </w:pPr>
      <w:bookmarkStart w:id="30" w:name="_Toc428399229"/>
      <w:r w:rsidRPr="00053C90">
        <w:rPr>
          <w:lang w:val="en-US"/>
        </w:rPr>
        <w:t>Selection of Benchmark firms</w:t>
      </w:r>
      <w:bookmarkEnd w:id="30"/>
    </w:p>
    <w:p w:rsidR="001B062E" w:rsidRPr="00053C90" w:rsidRDefault="001B062E" w:rsidP="001B062E">
      <w:pPr>
        <w:spacing w:line="360" w:lineRule="auto"/>
        <w:rPr>
          <w:lang w:val="en-US"/>
        </w:rPr>
      </w:pPr>
      <w:r w:rsidRPr="00053C90">
        <w:rPr>
          <w:lang w:val="en-US"/>
        </w:rPr>
        <w:t>The notion of using a benchmark firm is to be able to assess whether the acquirer performs abnormally well or poor by comparing it to a similar company who has not conducted a transaction. Barber &amp; Lyon (1996) presents a set of filters that can be used to identify benchmark firms, which are adopted by Ghosh (2001). First of all, the matching firm cannot have conducted any significant transaction during the event windows. The second filter is industry, since firms within an industry seem to experience growth and decline at similar times and are more likely to be exposed to similar types of risks (Barber &amp; Lyon, 1996). To be able to retrieve the industry of companies ICB industry codes are used. ICB stands for Industry Classification Benchmark, and this data can be retrieved from Datastream. Size is the third filter and the reason for this is that smaller firms tend to on average have lower earnin</w:t>
      </w:r>
      <w:r w:rsidR="0062387A">
        <w:rPr>
          <w:lang w:val="en-US"/>
        </w:rPr>
        <w:t>gs ratios than larger firms (Fa</w:t>
      </w:r>
      <w:r w:rsidRPr="00053C90">
        <w:rPr>
          <w:lang w:val="en-US"/>
        </w:rPr>
        <w:t>ma &amp; French, 1995). The last filter is operating performance prior to the event, which is based on the theory of mean reversion. This means that firms with unusual well or poor performance tend to move towards the mean and to match firms with similar operating performance prior to the transaction controls for this (Barber &amp; Lyon, 1996).</w:t>
      </w:r>
    </w:p>
    <w:p w:rsidR="001B062E" w:rsidRPr="00053C90" w:rsidRDefault="001B062E" w:rsidP="001B062E">
      <w:pPr>
        <w:pStyle w:val="NormalWeb"/>
        <w:shd w:val="clear" w:color="auto" w:fill="FFFFFF"/>
        <w:spacing w:line="360" w:lineRule="auto"/>
      </w:pPr>
      <w:r w:rsidRPr="00053C90">
        <w:t>To be able to identify control firms, total debt and cash flow</w:t>
      </w:r>
      <w:r w:rsidR="00154B8D">
        <w:t>s from operating activities are</w:t>
      </w:r>
      <w:r w:rsidRPr="00053C90">
        <w:t xml:space="preserve"> retrieved from of all traded shares on the Swedish, Danish, Norwegian and Finnish stock exchanges. Companies are matched on data the year prior to the acquisition, in order to mitigate potential leakage that could affect the data. To match on data a year before is also the case in studies by Loughran &amp; Ritter (1997) and Ghosh (2001).</w:t>
      </w:r>
    </w:p>
    <w:p w:rsidR="001B062E" w:rsidRPr="00053C90" w:rsidRDefault="001B062E" w:rsidP="001B062E">
      <w:pPr>
        <w:spacing w:line="360" w:lineRule="auto"/>
        <w:rPr>
          <w:lang w:val="en-US"/>
        </w:rPr>
      </w:pPr>
      <w:r w:rsidRPr="00053C90">
        <w:rPr>
          <w:lang w:val="en-US"/>
        </w:rPr>
        <w:t>The first filter is that the benchmark firm cannot engage in transactions during the e</w:t>
      </w:r>
      <w:r w:rsidR="00154B8D">
        <w:rPr>
          <w:lang w:val="en-US"/>
        </w:rPr>
        <w:t>vent windows are</w:t>
      </w:r>
      <w:r w:rsidRPr="00053C90">
        <w:rPr>
          <w:lang w:val="en-US"/>
        </w:rPr>
        <w:t xml:space="preserve"> che</w:t>
      </w:r>
      <w:r w:rsidR="00154B8D">
        <w:rPr>
          <w:lang w:val="en-US"/>
        </w:rPr>
        <w:t>cked when the other filters are</w:t>
      </w:r>
      <w:r w:rsidRPr="00053C90">
        <w:rPr>
          <w:lang w:val="en-US"/>
        </w:rPr>
        <w:t xml:space="preserve"> applied, wh</w:t>
      </w:r>
      <w:r w:rsidR="00154B8D">
        <w:rPr>
          <w:lang w:val="en-US"/>
        </w:rPr>
        <w:t>ich means that industry code is</w:t>
      </w:r>
      <w:r w:rsidRPr="00053C90">
        <w:rPr>
          <w:lang w:val="en-US"/>
        </w:rPr>
        <w:t xml:space="preserve"> practically used as the first filter. All the firms that did not share indu</w:t>
      </w:r>
      <w:r w:rsidR="00154B8D">
        <w:rPr>
          <w:lang w:val="en-US"/>
        </w:rPr>
        <w:t>stry code with the acquirer are</w:t>
      </w:r>
      <w:r w:rsidRPr="00053C90">
        <w:rPr>
          <w:lang w:val="en-US"/>
        </w:rPr>
        <w:t xml:space="preserve"> f</w:t>
      </w:r>
      <w:r w:rsidR="00154B8D">
        <w:rPr>
          <w:lang w:val="en-US"/>
        </w:rPr>
        <w:t>iltered out. The next filter is</w:t>
      </w:r>
      <w:r w:rsidRPr="00053C90">
        <w:rPr>
          <w:lang w:val="en-US"/>
        </w:rPr>
        <w:t xml:space="preserve"> size, defined as the market value of assets of the acquir</w:t>
      </w:r>
      <w:r w:rsidR="00154B8D">
        <w:rPr>
          <w:lang w:val="en-US"/>
        </w:rPr>
        <w:t>er and target combined. This is</w:t>
      </w:r>
      <w:r w:rsidRPr="00053C90">
        <w:rPr>
          <w:lang w:val="en-US"/>
        </w:rPr>
        <w:t xml:space="preserve"> calculated by adding book value of debt and market value of equity of the two companies. Book value of debt is the most accurate proxy to use, since market value is impossible to retrieve, due to the fact that all debt are not traded.</w:t>
      </w:r>
    </w:p>
    <w:p w:rsidR="001B062E" w:rsidRPr="00053C90" w:rsidRDefault="001B062E" w:rsidP="001B062E">
      <w:pPr>
        <w:pStyle w:val="NormalWeb"/>
        <w:shd w:val="clear" w:color="auto" w:fill="FFFFFF"/>
        <w:spacing w:line="360" w:lineRule="auto"/>
      </w:pPr>
      <w:r w:rsidRPr="00053C90">
        <w:t xml:space="preserve">To be able to identify the firms with similar size an interval between 25% and 200% of the combined market value </w:t>
      </w:r>
      <w:r w:rsidR="00154B8D">
        <w:t>of the merging firm’s assets is</w:t>
      </w:r>
      <w:r w:rsidRPr="00053C90">
        <w:t xml:space="preserve"> set. This is the interval suggested by Barber &amp; Lyon (1996) and leads to all companies with values above or below this interval being filtered out. Performance, defined as the combined cash flow from operating activities of the target and acquirer divided with com</w:t>
      </w:r>
      <w:r w:rsidR="00154B8D">
        <w:t>bined market value of assets is</w:t>
      </w:r>
      <w:r w:rsidRPr="00053C90">
        <w:t xml:space="preserve"> set as the last filter. Then, the company with the </w:t>
      </w:r>
      <w:r w:rsidR="00154B8D">
        <w:t>closest value of performance is</w:t>
      </w:r>
      <w:r w:rsidRPr="00053C90">
        <w:t xml:space="preserve"> chosen as control firm. </w:t>
      </w:r>
    </w:p>
    <w:p w:rsidR="001B062E" w:rsidRPr="00053C90" w:rsidRDefault="001B062E" w:rsidP="001B062E">
      <w:pPr>
        <w:pStyle w:val="Heading3"/>
        <w:numPr>
          <w:ilvl w:val="2"/>
          <w:numId w:val="2"/>
        </w:numPr>
        <w:rPr>
          <w:lang w:val="en-US"/>
        </w:rPr>
      </w:pPr>
      <w:bookmarkStart w:id="31" w:name="_Toc428399230"/>
      <w:r w:rsidRPr="00053C90">
        <w:rPr>
          <w:lang w:val="en-US"/>
        </w:rPr>
        <w:t>Calculation of Abnormal Return</w:t>
      </w:r>
      <w:bookmarkEnd w:id="31"/>
    </w:p>
    <w:p w:rsidR="001B062E" w:rsidRPr="00053C90" w:rsidRDefault="001B062E" w:rsidP="001B062E">
      <w:pPr>
        <w:spacing w:line="360" w:lineRule="auto"/>
        <w:rPr>
          <w:lang w:val="en-US"/>
        </w:rPr>
      </w:pPr>
      <w:r w:rsidRPr="00053C90">
        <w:rPr>
          <w:lang w:val="en-US"/>
        </w:rPr>
        <w:t xml:space="preserve">After the matching is performed, the BHAR can be calculated. This is done by first calculating the returns of the acquiring company after 12, 24 and 36 months. The equation for this can be found below </w:t>
      </w:r>
      <w:r w:rsidR="009561CD" w:rsidRPr="00053C90">
        <w:rPr>
          <w:lang w:val="en-US"/>
        </w:rPr>
        <w:t>(eq 3.1</w:t>
      </w:r>
      <w:r w:rsidRPr="00053C90">
        <w:rPr>
          <w:lang w:val="en-US"/>
        </w:rPr>
        <w:t>)</w:t>
      </w:r>
      <w:r w:rsidR="009561CD" w:rsidRPr="00053C90">
        <w:rPr>
          <w:lang w:val="en-US"/>
        </w:rPr>
        <w:t>.</w:t>
      </w:r>
    </w:p>
    <w:p w:rsidR="001B062E" w:rsidRPr="00053C90" w:rsidRDefault="00910076" w:rsidP="001B062E">
      <w:pPr>
        <w:spacing w:line="360" w:lineRule="auto"/>
        <w:jc w:val="center"/>
        <w:rPr>
          <w:rFonts w:eastAsia="Times New Roman"/>
          <w:szCs w:val="24"/>
          <w:lang w:val="en-US"/>
        </w:rPr>
      </w:pPr>
      <m:oMathPara>
        <m:oMath>
          <m:r>
            <w:rPr>
              <w:rFonts w:ascii="Cambria Math" w:hAnsi="Cambria Math"/>
              <w:szCs w:val="24"/>
              <w:lang w:val="en-US"/>
            </w:rPr>
            <m:t>HPR=</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2</m:t>
                  </m:r>
                </m:sub>
              </m:sSub>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1</m:t>
                  </m:r>
                </m:sub>
              </m:sSub>
              <m:r>
                <w:rPr>
                  <w:rFonts w:ascii="Cambria Math" w:hAnsi="Cambria Math"/>
                  <w:szCs w:val="24"/>
                  <w:lang w:val="en-US"/>
                </w:rPr>
                <m:t>)</m:t>
              </m:r>
            </m:num>
            <m:den>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1</m:t>
                  </m:r>
                </m:sub>
              </m:sSub>
            </m:den>
          </m:f>
        </m:oMath>
      </m:oMathPara>
    </w:p>
    <w:p w:rsidR="001B062E" w:rsidRPr="00053C90" w:rsidRDefault="009561CD" w:rsidP="009561CD">
      <w:pPr>
        <w:spacing w:line="360" w:lineRule="auto"/>
        <w:jc w:val="center"/>
        <w:rPr>
          <w:i/>
          <w:sz w:val="20"/>
          <w:szCs w:val="20"/>
          <w:lang w:val="en-US"/>
        </w:rPr>
      </w:pPr>
      <w:r w:rsidRPr="00053C90">
        <w:rPr>
          <w:i/>
          <w:sz w:val="20"/>
          <w:szCs w:val="20"/>
          <w:lang w:val="en-US"/>
        </w:rPr>
        <w:t>Equation 3.1</w:t>
      </w:r>
    </w:p>
    <w:p w:rsidR="001B062E" w:rsidRPr="00053C90" w:rsidRDefault="00385BF9" w:rsidP="001B062E">
      <w:pPr>
        <w:spacing w:line="360" w:lineRule="auto"/>
        <w:rPr>
          <w:lang w:val="en-US"/>
        </w:rPr>
      </w:pPr>
      <w:r>
        <w:rPr>
          <w:lang w:val="en-US"/>
        </w:rPr>
        <w:t xml:space="preserve">After </w:t>
      </w:r>
      <w:r w:rsidR="001B062E" w:rsidRPr="00053C90">
        <w:rPr>
          <w:lang w:val="en-US"/>
        </w:rPr>
        <w:t xml:space="preserve">calculating the returns of the acquirer, the returns of the matching company is calculated using the same formula. When both the returns of the acquirer and the matching company are calculated, the matching firm’s returns are subtracted from the acquirer’s returns and the BHAR retrieved. The equation for this is illustrated below </w:t>
      </w:r>
      <w:r w:rsidR="009561CD" w:rsidRPr="00053C90">
        <w:rPr>
          <w:lang w:val="en-US"/>
        </w:rPr>
        <w:t>(eq 3.2).</w:t>
      </w:r>
    </w:p>
    <w:p w:rsidR="001B062E" w:rsidRPr="00053C90" w:rsidRDefault="001B062E" w:rsidP="001B062E">
      <w:pPr>
        <w:spacing w:line="360" w:lineRule="auto"/>
        <w:rPr>
          <w:rFonts w:eastAsia="Times New Roman"/>
          <w:szCs w:val="24"/>
          <w:lang w:val="en-US"/>
        </w:rPr>
      </w:pPr>
    </w:p>
    <w:p w:rsidR="001B062E" w:rsidRPr="00053C90" w:rsidRDefault="00910076" w:rsidP="001B062E">
      <w:pPr>
        <w:spacing w:line="360" w:lineRule="auto"/>
        <w:jc w:val="center"/>
        <w:rPr>
          <w:szCs w:val="24"/>
          <w:lang w:val="en-US"/>
        </w:rPr>
      </w:pPr>
      <m:oMathPara>
        <m:oMath>
          <m:r>
            <w:rPr>
              <w:rFonts w:ascii="Cambria Math" w:hAnsi="Cambria Math"/>
              <w:szCs w:val="24"/>
              <w:lang w:val="en-US"/>
            </w:rPr>
            <m:t>BHAR=</m:t>
          </m:r>
          <m:sSub>
            <m:sSubPr>
              <m:ctrlPr>
                <w:rPr>
                  <w:rFonts w:ascii="Cambria Math" w:hAnsi="Cambria Math"/>
                  <w:i/>
                  <w:szCs w:val="24"/>
                  <w:lang w:val="en-US"/>
                </w:rPr>
              </m:ctrlPr>
            </m:sSubPr>
            <m:e>
              <m:r>
                <w:rPr>
                  <w:rFonts w:ascii="Cambria Math" w:hAnsi="Cambria Math"/>
                  <w:szCs w:val="24"/>
                  <w:lang w:val="en-US"/>
                </w:rPr>
                <m:t>HPR</m:t>
              </m:r>
            </m:e>
            <m:sub>
              <m:r>
                <m:rPr>
                  <m:sty m:val="p"/>
                </m:rPr>
                <w:rPr>
                  <w:rFonts w:ascii="Cambria Math" w:hAnsi="Cambria Math"/>
                  <w:szCs w:val="24"/>
                  <w:lang w:val="en-US"/>
                </w:rPr>
                <m:t>Acquirer</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HPR</m:t>
              </m:r>
            </m:e>
            <m:sub>
              <m:r>
                <w:rPr>
                  <w:rFonts w:ascii="Cambria Math" w:hAnsi="Cambria Math"/>
                  <w:szCs w:val="24"/>
                  <w:lang w:val="en-US"/>
                </w:rPr>
                <m:t>Control Firm</m:t>
              </m:r>
            </m:sub>
          </m:sSub>
        </m:oMath>
      </m:oMathPara>
    </w:p>
    <w:p w:rsidR="009561CD" w:rsidRPr="00053C90" w:rsidRDefault="009561CD" w:rsidP="009561CD">
      <w:pPr>
        <w:spacing w:line="360" w:lineRule="auto"/>
        <w:jc w:val="center"/>
        <w:rPr>
          <w:i/>
          <w:sz w:val="20"/>
          <w:szCs w:val="20"/>
          <w:lang w:val="en-US"/>
        </w:rPr>
      </w:pPr>
      <w:r w:rsidRPr="00053C90">
        <w:rPr>
          <w:i/>
          <w:sz w:val="20"/>
          <w:szCs w:val="20"/>
          <w:lang w:val="en-US"/>
        </w:rPr>
        <w:t>Equation 3.2</w:t>
      </w:r>
    </w:p>
    <w:p w:rsidR="001B062E" w:rsidRPr="00053C90" w:rsidRDefault="001B062E" w:rsidP="001B062E">
      <w:pPr>
        <w:pStyle w:val="Heading3"/>
        <w:numPr>
          <w:ilvl w:val="2"/>
          <w:numId w:val="2"/>
        </w:numPr>
        <w:rPr>
          <w:lang w:val="en-US"/>
        </w:rPr>
      </w:pPr>
      <w:bookmarkStart w:id="32" w:name="_Toc428399231"/>
      <w:r w:rsidRPr="00053C90">
        <w:rPr>
          <w:lang w:val="en-US"/>
        </w:rPr>
        <w:t>Winzoring</w:t>
      </w:r>
      <w:bookmarkEnd w:id="32"/>
    </w:p>
    <w:p w:rsidR="001B062E" w:rsidRPr="00053C90" w:rsidRDefault="001B062E" w:rsidP="001B062E">
      <w:pPr>
        <w:spacing w:line="360" w:lineRule="auto"/>
        <w:rPr>
          <w:szCs w:val="24"/>
          <w:lang w:val="en-US"/>
        </w:rPr>
      </w:pPr>
      <w:r w:rsidRPr="00053C90">
        <w:rPr>
          <w:szCs w:val="24"/>
          <w:lang w:val="en-US"/>
        </w:rPr>
        <w:t>Another potential problem with BHAR is that extreme outliers can distort the result (Santos, 2011). To solve this problem one can use a method called winsorizing (Lien &amp; Balakrishnan, 2005). In this method outliers are transformed into values on the frontiers in a pre-specified confidential interval. This method is also advocated by Santos (2011). This study has used a 95%-confidential interval which is two standard deviations from the means value, since this captures almost all observations and thereby does not distort the results</w:t>
      </w:r>
      <w:r w:rsidR="008F7B82">
        <w:rPr>
          <w:szCs w:val="24"/>
          <w:lang w:val="en-US"/>
        </w:rPr>
        <w:t xml:space="preserve"> to a large extent</w:t>
      </w:r>
      <w:r w:rsidRPr="00053C90">
        <w:rPr>
          <w:szCs w:val="24"/>
          <w:lang w:val="en-US"/>
        </w:rPr>
        <w:t xml:space="preserve">. </w:t>
      </w:r>
    </w:p>
    <w:p w:rsidR="001B062E" w:rsidRPr="00053C90" w:rsidRDefault="001B062E" w:rsidP="001B062E">
      <w:pPr>
        <w:spacing w:line="360" w:lineRule="auto"/>
        <w:rPr>
          <w:rFonts w:eastAsia="Times New Roman"/>
          <w:szCs w:val="24"/>
          <w:lang w:val="en-US"/>
        </w:rPr>
      </w:pPr>
    </w:p>
    <w:p w:rsidR="001B062E" w:rsidRPr="00053C90" w:rsidRDefault="001B062E" w:rsidP="001B062E">
      <w:pPr>
        <w:pStyle w:val="Heading2"/>
        <w:numPr>
          <w:ilvl w:val="1"/>
          <w:numId w:val="2"/>
        </w:numPr>
        <w:rPr>
          <w:lang w:val="en-US"/>
        </w:rPr>
      </w:pPr>
      <w:bookmarkStart w:id="33" w:name="_Toc428399232"/>
      <w:r w:rsidRPr="00053C90">
        <w:rPr>
          <w:lang w:val="en-US"/>
        </w:rPr>
        <w:t>Choice and elaboration of benchmark for operating performance</w:t>
      </w:r>
      <w:bookmarkEnd w:id="33"/>
    </w:p>
    <w:p w:rsidR="001B062E" w:rsidRPr="00053C90" w:rsidRDefault="001B062E" w:rsidP="001B062E">
      <w:pPr>
        <w:pStyle w:val="NormalWeb"/>
        <w:shd w:val="clear" w:color="auto" w:fill="FFFFFF"/>
        <w:spacing w:line="360" w:lineRule="auto"/>
      </w:pPr>
      <w:r w:rsidRPr="00053C90">
        <w:t xml:space="preserve">When evaluating the post-merger performance of companies from an accounting point of view, the most intuitive component to look at would be the net profit, since this states how much the company earns during a fiscal year, but as will be described below, this is not the case. Berk &amp; DeMarzo argue in their book; </w:t>
      </w:r>
      <w:r w:rsidRPr="00053C90">
        <w:rPr>
          <w:i/>
        </w:rPr>
        <w:t>Corporate Finance</w:t>
      </w:r>
      <w:r w:rsidRPr="00053C90">
        <w:t xml:space="preserve"> (2007), that although earnings are an accounting measure of the firm´s performance, they do not represent real profits, a firm cannot use its earnings to pay its daily costs such as goods, employees, fund new investments or pay dividends, since some of the items leading to earnings do not represent actual cash in- and outflows. Depreciation is an example of such an item.</w:t>
      </w:r>
    </w:p>
    <w:p w:rsidR="001B062E" w:rsidRPr="00053C90" w:rsidRDefault="001B062E" w:rsidP="001B062E">
      <w:pPr>
        <w:pStyle w:val="NormalWeb"/>
        <w:shd w:val="clear" w:color="auto" w:fill="FFFFFF"/>
        <w:spacing w:line="360" w:lineRule="auto"/>
      </w:pPr>
      <w:r w:rsidRPr="00053C90">
        <w:t xml:space="preserve">Therefor it is more appropriate to look at a company’s cash flow, which is disclosed </w:t>
      </w:r>
      <w:r w:rsidR="0062387A" w:rsidRPr="00053C90">
        <w:t>in companies’</w:t>
      </w:r>
      <w:r w:rsidRPr="00053C90">
        <w:t xml:space="preserve"> statement of cash flows. This statement consists of three parts; cash flow from operating activities, cash flow from investing activities and cash flow from financing activities. In this study, cash flow from operating activities </w:t>
      </w:r>
      <w:r w:rsidR="0062387A" w:rsidRPr="00053C90">
        <w:t>is</w:t>
      </w:r>
      <w:r w:rsidRPr="00053C90">
        <w:t xml:space="preserve"> considered, since this can be used as a measure of a firms operating success (Fraser &amp; Ormiston, 2014). Along with the benefit of measuring actual cash flows, usage of operating cash flows also leads to a more accurate measurement since the firm’s capital structure is not taken into consideration. This means that this measurement excludes cash flow to investors, which is not part of the operating activities (Koller et al, 2010).</w:t>
      </w:r>
    </w:p>
    <w:p w:rsidR="001B062E" w:rsidRPr="00053C90" w:rsidRDefault="001B062E" w:rsidP="001B062E">
      <w:pPr>
        <w:pStyle w:val="NormalWeb"/>
        <w:shd w:val="clear" w:color="auto" w:fill="FFFFFF"/>
        <w:spacing w:line="360" w:lineRule="auto"/>
      </w:pPr>
      <w:r w:rsidRPr="00053C90">
        <w:t>Most previous studies, e.g. Healy et al (1992), Ghosh (2001) and Ramaswamy &amp; Waegelein’s (2003) all aim at examining the operating performance and use an adjusted form of return on assets, ROA, as their benchmark for this. ROA is a ratio and the numerator is expressed as sales minus costs of goods sold, selling and general costs plus depreciation and amortization by Healy et al (1992), Ghosh (2001) and Ramaswamy &amp; Waegelein (2003). Martynova et al (2006) use that measure, but also add different measures, including one, where differences in working capital are included since</w:t>
      </w:r>
      <w:r w:rsidR="008F7B82">
        <w:t xml:space="preserve"> this would generate a more accurate</w:t>
      </w:r>
      <w:r w:rsidRPr="00053C90">
        <w:t xml:space="preserve"> measure of operating performance. As one of the aims with this study is to provide an answer to the question how the operating performance develops in the long term for companies, </w:t>
      </w:r>
      <w:r w:rsidR="00154B8D">
        <w:t xml:space="preserve">the most accurate </w:t>
      </w:r>
      <w:r w:rsidRPr="00154B8D">
        <w:t>form of operating performance possible are used</w:t>
      </w:r>
      <w:r w:rsidRPr="00053C90">
        <w:t>. This measure is cash flow from op</w:t>
      </w:r>
      <w:r w:rsidR="00937744" w:rsidRPr="00053C90">
        <w:t>erating activities</w:t>
      </w:r>
      <w:r w:rsidRPr="00053C90">
        <w:t xml:space="preserve">. A usage of this measure only takes cash in- and outflows from the underlying operations into account and both changes in working capital and taxes are considered, which makes this a more accurate </w:t>
      </w:r>
      <w:r w:rsidR="008F7B82">
        <w:t xml:space="preserve">measure than previous studies. </w:t>
      </w:r>
      <w:r w:rsidRPr="00053C90">
        <w:t>As a denominator, market value of assets are used. This is used by several previous studies, including Healy et al (1992), Ghosh (2001) and Ramaswamy &amp; Waegelein (2003). Howeve</w:t>
      </w:r>
      <w:r w:rsidR="008F7B82">
        <w:t>r, Healy et al (1992) identify</w:t>
      </w:r>
      <w:r w:rsidRPr="00053C90">
        <w:t xml:space="preserve"> a potential limitation with the usage of market value of assets, namely that unexpected cash flow realizations can alter the market values of assets since market values are based on stock prices. But using market values are more accurate since this represents what the market would be prepared to pay for the assets and thereby the opportunity cost of the assets (Healy et al, 1992). </w:t>
      </w:r>
    </w:p>
    <w:p w:rsidR="001B062E" w:rsidRPr="00053C90" w:rsidRDefault="00937744" w:rsidP="001B062E">
      <w:pPr>
        <w:pStyle w:val="NormalWeb"/>
        <w:shd w:val="clear" w:color="auto" w:fill="FFFFFF"/>
        <w:spacing w:line="360" w:lineRule="auto"/>
      </w:pPr>
      <w:r w:rsidRPr="00053C90">
        <w:t>Section 3.5</w:t>
      </w:r>
      <w:r w:rsidR="001B062E" w:rsidRPr="00053C90">
        <w:t xml:space="preserve"> describes differences in methodology when using a BHAR model. There are mainly two school</w:t>
      </w:r>
      <w:r w:rsidR="0062387A">
        <w:t>s of thought</w:t>
      </w:r>
      <w:r w:rsidR="001B062E" w:rsidRPr="00053C90">
        <w:t xml:space="preserve"> regarding how to capture the post-merger performance, either to adjust the company of interest with an industry or to adjust it with control firms. This difference in methodologies is also present when examining the effects on operating performance. Healy et al (1992) and Ramaswamy &amp; Waegelein (2003) use an industry adjusted measure whereas Ghosh (2001) uses control firms to </w:t>
      </w:r>
      <w:r w:rsidR="008F7B82">
        <w:t>adjust the data. This study</w:t>
      </w:r>
      <w:r w:rsidR="001B062E" w:rsidRPr="00053C90">
        <w:t xml:space="preserve"> use</w:t>
      </w:r>
      <w:r w:rsidR="008F7B82">
        <w:t>s</w:t>
      </w:r>
      <w:r w:rsidR="001B062E" w:rsidRPr="00053C90">
        <w:t xml:space="preserve"> the same approach as the latter, since there is a high probability of bias when using industry adjusted data. The bias is due to the tendency for merging firm to have a superior performance compared to industry in the period before the acquisition (Morck et al 1990). This argument is also consistent with Barber &amp; Lyon’s (1996) notion, that the research design is miss-specified when examining operating performance of sample firms if they perform exceptionally well or poor. </w:t>
      </w:r>
    </w:p>
    <w:p w:rsidR="001B062E" w:rsidRPr="00053C90" w:rsidRDefault="001B062E" w:rsidP="001B062E">
      <w:pPr>
        <w:pStyle w:val="NormalWeb"/>
        <w:shd w:val="clear" w:color="auto" w:fill="FFFFFF"/>
        <w:spacing w:line="360" w:lineRule="auto"/>
      </w:pPr>
      <w:r w:rsidRPr="00053C90">
        <w:t xml:space="preserve">Ghosh (2001) uses a set of criteria adopted by Loughran and Ritter (1997) in order to match with control firms. These criteria are industry, size and performance which are the same criteria used for matching firms when calculating BHAR. The reason for this is to be able to identify control firms with similar characteristics as the sample firms. </w:t>
      </w:r>
    </w:p>
    <w:p w:rsidR="001B062E" w:rsidRPr="00053C90" w:rsidRDefault="001B062E" w:rsidP="001B062E">
      <w:pPr>
        <w:pStyle w:val="NormalWeb"/>
        <w:shd w:val="clear" w:color="auto" w:fill="FFFFFF"/>
        <w:spacing w:line="360" w:lineRule="auto"/>
      </w:pPr>
      <w:r w:rsidRPr="00053C90">
        <w:t xml:space="preserve">When the matching process is done, data from the acquirer, target and matching firm are retrieved for period ranging from three years prior to the acquisition to three years after. The data consists of components necessary to construct an adjusted ROA, described in </w:t>
      </w:r>
      <w:r w:rsidR="00937744" w:rsidRPr="00053C90">
        <w:t xml:space="preserve">earlier in this </w:t>
      </w:r>
      <w:r w:rsidRPr="00053C90">
        <w:t>section. In order to examine the potential over- or under performance of operating performance the approach un</w:t>
      </w:r>
      <w:r w:rsidR="008F7B82">
        <w:t>dertaken by Ghosh (2001) is</w:t>
      </w:r>
      <w:r w:rsidRPr="00053C90">
        <w:t xml:space="preserve"> adopted in this study. The first step of this approach is to adjust the combined ROA measure the acquirer and target by subtracting the ROA of the control firm, to mitigate the macroeconomic effects. Then the median ROA of the three years before the acquisition is subtracted from the ROA 12, 24 and 36 months after the acquisition. These</w:t>
      </w:r>
      <w:r w:rsidR="00E96739" w:rsidRPr="00053C90">
        <w:t xml:space="preserve"> steps are outlined in chart 3.1</w:t>
      </w:r>
      <w:r w:rsidRPr="00053C90">
        <w:t>.</w:t>
      </w:r>
    </w:p>
    <w:p w:rsidR="001B062E" w:rsidRPr="00053C90" w:rsidRDefault="001B062E" w:rsidP="001B062E">
      <w:pPr>
        <w:spacing w:line="360" w:lineRule="auto"/>
        <w:rPr>
          <w:lang w:val="en-US"/>
        </w:rPr>
      </w:pPr>
    </w:p>
    <w:p w:rsidR="009561CD" w:rsidRPr="00053C90" w:rsidRDefault="00D4454A" w:rsidP="00D4454A">
      <w:pPr>
        <w:spacing w:line="360" w:lineRule="auto"/>
        <w:jc w:val="center"/>
        <w:rPr>
          <w:i/>
          <w:sz w:val="20"/>
          <w:szCs w:val="20"/>
          <w:lang w:val="en-US"/>
        </w:rPr>
      </w:pPr>
      <w:r w:rsidRPr="00053C90">
        <w:rPr>
          <w:noProof/>
          <w:lang w:eastAsia="sv-SE"/>
        </w:rPr>
        <w:drawing>
          <wp:inline distT="0" distB="0" distL="0" distR="0" wp14:anchorId="3168F130">
            <wp:extent cx="6042660" cy="266326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7336" cy="2665322"/>
                    </a:xfrm>
                    <a:prstGeom prst="rect">
                      <a:avLst/>
                    </a:prstGeom>
                    <a:noFill/>
                  </pic:spPr>
                </pic:pic>
              </a:graphicData>
            </a:graphic>
          </wp:inline>
        </w:drawing>
      </w:r>
      <w:r w:rsidR="009561CD" w:rsidRPr="00053C90">
        <w:rPr>
          <w:i/>
          <w:sz w:val="20"/>
          <w:szCs w:val="20"/>
          <w:lang w:val="en-US"/>
        </w:rPr>
        <w:t>Chart 3.1</w:t>
      </w:r>
      <w:r w:rsidR="00E96739" w:rsidRPr="00053C90">
        <w:rPr>
          <w:i/>
          <w:sz w:val="20"/>
          <w:szCs w:val="20"/>
          <w:lang w:val="en-US"/>
        </w:rPr>
        <w:t xml:space="preserve"> Calculation of adj. ROA</w:t>
      </w:r>
    </w:p>
    <w:p w:rsidR="001B062E" w:rsidRPr="00053C90" w:rsidRDefault="001B062E" w:rsidP="001B062E">
      <w:pPr>
        <w:pStyle w:val="Heading2"/>
        <w:numPr>
          <w:ilvl w:val="1"/>
          <w:numId w:val="2"/>
        </w:numPr>
        <w:rPr>
          <w:lang w:val="en-US"/>
        </w:rPr>
      </w:pPr>
      <w:bookmarkStart w:id="34" w:name="_Toc428399233"/>
      <w:r w:rsidRPr="00053C90">
        <w:rPr>
          <w:lang w:val="en-US"/>
        </w:rPr>
        <w:t>Correlation</w:t>
      </w:r>
      <w:bookmarkEnd w:id="34"/>
      <w:r w:rsidRPr="00053C90">
        <w:rPr>
          <w:lang w:val="en-US"/>
        </w:rPr>
        <w:t xml:space="preserve"> </w:t>
      </w:r>
    </w:p>
    <w:p w:rsidR="001B062E" w:rsidRPr="00053C90" w:rsidRDefault="001B062E" w:rsidP="001B062E">
      <w:pPr>
        <w:rPr>
          <w:lang w:val="en-US"/>
        </w:rPr>
      </w:pPr>
    </w:p>
    <w:p w:rsidR="001B062E" w:rsidRPr="00053C90" w:rsidRDefault="001B062E" w:rsidP="001B062E">
      <w:pPr>
        <w:spacing w:line="360" w:lineRule="auto"/>
        <w:rPr>
          <w:lang w:val="en-US"/>
        </w:rPr>
      </w:pPr>
      <w:r w:rsidRPr="00053C90">
        <w:rPr>
          <w:lang w:val="en-US"/>
        </w:rPr>
        <w:t xml:space="preserve">One of the purposes with this study is to examine the relationship between the stock- and operating performance. This is done by using a measurement called correlation coefficient. What the correlation coefficient aims to measure is how two different variables are affecting each other, i.e. if there is a linear relationship between them (Körner &amp; Wahlgren, 2006). The correlation coefficient can take on values between -1 and 1. A value of 1, means that there is a strong positive relationship and that the two variables, i.e. if one variable increases by a unit, the other variable does it too. If the value takes on -1 there is a strong negative relationship which means that an increase in one variable leads to the opposite reaction in the other variable. A coefficient of zero, indicates that there is no correlation between the variables. </w:t>
      </w:r>
    </w:p>
    <w:p w:rsidR="001B062E" w:rsidRPr="00053C90" w:rsidRDefault="001B062E" w:rsidP="001B062E">
      <w:pPr>
        <w:spacing w:line="360" w:lineRule="auto"/>
        <w:rPr>
          <w:lang w:val="en-US"/>
        </w:rPr>
      </w:pPr>
      <w:r w:rsidRPr="00053C90">
        <w:rPr>
          <w:lang w:val="en-US"/>
        </w:rPr>
        <w:t>To be able to check the correlation between the variables, Eviews is used. This program arranges the variables in a matrix and also performs a t-test to check if the correlation between different variables is significant</w:t>
      </w:r>
      <w:r w:rsidR="008F7B82">
        <w:rPr>
          <w:lang w:val="en-US"/>
        </w:rPr>
        <w:t>ly</w:t>
      </w:r>
      <w:r w:rsidRPr="00053C90">
        <w:rPr>
          <w:lang w:val="en-US"/>
        </w:rPr>
        <w:t xml:space="preserve"> different from zero. If there is a positive correlation between the stock performance and the operating performance, the variable</w:t>
      </w:r>
      <w:r w:rsidR="008F7B82">
        <w:rPr>
          <w:lang w:val="en-US"/>
        </w:rPr>
        <w:t>s develop</w:t>
      </w:r>
      <w:r w:rsidRPr="00053C90">
        <w:rPr>
          <w:lang w:val="en-US"/>
        </w:rPr>
        <w:t xml:space="preserve"> in a similar way and</w:t>
      </w:r>
      <w:r w:rsidR="008F7B82">
        <w:rPr>
          <w:lang w:val="en-US"/>
        </w:rPr>
        <w:t xml:space="preserve"> an evaluation of a transaction’s</w:t>
      </w:r>
      <w:r w:rsidRPr="00053C90">
        <w:rPr>
          <w:lang w:val="en-US"/>
        </w:rPr>
        <w:t xml:space="preserve"> performance can be done with either of the measures. If there is not any correlation between them, one can argue that only one measure is not enough to determine the success of M&amp;A:s, since transactions can be deemed as fairly successful if the operating performance is enhanced, even if the stock performance is not improving, and the other way around. </w:t>
      </w:r>
    </w:p>
    <w:p w:rsidR="001B062E" w:rsidRPr="00053C90" w:rsidRDefault="001B062E" w:rsidP="001B062E">
      <w:pPr>
        <w:pStyle w:val="Heading2"/>
        <w:numPr>
          <w:ilvl w:val="1"/>
          <w:numId w:val="2"/>
        </w:numPr>
        <w:rPr>
          <w:lang w:val="en-US"/>
        </w:rPr>
      </w:pPr>
      <w:bookmarkStart w:id="35" w:name="_Toc428399234"/>
      <w:r w:rsidRPr="00053C90">
        <w:rPr>
          <w:lang w:val="en-US"/>
        </w:rPr>
        <w:t>Sample Exclusions</w:t>
      </w:r>
      <w:bookmarkEnd w:id="35"/>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 xml:space="preserve">From Thomson Reuters Eikon the total amount of Mergers and Acquisitions transactions that have been made in the world is retrieved. </w:t>
      </w:r>
    </w:p>
    <w:p w:rsidR="001B062E" w:rsidRPr="00053C90" w:rsidRDefault="001B062E" w:rsidP="001B062E">
      <w:pPr>
        <w:pStyle w:val="ListParagraph"/>
        <w:spacing w:line="360" w:lineRule="auto"/>
        <w:ind w:left="360"/>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 xml:space="preserve">Limiting to the dates: 2004-01-01 to 2012-01-01. </w:t>
      </w:r>
    </w:p>
    <w:p w:rsidR="001B062E" w:rsidRPr="00053C90" w:rsidRDefault="001B062E" w:rsidP="001B062E">
      <w:pPr>
        <w:pStyle w:val="ListParagraph"/>
        <w:spacing w:line="360" w:lineRule="auto"/>
        <w:ind w:left="360"/>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 xml:space="preserve">Thereafter a narrowing to transactions that had deal values larger or equal to $50m, this was done to ensure that the underlying data of the companies was easily </w:t>
      </w:r>
      <w:r w:rsidR="00385BF9" w:rsidRPr="00053C90">
        <w:rPr>
          <w:szCs w:val="24"/>
          <w:lang w:val="en-US"/>
        </w:rPr>
        <w:t>accessible</w:t>
      </w:r>
      <w:r w:rsidRPr="00053C90">
        <w:rPr>
          <w:szCs w:val="24"/>
          <w:lang w:val="en-US"/>
        </w:rPr>
        <w:t>.</w:t>
      </w:r>
    </w:p>
    <w:p w:rsidR="001B062E" w:rsidRPr="00053C90" w:rsidRDefault="001B062E" w:rsidP="001B062E">
      <w:pPr>
        <w:pStyle w:val="ListParagraph"/>
        <w:spacing w:line="360" w:lineRule="auto"/>
        <w:ind w:left="360"/>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A limitation to transactions that had been fully completed was applied since partly completed or uncompleted transactions would have no value since the aim of the study is to look at the post-merger performance.</w:t>
      </w:r>
    </w:p>
    <w:p w:rsidR="001B062E" w:rsidRPr="00053C90" w:rsidRDefault="001B062E" w:rsidP="001B062E">
      <w:pPr>
        <w:pStyle w:val="ListParagraph"/>
        <w:spacing w:line="360" w:lineRule="auto"/>
        <w:ind w:left="360"/>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Thereafter a filter was applied to sorter out the transactions that had been made in the Sweden, Denmark, Norway and Finland.</w:t>
      </w:r>
    </w:p>
    <w:p w:rsidR="001B062E" w:rsidRPr="00053C90" w:rsidRDefault="001B062E" w:rsidP="001B062E">
      <w:pPr>
        <w:pStyle w:val="ListParagraph"/>
        <w:spacing w:line="360" w:lineRule="auto"/>
        <w:ind w:left="0"/>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 xml:space="preserve">Banks, Insurance and other financial </w:t>
      </w:r>
      <w:r w:rsidR="00385BF9" w:rsidRPr="00053C90">
        <w:rPr>
          <w:szCs w:val="24"/>
          <w:lang w:val="en-US"/>
        </w:rPr>
        <w:t>institutions</w:t>
      </w:r>
      <w:r w:rsidRPr="00053C90">
        <w:rPr>
          <w:szCs w:val="24"/>
          <w:lang w:val="en-US"/>
        </w:rPr>
        <w:t xml:space="preserve"> are excluded, see section(3.3. Step 2).</w:t>
      </w:r>
    </w:p>
    <w:p w:rsidR="001B062E" w:rsidRPr="00053C90" w:rsidRDefault="001B062E" w:rsidP="001B062E">
      <w:pPr>
        <w:pStyle w:val="ListParagraph"/>
        <w:rPr>
          <w:szCs w:val="24"/>
          <w:lang w:val="en-US"/>
        </w:rPr>
      </w:pPr>
    </w:p>
    <w:p w:rsidR="001B062E" w:rsidRPr="00053C90" w:rsidRDefault="001B062E" w:rsidP="001B062E">
      <w:pPr>
        <w:pStyle w:val="ListParagraph"/>
        <w:numPr>
          <w:ilvl w:val="0"/>
          <w:numId w:val="25"/>
        </w:numPr>
        <w:spacing w:line="360" w:lineRule="auto"/>
        <w:rPr>
          <w:szCs w:val="24"/>
          <w:lang w:val="en-US"/>
        </w:rPr>
      </w:pPr>
      <w:r w:rsidRPr="00053C90">
        <w:rPr>
          <w:szCs w:val="24"/>
          <w:lang w:val="en-US"/>
        </w:rPr>
        <w:t>Limitation to public transactions.</w:t>
      </w:r>
    </w:p>
    <w:p w:rsidR="001B062E" w:rsidRPr="00053C90" w:rsidRDefault="001B062E" w:rsidP="001B062E">
      <w:pPr>
        <w:pStyle w:val="ListParagraph"/>
        <w:rPr>
          <w:szCs w:val="24"/>
          <w:lang w:val="en-US"/>
        </w:rPr>
      </w:pPr>
    </w:p>
    <w:p w:rsidR="001B062E" w:rsidRDefault="001B062E" w:rsidP="001B062E">
      <w:pPr>
        <w:pStyle w:val="ListParagraph"/>
        <w:numPr>
          <w:ilvl w:val="0"/>
          <w:numId w:val="25"/>
        </w:numPr>
        <w:spacing w:line="360" w:lineRule="auto"/>
        <w:rPr>
          <w:szCs w:val="24"/>
          <w:lang w:val="en-US"/>
        </w:rPr>
      </w:pPr>
      <w:r w:rsidRPr="00053C90">
        <w:rPr>
          <w:szCs w:val="24"/>
          <w:lang w:val="en-US"/>
        </w:rPr>
        <w:t>If either the data for stock or operating performance is lacking the transaction will be excluded. The remaining sample after all limitations are 64.</w:t>
      </w:r>
    </w:p>
    <w:p w:rsidR="008F7B82" w:rsidRPr="008F7B82" w:rsidRDefault="008F7B82" w:rsidP="008F7B82">
      <w:pPr>
        <w:pStyle w:val="ListParagraph"/>
        <w:rPr>
          <w:szCs w:val="24"/>
          <w:lang w:val="en-US"/>
        </w:rPr>
      </w:pPr>
    </w:p>
    <w:p w:rsidR="008F7B82" w:rsidRDefault="008F7B82" w:rsidP="008F7B82">
      <w:pPr>
        <w:spacing w:line="360" w:lineRule="auto"/>
        <w:rPr>
          <w:szCs w:val="24"/>
          <w:lang w:val="en-US"/>
        </w:rPr>
      </w:pPr>
    </w:p>
    <w:p w:rsidR="00E13749" w:rsidRDefault="00E13749" w:rsidP="008F7B82">
      <w:pPr>
        <w:spacing w:line="360" w:lineRule="auto"/>
        <w:rPr>
          <w:szCs w:val="24"/>
          <w:lang w:val="en-US"/>
        </w:rPr>
      </w:pPr>
    </w:p>
    <w:p w:rsidR="00E13749" w:rsidRDefault="00E13749" w:rsidP="008F7B82">
      <w:pPr>
        <w:spacing w:line="360" w:lineRule="auto"/>
        <w:rPr>
          <w:szCs w:val="24"/>
          <w:lang w:val="en-US"/>
        </w:rPr>
      </w:pPr>
    </w:p>
    <w:p w:rsidR="00404CD4" w:rsidRPr="00E13749" w:rsidRDefault="00404CD4" w:rsidP="00E13749">
      <w:pPr>
        <w:spacing w:line="360" w:lineRule="auto"/>
        <w:jc w:val="center"/>
        <w:rPr>
          <w:i/>
          <w:sz w:val="20"/>
          <w:szCs w:val="20"/>
          <w:lang w:val="en-US"/>
        </w:rPr>
      </w:pPr>
      <w:r w:rsidRPr="00053C90">
        <w:rPr>
          <w:i/>
          <w:sz w:val="20"/>
          <w:szCs w:val="20"/>
          <w:lang w:val="en-US"/>
        </w:rPr>
        <w:t>Table 3.1 Sample  exclusions</w:t>
      </w:r>
    </w:p>
    <w:tbl>
      <w:tblPr>
        <w:tblW w:w="8200" w:type="dxa"/>
        <w:jc w:val="center"/>
        <w:tblLook w:val="04A0" w:firstRow="1" w:lastRow="0" w:firstColumn="1" w:lastColumn="0" w:noHBand="0" w:noVBand="1"/>
      </w:tblPr>
      <w:tblGrid>
        <w:gridCol w:w="4988"/>
        <w:gridCol w:w="3212"/>
      </w:tblGrid>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5B9BD5" w:fill="5B9BD5"/>
            <w:noWrap/>
            <w:vAlign w:val="bottom"/>
            <w:hideMark/>
          </w:tcPr>
          <w:p w:rsidR="001B062E" w:rsidRPr="00053C90" w:rsidRDefault="001B062E" w:rsidP="0002738A">
            <w:pPr>
              <w:spacing w:after="0" w:line="360" w:lineRule="auto"/>
              <w:rPr>
                <w:rFonts w:eastAsia="Times New Roman"/>
                <w:b/>
                <w:bCs/>
                <w:color w:val="FFFFFF"/>
                <w:lang w:val="en-US"/>
              </w:rPr>
            </w:pPr>
            <w:r w:rsidRPr="00053C90">
              <w:rPr>
                <w:rFonts w:eastAsia="Times New Roman"/>
                <w:b/>
                <w:bCs/>
                <w:color w:val="FFFFFF"/>
                <w:lang w:val="en-US"/>
              </w:rPr>
              <w:t>Steps</w:t>
            </w:r>
          </w:p>
        </w:tc>
        <w:tc>
          <w:tcPr>
            <w:tcW w:w="3212" w:type="dxa"/>
            <w:tcBorders>
              <w:top w:val="single" w:sz="4" w:space="0" w:color="9BC2E6"/>
              <w:left w:val="nil"/>
              <w:bottom w:val="single" w:sz="4" w:space="0" w:color="9BC2E6"/>
              <w:right w:val="single" w:sz="4" w:space="0" w:color="9BC2E6"/>
            </w:tcBorders>
            <w:shd w:val="clear" w:color="5B9BD5" w:fill="5B9BD5"/>
            <w:noWrap/>
            <w:vAlign w:val="bottom"/>
            <w:hideMark/>
          </w:tcPr>
          <w:p w:rsidR="001B062E" w:rsidRPr="00053C90" w:rsidRDefault="001B062E" w:rsidP="0002738A">
            <w:pPr>
              <w:spacing w:after="0" w:line="360" w:lineRule="auto"/>
              <w:jc w:val="center"/>
              <w:rPr>
                <w:rFonts w:eastAsia="Times New Roman"/>
                <w:b/>
                <w:bCs/>
                <w:color w:val="FFFFFF"/>
                <w:lang w:val="en-US"/>
              </w:rPr>
            </w:pPr>
            <w:r w:rsidRPr="00053C90">
              <w:rPr>
                <w:rFonts w:eastAsia="Times New Roman"/>
                <w:b/>
                <w:bCs/>
                <w:color w:val="FFFFFF"/>
                <w:lang w:val="en-US"/>
              </w:rPr>
              <w:t>No. of Transactions Remaining</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1. Global M&amp;A Transactions</w:t>
            </w:r>
          </w:p>
        </w:tc>
        <w:tc>
          <w:tcPr>
            <w:tcW w:w="3212" w:type="dxa"/>
            <w:tcBorders>
              <w:top w:val="single" w:sz="4" w:space="0" w:color="9BC2E6"/>
              <w:left w:val="nil"/>
              <w:bottom w:val="single" w:sz="4" w:space="0" w:color="9BC2E6"/>
              <w:right w:val="single" w:sz="4" w:space="0" w:color="9BC2E6"/>
            </w:tcBorders>
            <w:shd w:val="clear" w:color="DDEBF7" w:fill="DDEBF7"/>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947,387</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2. Dates: 2003-01-01 to 2012-01-01</w:t>
            </w:r>
          </w:p>
        </w:tc>
        <w:tc>
          <w:tcPr>
            <w:tcW w:w="3212" w:type="dxa"/>
            <w:tcBorders>
              <w:top w:val="single" w:sz="4" w:space="0" w:color="9BC2E6"/>
              <w:left w:val="nil"/>
              <w:bottom w:val="single" w:sz="4" w:space="0" w:color="9BC2E6"/>
              <w:right w:val="single" w:sz="4" w:space="0" w:color="9BC2E6"/>
            </w:tcBorders>
            <w:shd w:val="clear" w:color="auto" w:fill="auto"/>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394,432</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3. Deal Value &gt;$50m</w:t>
            </w:r>
          </w:p>
        </w:tc>
        <w:tc>
          <w:tcPr>
            <w:tcW w:w="3212" w:type="dxa"/>
            <w:tcBorders>
              <w:top w:val="single" w:sz="4" w:space="0" w:color="9BC2E6"/>
              <w:left w:val="nil"/>
              <w:bottom w:val="single" w:sz="4" w:space="0" w:color="9BC2E6"/>
              <w:right w:val="single" w:sz="4" w:space="0" w:color="9BC2E6"/>
            </w:tcBorders>
            <w:shd w:val="clear" w:color="DDEBF7" w:fill="DDEBF7"/>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45,357</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4. Status: Completed</w:t>
            </w:r>
          </w:p>
        </w:tc>
        <w:tc>
          <w:tcPr>
            <w:tcW w:w="3212" w:type="dxa"/>
            <w:tcBorders>
              <w:top w:val="single" w:sz="4" w:space="0" w:color="9BC2E6"/>
              <w:left w:val="nil"/>
              <w:bottom w:val="single" w:sz="4" w:space="0" w:color="9BC2E6"/>
              <w:right w:val="single" w:sz="4" w:space="0" w:color="9BC2E6"/>
            </w:tcBorders>
            <w:shd w:val="clear" w:color="auto" w:fill="auto"/>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34,631</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5. Location: Sweden, Denmark, Norway, Finland</w:t>
            </w:r>
          </w:p>
        </w:tc>
        <w:tc>
          <w:tcPr>
            <w:tcW w:w="3212" w:type="dxa"/>
            <w:tcBorders>
              <w:top w:val="single" w:sz="4" w:space="0" w:color="9BC2E6"/>
              <w:left w:val="nil"/>
              <w:bottom w:val="single" w:sz="4" w:space="0" w:color="9BC2E6"/>
              <w:right w:val="single" w:sz="4" w:space="0" w:color="9BC2E6"/>
            </w:tcBorders>
            <w:shd w:val="clear" w:color="DDEBF7" w:fill="DDEBF7"/>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1,164</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6. Industry: Excluding Financial companies</w:t>
            </w:r>
          </w:p>
        </w:tc>
        <w:tc>
          <w:tcPr>
            <w:tcW w:w="3212" w:type="dxa"/>
            <w:tcBorders>
              <w:top w:val="single" w:sz="4" w:space="0" w:color="9BC2E6"/>
              <w:left w:val="nil"/>
              <w:bottom w:val="single" w:sz="4" w:space="0" w:color="9BC2E6"/>
              <w:right w:val="single" w:sz="4" w:space="0" w:color="9BC2E6"/>
            </w:tcBorders>
            <w:shd w:val="clear" w:color="auto" w:fill="auto"/>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942</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7. Target: Public</w:t>
            </w:r>
          </w:p>
        </w:tc>
        <w:tc>
          <w:tcPr>
            <w:tcW w:w="3212" w:type="dxa"/>
            <w:tcBorders>
              <w:top w:val="single" w:sz="4" w:space="0" w:color="9BC2E6"/>
              <w:left w:val="nil"/>
              <w:bottom w:val="single" w:sz="4" w:space="0" w:color="9BC2E6"/>
              <w:right w:val="single" w:sz="4" w:space="0" w:color="9BC2E6"/>
            </w:tcBorders>
            <w:shd w:val="clear" w:color="DDEBF7" w:fill="DDEBF7"/>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208</w:t>
            </w:r>
          </w:p>
        </w:tc>
      </w:tr>
      <w:tr w:rsidR="001B062E" w:rsidRPr="00053C90" w:rsidTr="0002738A">
        <w:trPr>
          <w:trHeight w:val="308"/>
          <w:jc w:val="center"/>
        </w:trPr>
        <w:tc>
          <w:tcPr>
            <w:tcW w:w="4988"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8. Acquirer: Public</w:t>
            </w:r>
          </w:p>
        </w:tc>
        <w:tc>
          <w:tcPr>
            <w:tcW w:w="3212" w:type="dxa"/>
            <w:tcBorders>
              <w:top w:val="single" w:sz="4" w:space="0" w:color="9BC2E6"/>
              <w:left w:val="nil"/>
              <w:bottom w:val="single" w:sz="4" w:space="0" w:color="9BC2E6"/>
              <w:right w:val="single" w:sz="4" w:space="0" w:color="9BC2E6"/>
            </w:tcBorders>
            <w:shd w:val="clear" w:color="auto" w:fill="auto"/>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142</w:t>
            </w:r>
          </w:p>
        </w:tc>
      </w:tr>
      <w:tr w:rsidR="001B062E" w:rsidRPr="00053C90" w:rsidTr="0002738A">
        <w:trPr>
          <w:trHeight w:val="216"/>
          <w:jc w:val="center"/>
        </w:trPr>
        <w:tc>
          <w:tcPr>
            <w:tcW w:w="4988"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360" w:lineRule="auto"/>
              <w:rPr>
                <w:rFonts w:eastAsia="Times New Roman"/>
                <w:color w:val="000000"/>
                <w:lang w:val="en-US"/>
              </w:rPr>
            </w:pPr>
            <w:r w:rsidRPr="00053C90">
              <w:rPr>
                <w:rFonts w:eastAsia="Times New Roman"/>
                <w:color w:val="000000"/>
                <w:lang w:val="en-US"/>
              </w:rPr>
              <w:t>9. Eliminating companies with lack of data</w:t>
            </w:r>
          </w:p>
        </w:tc>
        <w:tc>
          <w:tcPr>
            <w:tcW w:w="3212" w:type="dxa"/>
            <w:tcBorders>
              <w:top w:val="single" w:sz="4" w:space="0" w:color="9BC2E6"/>
              <w:left w:val="nil"/>
              <w:bottom w:val="single" w:sz="4" w:space="0" w:color="9BC2E6"/>
              <w:right w:val="single" w:sz="4" w:space="0" w:color="9BC2E6"/>
            </w:tcBorders>
            <w:shd w:val="clear" w:color="DDEBF7" w:fill="DDEBF7"/>
            <w:noWrap/>
            <w:vAlign w:val="bottom"/>
            <w:hideMark/>
          </w:tcPr>
          <w:p w:rsidR="001B062E" w:rsidRPr="00053C90" w:rsidRDefault="001B062E" w:rsidP="0002738A">
            <w:pPr>
              <w:spacing w:after="0" w:line="360" w:lineRule="auto"/>
              <w:jc w:val="center"/>
              <w:rPr>
                <w:rFonts w:eastAsia="Times New Roman"/>
                <w:color w:val="000000"/>
                <w:lang w:val="en-US"/>
              </w:rPr>
            </w:pPr>
            <w:r w:rsidRPr="00053C90">
              <w:rPr>
                <w:rFonts w:eastAsia="Times New Roman"/>
                <w:color w:val="000000"/>
                <w:lang w:val="en-US"/>
              </w:rPr>
              <w:t>64</w:t>
            </w:r>
          </w:p>
        </w:tc>
      </w:tr>
    </w:tbl>
    <w:p w:rsidR="00E13749" w:rsidRDefault="00E13749" w:rsidP="00E13749">
      <w:pPr>
        <w:pStyle w:val="Heading2"/>
        <w:ind w:left="425"/>
        <w:rPr>
          <w:lang w:val="en-US"/>
        </w:rPr>
      </w:pPr>
    </w:p>
    <w:p w:rsidR="001B062E" w:rsidRPr="00053C90" w:rsidRDefault="001B062E" w:rsidP="001B062E">
      <w:pPr>
        <w:pStyle w:val="Heading2"/>
        <w:numPr>
          <w:ilvl w:val="1"/>
          <w:numId w:val="2"/>
        </w:numPr>
        <w:rPr>
          <w:lang w:val="en-US"/>
        </w:rPr>
      </w:pPr>
      <w:bookmarkStart w:id="36" w:name="_Toc428399235"/>
      <w:r w:rsidRPr="00053C90">
        <w:rPr>
          <w:lang w:val="en-US"/>
        </w:rPr>
        <w:t>Multiple Linear Regression</w:t>
      </w:r>
      <w:bookmarkEnd w:id="36"/>
    </w:p>
    <w:p w:rsidR="001B062E" w:rsidRPr="00053C90" w:rsidRDefault="001B062E" w:rsidP="001B062E">
      <w:pPr>
        <w:spacing w:line="360" w:lineRule="auto"/>
        <w:rPr>
          <w:lang w:val="en-US"/>
        </w:rPr>
      </w:pPr>
      <w:r w:rsidRPr="00053C90">
        <w:rPr>
          <w:lang w:val="en-US"/>
        </w:rPr>
        <w:t xml:space="preserve">A multiple linear regression for both stock and operating measures for each event window are conducted. This is done in order to find out how the relationship between a set of underlying variables and the performance measures look like. In order to conduct the regressions a program named Eviews is used. The regressions aim to investigate if there are underlying variables that affect the long term performance of the measures, and if there are variables that affect stock and operating measures differently. An example of this is if a high market-to-book prior to the merger has a bigger impact on the operating performance than the stock performance. A general formula for a multiple regression is illustrated in equation </w:t>
      </w:r>
      <w:r w:rsidR="00E96739" w:rsidRPr="00053C90">
        <w:rPr>
          <w:lang w:val="en-US"/>
        </w:rPr>
        <w:t>3.3</w:t>
      </w:r>
      <w:r w:rsidRPr="00053C90">
        <w:rPr>
          <w:lang w:val="en-US"/>
        </w:rPr>
        <w:t xml:space="preserve">. </w:t>
      </w:r>
    </w:p>
    <w:p w:rsidR="001B062E" w:rsidRPr="00053C90" w:rsidRDefault="00910076" w:rsidP="001B062E">
      <w:pPr>
        <w:spacing w:line="360" w:lineRule="auto"/>
        <w:jc w:val="center"/>
        <w:rPr>
          <w:lang w:val="en-US"/>
        </w:rPr>
      </w:pPr>
      <m:oMathPara>
        <m:oMath>
          <m:r>
            <w:rPr>
              <w:rFonts w:ascii="Cambria Math" w:hAnsi="Cambria Math"/>
              <w:lang w:val="en-US"/>
            </w:rPr>
            <m:t xml:space="preserve">Y=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m</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m</m:t>
              </m:r>
            </m:sub>
          </m:sSub>
          <m:r>
            <w:rPr>
              <w:rFonts w:ascii="Cambria Math" w:hAnsi="Cambria Math"/>
              <w:lang w:val="en-US"/>
            </w:rPr>
            <m:t>+ ε</m:t>
          </m:r>
        </m:oMath>
      </m:oMathPara>
    </w:p>
    <w:p w:rsidR="00E96739" w:rsidRPr="00053C90" w:rsidRDefault="00E96739" w:rsidP="00E96739">
      <w:pPr>
        <w:spacing w:line="360" w:lineRule="auto"/>
        <w:jc w:val="center"/>
        <w:rPr>
          <w:i/>
          <w:sz w:val="20"/>
          <w:szCs w:val="20"/>
          <w:lang w:val="en-US"/>
        </w:rPr>
      </w:pPr>
      <w:r w:rsidRPr="00053C90">
        <w:rPr>
          <w:i/>
          <w:sz w:val="20"/>
          <w:szCs w:val="20"/>
          <w:lang w:val="en-US"/>
        </w:rPr>
        <w:t>Equation 3.3</w:t>
      </w:r>
    </w:p>
    <w:p w:rsidR="001B062E" w:rsidRPr="00053C90" w:rsidRDefault="001B062E" w:rsidP="001B062E">
      <w:pPr>
        <w:spacing w:line="360" w:lineRule="auto"/>
        <w:rPr>
          <w:lang w:val="en-US"/>
        </w:rPr>
      </w:pPr>
      <w:r w:rsidRPr="00053C90">
        <w:rPr>
          <w:lang w:val="en-US"/>
        </w:rPr>
        <w:t xml:space="preserve">Y= </w:t>
      </w:r>
      <w:r w:rsidR="008F7B82">
        <w:rPr>
          <w:lang w:val="en-US"/>
        </w:rPr>
        <w:t>D</w:t>
      </w:r>
      <w:r w:rsidRPr="00053C90">
        <w:rPr>
          <w:lang w:val="en-US"/>
        </w:rPr>
        <w:t>ependent variable</w:t>
      </w:r>
    </w:p>
    <w:p w:rsidR="001B062E" w:rsidRPr="00053C90" w:rsidRDefault="00E85166" w:rsidP="001B062E">
      <w:pPr>
        <w:spacing w:line="360" w:lineRule="auto"/>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oMath>
      <w:r w:rsidR="001B062E" w:rsidRPr="00053C90">
        <w:rPr>
          <w:rFonts w:ascii="Calibri Light" w:hAnsi="Calibri Light"/>
          <w:lang w:val="en-US"/>
        </w:rPr>
        <w:t xml:space="preserve"> </w:t>
      </w:r>
      <w:r w:rsidR="001B062E" w:rsidRPr="00053C90">
        <w:rPr>
          <w:lang w:val="en-US"/>
        </w:rPr>
        <w:t xml:space="preserve">= Constant </w:t>
      </w:r>
    </w:p>
    <w:p w:rsidR="001B062E" w:rsidRPr="00053C90" w:rsidRDefault="00E85166" w:rsidP="001B062E">
      <w:pPr>
        <w:spacing w:line="360" w:lineRule="auto"/>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m</m:t>
            </m:r>
          </m:sub>
        </m:sSub>
      </m:oMath>
      <w:r w:rsidR="001B062E" w:rsidRPr="00053C90">
        <w:rPr>
          <w:rFonts w:ascii="Calibri Light" w:hAnsi="Calibri Light"/>
          <w:lang w:val="en-US"/>
        </w:rPr>
        <w:t xml:space="preserve"> </w:t>
      </w:r>
      <w:r w:rsidR="001B062E" w:rsidRPr="00053C90">
        <w:rPr>
          <w:lang w:val="en-US"/>
        </w:rPr>
        <w:t>= Slope coefficients</w:t>
      </w:r>
    </w:p>
    <w:p w:rsidR="001B062E" w:rsidRPr="00053C90" w:rsidRDefault="001B062E" w:rsidP="001B062E">
      <w:pPr>
        <w:spacing w:line="360" w:lineRule="auto"/>
        <w:rPr>
          <w:lang w:val="en-US"/>
        </w:rPr>
      </w:pPr>
      <w:r w:rsidRPr="00053C90">
        <w:rPr>
          <w:lang w:val="en-US"/>
        </w:rPr>
        <w:t>X</w:t>
      </w:r>
      <w:r w:rsidRPr="00053C90">
        <w:rPr>
          <w:vertAlign w:val="subscript"/>
          <w:lang w:val="en-US"/>
        </w:rPr>
        <w:t>1</w:t>
      </w:r>
      <w:r w:rsidRPr="00053C90">
        <w:rPr>
          <w:lang w:val="en-US"/>
        </w:rPr>
        <w:t>-X</w:t>
      </w:r>
      <w:r w:rsidRPr="00053C90">
        <w:rPr>
          <w:vertAlign w:val="subscript"/>
          <w:lang w:val="en-US"/>
        </w:rPr>
        <w:t>m</w:t>
      </w:r>
      <w:r w:rsidRPr="00053C90">
        <w:rPr>
          <w:lang w:val="en-US"/>
        </w:rPr>
        <w:t>= Independent variables</w:t>
      </w:r>
    </w:p>
    <w:p w:rsidR="001B062E" w:rsidRPr="00053C90" w:rsidRDefault="00910076" w:rsidP="001B062E">
      <w:pPr>
        <w:spacing w:line="360" w:lineRule="auto"/>
        <w:rPr>
          <w:lang w:val="en-US"/>
        </w:rPr>
      </w:pPr>
      <m:oMath>
        <m:r>
          <w:rPr>
            <w:rFonts w:ascii="Cambria Math" w:hAnsi="Cambria Math"/>
            <w:lang w:val="en-US"/>
          </w:rPr>
          <m:t>ε</m:t>
        </m:r>
      </m:oMath>
      <w:r w:rsidR="001B062E" w:rsidRPr="00053C90">
        <w:rPr>
          <w:lang w:val="en-US"/>
        </w:rPr>
        <w:t xml:space="preserve"> = Residuals  </w:t>
      </w:r>
    </w:p>
    <w:p w:rsidR="001B062E" w:rsidRPr="00053C90" w:rsidRDefault="00E85166" w:rsidP="001B062E">
      <w:pPr>
        <w:spacing w:line="360" w:lineRule="auto"/>
        <w:rPr>
          <w:szCs w:val="24"/>
          <w:lang w:val="en-US"/>
        </w:rPr>
      </w:pPr>
      <m:oMath>
        <m:sSub>
          <m:sSubPr>
            <m:ctrlPr>
              <w:rPr>
                <w:rFonts w:ascii="Cambria Math" w:hAnsi="Cambria Math"/>
                <w:i/>
                <w:lang w:val="en-US"/>
              </w:rPr>
            </m:ctrlPr>
          </m:sSubPr>
          <m:e>
            <m:r>
              <w:rPr>
                <w:rFonts w:ascii="Cambria Math" w:hAnsi="Cambria Math" w:cs="Calisto MT"/>
                <w:lang w:val="en-US"/>
              </w:rPr>
              <m:t>β</m:t>
            </m:r>
          </m:e>
          <m:sub>
            <m:r>
              <w:rPr>
                <w:rFonts w:ascii="Cambria Math" w:hAnsi="Cambria Math"/>
                <w:lang w:val="en-US"/>
              </w:rPr>
              <m:t>0</m:t>
            </m:r>
          </m:sub>
        </m:sSub>
      </m:oMath>
      <w:r w:rsidR="001B062E" w:rsidRPr="00053C90">
        <w:rPr>
          <w:szCs w:val="24"/>
          <w:lang w:val="en-US"/>
        </w:rPr>
        <w:t xml:space="preserve"> is a constant and explains the average value that the dependent variable assumes when the independent variables are zero. The slope coefficients can be interpreted as the average change of the dependent variable if the independent variable changes by on</w:t>
      </w:r>
      <w:r w:rsidR="00E96739" w:rsidRPr="00053C90">
        <w:rPr>
          <w:szCs w:val="24"/>
          <w:lang w:val="en-US"/>
        </w:rPr>
        <w:t>e unit. (Körner &amp; Wahlgren,</w:t>
      </w:r>
      <w:r w:rsidR="001B062E" w:rsidRPr="00053C90">
        <w:rPr>
          <w:szCs w:val="24"/>
          <w:lang w:val="en-US"/>
        </w:rPr>
        <w:t xml:space="preserve"> 2006) </w:t>
      </w:r>
    </w:p>
    <w:p w:rsidR="001B062E" w:rsidRPr="00053C90" w:rsidRDefault="001B062E" w:rsidP="001B062E">
      <w:pPr>
        <w:spacing w:line="360" w:lineRule="auto"/>
        <w:rPr>
          <w:szCs w:val="24"/>
          <w:lang w:val="en-US"/>
        </w:rPr>
      </w:pPr>
    </w:p>
    <w:p w:rsidR="001B062E" w:rsidRPr="00053C90" w:rsidRDefault="001B062E" w:rsidP="001B062E">
      <w:pPr>
        <w:pStyle w:val="Heading3"/>
        <w:numPr>
          <w:ilvl w:val="2"/>
          <w:numId w:val="2"/>
        </w:numPr>
        <w:rPr>
          <w:lang w:val="en-US"/>
        </w:rPr>
      </w:pPr>
      <w:bookmarkStart w:id="37" w:name="_Toc428399236"/>
      <w:r w:rsidRPr="00053C90">
        <w:rPr>
          <w:lang w:val="en-US"/>
        </w:rPr>
        <w:t>Dependent variables</w:t>
      </w:r>
      <w:bookmarkEnd w:id="37"/>
    </w:p>
    <w:p w:rsidR="001B062E" w:rsidRDefault="001B062E" w:rsidP="001B062E">
      <w:pPr>
        <w:spacing w:line="360" w:lineRule="auto"/>
        <w:rPr>
          <w:szCs w:val="24"/>
          <w:lang w:val="en-US"/>
        </w:rPr>
      </w:pPr>
      <w:r w:rsidRPr="00053C90">
        <w:rPr>
          <w:szCs w:val="24"/>
          <w:lang w:val="en-US"/>
        </w:rPr>
        <w:t xml:space="preserve">Six different regressions are conducted, each of them have a different dependent variable. Three of the dependent variables are the accounting measure, ROA for each of the event windows specified in section </w:t>
      </w:r>
      <w:r w:rsidR="00E96739" w:rsidRPr="00053C90">
        <w:rPr>
          <w:szCs w:val="24"/>
          <w:lang w:val="en-US"/>
        </w:rPr>
        <w:t>3.3</w:t>
      </w:r>
      <w:r w:rsidRPr="00053C90">
        <w:rPr>
          <w:szCs w:val="24"/>
          <w:lang w:val="en-US"/>
        </w:rPr>
        <w:t xml:space="preserve">. The other three dependent variables are the stock performance measure, BHAR for each event window. These variables are outlined in table </w:t>
      </w:r>
      <w:r w:rsidR="00E96739" w:rsidRPr="00053C90">
        <w:rPr>
          <w:szCs w:val="24"/>
          <w:lang w:val="en-US"/>
        </w:rPr>
        <w:t>3.2</w:t>
      </w:r>
    </w:p>
    <w:p w:rsidR="00E13749" w:rsidRPr="00E13749" w:rsidRDefault="00E13749" w:rsidP="00E13749">
      <w:pPr>
        <w:spacing w:line="360" w:lineRule="auto"/>
        <w:jc w:val="center"/>
        <w:rPr>
          <w:i/>
          <w:sz w:val="20"/>
          <w:szCs w:val="20"/>
          <w:lang w:val="en-US"/>
        </w:rPr>
      </w:pPr>
      <w:r w:rsidRPr="00053C90">
        <w:rPr>
          <w:i/>
          <w:sz w:val="20"/>
          <w:szCs w:val="20"/>
          <w:lang w:val="en-US"/>
        </w:rPr>
        <w:t>Table 3.2</w:t>
      </w:r>
    </w:p>
    <w:tbl>
      <w:tblPr>
        <w:tblW w:w="3060" w:type="dxa"/>
        <w:jc w:val="center"/>
        <w:tblLook w:val="04A0" w:firstRow="1" w:lastRow="0" w:firstColumn="1" w:lastColumn="0" w:noHBand="0" w:noVBand="1"/>
      </w:tblPr>
      <w:tblGrid>
        <w:gridCol w:w="1600"/>
        <w:gridCol w:w="1460"/>
      </w:tblGrid>
      <w:tr w:rsidR="00DD1A52" w:rsidRPr="00053C90" w:rsidTr="00DD1A52">
        <w:trPr>
          <w:trHeight w:val="588"/>
          <w:jc w:val="center"/>
        </w:trPr>
        <w:tc>
          <w:tcPr>
            <w:tcW w:w="1600" w:type="dxa"/>
            <w:tcBorders>
              <w:top w:val="single" w:sz="4" w:space="0" w:color="9BC2E6"/>
              <w:left w:val="single" w:sz="4" w:space="0" w:color="9BC2E6"/>
              <w:bottom w:val="single" w:sz="4" w:space="0" w:color="9BC2E6"/>
              <w:right w:val="nil"/>
            </w:tcBorders>
            <w:shd w:val="clear" w:color="5B9BD5" w:fill="5B9BD5"/>
            <w:noWrap/>
            <w:vAlign w:val="center"/>
            <w:hideMark/>
          </w:tcPr>
          <w:p w:rsidR="00DD1A52" w:rsidRPr="00053C90" w:rsidRDefault="00DD1A52" w:rsidP="00DD1A52">
            <w:pPr>
              <w:spacing w:after="0" w:line="240" w:lineRule="auto"/>
              <w:jc w:val="center"/>
              <w:rPr>
                <w:rFonts w:eastAsia="Times New Roman"/>
                <w:b/>
                <w:bCs/>
                <w:color w:val="FFFFFF"/>
                <w:lang w:val="en-US"/>
              </w:rPr>
            </w:pPr>
            <w:r w:rsidRPr="00053C90">
              <w:rPr>
                <w:rFonts w:eastAsia="Times New Roman"/>
                <w:b/>
                <w:bCs/>
                <w:color w:val="FFFFFF"/>
                <w:lang w:val="en-US"/>
              </w:rPr>
              <w:t xml:space="preserve">Accounting </w:t>
            </w:r>
          </w:p>
        </w:tc>
        <w:tc>
          <w:tcPr>
            <w:tcW w:w="1460" w:type="dxa"/>
            <w:tcBorders>
              <w:top w:val="single" w:sz="4" w:space="0" w:color="9BC2E6"/>
              <w:left w:val="nil"/>
              <w:bottom w:val="single" w:sz="4" w:space="0" w:color="9BC2E6"/>
              <w:right w:val="single" w:sz="4" w:space="0" w:color="9BC2E6"/>
            </w:tcBorders>
            <w:shd w:val="clear" w:color="5B9BD5" w:fill="5B9BD5"/>
            <w:noWrap/>
            <w:vAlign w:val="center"/>
            <w:hideMark/>
          </w:tcPr>
          <w:p w:rsidR="00DD1A52" w:rsidRPr="00053C90" w:rsidRDefault="00DD1A52" w:rsidP="00DD1A52">
            <w:pPr>
              <w:spacing w:after="0" w:line="240" w:lineRule="auto"/>
              <w:jc w:val="center"/>
              <w:rPr>
                <w:rFonts w:eastAsia="Times New Roman"/>
                <w:b/>
                <w:bCs/>
                <w:color w:val="FFFFFF"/>
                <w:lang w:val="en-US"/>
              </w:rPr>
            </w:pPr>
            <w:r w:rsidRPr="00053C90">
              <w:rPr>
                <w:rFonts w:eastAsia="Times New Roman"/>
                <w:b/>
                <w:bCs/>
                <w:color w:val="FFFFFF"/>
                <w:lang w:val="en-US"/>
              </w:rPr>
              <w:t>Stock</w:t>
            </w:r>
          </w:p>
        </w:tc>
      </w:tr>
      <w:tr w:rsidR="00DD1A52" w:rsidRPr="00053C90" w:rsidTr="00DD1A52">
        <w:trPr>
          <w:trHeight w:val="468"/>
          <w:jc w:val="center"/>
        </w:trPr>
        <w:tc>
          <w:tcPr>
            <w:tcW w:w="1600" w:type="dxa"/>
            <w:tcBorders>
              <w:top w:val="single" w:sz="4" w:space="0" w:color="9BC2E6"/>
              <w:left w:val="single" w:sz="4" w:space="0" w:color="9BC2E6"/>
              <w:bottom w:val="single" w:sz="4" w:space="0" w:color="9BC2E6"/>
              <w:right w:val="nil"/>
            </w:tcBorders>
            <w:shd w:val="clear" w:color="DDEBF7" w:fill="DDEBF7"/>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ROA12</w:t>
            </w:r>
          </w:p>
        </w:tc>
        <w:tc>
          <w:tcPr>
            <w:tcW w:w="1460" w:type="dxa"/>
            <w:tcBorders>
              <w:top w:val="single" w:sz="4" w:space="0" w:color="9BC2E6"/>
              <w:left w:val="nil"/>
              <w:bottom w:val="single" w:sz="4" w:space="0" w:color="9BC2E6"/>
              <w:right w:val="single" w:sz="4" w:space="0" w:color="9BC2E6"/>
            </w:tcBorders>
            <w:shd w:val="clear" w:color="DDEBF7" w:fill="DDEBF7"/>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BHAR12</w:t>
            </w:r>
          </w:p>
        </w:tc>
      </w:tr>
      <w:tr w:rsidR="00DD1A52" w:rsidRPr="00053C90" w:rsidTr="00DD1A52">
        <w:trPr>
          <w:trHeight w:val="468"/>
          <w:jc w:val="center"/>
        </w:trPr>
        <w:tc>
          <w:tcPr>
            <w:tcW w:w="1600" w:type="dxa"/>
            <w:tcBorders>
              <w:top w:val="single" w:sz="4" w:space="0" w:color="9BC2E6"/>
              <w:left w:val="single" w:sz="4" w:space="0" w:color="9BC2E6"/>
              <w:bottom w:val="single" w:sz="4" w:space="0" w:color="9BC2E6"/>
              <w:right w:val="nil"/>
            </w:tcBorders>
            <w:shd w:val="clear" w:color="auto" w:fill="auto"/>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ROA24</w:t>
            </w:r>
          </w:p>
        </w:tc>
        <w:tc>
          <w:tcPr>
            <w:tcW w:w="1460" w:type="dxa"/>
            <w:tcBorders>
              <w:top w:val="single" w:sz="4" w:space="0" w:color="9BC2E6"/>
              <w:left w:val="nil"/>
              <w:bottom w:val="single" w:sz="4" w:space="0" w:color="9BC2E6"/>
              <w:right w:val="single" w:sz="4" w:space="0" w:color="9BC2E6"/>
            </w:tcBorders>
            <w:shd w:val="clear" w:color="auto" w:fill="auto"/>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BHAR24</w:t>
            </w:r>
          </w:p>
        </w:tc>
      </w:tr>
      <w:tr w:rsidR="00DD1A52" w:rsidRPr="00053C90" w:rsidTr="00DD1A52">
        <w:trPr>
          <w:trHeight w:val="468"/>
          <w:jc w:val="center"/>
        </w:trPr>
        <w:tc>
          <w:tcPr>
            <w:tcW w:w="1600" w:type="dxa"/>
            <w:tcBorders>
              <w:top w:val="single" w:sz="4" w:space="0" w:color="9BC2E6"/>
              <w:left w:val="single" w:sz="4" w:space="0" w:color="9BC2E6"/>
              <w:bottom w:val="single" w:sz="4" w:space="0" w:color="9BC2E6"/>
              <w:right w:val="nil"/>
            </w:tcBorders>
            <w:shd w:val="clear" w:color="DDEBF7" w:fill="DDEBF7"/>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ROA36</w:t>
            </w:r>
          </w:p>
        </w:tc>
        <w:tc>
          <w:tcPr>
            <w:tcW w:w="1460" w:type="dxa"/>
            <w:tcBorders>
              <w:top w:val="single" w:sz="4" w:space="0" w:color="9BC2E6"/>
              <w:left w:val="nil"/>
              <w:bottom w:val="single" w:sz="4" w:space="0" w:color="9BC2E6"/>
              <w:right w:val="single" w:sz="4" w:space="0" w:color="9BC2E6"/>
            </w:tcBorders>
            <w:shd w:val="clear" w:color="DDEBF7" w:fill="DDEBF7"/>
            <w:noWrap/>
            <w:vAlign w:val="center"/>
            <w:hideMark/>
          </w:tcPr>
          <w:p w:rsidR="00DD1A52" w:rsidRPr="00053C90" w:rsidRDefault="00DD1A52" w:rsidP="00DD1A52">
            <w:pPr>
              <w:spacing w:after="0" w:line="240" w:lineRule="auto"/>
              <w:jc w:val="center"/>
              <w:rPr>
                <w:rFonts w:eastAsia="Times New Roman"/>
                <w:color w:val="000000"/>
                <w:sz w:val="22"/>
                <w:lang w:val="en-US"/>
              </w:rPr>
            </w:pPr>
            <w:r w:rsidRPr="00053C90">
              <w:rPr>
                <w:rFonts w:eastAsia="Times New Roman"/>
                <w:color w:val="000000"/>
                <w:sz w:val="22"/>
                <w:lang w:val="en-US"/>
              </w:rPr>
              <w:t>BHAR36</w:t>
            </w:r>
          </w:p>
        </w:tc>
      </w:tr>
    </w:tbl>
    <w:p w:rsidR="001B062E" w:rsidRPr="00053C90" w:rsidRDefault="001B062E" w:rsidP="001B062E">
      <w:pPr>
        <w:spacing w:line="360" w:lineRule="auto"/>
        <w:jc w:val="center"/>
        <w:rPr>
          <w:i/>
          <w:sz w:val="20"/>
          <w:szCs w:val="20"/>
          <w:lang w:val="en-US"/>
        </w:rPr>
      </w:pPr>
    </w:p>
    <w:p w:rsidR="001B062E" w:rsidRPr="00053C90" w:rsidRDefault="008F7B82" w:rsidP="001B062E">
      <w:pPr>
        <w:pStyle w:val="Heading3"/>
        <w:numPr>
          <w:ilvl w:val="2"/>
          <w:numId w:val="2"/>
        </w:numPr>
        <w:spacing w:line="360" w:lineRule="auto"/>
        <w:rPr>
          <w:lang w:val="en-US"/>
        </w:rPr>
      </w:pPr>
      <w:bookmarkStart w:id="38" w:name="_Toc428399237"/>
      <w:r>
        <w:rPr>
          <w:lang w:val="en-US"/>
        </w:rPr>
        <w:t>Independent</w:t>
      </w:r>
      <w:r w:rsidR="001B062E" w:rsidRPr="00053C90">
        <w:rPr>
          <w:lang w:val="en-US"/>
        </w:rPr>
        <w:t xml:space="preserve"> Variables</w:t>
      </w:r>
      <w:bookmarkEnd w:id="38"/>
    </w:p>
    <w:p w:rsidR="001B062E" w:rsidRPr="00053C90" w:rsidRDefault="001B062E" w:rsidP="001B062E">
      <w:pPr>
        <w:spacing w:line="360" w:lineRule="auto"/>
        <w:rPr>
          <w:szCs w:val="24"/>
          <w:lang w:val="en-US"/>
        </w:rPr>
      </w:pPr>
      <w:r w:rsidRPr="00053C90">
        <w:rPr>
          <w:szCs w:val="24"/>
          <w:lang w:val="en-US"/>
        </w:rPr>
        <w:t xml:space="preserve">As described in section </w:t>
      </w:r>
      <w:r w:rsidR="00E96739" w:rsidRPr="00053C90">
        <w:rPr>
          <w:szCs w:val="24"/>
          <w:lang w:val="en-US"/>
        </w:rPr>
        <w:t>2.2.3</w:t>
      </w:r>
      <w:r w:rsidRPr="00053C90">
        <w:rPr>
          <w:szCs w:val="24"/>
          <w:lang w:val="en-US"/>
        </w:rPr>
        <w:t>, a set of determinants are chosen to examine their effect both on the long term stock returns and operating performance. These determinants are going to work as explanatory variables in the multiple linear regressions. The calculation and how they are retrieved is presented below.</w:t>
      </w:r>
      <w:r w:rsidR="002B3029" w:rsidRPr="00053C90">
        <w:rPr>
          <w:szCs w:val="24"/>
          <w:lang w:val="en-US"/>
        </w:rPr>
        <w:t xml:space="preserve"> </w:t>
      </w:r>
    </w:p>
    <w:p w:rsidR="001B062E" w:rsidRPr="00053C90" w:rsidRDefault="001B062E" w:rsidP="001B062E">
      <w:pPr>
        <w:spacing w:line="360" w:lineRule="auto"/>
        <w:rPr>
          <w:i/>
          <w:szCs w:val="24"/>
          <w:lang w:val="en-US"/>
        </w:rPr>
      </w:pPr>
      <w:r w:rsidRPr="00053C90">
        <w:rPr>
          <w:i/>
          <w:szCs w:val="24"/>
          <w:lang w:val="en-US"/>
        </w:rPr>
        <w:t>Market-to-book ratio</w:t>
      </w:r>
    </w:p>
    <w:p w:rsidR="001B062E" w:rsidRPr="00053C90" w:rsidRDefault="001B062E" w:rsidP="001B062E">
      <w:pPr>
        <w:spacing w:line="360" w:lineRule="auto"/>
        <w:rPr>
          <w:szCs w:val="24"/>
          <w:lang w:val="en-US"/>
        </w:rPr>
      </w:pPr>
      <w:r w:rsidRPr="00053C90">
        <w:rPr>
          <w:szCs w:val="24"/>
          <w:lang w:val="en-US"/>
        </w:rPr>
        <w:t>Market-to-book ratio is</w:t>
      </w:r>
      <w:r w:rsidR="008F7B82">
        <w:rPr>
          <w:szCs w:val="24"/>
          <w:lang w:val="en-US"/>
        </w:rPr>
        <w:t>,</w:t>
      </w:r>
      <w:r w:rsidRPr="00053C90">
        <w:rPr>
          <w:szCs w:val="24"/>
          <w:lang w:val="en-US"/>
        </w:rPr>
        <w:t xml:space="preserve"> as described in section </w:t>
      </w:r>
      <w:r w:rsidR="00E96739" w:rsidRPr="00053C90">
        <w:rPr>
          <w:color w:val="000000"/>
          <w:szCs w:val="24"/>
          <w:lang w:val="en-US"/>
        </w:rPr>
        <w:t>2.2.3</w:t>
      </w:r>
      <w:r w:rsidR="008F7B82">
        <w:rPr>
          <w:color w:val="000000"/>
          <w:szCs w:val="24"/>
          <w:lang w:val="en-US"/>
        </w:rPr>
        <w:t>,</w:t>
      </w:r>
      <w:r w:rsidR="00E96739" w:rsidRPr="00053C90">
        <w:rPr>
          <w:color w:val="000000"/>
          <w:szCs w:val="24"/>
          <w:lang w:val="en-US"/>
        </w:rPr>
        <w:t xml:space="preserve"> </w:t>
      </w:r>
      <w:r w:rsidR="00E96739" w:rsidRPr="00053C90">
        <w:rPr>
          <w:szCs w:val="24"/>
          <w:lang w:val="en-US"/>
        </w:rPr>
        <w:t>a</w:t>
      </w:r>
      <w:r w:rsidRPr="00053C90">
        <w:rPr>
          <w:szCs w:val="24"/>
          <w:lang w:val="en-US"/>
        </w:rPr>
        <w:t xml:space="preserve"> way to determine whether a company can be characterized as a growth company or not. Data to calculate this ratio is retrieved from Datastream for the acquiring company a year before the transaction. The formu</w:t>
      </w:r>
      <w:r w:rsidR="002B3029" w:rsidRPr="00053C90">
        <w:rPr>
          <w:szCs w:val="24"/>
          <w:lang w:val="en-US"/>
        </w:rPr>
        <w:t>la</w:t>
      </w:r>
      <w:r w:rsidRPr="00053C90">
        <w:rPr>
          <w:szCs w:val="24"/>
          <w:lang w:val="en-US"/>
        </w:rPr>
        <w:t xml:space="preserve"> for this ratio is presented below and the code for this variable in the regression tables will be </w:t>
      </w:r>
      <w:r w:rsidRPr="00053C90">
        <w:rPr>
          <w:i/>
          <w:szCs w:val="24"/>
          <w:lang w:val="en-US"/>
        </w:rPr>
        <w:t>M_B</w:t>
      </w:r>
      <w:r w:rsidRPr="00053C90">
        <w:rPr>
          <w:szCs w:val="24"/>
          <w:lang w:val="en-US"/>
        </w:rPr>
        <w:t>.</w:t>
      </w:r>
    </w:p>
    <w:p w:rsidR="001B062E" w:rsidRPr="00053C90" w:rsidRDefault="00E85166" w:rsidP="001B062E">
      <w:pPr>
        <w:spacing w:line="360" w:lineRule="auto"/>
        <w:jc w:val="center"/>
        <w:rPr>
          <w:b/>
          <w:i/>
          <w:szCs w:val="24"/>
          <w:lang w:val="en-US"/>
        </w:rPr>
      </w:pPr>
      <m:oMathPara>
        <m:oMath>
          <m:f>
            <m:fPr>
              <m:ctrlPr>
                <w:rPr>
                  <w:rFonts w:ascii="Cambria Math" w:hAnsi="Cambria Math"/>
                  <w:b/>
                  <w:i/>
                  <w:szCs w:val="24"/>
                  <w:lang w:val="en-US"/>
                </w:rPr>
              </m:ctrlPr>
            </m:fPr>
            <m:num>
              <m:r>
                <m:rPr>
                  <m:sty m:val="bi"/>
                </m:rPr>
                <w:rPr>
                  <w:rFonts w:ascii="Cambria Math" w:hAnsi="Cambria Math"/>
                  <w:szCs w:val="24"/>
                  <w:lang w:val="en-US"/>
                </w:rPr>
                <m:t>Market Capitalization</m:t>
              </m:r>
            </m:num>
            <m:den>
              <m:r>
                <m:rPr>
                  <m:sty m:val="bi"/>
                </m:rPr>
                <w:rPr>
                  <w:rFonts w:ascii="Cambria Math" w:hAnsi="Cambria Math"/>
                  <w:szCs w:val="24"/>
                  <w:lang w:val="en-US"/>
                </w:rPr>
                <m:t xml:space="preserve">Book Value </m:t>
              </m:r>
            </m:den>
          </m:f>
          <m:r>
            <m:rPr>
              <m:sty m:val="bi"/>
            </m:rPr>
            <w:rPr>
              <w:rFonts w:ascii="Cambria Math" w:hAnsi="Cambria Math"/>
              <w:szCs w:val="24"/>
              <w:lang w:val="en-US"/>
            </w:rPr>
            <m:t>=M /B</m:t>
          </m:r>
        </m:oMath>
      </m:oMathPara>
    </w:p>
    <w:p w:rsidR="00E96739" w:rsidRDefault="00E96739" w:rsidP="001B062E">
      <w:pPr>
        <w:spacing w:line="360" w:lineRule="auto"/>
        <w:jc w:val="center"/>
        <w:rPr>
          <w:i/>
          <w:sz w:val="20"/>
          <w:szCs w:val="20"/>
          <w:lang w:val="en-US"/>
        </w:rPr>
      </w:pPr>
      <w:r w:rsidRPr="00053C90">
        <w:rPr>
          <w:i/>
          <w:sz w:val="20"/>
          <w:szCs w:val="20"/>
          <w:lang w:val="en-US"/>
        </w:rPr>
        <w:t>Equation 3.4</w:t>
      </w:r>
    </w:p>
    <w:p w:rsidR="008F7B82" w:rsidRDefault="008F7B82" w:rsidP="001B062E">
      <w:pPr>
        <w:spacing w:line="360" w:lineRule="auto"/>
        <w:jc w:val="center"/>
        <w:rPr>
          <w:i/>
          <w:sz w:val="20"/>
          <w:szCs w:val="20"/>
          <w:lang w:val="en-US"/>
        </w:rPr>
      </w:pPr>
    </w:p>
    <w:p w:rsidR="008F7B82" w:rsidRDefault="008F7B82" w:rsidP="001B062E">
      <w:pPr>
        <w:spacing w:line="360" w:lineRule="auto"/>
        <w:jc w:val="center"/>
        <w:rPr>
          <w:i/>
          <w:sz w:val="20"/>
          <w:szCs w:val="20"/>
          <w:lang w:val="en-US"/>
        </w:rPr>
      </w:pPr>
    </w:p>
    <w:p w:rsidR="0062387A" w:rsidRPr="00053C90" w:rsidRDefault="0062387A" w:rsidP="001B062E">
      <w:pPr>
        <w:spacing w:line="360" w:lineRule="auto"/>
        <w:jc w:val="center"/>
        <w:rPr>
          <w:i/>
          <w:sz w:val="20"/>
          <w:szCs w:val="20"/>
          <w:lang w:val="en-US"/>
        </w:rPr>
      </w:pPr>
    </w:p>
    <w:p w:rsidR="001B062E" w:rsidRPr="00053C90" w:rsidRDefault="001B062E" w:rsidP="001B062E">
      <w:pPr>
        <w:spacing w:line="360" w:lineRule="auto"/>
        <w:rPr>
          <w:i/>
          <w:szCs w:val="24"/>
          <w:lang w:val="en-US"/>
        </w:rPr>
      </w:pPr>
      <w:r w:rsidRPr="00053C90">
        <w:rPr>
          <w:i/>
          <w:szCs w:val="24"/>
          <w:lang w:val="en-US"/>
        </w:rPr>
        <w:t>Size</w:t>
      </w:r>
    </w:p>
    <w:p w:rsidR="001B062E" w:rsidRPr="00053C90" w:rsidRDefault="001B062E" w:rsidP="001B062E">
      <w:pPr>
        <w:spacing w:line="360" w:lineRule="auto"/>
        <w:rPr>
          <w:szCs w:val="24"/>
          <w:lang w:val="en-US"/>
        </w:rPr>
      </w:pPr>
      <w:r w:rsidRPr="00053C90">
        <w:rPr>
          <w:szCs w:val="24"/>
          <w:lang w:val="en-US"/>
        </w:rPr>
        <w:t xml:space="preserve">The second variable included is size. This variable is defined as the logarithmic value of the market capitalization of the acquiring company the year prior to the transaction. The code for this variable is </w:t>
      </w:r>
      <w:r w:rsidRPr="00053C90">
        <w:rPr>
          <w:i/>
          <w:szCs w:val="24"/>
          <w:lang w:val="en-US"/>
        </w:rPr>
        <w:t>Log_Size</w:t>
      </w:r>
      <w:r w:rsidRPr="00053C90">
        <w:rPr>
          <w:szCs w:val="24"/>
          <w:lang w:val="en-US"/>
        </w:rPr>
        <w:t xml:space="preserve"> in the regression tables</w:t>
      </w:r>
    </w:p>
    <w:p w:rsidR="001B062E" w:rsidRPr="00053C90" w:rsidRDefault="00910076" w:rsidP="001B062E">
      <w:pPr>
        <w:spacing w:line="360" w:lineRule="auto"/>
        <w:jc w:val="center"/>
        <w:rPr>
          <w:b/>
          <w:i/>
          <w:szCs w:val="24"/>
          <w:lang w:val="en-US"/>
        </w:rPr>
      </w:pPr>
      <m:oMathPara>
        <m:oMath>
          <m:r>
            <m:rPr>
              <m:sty m:val="bi"/>
            </m:rPr>
            <w:rPr>
              <w:rFonts w:ascii="Cambria Math" w:hAnsi="Cambria Math"/>
              <w:szCs w:val="24"/>
              <w:lang w:val="en-US"/>
            </w:rPr>
            <m:t>Log(Market Capitalization)</m:t>
          </m:r>
        </m:oMath>
      </m:oMathPara>
    </w:p>
    <w:p w:rsidR="00E96739" w:rsidRPr="00053C90" w:rsidRDefault="00E96739" w:rsidP="00E96739">
      <w:pPr>
        <w:spacing w:line="360" w:lineRule="auto"/>
        <w:jc w:val="center"/>
        <w:rPr>
          <w:i/>
          <w:sz w:val="20"/>
          <w:szCs w:val="20"/>
          <w:lang w:val="en-US"/>
        </w:rPr>
      </w:pPr>
      <w:r w:rsidRPr="00053C90">
        <w:rPr>
          <w:i/>
          <w:sz w:val="20"/>
          <w:szCs w:val="20"/>
          <w:lang w:val="en-US"/>
        </w:rPr>
        <w:t>Equation 3.5</w:t>
      </w:r>
    </w:p>
    <w:p w:rsidR="00E96739" w:rsidRPr="00053C90" w:rsidRDefault="00E96739" w:rsidP="001B062E">
      <w:pPr>
        <w:spacing w:line="360" w:lineRule="auto"/>
        <w:jc w:val="center"/>
        <w:rPr>
          <w:b/>
          <w:i/>
          <w:szCs w:val="24"/>
          <w:lang w:val="en-US"/>
        </w:rPr>
      </w:pPr>
    </w:p>
    <w:p w:rsidR="001B062E" w:rsidRPr="00053C90" w:rsidRDefault="001B062E" w:rsidP="001B062E">
      <w:pPr>
        <w:spacing w:line="360" w:lineRule="auto"/>
        <w:rPr>
          <w:i/>
          <w:szCs w:val="24"/>
          <w:lang w:val="en-US"/>
        </w:rPr>
      </w:pPr>
      <w:r w:rsidRPr="00053C90">
        <w:rPr>
          <w:i/>
          <w:szCs w:val="24"/>
          <w:lang w:val="en-US"/>
        </w:rPr>
        <w:t>Relative size of transaction</w:t>
      </w:r>
    </w:p>
    <w:p w:rsidR="001B062E" w:rsidRPr="00053C90" w:rsidRDefault="001B062E" w:rsidP="001B062E">
      <w:pPr>
        <w:spacing w:line="360" w:lineRule="auto"/>
        <w:rPr>
          <w:szCs w:val="24"/>
          <w:lang w:val="en-US"/>
        </w:rPr>
      </w:pPr>
      <w:r w:rsidRPr="00053C90">
        <w:rPr>
          <w:szCs w:val="24"/>
          <w:lang w:val="en-US"/>
        </w:rPr>
        <w:t xml:space="preserve">As described in </w:t>
      </w:r>
      <w:r w:rsidR="00E96739" w:rsidRPr="00053C90">
        <w:rPr>
          <w:szCs w:val="24"/>
          <w:lang w:val="en-US"/>
        </w:rPr>
        <w:t>section 2.2.3</w:t>
      </w:r>
      <w:r w:rsidRPr="00053C90">
        <w:rPr>
          <w:szCs w:val="24"/>
          <w:lang w:val="en-US"/>
        </w:rPr>
        <w:t>, no consensus has been reached in terms of how the relative transaction size affects long term performance. In order to calculate this variable, the transaction size is divided with the market capitalization of the acquirer a year prior to the transaction. This variable is defined as</w:t>
      </w:r>
      <w:r w:rsidRPr="00053C90">
        <w:rPr>
          <w:i/>
          <w:szCs w:val="24"/>
          <w:lang w:val="en-US"/>
        </w:rPr>
        <w:t xml:space="preserve"> DEAL_SIZE_OF_MARKET_CAP</w:t>
      </w:r>
      <w:r w:rsidRPr="00053C90">
        <w:rPr>
          <w:szCs w:val="24"/>
          <w:lang w:val="en-US"/>
        </w:rPr>
        <w:t xml:space="preserve"> in the regression tables and the formula for this variable can be seen below.  </w:t>
      </w:r>
    </w:p>
    <w:p w:rsidR="001B062E" w:rsidRPr="00053C90" w:rsidRDefault="00910076" w:rsidP="001B062E">
      <w:pPr>
        <w:spacing w:line="360" w:lineRule="auto"/>
        <w:jc w:val="center"/>
        <w:rPr>
          <w:b/>
          <w:szCs w:val="24"/>
          <w:lang w:val="en-US"/>
        </w:rPr>
      </w:pPr>
      <m:oMathPara>
        <m:oMath>
          <m:r>
            <m:rPr>
              <m:sty m:val="bi"/>
            </m:rPr>
            <w:rPr>
              <w:rFonts w:ascii="Cambria Math" w:hAnsi="Cambria Math"/>
              <w:szCs w:val="24"/>
              <w:lang w:val="en-US"/>
            </w:rPr>
            <m:t>Relative transaction size=</m:t>
          </m:r>
          <m:f>
            <m:fPr>
              <m:ctrlPr>
                <w:rPr>
                  <w:rFonts w:ascii="Cambria Math" w:hAnsi="Cambria Math"/>
                  <w:b/>
                  <w:i/>
                  <w:szCs w:val="24"/>
                  <w:lang w:val="en-US"/>
                </w:rPr>
              </m:ctrlPr>
            </m:fPr>
            <m:num>
              <m:r>
                <m:rPr>
                  <m:sty m:val="bi"/>
                </m:rPr>
                <w:rPr>
                  <w:rFonts w:ascii="Cambria Math" w:hAnsi="Cambria Math"/>
                  <w:szCs w:val="24"/>
                  <w:lang w:val="en-US"/>
                </w:rPr>
                <m:t>Transaction size</m:t>
              </m:r>
            </m:num>
            <m:den>
              <m:sSub>
                <m:sSubPr>
                  <m:ctrlPr>
                    <w:rPr>
                      <w:rFonts w:ascii="Cambria Math" w:hAnsi="Cambria Math"/>
                      <w:b/>
                      <w:i/>
                      <w:szCs w:val="24"/>
                      <w:lang w:val="en-US"/>
                    </w:rPr>
                  </m:ctrlPr>
                </m:sSubPr>
                <m:e>
                  <m:r>
                    <m:rPr>
                      <m:sty m:val="bi"/>
                    </m:rPr>
                    <w:rPr>
                      <w:rFonts w:ascii="Cambria Math" w:hAnsi="Cambria Math"/>
                      <w:szCs w:val="24"/>
                      <w:lang w:val="en-US"/>
                    </w:rPr>
                    <m:t>Market Cap Acquirer</m:t>
                  </m:r>
                </m:e>
                <m:sub>
                  <m:r>
                    <m:rPr>
                      <m:sty m:val="bi"/>
                    </m:rPr>
                    <w:rPr>
                      <w:rFonts w:ascii="Cambria Math" w:hAnsi="Cambria Math"/>
                      <w:szCs w:val="24"/>
                      <w:lang w:val="en-US"/>
                    </w:rPr>
                    <m:t>t-1</m:t>
                  </m:r>
                </m:sub>
              </m:sSub>
            </m:den>
          </m:f>
          <m:r>
            <m:rPr>
              <m:sty m:val="bi"/>
            </m:rPr>
            <w:rPr>
              <w:rFonts w:ascii="Cambria Math" w:hAnsi="Cambria Math"/>
              <w:szCs w:val="24"/>
              <w:lang w:val="en-US"/>
            </w:rPr>
            <m:t xml:space="preserve"> </m:t>
          </m:r>
        </m:oMath>
      </m:oMathPara>
    </w:p>
    <w:p w:rsidR="00E96739" w:rsidRPr="00053C90" w:rsidRDefault="00E96739" w:rsidP="00E96739">
      <w:pPr>
        <w:spacing w:line="360" w:lineRule="auto"/>
        <w:jc w:val="center"/>
        <w:rPr>
          <w:i/>
          <w:sz w:val="20"/>
          <w:szCs w:val="20"/>
          <w:lang w:val="en-US"/>
        </w:rPr>
      </w:pPr>
      <w:r w:rsidRPr="00053C90">
        <w:rPr>
          <w:i/>
          <w:sz w:val="20"/>
          <w:szCs w:val="20"/>
          <w:lang w:val="en-US"/>
        </w:rPr>
        <w:t>Equation 3.5</w:t>
      </w:r>
    </w:p>
    <w:p w:rsidR="001B062E" w:rsidRPr="00053C90" w:rsidRDefault="001B062E" w:rsidP="001B062E">
      <w:pPr>
        <w:autoSpaceDE w:val="0"/>
        <w:autoSpaceDN w:val="0"/>
        <w:adjustRightInd w:val="0"/>
        <w:spacing w:after="0" w:line="360" w:lineRule="auto"/>
        <w:rPr>
          <w:i/>
          <w:szCs w:val="24"/>
          <w:lang w:val="en-US"/>
        </w:rPr>
      </w:pPr>
      <w:r w:rsidRPr="00053C90">
        <w:rPr>
          <w:i/>
          <w:szCs w:val="24"/>
          <w:lang w:val="en-US"/>
        </w:rPr>
        <w:t xml:space="preserve">Domestic or </w:t>
      </w:r>
      <w:r w:rsidR="00937744" w:rsidRPr="00053C90">
        <w:rPr>
          <w:i/>
          <w:szCs w:val="24"/>
          <w:lang w:val="en-US"/>
        </w:rPr>
        <w:t>cross-border</w:t>
      </w: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If the transaction is performed on a domestic or internat</w:t>
      </w:r>
      <w:r w:rsidR="008F7B82">
        <w:rPr>
          <w:szCs w:val="24"/>
          <w:lang w:val="en-US"/>
        </w:rPr>
        <w:t>ional target is a variable where mixed findings are</w:t>
      </w:r>
      <w:r w:rsidRPr="00053C90">
        <w:rPr>
          <w:szCs w:val="24"/>
          <w:lang w:val="en-US"/>
        </w:rPr>
        <w:t xml:space="preserve"> presented by previous studies. A dummy variable is used to measure this. The dummy variable takes on the value 0 if the target is from the same country as acquirer and 1 if this is not the case. In the regression tables this variable is named DOMESTIC_INTERNATIONAL.</w:t>
      </w:r>
    </w:p>
    <w:p w:rsidR="003D5BF5" w:rsidRPr="00053C90" w:rsidRDefault="003D5BF5" w:rsidP="001B062E">
      <w:pPr>
        <w:autoSpaceDE w:val="0"/>
        <w:autoSpaceDN w:val="0"/>
        <w:adjustRightInd w:val="0"/>
        <w:spacing w:after="0" w:line="360" w:lineRule="auto"/>
        <w:rPr>
          <w:szCs w:val="24"/>
          <w:lang w:val="en-US"/>
        </w:rPr>
      </w:pPr>
    </w:p>
    <w:p w:rsidR="001B062E" w:rsidRPr="00053C90" w:rsidRDefault="001B062E" w:rsidP="001B062E">
      <w:pPr>
        <w:spacing w:line="360" w:lineRule="auto"/>
        <w:rPr>
          <w:i/>
          <w:szCs w:val="24"/>
          <w:lang w:val="en-US"/>
        </w:rPr>
      </w:pPr>
      <w:r w:rsidRPr="00053C90">
        <w:rPr>
          <w:i/>
          <w:szCs w:val="24"/>
          <w:lang w:val="en-US"/>
        </w:rPr>
        <w:t>Industry relatedness</w:t>
      </w:r>
    </w:p>
    <w:p w:rsidR="001B062E" w:rsidRPr="00053C90" w:rsidRDefault="001B062E" w:rsidP="001B062E">
      <w:pPr>
        <w:spacing w:line="360" w:lineRule="auto"/>
        <w:rPr>
          <w:lang w:val="en-US"/>
        </w:rPr>
      </w:pPr>
      <w:r w:rsidRPr="00053C90">
        <w:rPr>
          <w:lang w:val="en-US"/>
        </w:rPr>
        <w:t xml:space="preserve">To examine if the relatedness of the industries of the acquirer and the target affect the </w:t>
      </w:r>
      <w:r w:rsidR="002B3029" w:rsidRPr="00053C90">
        <w:rPr>
          <w:lang w:val="en-US"/>
        </w:rPr>
        <w:t>performance</w:t>
      </w:r>
      <w:r w:rsidRPr="00053C90">
        <w:rPr>
          <w:lang w:val="en-US"/>
        </w:rPr>
        <w:t xml:space="preserve"> is done by using a dummy variable. This variable takes on the value 0 if the industries are the same or 1 if not. </w:t>
      </w:r>
      <w:r w:rsidRPr="00053C90">
        <w:rPr>
          <w:i/>
          <w:lang w:val="en-US"/>
        </w:rPr>
        <w:t>INDUSTRY_RELATEDNESS</w:t>
      </w:r>
      <w:r w:rsidRPr="00053C90">
        <w:rPr>
          <w:lang w:val="en-US"/>
        </w:rPr>
        <w:t xml:space="preserve"> is the name of this variable.</w:t>
      </w:r>
    </w:p>
    <w:p w:rsidR="003D5BF5" w:rsidRDefault="003D5BF5" w:rsidP="001B062E">
      <w:pPr>
        <w:spacing w:line="360" w:lineRule="auto"/>
        <w:rPr>
          <w:szCs w:val="24"/>
          <w:lang w:val="en-US"/>
        </w:rPr>
      </w:pPr>
    </w:p>
    <w:p w:rsidR="0062387A" w:rsidRPr="00053C90" w:rsidRDefault="0062387A" w:rsidP="001B062E">
      <w:pPr>
        <w:spacing w:line="360" w:lineRule="auto"/>
        <w:rPr>
          <w:szCs w:val="24"/>
          <w:lang w:val="en-US"/>
        </w:rPr>
      </w:pPr>
    </w:p>
    <w:p w:rsidR="001B062E" w:rsidRPr="00053C90" w:rsidRDefault="001B062E" w:rsidP="001B062E">
      <w:pPr>
        <w:pStyle w:val="Heading3"/>
        <w:numPr>
          <w:ilvl w:val="2"/>
          <w:numId w:val="2"/>
        </w:numPr>
        <w:rPr>
          <w:lang w:val="en-US"/>
        </w:rPr>
      </w:pPr>
      <w:bookmarkStart w:id="39" w:name="_Toc428399238"/>
      <w:r w:rsidRPr="00053C90">
        <w:rPr>
          <w:lang w:val="en-US"/>
        </w:rPr>
        <w:t>Goodness of fit – R</w:t>
      </w:r>
      <w:r w:rsidRPr="00053C90">
        <w:rPr>
          <w:vertAlign w:val="superscript"/>
          <w:lang w:val="en-US"/>
        </w:rPr>
        <w:t>2</w:t>
      </w:r>
      <w:bookmarkEnd w:id="39"/>
      <w:r w:rsidRPr="00053C90">
        <w:rPr>
          <w:lang w:val="en-US"/>
        </w:rPr>
        <w:t xml:space="preserve"> </w:t>
      </w:r>
    </w:p>
    <w:p w:rsidR="001B062E" w:rsidRPr="00053C90" w:rsidRDefault="001B062E" w:rsidP="001B062E">
      <w:pPr>
        <w:spacing w:line="360" w:lineRule="auto"/>
        <w:rPr>
          <w:szCs w:val="24"/>
          <w:lang w:val="en-US"/>
        </w:rPr>
      </w:pPr>
      <w:r w:rsidRPr="00053C90">
        <w:rPr>
          <w:szCs w:val="24"/>
          <w:lang w:val="en-US"/>
        </w:rPr>
        <w:t>When evaluating a regression it is appropriate to look at how well the regression model fits the data. By looking at R</w:t>
      </w:r>
      <w:r w:rsidRPr="00053C90">
        <w:rPr>
          <w:szCs w:val="24"/>
          <w:vertAlign w:val="superscript"/>
          <w:lang w:val="en-US"/>
        </w:rPr>
        <w:t>2</w:t>
      </w:r>
      <w:r w:rsidRPr="00053C90">
        <w:rPr>
          <w:szCs w:val="24"/>
          <w:lang w:val="en-US"/>
        </w:rPr>
        <w:t xml:space="preserve"> one can determine how well the model containing the explanatory variables explain the variation in the dependent variable. If the R</w:t>
      </w:r>
      <w:r w:rsidRPr="00053C90">
        <w:rPr>
          <w:szCs w:val="24"/>
          <w:vertAlign w:val="superscript"/>
          <w:lang w:val="en-US"/>
        </w:rPr>
        <w:t>2</w:t>
      </w:r>
      <w:r w:rsidRPr="00053C90">
        <w:rPr>
          <w:szCs w:val="24"/>
          <w:lang w:val="en-US"/>
        </w:rPr>
        <w:t xml:space="preserve"> value is close to zero it indicates that the model fits the data poorly (Körner &amp; Wahlgren, 2006). </w:t>
      </w:r>
    </w:p>
    <w:p w:rsidR="001B062E" w:rsidRPr="00053C90" w:rsidRDefault="001B062E" w:rsidP="001B062E">
      <w:pPr>
        <w:spacing w:line="360" w:lineRule="auto"/>
        <w:rPr>
          <w:szCs w:val="24"/>
          <w:lang w:val="en-US"/>
        </w:rPr>
      </w:pPr>
    </w:p>
    <w:p w:rsidR="001B062E" w:rsidRPr="00053C90" w:rsidRDefault="001B062E" w:rsidP="001B062E">
      <w:pPr>
        <w:pStyle w:val="Heading2"/>
        <w:numPr>
          <w:ilvl w:val="1"/>
          <w:numId w:val="2"/>
        </w:numPr>
        <w:rPr>
          <w:lang w:val="en-US"/>
        </w:rPr>
      </w:pPr>
      <w:bookmarkStart w:id="40" w:name="_Toc428399239"/>
      <w:r w:rsidRPr="00053C90">
        <w:rPr>
          <w:lang w:val="en-US"/>
        </w:rPr>
        <w:t>O</w:t>
      </w:r>
      <w:r w:rsidR="003D5BF5" w:rsidRPr="00053C90">
        <w:rPr>
          <w:lang w:val="en-US"/>
        </w:rPr>
        <w:t>rdinary least squares</w:t>
      </w:r>
      <w:r w:rsidRPr="00053C90">
        <w:rPr>
          <w:lang w:val="en-US"/>
        </w:rPr>
        <w:t xml:space="preserve"> assumptions</w:t>
      </w:r>
      <w:bookmarkEnd w:id="40"/>
    </w:p>
    <w:p w:rsidR="001B062E" w:rsidRPr="00053C90" w:rsidRDefault="001B062E" w:rsidP="001B062E">
      <w:pPr>
        <w:spacing w:line="360" w:lineRule="auto"/>
        <w:rPr>
          <w:szCs w:val="24"/>
          <w:lang w:val="en-US"/>
        </w:rPr>
      </w:pPr>
      <w:r w:rsidRPr="00053C90">
        <w:rPr>
          <w:szCs w:val="24"/>
          <w:lang w:val="en-US"/>
        </w:rPr>
        <w:t>In order for the regression to be valid, a set of assumptions have to hold. For the regression to be valid, means that an</w:t>
      </w:r>
      <w:r w:rsidR="003D5BF5" w:rsidRPr="00053C90">
        <w:rPr>
          <w:szCs w:val="24"/>
          <w:lang w:val="en-US"/>
        </w:rPr>
        <w:t xml:space="preserve"> ordinary least squares</w:t>
      </w:r>
      <w:r w:rsidRPr="00053C90">
        <w:rPr>
          <w:szCs w:val="24"/>
          <w:lang w:val="en-US"/>
        </w:rPr>
        <w:t xml:space="preserve"> regression works as an efficient estimation model.</w:t>
      </w:r>
      <w:r w:rsidR="003D5BF5" w:rsidRPr="00053C90">
        <w:rPr>
          <w:rStyle w:val="FootnoteReference"/>
          <w:szCs w:val="24"/>
          <w:lang w:val="en-US"/>
        </w:rPr>
        <w:footnoteReference w:id="2"/>
      </w:r>
      <w:r w:rsidRPr="00053C90">
        <w:rPr>
          <w:szCs w:val="24"/>
          <w:lang w:val="en-US"/>
        </w:rPr>
        <w:t xml:space="preserve"> There are six assumptions, but according to Westerlund (2005), only the first five needs to be met in order for the regression to be valid. The last one, that the error terms are normally distributed is the one that do not have to be met. These assumptions along with the tests conducted to check if they hold and the possible remedies if an assumption is violated are presented below. Another aspect that is described is what could happen if these assumptions are violated and ignored.  </w:t>
      </w:r>
    </w:p>
    <w:p w:rsidR="001B062E" w:rsidRPr="00053C90" w:rsidRDefault="001B062E" w:rsidP="001B062E">
      <w:pPr>
        <w:pStyle w:val="ListParagraph"/>
        <w:numPr>
          <w:ilvl w:val="1"/>
          <w:numId w:val="25"/>
        </w:numPr>
        <w:spacing w:line="360" w:lineRule="auto"/>
        <w:rPr>
          <w:i/>
          <w:szCs w:val="24"/>
          <w:lang w:val="en-US"/>
        </w:rPr>
      </w:pPr>
      <w:r w:rsidRPr="00053C90">
        <w:rPr>
          <w:i/>
          <w:szCs w:val="24"/>
          <w:lang w:val="en-US"/>
        </w:rPr>
        <w:t xml:space="preserve">The dependent variable can be written as a linear function of an intercept, explanatory variables and an error term. </w:t>
      </w:r>
    </w:p>
    <w:p w:rsidR="001B062E" w:rsidRPr="00053C90" w:rsidRDefault="001B062E" w:rsidP="001B062E">
      <w:pPr>
        <w:spacing w:line="360" w:lineRule="auto"/>
        <w:rPr>
          <w:szCs w:val="24"/>
          <w:lang w:val="en-US"/>
        </w:rPr>
      </w:pPr>
      <w:r w:rsidRPr="00053C90">
        <w:rPr>
          <w:szCs w:val="24"/>
          <w:lang w:val="en-US"/>
        </w:rPr>
        <w:t>The linear function could be formulated as such:</w:t>
      </w:r>
      <w:r w:rsidRPr="00053C90">
        <w:rPr>
          <w:b/>
          <w:szCs w:val="24"/>
          <w:lang w:val="en-US"/>
        </w:rPr>
        <w:t xml:space="preserve"> </w:t>
      </w:r>
      <m:oMath>
        <m:r>
          <w:rPr>
            <w:rFonts w:ascii="Cambria Math" w:hAnsi="Cambria Math"/>
            <w:szCs w:val="24"/>
            <w:lang w:val="en-US"/>
          </w:rPr>
          <m:t xml:space="preserve">y=α+ </m:t>
        </m:r>
        <m:sSub>
          <m:sSubPr>
            <m:ctrlPr>
              <w:rPr>
                <w:rFonts w:ascii="Cambria Math" w:hAnsi="Cambria Math"/>
                <w:szCs w:val="24"/>
                <w:lang w:val="en-US"/>
              </w:rPr>
            </m:ctrlPr>
          </m:sSubPr>
          <m:e>
            <m:r>
              <w:rPr>
                <w:rFonts w:ascii="Cambria Math" w:hAnsi="Cambria Math"/>
                <w:szCs w:val="24"/>
                <w:lang w:val="en-US"/>
              </w:rPr>
              <m:t>bx</m:t>
            </m:r>
          </m:e>
          <m:sub>
            <m:r>
              <w:rPr>
                <w:rFonts w:ascii="Cambria Math" w:hAnsi="Cambria Math"/>
                <w:szCs w:val="24"/>
                <w:lang w:val="en-US"/>
              </w:rPr>
              <m:t>i</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u</m:t>
            </m:r>
          </m:e>
          <m:sub>
            <m:r>
              <w:rPr>
                <w:rFonts w:ascii="Cambria Math" w:hAnsi="Cambria Math"/>
                <w:szCs w:val="24"/>
                <w:lang w:val="en-US"/>
              </w:rPr>
              <m:t>i</m:t>
            </m:r>
          </m:sub>
        </m:sSub>
      </m:oMath>
    </w:p>
    <w:p w:rsidR="001B062E" w:rsidRPr="00053C90" w:rsidRDefault="001B062E" w:rsidP="001B062E">
      <w:pPr>
        <w:spacing w:line="360" w:lineRule="auto"/>
        <w:rPr>
          <w:szCs w:val="24"/>
          <w:lang w:val="en-US"/>
        </w:rPr>
      </w:pPr>
      <w:r w:rsidRPr="00053C90">
        <w:rPr>
          <w:szCs w:val="24"/>
          <w:lang w:val="en-US"/>
        </w:rPr>
        <w:t>There is a test called Ramsey’s RESET-test, that checks if assumption one is violated. The null hypothesis of this test is that the regr</w:t>
      </w:r>
      <w:r w:rsidR="008F7B82">
        <w:rPr>
          <w:szCs w:val="24"/>
          <w:lang w:val="en-US"/>
        </w:rPr>
        <w:t xml:space="preserve">ession is correctly specified. According to the tests, presented in appendix </w:t>
      </w:r>
      <w:r w:rsidR="0058530F">
        <w:rPr>
          <w:szCs w:val="24"/>
          <w:lang w:val="en-US"/>
        </w:rPr>
        <w:t xml:space="preserve">1 </w:t>
      </w:r>
      <w:r w:rsidR="00AF1D23">
        <w:rPr>
          <w:szCs w:val="24"/>
          <w:lang w:val="en-US"/>
        </w:rPr>
        <w:t>A</w:t>
      </w:r>
      <w:r w:rsidR="008F7B82">
        <w:rPr>
          <w:szCs w:val="24"/>
          <w:lang w:val="en-US"/>
        </w:rPr>
        <w:t>3.1, this assumption holds for all tested regressions.</w:t>
      </w:r>
    </w:p>
    <w:p w:rsidR="001B062E" w:rsidRPr="00053C90" w:rsidRDefault="001B062E" w:rsidP="001B062E">
      <w:pPr>
        <w:pStyle w:val="ListParagraph"/>
        <w:numPr>
          <w:ilvl w:val="1"/>
          <w:numId w:val="25"/>
        </w:numPr>
        <w:spacing w:line="360" w:lineRule="auto"/>
        <w:rPr>
          <w:i/>
          <w:szCs w:val="24"/>
          <w:lang w:val="en-US"/>
        </w:rPr>
      </w:pPr>
      <w:r w:rsidRPr="00053C90">
        <w:rPr>
          <w:i/>
          <w:szCs w:val="24"/>
          <w:lang w:val="en-US"/>
        </w:rPr>
        <w:t>E(u</w:t>
      </w:r>
      <w:r w:rsidRPr="00053C90">
        <w:rPr>
          <w:i/>
          <w:szCs w:val="24"/>
          <w:vertAlign w:val="subscript"/>
          <w:lang w:val="en-US"/>
        </w:rPr>
        <w:t>t</w:t>
      </w:r>
      <w:r w:rsidRPr="00053C90">
        <w:rPr>
          <w:i/>
          <w:szCs w:val="24"/>
          <w:lang w:val="en-US"/>
        </w:rPr>
        <w:t>) = 0</w:t>
      </w:r>
    </w:p>
    <w:p w:rsidR="001B062E" w:rsidRDefault="001B062E" w:rsidP="001B062E">
      <w:pPr>
        <w:spacing w:line="360" w:lineRule="auto"/>
        <w:rPr>
          <w:szCs w:val="24"/>
          <w:lang w:val="en-US"/>
        </w:rPr>
      </w:pPr>
      <w:r w:rsidRPr="00053C90">
        <w:rPr>
          <w:szCs w:val="24"/>
          <w:lang w:val="en-US"/>
        </w:rPr>
        <w:t xml:space="preserve">This assumption means that the expected value of the error terms or residuals is zero. It is impossible to violate this assumption if a constant is included (Brooks, 2008). Since every regression used in this study have a constant, a test to examine this assumption is not necessary. </w:t>
      </w:r>
    </w:p>
    <w:p w:rsidR="0062387A" w:rsidRPr="00053C90" w:rsidRDefault="0062387A" w:rsidP="001B062E">
      <w:pPr>
        <w:spacing w:line="360" w:lineRule="auto"/>
        <w:rPr>
          <w:szCs w:val="24"/>
          <w:lang w:val="en-US"/>
        </w:rPr>
      </w:pPr>
    </w:p>
    <w:p w:rsidR="001B062E" w:rsidRPr="00053C90" w:rsidRDefault="001B062E" w:rsidP="001B062E">
      <w:pPr>
        <w:pStyle w:val="ListParagraph"/>
        <w:numPr>
          <w:ilvl w:val="1"/>
          <w:numId w:val="25"/>
        </w:numPr>
        <w:spacing w:line="360" w:lineRule="auto"/>
        <w:rPr>
          <w:i/>
          <w:szCs w:val="24"/>
          <w:lang w:val="en-US"/>
        </w:rPr>
      </w:pPr>
      <w:r w:rsidRPr="00053C90">
        <w:rPr>
          <w:i/>
          <w:szCs w:val="24"/>
          <w:lang w:val="en-US"/>
        </w:rPr>
        <w:t>Var(u</w:t>
      </w:r>
      <w:r w:rsidRPr="00053C90">
        <w:rPr>
          <w:i/>
          <w:szCs w:val="24"/>
          <w:vertAlign w:val="subscript"/>
          <w:lang w:val="en-US"/>
        </w:rPr>
        <w:t>t</w:t>
      </w:r>
      <w:r w:rsidRPr="00053C90">
        <w:rPr>
          <w:i/>
          <w:szCs w:val="24"/>
          <w:lang w:val="en-US"/>
        </w:rPr>
        <w:t>) = σ</w:t>
      </w:r>
      <w:r w:rsidRPr="00053C90">
        <w:rPr>
          <w:i/>
          <w:szCs w:val="24"/>
          <w:vertAlign w:val="superscript"/>
          <w:lang w:val="en-US"/>
        </w:rPr>
        <w:t>2</w:t>
      </w:r>
      <w:r w:rsidRPr="00053C90">
        <w:rPr>
          <w:i/>
          <w:szCs w:val="24"/>
          <w:lang w:val="en-US"/>
        </w:rPr>
        <w:t xml:space="preserve"> &lt; ∞</w:t>
      </w:r>
    </w:p>
    <w:p w:rsidR="001B062E" w:rsidRPr="00053C90" w:rsidRDefault="001B062E" w:rsidP="001B062E">
      <w:pPr>
        <w:spacing w:line="360" w:lineRule="auto"/>
        <w:rPr>
          <w:szCs w:val="24"/>
          <w:lang w:val="en-US"/>
        </w:rPr>
      </w:pPr>
      <w:r w:rsidRPr="00053C90">
        <w:rPr>
          <w:szCs w:val="24"/>
          <w:lang w:val="en-US"/>
        </w:rPr>
        <w:t>A problem of heteroscedasticity can occur if assumption 3 is violated. Heteroscedasticity means that the variance of the error terms is not constant and finite over all values of X. If the error terms are heteroscedastic, a problem of incorrect standard errors can incur. This can lead to false inference, which means that ei</w:t>
      </w:r>
      <w:r w:rsidR="00D13EE4">
        <w:rPr>
          <w:szCs w:val="24"/>
          <w:lang w:val="en-US"/>
        </w:rPr>
        <w:t>ther type I or type II that are</w:t>
      </w:r>
      <w:r w:rsidRPr="00053C90">
        <w:rPr>
          <w:szCs w:val="24"/>
          <w:lang w:val="en-US"/>
        </w:rPr>
        <w:t xml:space="preserve"> explained in </w:t>
      </w:r>
      <w:r w:rsidR="009F7B44" w:rsidRPr="00053C90">
        <w:rPr>
          <w:szCs w:val="24"/>
          <w:lang w:val="en-US"/>
        </w:rPr>
        <w:t>section 3.3</w:t>
      </w:r>
      <w:r w:rsidRPr="00053C90">
        <w:rPr>
          <w:szCs w:val="24"/>
          <w:lang w:val="en-US"/>
        </w:rPr>
        <w:t xml:space="preserve"> can incur (Brooks, 2008). To detect this, a Breusch-Pagan-Godfrey test is conducted. This has a null hypothesis stating that no heteroscedasticity exists, and that no adjustments for this need to be made. As can be seen in </w:t>
      </w:r>
      <w:r w:rsidR="009F7B44" w:rsidRPr="00053C90">
        <w:rPr>
          <w:szCs w:val="24"/>
          <w:lang w:val="en-US"/>
        </w:rPr>
        <w:t>appendix</w:t>
      </w:r>
      <w:r w:rsidR="0058530F">
        <w:rPr>
          <w:szCs w:val="24"/>
          <w:lang w:val="en-US"/>
        </w:rPr>
        <w:t xml:space="preserve"> 1</w:t>
      </w:r>
      <w:r w:rsidR="00631283" w:rsidRPr="00053C90">
        <w:rPr>
          <w:szCs w:val="24"/>
          <w:lang w:val="en-US"/>
        </w:rPr>
        <w:t xml:space="preserve"> </w:t>
      </w:r>
      <w:r w:rsidR="0058530F">
        <w:rPr>
          <w:szCs w:val="24"/>
          <w:lang w:val="en-US"/>
        </w:rPr>
        <w:t>A</w:t>
      </w:r>
      <w:r w:rsidR="00631283" w:rsidRPr="00053C90">
        <w:rPr>
          <w:szCs w:val="24"/>
          <w:lang w:val="en-US"/>
        </w:rPr>
        <w:t>3.2</w:t>
      </w:r>
      <w:r w:rsidRPr="00053C90">
        <w:rPr>
          <w:szCs w:val="24"/>
          <w:lang w:val="en-US"/>
        </w:rPr>
        <w:t xml:space="preserve">, this is the case on all variables except one, the dummy variable examining if a </w:t>
      </w:r>
      <w:r w:rsidR="00937744" w:rsidRPr="00053C90">
        <w:rPr>
          <w:szCs w:val="24"/>
          <w:lang w:val="en-US"/>
        </w:rPr>
        <w:t>cross-border</w:t>
      </w:r>
      <w:r w:rsidRPr="00053C90">
        <w:rPr>
          <w:szCs w:val="24"/>
          <w:lang w:val="en-US"/>
        </w:rPr>
        <w:t xml:space="preserve"> transaction affects operating performance after 12 months. But since it is only significant on 10% level and more importantly no conclusions are drawn based on this variable, no </w:t>
      </w:r>
      <w:r w:rsidR="002B3029" w:rsidRPr="00053C90">
        <w:rPr>
          <w:szCs w:val="24"/>
          <w:lang w:val="en-US"/>
        </w:rPr>
        <w:t>consideration to this result is</w:t>
      </w:r>
      <w:r w:rsidRPr="00053C90">
        <w:rPr>
          <w:szCs w:val="24"/>
          <w:lang w:val="en-US"/>
        </w:rPr>
        <w:t xml:space="preserve"> taken.</w:t>
      </w:r>
    </w:p>
    <w:p w:rsidR="001B062E" w:rsidRPr="00053C90" w:rsidRDefault="001B062E" w:rsidP="001B062E">
      <w:pPr>
        <w:pStyle w:val="ListParagraph"/>
        <w:numPr>
          <w:ilvl w:val="1"/>
          <w:numId w:val="25"/>
        </w:numPr>
        <w:spacing w:line="360" w:lineRule="auto"/>
        <w:rPr>
          <w:i/>
          <w:szCs w:val="24"/>
          <w:lang w:val="en-US"/>
        </w:rPr>
      </w:pPr>
      <w:r w:rsidRPr="00053C90">
        <w:rPr>
          <w:b/>
          <w:szCs w:val="24"/>
          <w:lang w:val="en-US"/>
        </w:rPr>
        <w:t xml:space="preserve"> </w:t>
      </w:r>
      <w:r w:rsidR="00385BF9">
        <w:rPr>
          <w:i/>
          <w:szCs w:val="24"/>
          <w:lang w:val="en-US"/>
        </w:rPr>
        <w:t>Cov</w:t>
      </w:r>
      <w:r w:rsidRPr="00053C90">
        <w:rPr>
          <w:i/>
          <w:szCs w:val="24"/>
          <w:lang w:val="en-US"/>
        </w:rPr>
        <w:t>(u</w:t>
      </w:r>
      <w:r w:rsidRPr="00053C90">
        <w:rPr>
          <w:i/>
          <w:szCs w:val="24"/>
          <w:vertAlign w:val="subscript"/>
          <w:lang w:val="en-US"/>
        </w:rPr>
        <w:t xml:space="preserve">i </w:t>
      </w:r>
      <w:r w:rsidRPr="00053C90">
        <w:rPr>
          <w:i/>
          <w:szCs w:val="24"/>
          <w:lang w:val="en-US"/>
        </w:rPr>
        <w:t>,</w:t>
      </w:r>
      <w:r w:rsidRPr="00053C90">
        <w:rPr>
          <w:i/>
          <w:szCs w:val="24"/>
          <w:vertAlign w:val="subscript"/>
          <w:lang w:val="en-US"/>
        </w:rPr>
        <w:t xml:space="preserve"> </w:t>
      </w:r>
      <w:r w:rsidRPr="00053C90">
        <w:rPr>
          <w:i/>
          <w:szCs w:val="24"/>
          <w:lang w:val="en-US"/>
        </w:rPr>
        <w:t>u</w:t>
      </w:r>
      <w:r w:rsidRPr="00053C90">
        <w:rPr>
          <w:i/>
          <w:szCs w:val="24"/>
          <w:vertAlign w:val="subscript"/>
          <w:lang w:val="en-US"/>
        </w:rPr>
        <w:t>j</w:t>
      </w:r>
      <w:r w:rsidRPr="00053C90">
        <w:rPr>
          <w:i/>
          <w:szCs w:val="24"/>
          <w:lang w:val="en-US"/>
        </w:rPr>
        <w:t>) = 0</w:t>
      </w:r>
    </w:p>
    <w:p w:rsidR="001B062E" w:rsidRPr="00053C90" w:rsidRDefault="001B062E" w:rsidP="001B062E">
      <w:pPr>
        <w:spacing w:line="360" w:lineRule="auto"/>
        <w:rPr>
          <w:szCs w:val="24"/>
          <w:lang w:val="en-US"/>
        </w:rPr>
      </w:pPr>
      <w:r w:rsidRPr="00053C90">
        <w:rPr>
          <w:szCs w:val="24"/>
          <w:lang w:val="en-US"/>
        </w:rPr>
        <w:t>The fourth assumption states that the error terms should not be correlated. Violation of this assumption is called autocorrelation and can lead to the same problems as violation of assumption three can, wrong standard errors and incorrect inference. A common way to test for autocorrelation is the Breusch-Godfrey test, which has a null hypothesis</w:t>
      </w:r>
      <w:r w:rsidR="00631283" w:rsidRPr="00053C90">
        <w:rPr>
          <w:szCs w:val="24"/>
          <w:lang w:val="en-US"/>
        </w:rPr>
        <w:t xml:space="preserve"> of no autocorrelation (Brooks, </w:t>
      </w:r>
      <w:r w:rsidRPr="00053C90">
        <w:rPr>
          <w:szCs w:val="24"/>
          <w:lang w:val="en-US"/>
        </w:rPr>
        <w:t xml:space="preserve">2008). In this study no autocorrelation is found, since all the tests retain the null hypothesis. These tests can be found in </w:t>
      </w:r>
      <w:r w:rsidR="00631283" w:rsidRPr="00053C90">
        <w:rPr>
          <w:szCs w:val="24"/>
          <w:lang w:val="en-US"/>
        </w:rPr>
        <w:t>appendix</w:t>
      </w:r>
      <w:r w:rsidR="0058530F">
        <w:rPr>
          <w:szCs w:val="24"/>
          <w:lang w:val="en-US"/>
        </w:rPr>
        <w:t xml:space="preserve"> 1</w:t>
      </w:r>
      <w:r w:rsidR="00631283" w:rsidRPr="00053C90">
        <w:rPr>
          <w:szCs w:val="24"/>
          <w:lang w:val="en-US"/>
        </w:rPr>
        <w:t xml:space="preserve"> </w:t>
      </w:r>
      <w:r w:rsidR="0058530F">
        <w:rPr>
          <w:szCs w:val="24"/>
          <w:lang w:val="en-US"/>
        </w:rPr>
        <w:t>A</w:t>
      </w:r>
      <w:r w:rsidR="00631283" w:rsidRPr="00053C90">
        <w:rPr>
          <w:szCs w:val="24"/>
          <w:lang w:val="en-US"/>
        </w:rPr>
        <w:t>3.3.</w:t>
      </w:r>
    </w:p>
    <w:p w:rsidR="001B062E" w:rsidRPr="00053C90" w:rsidRDefault="001B062E" w:rsidP="001B062E">
      <w:pPr>
        <w:pStyle w:val="ListParagraph"/>
        <w:numPr>
          <w:ilvl w:val="1"/>
          <w:numId w:val="25"/>
        </w:numPr>
        <w:spacing w:line="360" w:lineRule="auto"/>
        <w:rPr>
          <w:i/>
          <w:szCs w:val="24"/>
          <w:lang w:val="en-US"/>
        </w:rPr>
      </w:pPr>
      <w:r w:rsidRPr="00053C90">
        <w:rPr>
          <w:i/>
          <w:szCs w:val="24"/>
          <w:lang w:val="en-US"/>
        </w:rPr>
        <w:t xml:space="preserve"> Multicollinearity</w:t>
      </w:r>
    </w:p>
    <w:p w:rsidR="001B062E" w:rsidRPr="00053C90" w:rsidRDefault="001B062E" w:rsidP="001B062E">
      <w:pPr>
        <w:spacing w:line="360" w:lineRule="auto"/>
        <w:rPr>
          <w:szCs w:val="24"/>
          <w:lang w:val="en-US"/>
        </w:rPr>
      </w:pPr>
      <w:r w:rsidRPr="00053C90">
        <w:rPr>
          <w:szCs w:val="24"/>
          <w:lang w:val="en-US"/>
        </w:rPr>
        <w:t xml:space="preserve">Violation of the fifth assumption is called multicollinearity. This occurs if there is a high correlation between two or more of the explanatory variables. For example, the problem would be present in this study if market-to-book and the size of a company were highly correlated. Multicollinearity can affect the standard errors and provide incorrect inference. To test for this a correlation matrix between all the explanatory variables is used. A correlation above 0.8 is used as a rule of thumb for multicollinearity (Brooks, 2008). As can be seen in </w:t>
      </w:r>
      <w:r w:rsidR="00631283" w:rsidRPr="00053C90">
        <w:rPr>
          <w:szCs w:val="24"/>
          <w:lang w:val="en-US"/>
        </w:rPr>
        <w:t>appendix</w:t>
      </w:r>
      <w:r w:rsidR="0058530F">
        <w:rPr>
          <w:szCs w:val="24"/>
          <w:lang w:val="en-US"/>
        </w:rPr>
        <w:t xml:space="preserve"> 1</w:t>
      </w:r>
      <w:r w:rsidR="00631283" w:rsidRPr="00053C90">
        <w:rPr>
          <w:szCs w:val="24"/>
          <w:lang w:val="en-US"/>
        </w:rPr>
        <w:t xml:space="preserve"> </w:t>
      </w:r>
      <w:r w:rsidR="0058530F">
        <w:rPr>
          <w:szCs w:val="24"/>
          <w:lang w:val="en-US"/>
        </w:rPr>
        <w:t>A</w:t>
      </w:r>
      <w:r w:rsidR="00631283" w:rsidRPr="00053C90">
        <w:rPr>
          <w:szCs w:val="24"/>
          <w:lang w:val="en-US"/>
        </w:rPr>
        <w:t>3.4</w:t>
      </w:r>
      <w:r w:rsidRPr="00053C90">
        <w:rPr>
          <w:szCs w:val="24"/>
          <w:lang w:val="en-US"/>
        </w:rPr>
        <w:t xml:space="preserve">, no signs of multicollinearity can be detected. </w:t>
      </w:r>
    </w:p>
    <w:p w:rsidR="001B062E" w:rsidRPr="00053C90" w:rsidRDefault="001B062E" w:rsidP="001B062E">
      <w:pPr>
        <w:pStyle w:val="ListParagraph"/>
        <w:numPr>
          <w:ilvl w:val="1"/>
          <w:numId w:val="25"/>
        </w:numPr>
        <w:spacing w:line="360" w:lineRule="auto"/>
        <w:rPr>
          <w:i/>
          <w:szCs w:val="24"/>
          <w:lang w:val="en-US"/>
        </w:rPr>
      </w:pPr>
      <w:r w:rsidRPr="00053C90">
        <w:rPr>
          <w:i/>
          <w:szCs w:val="24"/>
          <w:lang w:val="en-US"/>
        </w:rPr>
        <w:t xml:space="preserve"> u</w:t>
      </w:r>
      <w:r w:rsidRPr="00053C90">
        <w:rPr>
          <w:i/>
          <w:szCs w:val="24"/>
          <w:vertAlign w:val="subscript"/>
          <w:lang w:val="en-US"/>
        </w:rPr>
        <w:t>t</w:t>
      </w:r>
      <w:r w:rsidRPr="00053C90">
        <w:rPr>
          <w:i/>
          <w:szCs w:val="24"/>
          <w:lang w:val="en-US"/>
        </w:rPr>
        <w:t xml:space="preserve"> ~ N(0, σ</w:t>
      </w:r>
      <w:r w:rsidRPr="00053C90">
        <w:rPr>
          <w:i/>
          <w:szCs w:val="24"/>
          <w:vertAlign w:val="superscript"/>
          <w:lang w:val="en-US"/>
        </w:rPr>
        <w:t>2</w:t>
      </w:r>
      <w:r w:rsidRPr="00053C90">
        <w:rPr>
          <w:i/>
          <w:szCs w:val="24"/>
          <w:lang w:val="en-US"/>
        </w:rPr>
        <w:t>)</w:t>
      </w:r>
    </w:p>
    <w:p w:rsidR="001B062E" w:rsidRDefault="001B062E" w:rsidP="001B062E">
      <w:pPr>
        <w:spacing w:line="360" w:lineRule="auto"/>
        <w:rPr>
          <w:szCs w:val="24"/>
          <w:lang w:val="en-US"/>
        </w:rPr>
      </w:pPr>
      <w:r w:rsidRPr="00053C90">
        <w:rPr>
          <w:szCs w:val="24"/>
          <w:lang w:val="en-US"/>
        </w:rPr>
        <w:t>Assumption six states that the error terms are normally distributed. Westerlund (2005) claims that OLS regressions still are valid, even if this assumption is violated. To check if the error terms are normally distrib</w:t>
      </w:r>
      <w:r w:rsidR="00D13EE4">
        <w:rPr>
          <w:szCs w:val="24"/>
          <w:lang w:val="en-US"/>
        </w:rPr>
        <w:t>uted, a Jarqeue-Bera test is</w:t>
      </w:r>
      <w:r w:rsidRPr="00053C90">
        <w:rPr>
          <w:szCs w:val="24"/>
          <w:lang w:val="en-US"/>
        </w:rPr>
        <w:t xml:space="preserve"> conducted. The null hypothesis in this states that the error terms are normally distributed. As can be seen in in </w:t>
      </w:r>
      <w:r w:rsidR="00631283" w:rsidRPr="00053C90">
        <w:rPr>
          <w:szCs w:val="24"/>
          <w:lang w:val="en-US"/>
        </w:rPr>
        <w:t>appendix</w:t>
      </w:r>
      <w:r w:rsidR="0058530F">
        <w:rPr>
          <w:szCs w:val="24"/>
          <w:lang w:val="en-US"/>
        </w:rPr>
        <w:t xml:space="preserve"> 1</w:t>
      </w:r>
      <w:r w:rsidR="00631283" w:rsidRPr="00053C90">
        <w:rPr>
          <w:szCs w:val="24"/>
          <w:lang w:val="en-US"/>
        </w:rPr>
        <w:t xml:space="preserve"> </w:t>
      </w:r>
      <w:r w:rsidR="0058530F">
        <w:rPr>
          <w:szCs w:val="24"/>
          <w:lang w:val="en-US"/>
        </w:rPr>
        <w:t>A</w:t>
      </w:r>
      <w:r w:rsidR="00631283" w:rsidRPr="00053C90">
        <w:rPr>
          <w:szCs w:val="24"/>
          <w:lang w:val="en-US"/>
        </w:rPr>
        <w:t xml:space="preserve">3.5, </w:t>
      </w:r>
      <w:r w:rsidRPr="00053C90">
        <w:rPr>
          <w:szCs w:val="24"/>
          <w:lang w:val="en-US"/>
        </w:rPr>
        <w:t xml:space="preserve">the error terms are normally distributed for stock performance after 12 and 24 months and accounting performance after 36 months, but the error terms of stock performance after 36 months and accounting performance after 12 and 24 months are not. A way to mitigate this is to winsorize the observations as described in section </w:t>
      </w:r>
      <w:r w:rsidR="00631283" w:rsidRPr="00053C90">
        <w:rPr>
          <w:szCs w:val="24"/>
          <w:lang w:val="en-US"/>
        </w:rPr>
        <w:t>3.5.3</w:t>
      </w:r>
      <w:r w:rsidRPr="00053C90">
        <w:rPr>
          <w:szCs w:val="24"/>
          <w:lang w:val="en-US"/>
        </w:rPr>
        <w:t xml:space="preserve">. Since this is already done, combined with the fact that this assumption does not have to hold leads to no further adjustments in order to reach normally distributed error terms for all variables. Below, a summary of </w:t>
      </w:r>
      <w:r w:rsidR="00D13EE4">
        <w:rPr>
          <w:szCs w:val="24"/>
          <w:lang w:val="en-US"/>
        </w:rPr>
        <w:t>the test results are presented.</w:t>
      </w:r>
    </w:p>
    <w:p w:rsidR="00E13749" w:rsidRPr="00E13749" w:rsidRDefault="00E13749" w:rsidP="00E13749">
      <w:pPr>
        <w:spacing w:line="360" w:lineRule="auto"/>
        <w:jc w:val="center"/>
        <w:rPr>
          <w:i/>
          <w:sz w:val="20"/>
          <w:szCs w:val="20"/>
          <w:lang w:val="en-US"/>
        </w:rPr>
      </w:pPr>
      <w:r w:rsidRPr="00053C90">
        <w:rPr>
          <w:i/>
          <w:sz w:val="20"/>
          <w:szCs w:val="20"/>
          <w:lang w:val="en-US"/>
        </w:rPr>
        <w:t>Table 3.3 Summary of tests on assumptions.</w:t>
      </w:r>
    </w:p>
    <w:tbl>
      <w:tblPr>
        <w:tblW w:w="9072" w:type="dxa"/>
        <w:tblInd w:w="-5" w:type="dxa"/>
        <w:tblLayout w:type="fixed"/>
        <w:tblLook w:val="04A0" w:firstRow="1" w:lastRow="0" w:firstColumn="1" w:lastColumn="0" w:noHBand="0" w:noVBand="1"/>
      </w:tblPr>
      <w:tblGrid>
        <w:gridCol w:w="2250"/>
        <w:gridCol w:w="1350"/>
        <w:gridCol w:w="973"/>
        <w:gridCol w:w="973"/>
        <w:gridCol w:w="973"/>
        <w:gridCol w:w="851"/>
        <w:gridCol w:w="851"/>
        <w:gridCol w:w="851"/>
      </w:tblGrid>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Assumptions</w:t>
            </w:r>
          </w:p>
        </w:tc>
        <w:tc>
          <w:tcPr>
            <w:tcW w:w="1350"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Statistical T-test</w:t>
            </w:r>
          </w:p>
        </w:tc>
        <w:tc>
          <w:tcPr>
            <w:tcW w:w="973"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BHAR 12</w:t>
            </w:r>
          </w:p>
        </w:tc>
        <w:tc>
          <w:tcPr>
            <w:tcW w:w="973"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BHAR 24</w:t>
            </w:r>
          </w:p>
        </w:tc>
        <w:tc>
          <w:tcPr>
            <w:tcW w:w="973"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BHAR 36</w:t>
            </w:r>
          </w:p>
        </w:tc>
        <w:tc>
          <w:tcPr>
            <w:tcW w:w="851"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ROA 12</w:t>
            </w:r>
          </w:p>
        </w:tc>
        <w:tc>
          <w:tcPr>
            <w:tcW w:w="851" w:type="dxa"/>
            <w:tcBorders>
              <w:top w:val="single" w:sz="4" w:space="0" w:color="9BC2E6"/>
              <w:left w:val="nil"/>
              <w:bottom w:val="single" w:sz="4" w:space="0" w:color="9BC2E6"/>
              <w:right w:val="nil"/>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ROA 24</w:t>
            </w:r>
          </w:p>
        </w:tc>
        <w:tc>
          <w:tcPr>
            <w:tcW w:w="851" w:type="dxa"/>
            <w:tcBorders>
              <w:top w:val="single" w:sz="4" w:space="0" w:color="9BC2E6"/>
              <w:left w:val="nil"/>
              <w:bottom w:val="single" w:sz="4" w:space="0" w:color="9BC2E6"/>
              <w:right w:val="single" w:sz="4" w:space="0" w:color="9BC2E6"/>
            </w:tcBorders>
            <w:shd w:val="clear" w:color="5B9BD5" w:fill="5B9BD5"/>
            <w:noWrap/>
            <w:vAlign w:val="bottom"/>
            <w:hideMark/>
          </w:tcPr>
          <w:p w:rsidR="001B062E" w:rsidRPr="00053C90" w:rsidRDefault="001B062E" w:rsidP="0002738A">
            <w:pPr>
              <w:spacing w:after="0" w:line="240" w:lineRule="auto"/>
              <w:jc w:val="center"/>
              <w:rPr>
                <w:rFonts w:eastAsia="Times New Roman"/>
                <w:b/>
                <w:bCs/>
                <w:color w:val="FFFFFF"/>
                <w:sz w:val="22"/>
                <w:lang w:val="en-US"/>
              </w:rPr>
            </w:pPr>
            <w:r w:rsidRPr="00053C90">
              <w:rPr>
                <w:rFonts w:eastAsia="Times New Roman"/>
                <w:b/>
                <w:bCs/>
                <w:color w:val="FFFFFF"/>
                <w:sz w:val="22"/>
                <w:lang w:val="en-US"/>
              </w:rPr>
              <w:t>ROA 36</w:t>
            </w:r>
          </w:p>
        </w:tc>
      </w:tr>
      <w:tr w:rsidR="001B062E" w:rsidRPr="00053C90" w:rsidTr="0002738A">
        <w:trPr>
          <w:trHeight w:val="864"/>
        </w:trPr>
        <w:tc>
          <w:tcPr>
            <w:tcW w:w="2250" w:type="dxa"/>
            <w:tcBorders>
              <w:top w:val="single" w:sz="4" w:space="0" w:color="9BC2E6"/>
              <w:left w:val="single" w:sz="4" w:space="0" w:color="9BC2E6"/>
              <w:bottom w:val="single" w:sz="4" w:space="0" w:color="9BC2E6"/>
              <w:right w:val="nil"/>
            </w:tcBorders>
            <w:shd w:val="clear" w:color="DDEBF7" w:fill="DDEBF7"/>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 xml:space="preserve">1. Modell is linear in its parameters and correctly specified </w:t>
            </w:r>
          </w:p>
        </w:tc>
        <w:tc>
          <w:tcPr>
            <w:tcW w:w="1350"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Ramsey´s RESET</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single" w:sz="4" w:space="0" w:color="9BC2E6"/>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auto" w:fill="auto"/>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2. E(u</w:t>
            </w:r>
            <w:r w:rsidRPr="00053C90">
              <w:rPr>
                <w:rFonts w:eastAsia="Times New Roman"/>
                <w:color w:val="000000"/>
                <w:sz w:val="22"/>
                <w:vertAlign w:val="subscript"/>
                <w:lang w:val="en-US"/>
              </w:rPr>
              <w:t>t</w:t>
            </w:r>
            <w:r w:rsidRPr="00053C90">
              <w:rPr>
                <w:rFonts w:eastAsia="Times New Roman"/>
                <w:color w:val="000000"/>
                <w:sz w:val="22"/>
                <w:lang w:val="en-US"/>
              </w:rPr>
              <w:t>) = 0</w:t>
            </w:r>
          </w:p>
        </w:tc>
        <w:tc>
          <w:tcPr>
            <w:tcW w:w="1350"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No test necessary</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single" w:sz="4" w:space="0" w:color="9BC2E6"/>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DDEBF7" w:fill="DDEBF7"/>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3. Var(u</w:t>
            </w:r>
            <w:r w:rsidRPr="00053C90">
              <w:rPr>
                <w:rFonts w:eastAsia="Times New Roman"/>
                <w:color w:val="000000"/>
                <w:sz w:val="22"/>
                <w:vertAlign w:val="subscript"/>
                <w:lang w:val="en-US"/>
              </w:rPr>
              <w:t>t</w:t>
            </w:r>
            <w:r w:rsidRPr="00053C90">
              <w:rPr>
                <w:rFonts w:eastAsia="Times New Roman"/>
                <w:color w:val="000000"/>
                <w:sz w:val="22"/>
                <w:lang w:val="en-US"/>
              </w:rPr>
              <w:t>) = σ2 &lt; ∞</w:t>
            </w:r>
          </w:p>
        </w:tc>
        <w:tc>
          <w:tcPr>
            <w:tcW w:w="1350"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Breusch Pagan Godfrey</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single" w:sz="4" w:space="0" w:color="9BC2E6"/>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auto" w:fill="auto"/>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4. Cov (u</w:t>
            </w:r>
            <w:r w:rsidRPr="00053C90">
              <w:rPr>
                <w:rFonts w:eastAsia="Times New Roman"/>
                <w:color w:val="000000"/>
                <w:sz w:val="22"/>
                <w:vertAlign w:val="subscript"/>
                <w:lang w:val="en-US"/>
              </w:rPr>
              <w:t>i</w:t>
            </w:r>
            <w:r w:rsidRPr="00053C90">
              <w:rPr>
                <w:rFonts w:eastAsia="Times New Roman"/>
                <w:color w:val="000000"/>
                <w:sz w:val="22"/>
                <w:lang w:val="en-US"/>
              </w:rPr>
              <w:t>, u</w:t>
            </w:r>
            <w:r w:rsidRPr="00053C90">
              <w:rPr>
                <w:rFonts w:eastAsia="Times New Roman"/>
                <w:color w:val="000000"/>
                <w:sz w:val="22"/>
                <w:vertAlign w:val="subscript"/>
                <w:lang w:val="en-US"/>
              </w:rPr>
              <w:t>j</w:t>
            </w:r>
            <w:r w:rsidRPr="00053C90">
              <w:rPr>
                <w:rFonts w:eastAsia="Times New Roman"/>
                <w:color w:val="000000"/>
                <w:sz w:val="22"/>
                <w:lang w:val="en-US"/>
              </w:rPr>
              <w:t>) = 0</w:t>
            </w:r>
          </w:p>
        </w:tc>
        <w:tc>
          <w:tcPr>
            <w:tcW w:w="1350"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Breusch Godfrey</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single" w:sz="4" w:space="0" w:color="9BC2E6"/>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DDEBF7" w:fill="DDEBF7"/>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5. Multicollinearity</w:t>
            </w:r>
          </w:p>
        </w:tc>
        <w:tc>
          <w:tcPr>
            <w:tcW w:w="1350"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Correlation Matrix</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nil"/>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851" w:type="dxa"/>
            <w:tcBorders>
              <w:top w:val="single" w:sz="4" w:space="0" w:color="9BC2E6"/>
              <w:left w:val="nil"/>
              <w:bottom w:val="single" w:sz="4" w:space="0" w:color="9BC2E6"/>
              <w:right w:val="single" w:sz="4" w:space="0" w:color="9BC2E6"/>
            </w:tcBorders>
            <w:shd w:val="clear" w:color="DDEBF7" w:fill="DDEBF7"/>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r w:rsidR="001B062E" w:rsidRPr="00053C90" w:rsidTr="0002738A">
        <w:trPr>
          <w:trHeight w:val="288"/>
        </w:trPr>
        <w:tc>
          <w:tcPr>
            <w:tcW w:w="2250" w:type="dxa"/>
            <w:tcBorders>
              <w:top w:val="single" w:sz="4" w:space="0" w:color="9BC2E6"/>
              <w:left w:val="single" w:sz="4" w:space="0" w:color="9BC2E6"/>
              <w:bottom w:val="single" w:sz="4" w:space="0" w:color="9BC2E6"/>
              <w:right w:val="nil"/>
            </w:tcBorders>
            <w:shd w:val="clear" w:color="auto" w:fill="auto"/>
            <w:noWrap/>
            <w:hideMark/>
          </w:tcPr>
          <w:p w:rsidR="001B062E" w:rsidRPr="00053C90" w:rsidRDefault="001B062E" w:rsidP="0002738A">
            <w:pPr>
              <w:spacing w:after="0" w:line="240" w:lineRule="auto"/>
              <w:rPr>
                <w:rFonts w:eastAsia="Times New Roman"/>
                <w:color w:val="000000"/>
                <w:sz w:val="22"/>
                <w:lang w:val="en-US"/>
              </w:rPr>
            </w:pPr>
            <w:r w:rsidRPr="00053C90">
              <w:rPr>
                <w:rFonts w:eastAsia="Times New Roman"/>
                <w:color w:val="000000"/>
                <w:sz w:val="22"/>
                <w:lang w:val="en-US"/>
              </w:rPr>
              <w:t>6. u</w:t>
            </w:r>
            <w:r w:rsidRPr="00053C90">
              <w:rPr>
                <w:rFonts w:eastAsia="Times New Roman"/>
                <w:color w:val="000000"/>
                <w:sz w:val="22"/>
                <w:vertAlign w:val="subscript"/>
                <w:lang w:val="en-US"/>
              </w:rPr>
              <w:t>i</w:t>
            </w:r>
            <w:r w:rsidRPr="00053C90">
              <w:rPr>
                <w:rFonts w:eastAsia="Times New Roman"/>
                <w:color w:val="000000"/>
                <w:sz w:val="22"/>
                <w:lang w:val="en-US"/>
              </w:rPr>
              <w:t xml:space="preserve"> ~ N(0, σ</w:t>
            </w:r>
            <w:r w:rsidRPr="00053C90">
              <w:rPr>
                <w:rFonts w:eastAsia="Times New Roman"/>
                <w:color w:val="000000"/>
                <w:sz w:val="22"/>
                <w:vertAlign w:val="superscript"/>
                <w:lang w:val="en-US"/>
              </w:rPr>
              <w:t>2</w:t>
            </w:r>
            <w:r w:rsidRPr="00053C90">
              <w:rPr>
                <w:rFonts w:eastAsia="Times New Roman"/>
                <w:color w:val="000000"/>
                <w:sz w:val="22"/>
                <w:lang w:val="en-US"/>
              </w:rPr>
              <w:t>)</w:t>
            </w:r>
          </w:p>
        </w:tc>
        <w:tc>
          <w:tcPr>
            <w:tcW w:w="1350"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Jarque-Bera</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color w:val="000000"/>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c>
          <w:tcPr>
            <w:tcW w:w="973"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NO</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NO</w:t>
            </w:r>
          </w:p>
        </w:tc>
        <w:tc>
          <w:tcPr>
            <w:tcW w:w="851" w:type="dxa"/>
            <w:tcBorders>
              <w:top w:val="single" w:sz="4" w:space="0" w:color="9BC2E6"/>
              <w:left w:val="nil"/>
              <w:bottom w:val="single" w:sz="4" w:space="0" w:color="9BC2E6"/>
              <w:right w:val="nil"/>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NO</w:t>
            </w:r>
          </w:p>
        </w:tc>
        <w:tc>
          <w:tcPr>
            <w:tcW w:w="851" w:type="dxa"/>
            <w:tcBorders>
              <w:top w:val="single" w:sz="4" w:space="0" w:color="9BC2E6"/>
              <w:left w:val="nil"/>
              <w:bottom w:val="single" w:sz="4" w:space="0" w:color="9BC2E6"/>
              <w:right w:val="single" w:sz="4" w:space="0" w:color="9BC2E6"/>
            </w:tcBorders>
            <w:shd w:val="clear" w:color="auto" w:fill="auto"/>
            <w:noWrap/>
            <w:hideMark/>
          </w:tcPr>
          <w:p w:rsidR="001B062E" w:rsidRPr="00053C90" w:rsidRDefault="001B062E" w:rsidP="0002738A">
            <w:pPr>
              <w:spacing w:after="0" w:line="240" w:lineRule="auto"/>
              <w:jc w:val="center"/>
              <w:rPr>
                <w:rFonts w:eastAsia="Times New Roman"/>
                <w:sz w:val="22"/>
                <w:lang w:val="en-US"/>
              </w:rPr>
            </w:pPr>
            <w:r w:rsidRPr="00053C90">
              <w:rPr>
                <w:rFonts w:eastAsia="Times New Roman"/>
                <w:color w:val="000000"/>
                <w:sz w:val="22"/>
                <w:lang w:val="en-US"/>
              </w:rPr>
              <w:t>YES</w:t>
            </w:r>
          </w:p>
        </w:tc>
      </w:tr>
    </w:tbl>
    <w:p w:rsidR="001B062E" w:rsidRPr="00053C90" w:rsidRDefault="001B062E" w:rsidP="001B062E">
      <w:pPr>
        <w:pStyle w:val="ListParagraph"/>
        <w:spacing w:line="360" w:lineRule="auto"/>
        <w:ind w:left="360"/>
        <w:rPr>
          <w:szCs w:val="24"/>
          <w:lang w:val="en-US"/>
        </w:rPr>
      </w:pPr>
    </w:p>
    <w:p w:rsidR="001B062E" w:rsidRPr="00053C90" w:rsidRDefault="001B062E" w:rsidP="001B062E">
      <w:pPr>
        <w:pStyle w:val="Heading2"/>
        <w:numPr>
          <w:ilvl w:val="1"/>
          <w:numId w:val="2"/>
        </w:numPr>
        <w:rPr>
          <w:lang w:val="en-US"/>
        </w:rPr>
      </w:pPr>
      <w:bookmarkStart w:id="41" w:name="_Toc428399240"/>
      <w:r w:rsidRPr="00053C90">
        <w:rPr>
          <w:lang w:val="en-US"/>
        </w:rPr>
        <w:t>Reliability and validity</w:t>
      </w:r>
      <w:bookmarkEnd w:id="41"/>
    </w:p>
    <w:p w:rsidR="001B062E" w:rsidRPr="00053C90" w:rsidRDefault="001B062E" w:rsidP="001B062E">
      <w:pPr>
        <w:spacing w:line="360" w:lineRule="auto"/>
        <w:rPr>
          <w:szCs w:val="24"/>
          <w:lang w:val="en-US"/>
        </w:rPr>
      </w:pPr>
      <w:r w:rsidRPr="00053C90">
        <w:rPr>
          <w:szCs w:val="24"/>
          <w:lang w:val="en-US"/>
        </w:rPr>
        <w:t>Two concepts are important to take into consideration when evaluating research, validity and reliability. Validity concerns the question whether the research really measures what it is supposed to. The concept of reliability highlights the question regarding the possibility to repeat the results of a study when using the same methodology, i.e. if the results are stable or not (Bryman &amp; Bell, 2011).</w:t>
      </w:r>
    </w:p>
    <w:p w:rsidR="001B062E" w:rsidRPr="00053C90" w:rsidRDefault="001B062E" w:rsidP="001B062E">
      <w:pPr>
        <w:spacing w:line="360" w:lineRule="auto"/>
        <w:rPr>
          <w:szCs w:val="24"/>
          <w:lang w:val="en-US"/>
        </w:rPr>
      </w:pPr>
    </w:p>
    <w:p w:rsidR="001B062E" w:rsidRPr="00053C90" w:rsidRDefault="001B062E" w:rsidP="001B062E">
      <w:pPr>
        <w:pStyle w:val="Heading3"/>
        <w:numPr>
          <w:ilvl w:val="2"/>
          <w:numId w:val="2"/>
        </w:numPr>
        <w:rPr>
          <w:lang w:val="en-US"/>
        </w:rPr>
      </w:pPr>
      <w:bookmarkStart w:id="42" w:name="_Toc428399241"/>
      <w:r w:rsidRPr="00053C90">
        <w:rPr>
          <w:lang w:val="en-US"/>
        </w:rPr>
        <w:t>Validity</w:t>
      </w:r>
      <w:bookmarkEnd w:id="42"/>
      <w:r w:rsidRPr="00053C90">
        <w:rPr>
          <w:lang w:val="en-US"/>
        </w:rPr>
        <w:t xml:space="preserve"> </w:t>
      </w:r>
    </w:p>
    <w:p w:rsidR="001B062E" w:rsidRPr="00053C90" w:rsidRDefault="001B062E" w:rsidP="001B062E">
      <w:pPr>
        <w:spacing w:line="360" w:lineRule="auto"/>
        <w:rPr>
          <w:szCs w:val="24"/>
          <w:lang w:val="en-US"/>
        </w:rPr>
      </w:pPr>
      <w:r w:rsidRPr="00053C90">
        <w:rPr>
          <w:szCs w:val="24"/>
          <w:lang w:val="en-US"/>
        </w:rPr>
        <w:t xml:space="preserve">Validity is a concept with three different aspects, </w:t>
      </w:r>
      <w:r w:rsidRPr="00053C90">
        <w:rPr>
          <w:i/>
          <w:szCs w:val="24"/>
          <w:lang w:val="en-US"/>
        </w:rPr>
        <w:t>measurement</w:t>
      </w:r>
      <w:r w:rsidRPr="00053C90">
        <w:rPr>
          <w:szCs w:val="24"/>
          <w:lang w:val="en-US"/>
        </w:rPr>
        <w:t xml:space="preserve">, </w:t>
      </w:r>
      <w:r w:rsidRPr="00053C90">
        <w:rPr>
          <w:i/>
          <w:szCs w:val="24"/>
          <w:lang w:val="en-US"/>
        </w:rPr>
        <w:t>external</w:t>
      </w:r>
      <w:r w:rsidRPr="00053C90">
        <w:rPr>
          <w:szCs w:val="24"/>
          <w:lang w:val="en-US"/>
        </w:rPr>
        <w:t xml:space="preserve"> and </w:t>
      </w:r>
      <w:r w:rsidRPr="00053C90">
        <w:rPr>
          <w:i/>
          <w:szCs w:val="24"/>
          <w:lang w:val="en-US"/>
        </w:rPr>
        <w:t>internal</w:t>
      </w:r>
      <w:r w:rsidRPr="00053C90">
        <w:rPr>
          <w:szCs w:val="24"/>
          <w:lang w:val="en-US"/>
        </w:rPr>
        <w:t xml:space="preserve">. </w:t>
      </w:r>
      <w:r w:rsidRPr="00053C90">
        <w:rPr>
          <w:i/>
          <w:szCs w:val="24"/>
          <w:lang w:val="en-US"/>
        </w:rPr>
        <w:t>Measurement validity</w:t>
      </w:r>
      <w:r w:rsidRPr="00053C90">
        <w:rPr>
          <w:szCs w:val="24"/>
          <w:lang w:val="en-US"/>
        </w:rPr>
        <w:t xml:space="preserve"> highlights the question if the measures used in a study really represent what they are supposed to measure (Bryman &amp; Bell, 2011). This type of validity can be a problem in this study, both when examining market value of assets and the operating performance measure. The problem with market value of assets, is that one component of this metric is market value of debt, which is impossible to obtain since a portion of the debt a company holds is not valued by the market because it is private. This has led to the use of book value of debt as a proxy. In terms of operating performance, this study uses cash flows from operating activities, whereas most previous studies have used EBITDA. The reason for this is that this is a superior benchmark of operating performance compared to the more common EBITDA and an usage of this will result in a higher measurement validity. A more </w:t>
      </w:r>
      <w:r w:rsidR="0062387A" w:rsidRPr="00053C90">
        <w:rPr>
          <w:szCs w:val="24"/>
          <w:lang w:val="en-US"/>
        </w:rPr>
        <w:t>thorough</w:t>
      </w:r>
      <w:r w:rsidRPr="00053C90">
        <w:rPr>
          <w:szCs w:val="24"/>
          <w:lang w:val="en-US"/>
        </w:rPr>
        <w:t xml:space="preserve"> discussion about this can be found in section </w:t>
      </w:r>
      <w:r w:rsidR="00631283" w:rsidRPr="00053C90">
        <w:rPr>
          <w:szCs w:val="24"/>
          <w:lang w:val="en-US"/>
        </w:rPr>
        <w:t>3.6</w:t>
      </w:r>
      <w:r w:rsidRPr="00053C90">
        <w:rPr>
          <w:szCs w:val="24"/>
          <w:lang w:val="en-US"/>
        </w:rPr>
        <w:t xml:space="preserve">.  </w:t>
      </w:r>
    </w:p>
    <w:p w:rsidR="001B062E" w:rsidRPr="00053C90" w:rsidRDefault="001B062E" w:rsidP="001B062E">
      <w:pPr>
        <w:spacing w:line="360" w:lineRule="auto"/>
        <w:rPr>
          <w:szCs w:val="24"/>
          <w:lang w:val="en-US"/>
        </w:rPr>
      </w:pPr>
      <w:r w:rsidRPr="00053C90">
        <w:rPr>
          <w:i/>
          <w:szCs w:val="24"/>
          <w:lang w:val="en-US"/>
        </w:rPr>
        <w:t>External validity</w:t>
      </w:r>
      <w:r w:rsidRPr="00053C90">
        <w:rPr>
          <w:szCs w:val="24"/>
          <w:lang w:val="en-US"/>
        </w:rPr>
        <w:t xml:space="preserve"> refers to the possibility of generalizing the results of a study to other samples (Bryman &amp; Bell, 2011). With this taken into account, one can argue that the results of this study can only be generalized to a sample with similar characteristics. Previous studies have proven this to be the case, for example, Dutta &amp; Jog (2009) found differences in long term abnormal returns when comparing a Canadian sample with </w:t>
      </w:r>
      <w:r w:rsidR="0062387A" w:rsidRPr="00053C90">
        <w:rPr>
          <w:szCs w:val="24"/>
          <w:lang w:val="en-US"/>
        </w:rPr>
        <w:t>an</w:t>
      </w:r>
      <w:r w:rsidRPr="00053C90">
        <w:rPr>
          <w:szCs w:val="24"/>
          <w:lang w:val="en-US"/>
        </w:rPr>
        <w:t xml:space="preserve"> American.  </w:t>
      </w:r>
    </w:p>
    <w:p w:rsidR="001B062E" w:rsidRPr="00053C90" w:rsidRDefault="001B062E" w:rsidP="001B062E">
      <w:pPr>
        <w:spacing w:line="360" w:lineRule="auto"/>
        <w:rPr>
          <w:szCs w:val="24"/>
          <w:lang w:val="en-US"/>
        </w:rPr>
      </w:pPr>
      <w:r w:rsidRPr="00053C90">
        <w:rPr>
          <w:i/>
          <w:szCs w:val="24"/>
          <w:lang w:val="en-US"/>
        </w:rPr>
        <w:t>Internal validity</w:t>
      </w:r>
      <w:r w:rsidRPr="00053C90">
        <w:rPr>
          <w:szCs w:val="24"/>
          <w:lang w:val="en-US"/>
        </w:rPr>
        <w:t xml:space="preserve"> is explained by Bryman &amp; Bell as an issue of causality. The meaning of this is the problem of whether X is causing Y. If this is applied to this study, the problem whether the variables included really affect operating performance and stock performance or not. To mitigate this, relevant variables that can explain the variance are included in the regression. </w:t>
      </w:r>
    </w:p>
    <w:p w:rsidR="001B062E" w:rsidRPr="00053C90" w:rsidRDefault="001B062E" w:rsidP="001B062E">
      <w:pPr>
        <w:spacing w:line="360" w:lineRule="auto"/>
        <w:rPr>
          <w:szCs w:val="24"/>
          <w:lang w:val="en-US"/>
        </w:rPr>
      </w:pPr>
    </w:p>
    <w:p w:rsidR="001B062E" w:rsidRPr="00053C90" w:rsidRDefault="001B062E" w:rsidP="001B062E">
      <w:pPr>
        <w:pStyle w:val="Heading3"/>
        <w:numPr>
          <w:ilvl w:val="2"/>
          <w:numId w:val="2"/>
        </w:numPr>
        <w:rPr>
          <w:lang w:val="en-US"/>
        </w:rPr>
      </w:pPr>
      <w:bookmarkStart w:id="43" w:name="_Toc428399242"/>
      <w:r w:rsidRPr="00053C90">
        <w:rPr>
          <w:lang w:val="en-US"/>
        </w:rPr>
        <w:t>Reliability</w:t>
      </w:r>
      <w:bookmarkEnd w:id="43"/>
      <w:r w:rsidRPr="00053C90">
        <w:rPr>
          <w:lang w:val="en-US"/>
        </w:rPr>
        <w:t xml:space="preserve"> </w:t>
      </w:r>
    </w:p>
    <w:p w:rsidR="001B062E" w:rsidRPr="00053C90" w:rsidRDefault="001B062E" w:rsidP="001B062E">
      <w:pPr>
        <w:spacing w:line="360" w:lineRule="auto"/>
        <w:rPr>
          <w:szCs w:val="24"/>
          <w:lang w:val="en-US"/>
        </w:rPr>
      </w:pPr>
      <w:r w:rsidRPr="00053C90">
        <w:rPr>
          <w:szCs w:val="24"/>
          <w:lang w:val="en-US"/>
        </w:rPr>
        <w:t xml:space="preserve">There are two crucial stages that can affect the reliability, during the data collection and models used in the methodology. Datastream and Eikon, which has been the main programs used for collection of data are as in described in section </w:t>
      </w:r>
      <w:r w:rsidR="00631283" w:rsidRPr="00053C90">
        <w:rPr>
          <w:szCs w:val="24"/>
          <w:lang w:val="en-US"/>
        </w:rPr>
        <w:t>3.4</w:t>
      </w:r>
      <w:r w:rsidRPr="00053C90">
        <w:rPr>
          <w:szCs w:val="24"/>
          <w:lang w:val="en-US"/>
        </w:rPr>
        <w:t xml:space="preserve"> considered to be reliable sources of information. In order to ensure the reliability of this data cross references on some of the observations are made. For instance, the share price is cross referenced against official data from the exchange of where the company is </w:t>
      </w:r>
      <w:r w:rsidR="0062387A" w:rsidRPr="00053C90">
        <w:rPr>
          <w:szCs w:val="24"/>
          <w:lang w:val="en-US"/>
        </w:rPr>
        <w:t>registered</w:t>
      </w:r>
      <w:r w:rsidRPr="00053C90">
        <w:rPr>
          <w:szCs w:val="24"/>
          <w:lang w:val="en-US"/>
        </w:rPr>
        <w:t>, and market values are checked against companies’ annual reports. Another fact that increases the reliability of the data is the public status of both acquirers and targets, since this means that they have to follow certain accounting principles, i.e. IFRS (IFRS, 2013).</w:t>
      </w:r>
    </w:p>
    <w:p w:rsidR="001B062E" w:rsidRPr="00053C90" w:rsidRDefault="001B062E" w:rsidP="001B062E">
      <w:pPr>
        <w:spacing w:line="360" w:lineRule="auto"/>
        <w:rPr>
          <w:szCs w:val="24"/>
          <w:lang w:val="en-US"/>
        </w:rPr>
      </w:pPr>
      <w:r w:rsidRPr="00053C90">
        <w:rPr>
          <w:szCs w:val="24"/>
          <w:lang w:val="en-US"/>
        </w:rPr>
        <w:t xml:space="preserve">The reliability of the models used </w:t>
      </w:r>
      <w:r w:rsidR="0062387A" w:rsidRPr="00053C90">
        <w:rPr>
          <w:szCs w:val="24"/>
          <w:lang w:val="en-US"/>
        </w:rPr>
        <w:t>is</w:t>
      </w:r>
      <w:r w:rsidRPr="00053C90">
        <w:rPr>
          <w:szCs w:val="24"/>
          <w:lang w:val="en-US"/>
        </w:rPr>
        <w:t xml:space="preserve"> also high, since these models have been used by several studies in the past. With that being stated there is a potential problem with reliability since the models are based on assumptions which has to be fulfilled in order to replicate the results.</w:t>
      </w:r>
    </w:p>
    <w:p w:rsidR="001B062E" w:rsidRPr="00053C90" w:rsidRDefault="001B062E" w:rsidP="001B062E">
      <w:pPr>
        <w:pStyle w:val="Heading1"/>
        <w:numPr>
          <w:ilvl w:val="0"/>
          <w:numId w:val="2"/>
        </w:numPr>
        <w:spacing w:line="360" w:lineRule="auto"/>
        <w:rPr>
          <w:rFonts w:ascii="Times New Roman" w:hAnsi="Times New Roman"/>
          <w:lang w:val="en-US"/>
        </w:rPr>
      </w:pPr>
      <w:bookmarkStart w:id="44" w:name="_Toc428399243"/>
      <w:r w:rsidRPr="00053C90">
        <w:rPr>
          <w:rFonts w:ascii="Times New Roman" w:hAnsi="Times New Roman"/>
          <w:lang w:val="en-US"/>
        </w:rPr>
        <w:t>Results</w:t>
      </w:r>
      <w:bookmarkEnd w:id="44"/>
    </w:p>
    <w:p w:rsidR="001B062E" w:rsidRPr="00053C90" w:rsidRDefault="001B062E" w:rsidP="001B062E">
      <w:pPr>
        <w:autoSpaceDE w:val="0"/>
        <w:autoSpaceDN w:val="0"/>
        <w:adjustRightInd w:val="0"/>
        <w:spacing w:after="0" w:line="400" w:lineRule="atLeast"/>
        <w:rPr>
          <w:i/>
          <w:szCs w:val="24"/>
          <w:lang w:val="en-US"/>
        </w:rPr>
      </w:pPr>
      <w:r w:rsidRPr="00053C90">
        <w:rPr>
          <w:i/>
          <w:szCs w:val="24"/>
          <w:lang w:val="en-US"/>
        </w:rPr>
        <w:t xml:space="preserve">This chapter presents the findings of this study. It </w:t>
      </w:r>
      <w:r w:rsidR="00A44750" w:rsidRPr="00053C90">
        <w:rPr>
          <w:i/>
          <w:szCs w:val="24"/>
          <w:lang w:val="en-US"/>
        </w:rPr>
        <w:t>starts with a discussion of</w:t>
      </w:r>
      <w:r w:rsidRPr="00053C90">
        <w:rPr>
          <w:i/>
          <w:szCs w:val="24"/>
          <w:lang w:val="en-US"/>
        </w:rPr>
        <w:t xml:space="preserve"> descriptive statistics of the sample. After this, the results of the stock performance and the accounting performance are presented. Then these results are related to each other in a correlation matrix. The chapter ends with the presentation of the results of the regression analysis.</w:t>
      </w:r>
    </w:p>
    <w:p w:rsidR="001B062E" w:rsidRPr="00053C90" w:rsidRDefault="001B062E" w:rsidP="001B062E">
      <w:pPr>
        <w:autoSpaceDE w:val="0"/>
        <w:autoSpaceDN w:val="0"/>
        <w:adjustRightInd w:val="0"/>
        <w:spacing w:after="0" w:line="400" w:lineRule="atLeast"/>
        <w:rPr>
          <w:b/>
          <w:szCs w:val="24"/>
          <w:lang w:val="en-US"/>
        </w:rPr>
      </w:pPr>
    </w:p>
    <w:p w:rsidR="001B062E" w:rsidRPr="00053C90" w:rsidRDefault="001B062E" w:rsidP="001B062E">
      <w:pPr>
        <w:pStyle w:val="Heading2"/>
        <w:numPr>
          <w:ilvl w:val="1"/>
          <w:numId w:val="2"/>
        </w:numPr>
        <w:rPr>
          <w:lang w:val="en-US"/>
        </w:rPr>
      </w:pPr>
      <w:bookmarkStart w:id="45" w:name="_Toc428399244"/>
      <w:r w:rsidRPr="00053C90">
        <w:rPr>
          <w:lang w:val="en-US"/>
        </w:rPr>
        <w:t>Descriptive Statistics</w:t>
      </w:r>
      <w:bookmarkEnd w:id="45"/>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When the criteria used in this study are applied and the companies with insignificant data are excluded,</w:t>
      </w:r>
      <w:r w:rsidR="00A44750" w:rsidRPr="00053C90">
        <w:rPr>
          <w:szCs w:val="24"/>
          <w:lang w:val="en-US"/>
        </w:rPr>
        <w:t xml:space="preserve"> a final sample of 64 firms is left</w:t>
      </w:r>
      <w:r w:rsidRPr="00053C90">
        <w:rPr>
          <w:szCs w:val="24"/>
          <w:lang w:val="en-US"/>
        </w:rPr>
        <w:t>. The distribution of the sample’s transaction</w:t>
      </w:r>
      <w:r w:rsidR="00631283" w:rsidRPr="00053C90">
        <w:rPr>
          <w:szCs w:val="24"/>
          <w:lang w:val="en-US"/>
        </w:rPr>
        <w:t>s in time can be seen in table 4.1</w:t>
      </w:r>
      <w:r w:rsidRPr="00053C90">
        <w:rPr>
          <w:szCs w:val="24"/>
          <w:lang w:val="en-US"/>
        </w:rPr>
        <w:t xml:space="preserve">. As can be seen in this table, most transactions in the sample were performed between 2005 and 2009. This is rather surprising, due to the occurrence of the financial crisis around 2008. </w:t>
      </w:r>
    </w:p>
    <w:p w:rsidR="001B062E" w:rsidRPr="00053C90" w:rsidRDefault="00910076" w:rsidP="001B062E">
      <w:pPr>
        <w:autoSpaceDE w:val="0"/>
        <w:autoSpaceDN w:val="0"/>
        <w:adjustRightInd w:val="0"/>
        <w:spacing w:after="0" w:line="360" w:lineRule="auto"/>
        <w:jc w:val="center"/>
        <w:rPr>
          <w:noProof/>
          <w:lang w:val="en-US"/>
        </w:rPr>
      </w:pPr>
      <w:r w:rsidRPr="00053C90">
        <w:rPr>
          <w:noProof/>
          <w:lang w:eastAsia="sv-SE"/>
        </w:rPr>
        <w:drawing>
          <wp:inline distT="0" distB="0" distL="0" distR="0">
            <wp:extent cx="2879725" cy="1751330"/>
            <wp:effectExtent l="0" t="0" r="15875" b="20320"/>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062E" w:rsidRPr="00053C90" w:rsidRDefault="00631283" w:rsidP="00631283">
      <w:pPr>
        <w:autoSpaceDE w:val="0"/>
        <w:autoSpaceDN w:val="0"/>
        <w:adjustRightInd w:val="0"/>
        <w:spacing w:after="0" w:line="360" w:lineRule="auto"/>
        <w:jc w:val="center"/>
        <w:rPr>
          <w:i/>
          <w:noProof/>
          <w:sz w:val="20"/>
          <w:szCs w:val="20"/>
          <w:lang w:val="en-US"/>
        </w:rPr>
      </w:pPr>
      <w:r w:rsidRPr="00053C90">
        <w:rPr>
          <w:i/>
          <w:noProof/>
          <w:sz w:val="20"/>
          <w:szCs w:val="20"/>
          <w:lang w:val="en-US"/>
        </w:rPr>
        <w:t>Chart 4.1</w:t>
      </w:r>
    </w:p>
    <w:p w:rsidR="00D13EE4" w:rsidRDefault="00631283" w:rsidP="001B062E">
      <w:pPr>
        <w:autoSpaceDE w:val="0"/>
        <w:autoSpaceDN w:val="0"/>
        <w:adjustRightInd w:val="0"/>
        <w:spacing w:after="0" w:line="400" w:lineRule="atLeast"/>
        <w:rPr>
          <w:szCs w:val="24"/>
          <w:lang w:val="en-US"/>
        </w:rPr>
      </w:pPr>
      <w:r w:rsidRPr="00053C90">
        <w:rPr>
          <w:szCs w:val="24"/>
          <w:lang w:val="en-US"/>
        </w:rPr>
        <w:t>Chart 4.2</w:t>
      </w:r>
      <w:r w:rsidR="001B062E" w:rsidRPr="00053C90">
        <w:rPr>
          <w:color w:val="FF0000"/>
          <w:szCs w:val="24"/>
          <w:lang w:val="en-US"/>
        </w:rPr>
        <w:t xml:space="preserve"> </w:t>
      </w:r>
      <w:r w:rsidR="001B062E" w:rsidRPr="00053C90">
        <w:rPr>
          <w:szCs w:val="24"/>
          <w:lang w:val="en-US"/>
        </w:rPr>
        <w:t xml:space="preserve">shows the distribution of the M&amp;A transactions by country. It is not surprising that most of the sample’s transactions take place in Sweden, both because it is the biggest economy and the fact that more companies are listed in Sweden than in the other countries.  Out of the 64 observations, 23 transactions were performed domestically and 41 were performed on international targets. </w:t>
      </w:r>
    </w:p>
    <w:p w:rsidR="000703D7" w:rsidRDefault="000703D7" w:rsidP="001B062E">
      <w:pPr>
        <w:autoSpaceDE w:val="0"/>
        <w:autoSpaceDN w:val="0"/>
        <w:adjustRightInd w:val="0"/>
        <w:spacing w:after="0" w:line="400" w:lineRule="atLeast"/>
        <w:rPr>
          <w:szCs w:val="24"/>
          <w:lang w:val="en-US"/>
        </w:rPr>
      </w:pPr>
    </w:p>
    <w:p w:rsidR="000703D7" w:rsidRPr="00053C90" w:rsidRDefault="000703D7" w:rsidP="001B062E">
      <w:pPr>
        <w:autoSpaceDE w:val="0"/>
        <w:autoSpaceDN w:val="0"/>
        <w:adjustRightInd w:val="0"/>
        <w:spacing w:after="0" w:line="400" w:lineRule="atLeast"/>
        <w:rPr>
          <w:szCs w:val="24"/>
          <w:lang w:val="en-US"/>
        </w:rPr>
      </w:pPr>
    </w:p>
    <w:p w:rsidR="000703D7" w:rsidRDefault="00631283" w:rsidP="00D13EE4">
      <w:pPr>
        <w:spacing w:line="360" w:lineRule="auto"/>
        <w:jc w:val="center"/>
        <w:rPr>
          <w:i/>
          <w:sz w:val="20"/>
          <w:szCs w:val="20"/>
          <w:lang w:val="en-US"/>
        </w:rPr>
      </w:pPr>
      <w:r w:rsidRPr="00053C90">
        <w:rPr>
          <w:noProof/>
          <w:lang w:eastAsia="sv-SE"/>
        </w:rPr>
        <w:drawing>
          <wp:inline distT="0" distB="0" distL="0" distR="0">
            <wp:extent cx="2226365" cy="1789044"/>
            <wp:effectExtent l="0" t="0" r="21590" b="20955"/>
            <wp:docPr id="2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062E" w:rsidRPr="00D13EE4" w:rsidRDefault="00631283" w:rsidP="00D13EE4">
      <w:pPr>
        <w:spacing w:line="360" w:lineRule="auto"/>
        <w:jc w:val="center"/>
        <w:rPr>
          <w:i/>
          <w:sz w:val="20"/>
          <w:szCs w:val="20"/>
          <w:lang w:val="en-US"/>
        </w:rPr>
      </w:pPr>
      <w:r w:rsidRPr="00053C90">
        <w:rPr>
          <w:i/>
          <w:sz w:val="20"/>
          <w:szCs w:val="20"/>
          <w:lang w:val="en-US"/>
        </w:rPr>
        <w:t xml:space="preserve">Chart 4.2 </w:t>
      </w:r>
    </w:p>
    <w:p w:rsidR="001B062E" w:rsidRPr="00053C90" w:rsidRDefault="001B062E" w:rsidP="001B062E">
      <w:pPr>
        <w:spacing w:line="360" w:lineRule="auto"/>
        <w:rPr>
          <w:i/>
          <w:szCs w:val="24"/>
          <w:lang w:val="en-US"/>
        </w:rPr>
      </w:pPr>
      <w:r w:rsidRPr="00053C90">
        <w:rPr>
          <w:i/>
          <w:szCs w:val="24"/>
          <w:lang w:val="en-US"/>
        </w:rPr>
        <w:t>Test for normal distribution</w:t>
      </w:r>
    </w:p>
    <w:p w:rsidR="001B062E" w:rsidRPr="00053C90" w:rsidRDefault="001B062E" w:rsidP="001B062E">
      <w:pPr>
        <w:spacing w:line="360" w:lineRule="auto"/>
        <w:rPr>
          <w:szCs w:val="24"/>
          <w:lang w:val="en-US"/>
        </w:rPr>
      </w:pPr>
      <w:r w:rsidRPr="00053C90">
        <w:rPr>
          <w:szCs w:val="24"/>
          <w:lang w:val="en-US"/>
        </w:rPr>
        <w:t xml:space="preserve">To test if the observations are normally distributed, a test called Jarque-Bera is used. Both stock performance and operating performance are tested in each event window. As can be seen in </w:t>
      </w:r>
      <w:r w:rsidR="00631283" w:rsidRPr="00053C90">
        <w:rPr>
          <w:szCs w:val="24"/>
          <w:lang w:val="en-US"/>
        </w:rPr>
        <w:t xml:space="preserve">appendix </w:t>
      </w:r>
      <w:r w:rsidR="00D55E87" w:rsidRPr="00053C90">
        <w:rPr>
          <w:szCs w:val="24"/>
          <w:lang w:val="en-US"/>
        </w:rPr>
        <w:t>A2.1</w:t>
      </w:r>
      <w:r w:rsidR="00631283" w:rsidRPr="00053C90">
        <w:rPr>
          <w:szCs w:val="24"/>
          <w:lang w:val="en-US"/>
        </w:rPr>
        <w:t>,</w:t>
      </w:r>
      <w:r w:rsidRPr="00053C90">
        <w:rPr>
          <w:szCs w:val="24"/>
          <w:lang w:val="en-US"/>
        </w:rPr>
        <w:t xml:space="preserve"> BHAR after 12 months is the only measure that has normally distributed observations. This means that Wilcoxon’s signed rank test</w:t>
      </w:r>
      <w:r w:rsidR="00D55E87" w:rsidRPr="00053C90">
        <w:rPr>
          <w:szCs w:val="24"/>
          <w:lang w:val="en-US"/>
        </w:rPr>
        <w:t>s</w:t>
      </w:r>
      <w:r w:rsidRPr="00053C90">
        <w:rPr>
          <w:szCs w:val="24"/>
          <w:lang w:val="en-US"/>
        </w:rPr>
        <w:t xml:space="preserve"> are more appropriate to use on a majority of the measure</w:t>
      </w:r>
      <w:r w:rsidR="00D55E87" w:rsidRPr="00053C90">
        <w:rPr>
          <w:szCs w:val="24"/>
          <w:lang w:val="en-US"/>
        </w:rPr>
        <w:t>s</w:t>
      </w:r>
      <w:r w:rsidRPr="00053C90">
        <w:rPr>
          <w:szCs w:val="24"/>
          <w:lang w:val="en-US"/>
        </w:rPr>
        <w:t xml:space="preserve"> when examining if there are any signif</w:t>
      </w:r>
      <w:r w:rsidR="00A44750" w:rsidRPr="00053C90">
        <w:rPr>
          <w:szCs w:val="24"/>
          <w:lang w:val="en-US"/>
        </w:rPr>
        <w:t>icant returns following M&amp;A:s, since this test does not assume the observations to be normally distributed.</w:t>
      </w:r>
    </w:p>
    <w:p w:rsidR="001B062E" w:rsidRPr="00053C90" w:rsidRDefault="009F3FBF" w:rsidP="009F3FBF">
      <w:pPr>
        <w:pStyle w:val="Heading2"/>
        <w:numPr>
          <w:ilvl w:val="1"/>
          <w:numId w:val="2"/>
        </w:numPr>
        <w:rPr>
          <w:lang w:val="en-US"/>
        </w:rPr>
      </w:pPr>
      <w:r w:rsidRPr="00053C90">
        <w:rPr>
          <w:lang w:val="en-US"/>
        </w:rPr>
        <w:t xml:space="preserve"> </w:t>
      </w:r>
      <w:bookmarkStart w:id="46" w:name="_Toc428399245"/>
      <w:r w:rsidRPr="00053C90">
        <w:rPr>
          <w:lang w:val="en-US"/>
        </w:rPr>
        <w:t>Results long term performance</w:t>
      </w:r>
      <w:bookmarkEnd w:id="46"/>
      <w:r w:rsidRPr="00053C90">
        <w:rPr>
          <w:lang w:val="en-US"/>
        </w:rPr>
        <w:t xml:space="preserve"> </w:t>
      </w:r>
    </w:p>
    <w:p w:rsidR="001B062E" w:rsidRPr="00053C90" w:rsidRDefault="001B062E" w:rsidP="001B062E">
      <w:pPr>
        <w:spacing w:line="360" w:lineRule="auto"/>
        <w:rPr>
          <w:szCs w:val="24"/>
          <w:lang w:val="en-US"/>
        </w:rPr>
      </w:pPr>
      <w:r w:rsidRPr="00053C90">
        <w:rPr>
          <w:szCs w:val="24"/>
          <w:lang w:val="en-US"/>
        </w:rPr>
        <w:t xml:space="preserve">The </w:t>
      </w:r>
      <w:r w:rsidR="0062387A" w:rsidRPr="00053C90">
        <w:rPr>
          <w:szCs w:val="24"/>
          <w:lang w:val="en-US"/>
        </w:rPr>
        <w:t>results of the long term stock performance are</w:t>
      </w:r>
      <w:r w:rsidRPr="00053C90">
        <w:rPr>
          <w:szCs w:val="24"/>
          <w:lang w:val="en-US"/>
        </w:rPr>
        <w:t xml:space="preserve"> presented in table</w:t>
      </w:r>
      <w:r w:rsidR="00D55E87" w:rsidRPr="00053C90">
        <w:rPr>
          <w:szCs w:val="24"/>
          <w:lang w:val="en-US"/>
        </w:rPr>
        <w:t xml:space="preserve"> 4.1</w:t>
      </w:r>
      <w:r w:rsidR="00A44750" w:rsidRPr="00053C90">
        <w:rPr>
          <w:szCs w:val="24"/>
          <w:lang w:val="en-US"/>
        </w:rPr>
        <w:t>.</w:t>
      </w:r>
      <w:r w:rsidRPr="00053C90">
        <w:rPr>
          <w:szCs w:val="24"/>
          <w:lang w:val="en-US"/>
        </w:rPr>
        <w:t xml:space="preserve"> The average stock performance after 12 months for companies conducting a transaction is negative returns of -1.94%. After 24 months, the average stock performance decreases to -9.47%. In a 36 month event window the average stock performance increases to 0.46%. However, none of these results are significant, neither when using a t-test or Wilcoxon’s test and therefor no generalizations can be made. </w:t>
      </w:r>
    </w:p>
    <w:p w:rsidR="001B062E" w:rsidRDefault="001B062E" w:rsidP="001B062E">
      <w:pPr>
        <w:spacing w:line="360" w:lineRule="auto"/>
        <w:rPr>
          <w:szCs w:val="24"/>
          <w:lang w:val="en-US"/>
        </w:rPr>
      </w:pPr>
      <w:r w:rsidRPr="00053C90">
        <w:rPr>
          <w:szCs w:val="24"/>
          <w:lang w:val="en-US"/>
        </w:rPr>
        <w:t xml:space="preserve">Table </w:t>
      </w:r>
      <w:r w:rsidR="00D55E87" w:rsidRPr="00053C90">
        <w:rPr>
          <w:szCs w:val="24"/>
          <w:lang w:val="en-US"/>
        </w:rPr>
        <w:t>4.1</w:t>
      </w:r>
      <w:r w:rsidRPr="00053C90">
        <w:rPr>
          <w:szCs w:val="24"/>
          <w:lang w:val="en-US"/>
        </w:rPr>
        <w:t xml:space="preserve">, presents the mean and the p-values of the BHAR for the three event windows.  The p-values state the probability in percentage to reject the null hypothesis, i.e. the probability that the returns are significantly different from zero. </w:t>
      </w:r>
    </w:p>
    <w:p w:rsidR="00E13749" w:rsidRPr="00E13749" w:rsidRDefault="00E13749" w:rsidP="00E13749">
      <w:pPr>
        <w:spacing w:line="360" w:lineRule="auto"/>
        <w:jc w:val="center"/>
        <w:rPr>
          <w:i/>
          <w:sz w:val="20"/>
          <w:szCs w:val="20"/>
          <w:lang w:val="en-US"/>
        </w:rPr>
      </w:pPr>
      <w:r w:rsidRPr="00053C90">
        <w:rPr>
          <w:i/>
          <w:sz w:val="20"/>
          <w:szCs w:val="20"/>
          <w:lang w:val="en-US"/>
        </w:rPr>
        <w:t>Table 4.1 Results</w:t>
      </w:r>
      <w:r>
        <w:rPr>
          <w:i/>
          <w:sz w:val="20"/>
          <w:szCs w:val="20"/>
          <w:lang w:val="en-US"/>
        </w:rPr>
        <w:t xml:space="preserve"> BHAR </w:t>
      </w:r>
    </w:p>
    <w:tbl>
      <w:tblPr>
        <w:tblW w:w="6005" w:type="dxa"/>
        <w:jc w:val="center"/>
        <w:tblLook w:val="04A0" w:firstRow="1" w:lastRow="0" w:firstColumn="1" w:lastColumn="0" w:noHBand="0" w:noVBand="1"/>
      </w:tblPr>
      <w:tblGrid>
        <w:gridCol w:w="1400"/>
        <w:gridCol w:w="1320"/>
        <w:gridCol w:w="1345"/>
        <w:gridCol w:w="1940"/>
      </w:tblGrid>
      <w:tr w:rsidR="001B062E" w:rsidRPr="00053C90" w:rsidTr="00D13EE4">
        <w:trPr>
          <w:trHeight w:val="288"/>
          <w:jc w:val="center"/>
        </w:trPr>
        <w:tc>
          <w:tcPr>
            <w:tcW w:w="1400" w:type="dxa"/>
            <w:tcBorders>
              <w:top w:val="single" w:sz="4" w:space="0" w:color="9BC2E6"/>
              <w:left w:val="single" w:sz="4" w:space="0" w:color="9BC2E6"/>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Time period</w:t>
            </w:r>
          </w:p>
        </w:tc>
        <w:tc>
          <w:tcPr>
            <w:tcW w:w="1320"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Mean</w:t>
            </w:r>
          </w:p>
        </w:tc>
        <w:tc>
          <w:tcPr>
            <w:tcW w:w="1345"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P-value t-test</w:t>
            </w:r>
          </w:p>
        </w:tc>
        <w:tc>
          <w:tcPr>
            <w:tcW w:w="1940"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P-value Wilcoxon’s test</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DDEBF7" w:fill="DDEBF7"/>
            <w:noWrap/>
            <w:vAlign w:val="bottom"/>
            <w:hideMark/>
          </w:tcPr>
          <w:p w:rsidR="001B062E" w:rsidRPr="00053C90" w:rsidRDefault="00D55E87" w:rsidP="0002738A">
            <w:pPr>
              <w:spacing w:after="0" w:line="240" w:lineRule="auto"/>
              <w:rPr>
                <w:rFonts w:eastAsia="Times New Roman"/>
                <w:color w:val="000000"/>
                <w:sz w:val="22"/>
                <w:lang w:val="en-US"/>
              </w:rPr>
            </w:pPr>
            <w:r w:rsidRPr="00053C90">
              <w:rPr>
                <w:rFonts w:eastAsia="Times New Roman"/>
                <w:color w:val="000000"/>
                <w:sz w:val="22"/>
                <w:lang w:val="en-US"/>
              </w:rPr>
              <w:t>BHAR</w:t>
            </w:r>
            <w:r w:rsidR="001B062E" w:rsidRPr="00053C90">
              <w:rPr>
                <w:rFonts w:eastAsia="Times New Roman"/>
                <w:color w:val="000000"/>
                <w:sz w:val="22"/>
                <w:lang w:val="en-US"/>
              </w:rPr>
              <w:t xml:space="preserve"> 12</w:t>
            </w:r>
          </w:p>
        </w:tc>
        <w:tc>
          <w:tcPr>
            <w:tcW w:w="1320" w:type="dxa"/>
            <w:tcBorders>
              <w:top w:val="nil"/>
              <w:left w:val="nil"/>
              <w:bottom w:val="single" w:sz="4" w:space="0" w:color="9BC2E6"/>
              <w:right w:val="nil"/>
            </w:tcBorders>
            <w:shd w:val="clear" w:color="DDEBF7" w:fill="DDEBF7"/>
            <w:noWrap/>
            <w:vAlign w:val="bottom"/>
            <w:hideMark/>
          </w:tcPr>
          <w:p w:rsidR="001B062E" w:rsidRPr="00053C90" w:rsidRDefault="00D55E87" w:rsidP="00D55E87">
            <w:pPr>
              <w:spacing w:after="0" w:line="240" w:lineRule="auto"/>
              <w:jc w:val="right"/>
              <w:rPr>
                <w:rFonts w:eastAsia="Times New Roman"/>
                <w:color w:val="000000"/>
                <w:sz w:val="22"/>
                <w:lang w:val="en-US"/>
              </w:rPr>
            </w:pPr>
            <w:r w:rsidRPr="00053C90">
              <w:rPr>
                <w:rFonts w:eastAsia="Times New Roman"/>
                <w:color w:val="000000"/>
                <w:sz w:val="22"/>
                <w:lang w:val="en-US"/>
              </w:rPr>
              <w:t>-</w:t>
            </w:r>
            <w:r w:rsidR="001B062E" w:rsidRPr="00053C90">
              <w:rPr>
                <w:rFonts w:eastAsia="Times New Roman"/>
                <w:color w:val="000000"/>
                <w:sz w:val="22"/>
                <w:lang w:val="en-US"/>
              </w:rPr>
              <w:t>1.9381%</w:t>
            </w:r>
          </w:p>
        </w:tc>
        <w:tc>
          <w:tcPr>
            <w:tcW w:w="1345"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0.734</w:t>
            </w:r>
          </w:p>
        </w:tc>
        <w:tc>
          <w:tcPr>
            <w:tcW w:w="1940"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0.935</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auto" w:fill="auto"/>
            <w:noWrap/>
            <w:vAlign w:val="bottom"/>
            <w:hideMark/>
          </w:tcPr>
          <w:p w:rsidR="001B062E" w:rsidRPr="00053C90" w:rsidRDefault="00D55E87" w:rsidP="0002738A">
            <w:pPr>
              <w:spacing w:after="0" w:line="240" w:lineRule="auto"/>
              <w:rPr>
                <w:rFonts w:eastAsia="Times New Roman"/>
                <w:color w:val="000000"/>
                <w:sz w:val="22"/>
                <w:lang w:val="en-US"/>
              </w:rPr>
            </w:pPr>
            <w:r w:rsidRPr="00053C90">
              <w:rPr>
                <w:rFonts w:eastAsia="Times New Roman"/>
                <w:color w:val="000000"/>
                <w:sz w:val="22"/>
                <w:lang w:val="en-US"/>
              </w:rPr>
              <w:t>BHAR</w:t>
            </w:r>
            <w:r w:rsidR="001B062E" w:rsidRPr="00053C90">
              <w:rPr>
                <w:rFonts w:eastAsia="Times New Roman"/>
                <w:color w:val="000000"/>
                <w:sz w:val="22"/>
                <w:lang w:val="en-US"/>
              </w:rPr>
              <w:t xml:space="preserve"> 24</w:t>
            </w:r>
          </w:p>
        </w:tc>
        <w:tc>
          <w:tcPr>
            <w:tcW w:w="1320" w:type="dxa"/>
            <w:tcBorders>
              <w:top w:val="nil"/>
              <w:left w:val="nil"/>
              <w:bottom w:val="single" w:sz="4" w:space="0" w:color="9BC2E6"/>
              <w:right w:val="nil"/>
            </w:tcBorders>
            <w:shd w:val="clear" w:color="auto" w:fill="auto"/>
            <w:noWrap/>
            <w:vAlign w:val="bottom"/>
            <w:hideMark/>
          </w:tcPr>
          <w:p w:rsidR="001B062E" w:rsidRPr="00053C90" w:rsidRDefault="00D55E87" w:rsidP="0002738A">
            <w:pPr>
              <w:spacing w:after="0" w:line="240" w:lineRule="auto"/>
              <w:jc w:val="right"/>
              <w:rPr>
                <w:rFonts w:eastAsia="Times New Roman"/>
                <w:color w:val="000000"/>
                <w:sz w:val="22"/>
                <w:lang w:val="en-US"/>
              </w:rPr>
            </w:pPr>
            <w:r w:rsidRPr="00053C90">
              <w:rPr>
                <w:rFonts w:eastAsia="Times New Roman"/>
                <w:color w:val="000000"/>
                <w:sz w:val="22"/>
                <w:lang w:val="en-US"/>
              </w:rPr>
              <w:t>-</w:t>
            </w:r>
            <w:r w:rsidR="001B062E" w:rsidRPr="00053C90">
              <w:rPr>
                <w:rFonts w:eastAsia="Times New Roman"/>
                <w:color w:val="000000"/>
                <w:sz w:val="22"/>
                <w:lang w:val="en-US"/>
              </w:rPr>
              <w:t>9.4699%</w:t>
            </w:r>
          </w:p>
        </w:tc>
        <w:tc>
          <w:tcPr>
            <w:tcW w:w="1345" w:type="dxa"/>
            <w:tcBorders>
              <w:top w:val="nil"/>
              <w:left w:val="nil"/>
              <w:bottom w:val="single" w:sz="4" w:space="0" w:color="9BC2E6"/>
              <w:right w:val="nil"/>
            </w:tcBorders>
            <w:shd w:val="clear" w:color="auto" w:fill="auto"/>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0.289</w:t>
            </w:r>
          </w:p>
        </w:tc>
        <w:tc>
          <w:tcPr>
            <w:tcW w:w="1940" w:type="dxa"/>
            <w:tcBorders>
              <w:top w:val="nil"/>
              <w:left w:val="nil"/>
              <w:bottom w:val="single" w:sz="4" w:space="0" w:color="9BC2E6"/>
              <w:right w:val="nil"/>
            </w:tcBorders>
            <w:shd w:val="clear" w:color="auto" w:fill="auto"/>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0.316</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DDEBF7" w:fill="DDEBF7"/>
            <w:noWrap/>
            <w:vAlign w:val="bottom"/>
            <w:hideMark/>
          </w:tcPr>
          <w:p w:rsidR="001B062E" w:rsidRPr="00053C90" w:rsidRDefault="00D55E87" w:rsidP="0002738A">
            <w:pPr>
              <w:spacing w:after="0" w:line="240" w:lineRule="auto"/>
              <w:rPr>
                <w:rFonts w:eastAsia="Times New Roman"/>
                <w:color w:val="000000"/>
                <w:sz w:val="22"/>
                <w:lang w:val="en-US"/>
              </w:rPr>
            </w:pPr>
            <w:r w:rsidRPr="00053C90">
              <w:rPr>
                <w:rFonts w:eastAsia="Times New Roman"/>
                <w:color w:val="000000"/>
                <w:sz w:val="22"/>
                <w:lang w:val="en-US"/>
              </w:rPr>
              <w:t>BHAR</w:t>
            </w:r>
            <w:r w:rsidR="001B062E" w:rsidRPr="00053C90">
              <w:rPr>
                <w:rFonts w:eastAsia="Times New Roman"/>
                <w:color w:val="000000"/>
                <w:sz w:val="22"/>
                <w:lang w:val="en-US"/>
              </w:rPr>
              <w:t xml:space="preserve"> 36</w:t>
            </w:r>
          </w:p>
        </w:tc>
        <w:tc>
          <w:tcPr>
            <w:tcW w:w="1320"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0.4605%</w:t>
            </w:r>
          </w:p>
        </w:tc>
        <w:tc>
          <w:tcPr>
            <w:tcW w:w="1345"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0.965</w:t>
            </w:r>
          </w:p>
        </w:tc>
        <w:tc>
          <w:tcPr>
            <w:tcW w:w="1940"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0.517</w:t>
            </w:r>
          </w:p>
        </w:tc>
      </w:tr>
    </w:tbl>
    <w:p w:rsidR="001B062E" w:rsidRPr="00053C90" w:rsidRDefault="001B062E" w:rsidP="001B062E">
      <w:pPr>
        <w:spacing w:line="360" w:lineRule="auto"/>
        <w:rPr>
          <w:szCs w:val="24"/>
          <w:lang w:val="en-US"/>
        </w:rPr>
      </w:pP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 xml:space="preserve">Table </w:t>
      </w:r>
      <w:r w:rsidR="00D55E87" w:rsidRPr="00053C90">
        <w:rPr>
          <w:szCs w:val="24"/>
          <w:lang w:val="en-US"/>
        </w:rPr>
        <w:t>4.2</w:t>
      </w:r>
      <w:r w:rsidRPr="00053C90">
        <w:rPr>
          <w:szCs w:val="24"/>
          <w:lang w:val="en-US"/>
        </w:rPr>
        <w:t xml:space="preserve"> shows the results of the operating performance measure, ROA. The discussion and elaboration of this measure can be found in section </w:t>
      </w:r>
      <w:r w:rsidR="00D55E87" w:rsidRPr="00053C90">
        <w:rPr>
          <w:szCs w:val="24"/>
          <w:lang w:val="en-US"/>
        </w:rPr>
        <w:t>3.6</w:t>
      </w:r>
      <w:r w:rsidRPr="00053C90">
        <w:rPr>
          <w:szCs w:val="24"/>
          <w:lang w:val="en-US"/>
        </w:rPr>
        <w:t>. As can be seen in the table, the structure is similar to the table presenting the results of BHAR. Th</w:t>
      </w:r>
      <w:r w:rsidR="00A44750" w:rsidRPr="00053C90">
        <w:rPr>
          <w:szCs w:val="24"/>
          <w:lang w:val="en-US"/>
        </w:rPr>
        <w:t>e mean value</w:t>
      </w:r>
      <w:r w:rsidRPr="00053C90">
        <w:rPr>
          <w:szCs w:val="24"/>
          <w:lang w:val="en-US"/>
        </w:rPr>
        <w:t xml:space="preserve"> is -0.624% after 12 month</w:t>
      </w:r>
      <w:r w:rsidR="00A44750" w:rsidRPr="00053C90">
        <w:rPr>
          <w:szCs w:val="24"/>
          <w:lang w:val="en-US"/>
        </w:rPr>
        <w:t>s</w:t>
      </w:r>
      <w:r w:rsidRPr="00053C90">
        <w:rPr>
          <w:szCs w:val="24"/>
          <w:lang w:val="en-US"/>
        </w:rPr>
        <w:t xml:space="preserve">, -0.575% after 24 months and 0.342% after 36 months. All of these results are close to zero </w:t>
      </w:r>
      <w:r w:rsidR="00A44750" w:rsidRPr="00053C90">
        <w:rPr>
          <w:szCs w:val="24"/>
          <w:lang w:val="en-US"/>
        </w:rPr>
        <w:t xml:space="preserve">and </w:t>
      </w:r>
      <w:r w:rsidRPr="00053C90">
        <w:rPr>
          <w:szCs w:val="24"/>
          <w:lang w:val="en-US"/>
        </w:rPr>
        <w:t>both the t-test and Wilcoxon’s test show that these results are not significant.</w:t>
      </w:r>
    </w:p>
    <w:p w:rsidR="00E13749" w:rsidRDefault="00E13749" w:rsidP="00E13749">
      <w:pPr>
        <w:spacing w:line="360" w:lineRule="auto"/>
        <w:jc w:val="center"/>
        <w:rPr>
          <w:i/>
          <w:sz w:val="20"/>
          <w:szCs w:val="20"/>
          <w:lang w:val="en-US"/>
        </w:rPr>
      </w:pPr>
    </w:p>
    <w:p w:rsidR="001B062E" w:rsidRPr="00E13749" w:rsidRDefault="00E13749" w:rsidP="00E13749">
      <w:pPr>
        <w:spacing w:line="360" w:lineRule="auto"/>
        <w:jc w:val="center"/>
        <w:rPr>
          <w:i/>
          <w:sz w:val="20"/>
          <w:szCs w:val="20"/>
          <w:lang w:val="en-US"/>
        </w:rPr>
      </w:pPr>
      <w:r w:rsidRPr="00053C90">
        <w:rPr>
          <w:i/>
          <w:sz w:val="20"/>
          <w:szCs w:val="20"/>
          <w:lang w:val="en-US"/>
        </w:rPr>
        <w:t xml:space="preserve">Table 4.2 Results ROA </w:t>
      </w:r>
    </w:p>
    <w:tbl>
      <w:tblPr>
        <w:tblW w:w="5960" w:type="dxa"/>
        <w:jc w:val="center"/>
        <w:tblLook w:val="04A0" w:firstRow="1" w:lastRow="0" w:firstColumn="1" w:lastColumn="0" w:noHBand="0" w:noVBand="1"/>
      </w:tblPr>
      <w:tblGrid>
        <w:gridCol w:w="1400"/>
        <w:gridCol w:w="1155"/>
        <w:gridCol w:w="1465"/>
        <w:gridCol w:w="1940"/>
      </w:tblGrid>
      <w:tr w:rsidR="001B062E" w:rsidRPr="00053C90" w:rsidTr="00D13EE4">
        <w:trPr>
          <w:trHeight w:val="288"/>
          <w:jc w:val="center"/>
        </w:trPr>
        <w:tc>
          <w:tcPr>
            <w:tcW w:w="1400" w:type="dxa"/>
            <w:tcBorders>
              <w:top w:val="single" w:sz="4" w:space="0" w:color="9BC2E6"/>
              <w:left w:val="single" w:sz="4" w:space="0" w:color="9BC2E6"/>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Time period</w:t>
            </w:r>
          </w:p>
        </w:tc>
        <w:tc>
          <w:tcPr>
            <w:tcW w:w="1155"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Mean</w:t>
            </w:r>
          </w:p>
        </w:tc>
        <w:tc>
          <w:tcPr>
            <w:tcW w:w="1465"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P-value t-test</w:t>
            </w:r>
          </w:p>
        </w:tc>
        <w:tc>
          <w:tcPr>
            <w:tcW w:w="1940" w:type="dxa"/>
            <w:tcBorders>
              <w:top w:val="single" w:sz="4" w:space="0" w:color="9BC2E6"/>
              <w:left w:val="nil"/>
              <w:bottom w:val="single" w:sz="4" w:space="0" w:color="9BC2E6"/>
              <w:right w:val="nil"/>
            </w:tcBorders>
            <w:shd w:val="clear" w:color="5B9BD5" w:fill="5B9BD5"/>
            <w:noWrap/>
            <w:vAlign w:val="center"/>
            <w:hideMark/>
          </w:tcPr>
          <w:p w:rsidR="001B062E" w:rsidRPr="00053C90" w:rsidRDefault="001B062E" w:rsidP="00D13EE4">
            <w:pPr>
              <w:spacing w:after="0" w:line="240" w:lineRule="auto"/>
              <w:jc w:val="center"/>
              <w:rPr>
                <w:rFonts w:eastAsia="Times New Roman"/>
                <w:b/>
                <w:bCs/>
                <w:color w:val="FFFFFF"/>
                <w:sz w:val="22"/>
                <w:lang w:val="en-US"/>
              </w:rPr>
            </w:pPr>
            <w:r w:rsidRPr="00053C90">
              <w:rPr>
                <w:rFonts w:eastAsia="Times New Roman"/>
                <w:b/>
                <w:bCs/>
                <w:color w:val="FFFFFF"/>
                <w:sz w:val="22"/>
                <w:lang w:val="en-US"/>
              </w:rPr>
              <w:t>P-value Wilcoxon’s test</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DDEBF7" w:fill="DDEBF7"/>
            <w:noWrap/>
            <w:vAlign w:val="bottom"/>
            <w:hideMark/>
          </w:tcPr>
          <w:p w:rsidR="001B062E" w:rsidRPr="00053C90" w:rsidRDefault="00D55E87" w:rsidP="0002738A">
            <w:pPr>
              <w:spacing w:after="0" w:line="240" w:lineRule="auto"/>
              <w:rPr>
                <w:rFonts w:eastAsia="Times New Roman"/>
                <w:color w:val="000000"/>
                <w:sz w:val="22"/>
                <w:lang w:val="en-US"/>
              </w:rPr>
            </w:pPr>
            <w:r w:rsidRPr="00053C90">
              <w:rPr>
                <w:sz w:val="20"/>
                <w:szCs w:val="20"/>
                <w:lang w:val="en-US"/>
              </w:rPr>
              <w:t>ROA</w:t>
            </w:r>
            <w:r w:rsidRPr="00053C90">
              <w:rPr>
                <w:i/>
                <w:sz w:val="20"/>
                <w:szCs w:val="20"/>
                <w:lang w:val="en-US"/>
              </w:rPr>
              <w:t xml:space="preserve"> </w:t>
            </w:r>
            <w:r w:rsidR="001B062E" w:rsidRPr="00053C90">
              <w:rPr>
                <w:rFonts w:eastAsia="Times New Roman"/>
                <w:color w:val="000000"/>
                <w:sz w:val="22"/>
                <w:lang w:val="en-US"/>
              </w:rPr>
              <w:t>12</w:t>
            </w:r>
          </w:p>
        </w:tc>
        <w:tc>
          <w:tcPr>
            <w:tcW w:w="1155" w:type="dxa"/>
            <w:tcBorders>
              <w:top w:val="nil"/>
              <w:left w:val="nil"/>
              <w:bottom w:val="single" w:sz="4" w:space="0" w:color="9BC2E6"/>
              <w:right w:val="nil"/>
            </w:tcBorders>
            <w:shd w:val="clear" w:color="DDEBF7" w:fill="DDEBF7"/>
            <w:noWrap/>
            <w:vAlign w:val="bottom"/>
            <w:hideMark/>
          </w:tcPr>
          <w:p w:rsidR="001B062E" w:rsidRPr="00053C90" w:rsidRDefault="00D55E87" w:rsidP="0002738A">
            <w:pPr>
              <w:spacing w:after="0" w:line="240" w:lineRule="auto"/>
              <w:jc w:val="right"/>
              <w:rPr>
                <w:rFonts w:eastAsia="Times New Roman"/>
                <w:color w:val="000000"/>
                <w:sz w:val="22"/>
                <w:lang w:val="en-US"/>
              </w:rPr>
            </w:pPr>
            <w:r w:rsidRPr="00053C90">
              <w:rPr>
                <w:rFonts w:eastAsia="Times New Roman"/>
                <w:color w:val="000000"/>
                <w:sz w:val="22"/>
                <w:lang w:val="en-US"/>
              </w:rPr>
              <w:t>-</w:t>
            </w:r>
            <w:r w:rsidR="001B062E" w:rsidRPr="00053C90">
              <w:rPr>
                <w:rFonts w:eastAsia="Times New Roman"/>
                <w:color w:val="000000"/>
                <w:sz w:val="22"/>
                <w:lang w:val="en-US"/>
              </w:rPr>
              <w:t>0.624%</w:t>
            </w:r>
          </w:p>
        </w:tc>
        <w:tc>
          <w:tcPr>
            <w:tcW w:w="1465"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0.488</w:t>
            </w:r>
          </w:p>
        </w:tc>
        <w:tc>
          <w:tcPr>
            <w:tcW w:w="1940"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0.164</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auto" w:fill="auto"/>
            <w:noWrap/>
            <w:vAlign w:val="bottom"/>
            <w:hideMark/>
          </w:tcPr>
          <w:p w:rsidR="001B062E" w:rsidRPr="00053C90" w:rsidRDefault="00D55E87" w:rsidP="0002738A">
            <w:pPr>
              <w:spacing w:after="0" w:line="240" w:lineRule="auto"/>
              <w:rPr>
                <w:rFonts w:eastAsia="Times New Roman"/>
                <w:color w:val="000000"/>
                <w:sz w:val="22"/>
                <w:lang w:val="en-US"/>
              </w:rPr>
            </w:pPr>
            <w:r w:rsidRPr="00053C90">
              <w:rPr>
                <w:sz w:val="20"/>
                <w:szCs w:val="20"/>
                <w:lang w:val="en-US"/>
              </w:rPr>
              <w:t>ROA</w:t>
            </w:r>
            <w:r w:rsidR="001B062E" w:rsidRPr="00053C90">
              <w:rPr>
                <w:rFonts w:eastAsia="Times New Roman"/>
                <w:color w:val="000000"/>
                <w:sz w:val="22"/>
                <w:lang w:val="en-US"/>
              </w:rPr>
              <w:t xml:space="preserve"> 24</w:t>
            </w:r>
          </w:p>
        </w:tc>
        <w:tc>
          <w:tcPr>
            <w:tcW w:w="1155" w:type="dxa"/>
            <w:tcBorders>
              <w:top w:val="nil"/>
              <w:left w:val="nil"/>
              <w:bottom w:val="single" w:sz="4" w:space="0" w:color="9BC2E6"/>
              <w:right w:val="nil"/>
            </w:tcBorders>
            <w:shd w:val="clear" w:color="auto" w:fill="auto"/>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-0.575%</w:t>
            </w:r>
          </w:p>
        </w:tc>
        <w:tc>
          <w:tcPr>
            <w:tcW w:w="1465" w:type="dxa"/>
            <w:tcBorders>
              <w:top w:val="nil"/>
              <w:left w:val="nil"/>
              <w:bottom w:val="single" w:sz="4" w:space="0" w:color="9BC2E6"/>
              <w:right w:val="nil"/>
            </w:tcBorders>
            <w:shd w:val="clear" w:color="auto" w:fill="auto"/>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0.497</w:t>
            </w:r>
          </w:p>
        </w:tc>
        <w:tc>
          <w:tcPr>
            <w:tcW w:w="1940" w:type="dxa"/>
            <w:tcBorders>
              <w:top w:val="nil"/>
              <w:left w:val="nil"/>
              <w:bottom w:val="single" w:sz="4" w:space="0" w:color="9BC2E6"/>
              <w:right w:val="nil"/>
            </w:tcBorders>
            <w:shd w:val="clear" w:color="auto" w:fill="auto"/>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0.264</w:t>
            </w:r>
          </w:p>
        </w:tc>
      </w:tr>
      <w:tr w:rsidR="001B062E" w:rsidRPr="00053C90" w:rsidTr="00D55E87">
        <w:trPr>
          <w:trHeight w:val="288"/>
          <w:jc w:val="center"/>
        </w:trPr>
        <w:tc>
          <w:tcPr>
            <w:tcW w:w="1400" w:type="dxa"/>
            <w:tcBorders>
              <w:top w:val="nil"/>
              <w:left w:val="single" w:sz="4" w:space="0" w:color="9BC2E6"/>
              <w:bottom w:val="single" w:sz="4" w:space="0" w:color="9BC2E6"/>
              <w:right w:val="nil"/>
            </w:tcBorders>
            <w:shd w:val="clear" w:color="DDEBF7" w:fill="DDEBF7"/>
            <w:noWrap/>
            <w:vAlign w:val="bottom"/>
            <w:hideMark/>
          </w:tcPr>
          <w:p w:rsidR="001B062E" w:rsidRPr="00053C90" w:rsidRDefault="00D55E87" w:rsidP="0002738A">
            <w:pPr>
              <w:spacing w:after="0" w:line="240" w:lineRule="auto"/>
              <w:rPr>
                <w:rFonts w:eastAsia="Times New Roman"/>
                <w:color w:val="000000"/>
                <w:sz w:val="22"/>
                <w:lang w:val="en-US"/>
              </w:rPr>
            </w:pPr>
            <w:r w:rsidRPr="00053C90">
              <w:rPr>
                <w:sz w:val="20"/>
                <w:szCs w:val="20"/>
                <w:lang w:val="en-US"/>
              </w:rPr>
              <w:t>ROA</w:t>
            </w:r>
            <w:r w:rsidRPr="00053C90">
              <w:rPr>
                <w:i/>
                <w:sz w:val="20"/>
                <w:szCs w:val="20"/>
                <w:lang w:val="en-US"/>
              </w:rPr>
              <w:t xml:space="preserve"> </w:t>
            </w:r>
            <w:r w:rsidR="001B062E" w:rsidRPr="00053C90">
              <w:rPr>
                <w:rFonts w:eastAsia="Times New Roman"/>
                <w:color w:val="000000"/>
                <w:sz w:val="22"/>
                <w:lang w:val="en-US"/>
              </w:rPr>
              <w:t>36</w:t>
            </w:r>
          </w:p>
        </w:tc>
        <w:tc>
          <w:tcPr>
            <w:tcW w:w="1155"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0.342%</w:t>
            </w:r>
          </w:p>
        </w:tc>
        <w:tc>
          <w:tcPr>
            <w:tcW w:w="1465"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0.758</w:t>
            </w:r>
          </w:p>
        </w:tc>
        <w:tc>
          <w:tcPr>
            <w:tcW w:w="1940" w:type="dxa"/>
            <w:tcBorders>
              <w:top w:val="nil"/>
              <w:left w:val="nil"/>
              <w:bottom w:val="single" w:sz="4" w:space="0" w:color="9BC2E6"/>
              <w:right w:val="nil"/>
            </w:tcBorders>
            <w:shd w:val="clear" w:color="DDEBF7" w:fill="DDEBF7"/>
            <w:noWrap/>
            <w:vAlign w:val="bottom"/>
            <w:hideMark/>
          </w:tcPr>
          <w:p w:rsidR="001B062E" w:rsidRPr="00053C90" w:rsidRDefault="001B062E" w:rsidP="0002738A">
            <w:pPr>
              <w:spacing w:after="0" w:line="240" w:lineRule="auto"/>
              <w:jc w:val="right"/>
              <w:rPr>
                <w:rFonts w:eastAsia="Times New Roman"/>
                <w:color w:val="000000"/>
                <w:sz w:val="22"/>
                <w:lang w:val="en-US"/>
              </w:rPr>
            </w:pPr>
            <w:r w:rsidRPr="00053C90">
              <w:rPr>
                <w:rFonts w:eastAsia="Times New Roman"/>
                <w:color w:val="000000"/>
                <w:sz w:val="22"/>
                <w:lang w:val="en-US"/>
              </w:rPr>
              <w:t>0.574</w:t>
            </w:r>
          </w:p>
        </w:tc>
      </w:tr>
    </w:tbl>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D55E87" w:rsidRPr="00053C90" w:rsidRDefault="00D55E87"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9F3FBF">
      <w:pPr>
        <w:pStyle w:val="Heading2"/>
        <w:numPr>
          <w:ilvl w:val="1"/>
          <w:numId w:val="2"/>
        </w:numPr>
        <w:rPr>
          <w:lang w:val="en-US"/>
        </w:rPr>
      </w:pPr>
      <w:bookmarkStart w:id="47" w:name="_Toc428399246"/>
      <w:r w:rsidRPr="00053C90">
        <w:rPr>
          <w:lang w:val="en-US"/>
        </w:rPr>
        <w:t>Correlation</w:t>
      </w:r>
      <w:r w:rsidR="009F3FBF" w:rsidRPr="00053C90">
        <w:rPr>
          <w:lang w:val="en-US"/>
        </w:rPr>
        <w:t xml:space="preserve"> between the measures</w:t>
      </w:r>
      <w:bookmarkEnd w:id="47"/>
    </w:p>
    <w:p w:rsidR="001B062E" w:rsidRPr="00053C90" w:rsidRDefault="00D55E87" w:rsidP="001B062E">
      <w:pPr>
        <w:spacing w:line="360" w:lineRule="auto"/>
        <w:rPr>
          <w:szCs w:val="24"/>
          <w:lang w:val="en-US"/>
        </w:rPr>
      </w:pPr>
      <w:r w:rsidRPr="00053C90">
        <w:rPr>
          <w:szCs w:val="24"/>
          <w:lang w:val="en-US"/>
        </w:rPr>
        <w:t>Table 4.3</w:t>
      </w:r>
      <w:r w:rsidR="001B062E" w:rsidRPr="00053C90">
        <w:rPr>
          <w:szCs w:val="24"/>
          <w:lang w:val="en-US"/>
        </w:rPr>
        <w:t xml:space="preserve"> shows a correlation matrix and the results indicate that there are some cases of significant correlation </w:t>
      </w:r>
      <w:r w:rsidR="00A44750" w:rsidRPr="00053C90">
        <w:rPr>
          <w:szCs w:val="24"/>
          <w:lang w:val="en-US"/>
        </w:rPr>
        <w:t xml:space="preserve">between ROA and BHAR. </w:t>
      </w:r>
      <w:r w:rsidR="001B062E" w:rsidRPr="00053C90">
        <w:rPr>
          <w:szCs w:val="24"/>
          <w:lang w:val="en-US"/>
        </w:rPr>
        <w:t xml:space="preserve">These cases are BHAR and ROA after 24 </w:t>
      </w:r>
      <w:r w:rsidR="00A44750" w:rsidRPr="00053C90">
        <w:rPr>
          <w:szCs w:val="24"/>
          <w:lang w:val="en-US"/>
        </w:rPr>
        <w:t xml:space="preserve">months, which have </w:t>
      </w:r>
      <w:r w:rsidR="0062387A" w:rsidRPr="00053C90">
        <w:rPr>
          <w:szCs w:val="24"/>
          <w:lang w:val="en-US"/>
        </w:rPr>
        <w:t>significance</w:t>
      </w:r>
      <w:r w:rsidR="00A44750" w:rsidRPr="00053C90">
        <w:rPr>
          <w:szCs w:val="24"/>
          <w:lang w:val="en-US"/>
        </w:rPr>
        <w:t xml:space="preserve"> on a 10% level. BHAR after 12</w:t>
      </w:r>
      <w:r w:rsidR="001B062E" w:rsidRPr="00053C90">
        <w:rPr>
          <w:szCs w:val="24"/>
          <w:lang w:val="en-US"/>
        </w:rPr>
        <w:t xml:space="preserve"> months and ROA after 36 months are also significant on a 10% level. This is</w:t>
      </w:r>
      <w:r w:rsidR="00A44750" w:rsidRPr="00053C90">
        <w:rPr>
          <w:szCs w:val="24"/>
          <w:lang w:val="en-US"/>
        </w:rPr>
        <w:t xml:space="preserve"> also the case for BHAR after 24</w:t>
      </w:r>
      <w:r w:rsidR="001B062E" w:rsidRPr="00053C90">
        <w:rPr>
          <w:szCs w:val="24"/>
          <w:lang w:val="en-US"/>
        </w:rPr>
        <w:t xml:space="preserve"> months and ROA after 36 months. Lastly, there is significant correlation on</w:t>
      </w:r>
      <w:r w:rsidR="00A44750" w:rsidRPr="00053C90">
        <w:rPr>
          <w:szCs w:val="24"/>
          <w:lang w:val="en-US"/>
        </w:rPr>
        <w:t xml:space="preserve"> a</w:t>
      </w:r>
      <w:r w:rsidR="001B062E" w:rsidRPr="00053C90">
        <w:rPr>
          <w:szCs w:val="24"/>
          <w:lang w:val="en-US"/>
        </w:rPr>
        <w:t xml:space="preserve"> 5% level between BHAR after 36 months and ROA after 24 months. All the situations where there is significant correlation are highlighted in green in the table below.   </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Default="001B062E" w:rsidP="001B062E">
      <w:pPr>
        <w:autoSpaceDE w:val="0"/>
        <w:autoSpaceDN w:val="0"/>
        <w:adjustRightInd w:val="0"/>
        <w:spacing w:after="0" w:line="240" w:lineRule="auto"/>
        <w:rPr>
          <w:rFonts w:ascii="Arial" w:hAnsi="Arial" w:cs="Arial"/>
          <w:sz w:val="18"/>
          <w:szCs w:val="18"/>
          <w:lang w:val="en-US"/>
        </w:rPr>
      </w:pPr>
    </w:p>
    <w:p w:rsidR="00D13EE4" w:rsidRDefault="00D13EE4" w:rsidP="001B062E">
      <w:pPr>
        <w:autoSpaceDE w:val="0"/>
        <w:autoSpaceDN w:val="0"/>
        <w:adjustRightInd w:val="0"/>
        <w:spacing w:after="0" w:line="240" w:lineRule="auto"/>
        <w:rPr>
          <w:rFonts w:ascii="Arial" w:hAnsi="Arial" w:cs="Arial"/>
          <w:sz w:val="18"/>
          <w:szCs w:val="18"/>
          <w:lang w:val="en-US"/>
        </w:rPr>
      </w:pPr>
    </w:p>
    <w:p w:rsidR="00D13EE4" w:rsidRDefault="00D13EE4" w:rsidP="001B062E">
      <w:pPr>
        <w:autoSpaceDE w:val="0"/>
        <w:autoSpaceDN w:val="0"/>
        <w:adjustRightInd w:val="0"/>
        <w:spacing w:after="0" w:line="240" w:lineRule="auto"/>
        <w:rPr>
          <w:rFonts w:ascii="Arial" w:hAnsi="Arial" w:cs="Arial"/>
          <w:sz w:val="18"/>
          <w:szCs w:val="18"/>
          <w:lang w:val="en-US"/>
        </w:rPr>
      </w:pPr>
    </w:p>
    <w:p w:rsidR="000703D7" w:rsidRDefault="000703D7" w:rsidP="001B062E">
      <w:pPr>
        <w:autoSpaceDE w:val="0"/>
        <w:autoSpaceDN w:val="0"/>
        <w:adjustRightInd w:val="0"/>
        <w:spacing w:after="0" w:line="240" w:lineRule="auto"/>
        <w:rPr>
          <w:rFonts w:ascii="Arial" w:hAnsi="Arial" w:cs="Arial"/>
          <w:sz w:val="18"/>
          <w:szCs w:val="18"/>
          <w:lang w:val="en-US"/>
        </w:rPr>
      </w:pPr>
    </w:p>
    <w:p w:rsidR="000703D7" w:rsidRDefault="000703D7" w:rsidP="001B062E">
      <w:pPr>
        <w:autoSpaceDE w:val="0"/>
        <w:autoSpaceDN w:val="0"/>
        <w:adjustRightInd w:val="0"/>
        <w:spacing w:after="0" w:line="240" w:lineRule="auto"/>
        <w:rPr>
          <w:rFonts w:ascii="Arial" w:hAnsi="Arial" w:cs="Arial"/>
          <w:sz w:val="18"/>
          <w:szCs w:val="18"/>
          <w:lang w:val="en-US"/>
        </w:rPr>
      </w:pPr>
    </w:p>
    <w:p w:rsidR="000703D7" w:rsidRDefault="000703D7" w:rsidP="001B062E">
      <w:pPr>
        <w:autoSpaceDE w:val="0"/>
        <w:autoSpaceDN w:val="0"/>
        <w:adjustRightInd w:val="0"/>
        <w:spacing w:after="0" w:line="240" w:lineRule="auto"/>
        <w:rPr>
          <w:rFonts w:ascii="Arial" w:hAnsi="Arial" w:cs="Arial"/>
          <w:sz w:val="18"/>
          <w:szCs w:val="18"/>
          <w:lang w:val="en-US"/>
        </w:rPr>
      </w:pPr>
    </w:p>
    <w:p w:rsidR="000703D7" w:rsidRPr="00053C90" w:rsidRDefault="000703D7"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E13749" w:rsidRPr="00053C90" w:rsidRDefault="00E13749" w:rsidP="00E13749">
      <w:pPr>
        <w:spacing w:line="360" w:lineRule="auto"/>
        <w:jc w:val="center"/>
        <w:rPr>
          <w:i/>
          <w:sz w:val="20"/>
          <w:szCs w:val="20"/>
          <w:lang w:val="en-US"/>
        </w:rPr>
      </w:pPr>
      <w:r w:rsidRPr="00053C90">
        <w:rPr>
          <w:i/>
          <w:sz w:val="20"/>
          <w:szCs w:val="20"/>
          <w:lang w:val="en-US"/>
        </w:rPr>
        <w:t xml:space="preserve">Table 4.3 Correlation Matrix </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1440"/>
        <w:gridCol w:w="1046"/>
        <w:gridCol w:w="1045"/>
        <w:gridCol w:w="1046"/>
        <w:gridCol w:w="1045"/>
        <w:gridCol w:w="1046"/>
        <w:gridCol w:w="1045"/>
        <w:gridCol w:w="1046"/>
      </w:tblGrid>
      <w:tr w:rsidR="001B062E" w:rsidRPr="00053C90" w:rsidTr="0002738A">
        <w:trPr>
          <w:trHeight w:val="150"/>
        </w:trPr>
        <w:tc>
          <w:tcPr>
            <w:tcW w:w="3531" w:type="dxa"/>
            <w:gridSpan w:val="3"/>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Covariance Analysis: Ordinary</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3531" w:type="dxa"/>
            <w:gridSpan w:val="3"/>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04/23/15   Time: 15:37</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2486" w:type="dxa"/>
            <w:gridSpan w:val="2"/>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3531" w:type="dxa"/>
            <w:gridSpan w:val="3"/>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hRule="exact" w:val="60"/>
        </w:trPr>
        <w:tc>
          <w:tcPr>
            <w:tcW w:w="1440"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2"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hRule="exact" w:val="90"/>
        </w:trPr>
        <w:tc>
          <w:tcPr>
            <w:tcW w:w="1440"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2486" w:type="dxa"/>
            <w:gridSpan w:val="2"/>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Correlation</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2486" w:type="dxa"/>
            <w:gridSpan w:val="2"/>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single" w:sz="6" w:space="0" w:color="auto"/>
              <w:right w:val="single" w:sz="6" w:space="0" w:color="auto"/>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1046" w:type="dxa"/>
            <w:tcBorders>
              <w:top w:val="nil"/>
              <w:left w:val="single" w:sz="6" w:space="0" w:color="auto"/>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ROA12 </w:t>
            </w:r>
          </w:p>
        </w:tc>
        <w:tc>
          <w:tcPr>
            <w:tcW w:w="1045" w:type="dxa"/>
            <w:tcBorders>
              <w:top w:val="nil"/>
              <w:left w:val="nil"/>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ROA24 </w:t>
            </w:r>
          </w:p>
        </w:tc>
        <w:tc>
          <w:tcPr>
            <w:tcW w:w="1046" w:type="dxa"/>
            <w:tcBorders>
              <w:top w:val="nil"/>
              <w:left w:val="nil"/>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ROA36 </w:t>
            </w:r>
          </w:p>
        </w:tc>
        <w:tc>
          <w:tcPr>
            <w:tcW w:w="1045" w:type="dxa"/>
            <w:tcBorders>
              <w:top w:val="nil"/>
              <w:left w:val="nil"/>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BHAR12 </w:t>
            </w:r>
          </w:p>
        </w:tc>
        <w:tc>
          <w:tcPr>
            <w:tcW w:w="1046" w:type="dxa"/>
            <w:tcBorders>
              <w:top w:val="nil"/>
              <w:left w:val="nil"/>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BHAR24 </w:t>
            </w:r>
          </w:p>
        </w:tc>
        <w:tc>
          <w:tcPr>
            <w:tcW w:w="1045" w:type="dxa"/>
            <w:tcBorders>
              <w:top w:val="nil"/>
              <w:left w:val="nil"/>
              <w:bottom w:val="single" w:sz="6" w:space="0" w:color="auto"/>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BHAR36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single" w:sz="6" w:space="0" w:color="auto"/>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ROA12 </w:t>
            </w:r>
          </w:p>
        </w:tc>
        <w:tc>
          <w:tcPr>
            <w:tcW w:w="1046" w:type="dxa"/>
            <w:tcBorders>
              <w:top w:val="single" w:sz="6" w:space="0" w:color="auto"/>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5" w:type="dxa"/>
            <w:tcBorders>
              <w:top w:val="single" w:sz="6" w:space="0" w:color="auto"/>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single" w:sz="6" w:space="0" w:color="auto"/>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single" w:sz="6" w:space="0" w:color="auto"/>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single" w:sz="6" w:space="0" w:color="auto"/>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single" w:sz="6" w:space="0" w:color="auto"/>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ROA24 </w:t>
            </w: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0.297627</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2.454759</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0.0169</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ROA36 </w:t>
            </w: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0.334126</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0.411771</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2.791335</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3.557920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0.0070</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0.0007</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BHAR12 </w:t>
            </w: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0.142105</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0.148670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highlight w:val="green"/>
                <w:lang w:val="en-US"/>
              </w:rPr>
              <w:t>0.209092</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1.130409</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1.183784</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1.683603</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0.2627</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0.2410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0.0973</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BHAR24 </w:t>
            </w: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0.088839</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highlight w:val="green"/>
                <w:lang w:val="en-US"/>
              </w:rPr>
              <w:t>0.227346</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highlight w:val="green"/>
                <w:lang w:val="en-US"/>
              </w:rPr>
              <w:t>0.284968</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0.698718</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0.702300</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1.838259</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2.340904</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7.690431</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0.4851</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0.0708</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0.0225</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BHAR36 </w:t>
            </w: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-0.010546</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highlight w:val="green"/>
                <w:lang w:val="en-US"/>
              </w:rPr>
              <w:t>0.217037</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0.130704</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0.557729</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0.796088</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1.000000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-0.083043</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1.750682</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1.038066</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5.290896</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10.35789</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val="150"/>
        </w:trPr>
        <w:tc>
          <w:tcPr>
            <w:tcW w:w="1440" w:type="dxa"/>
            <w:tcBorders>
              <w:top w:val="nil"/>
              <w:left w:val="nil"/>
              <w:bottom w:val="nil"/>
              <w:right w:val="single" w:sz="6" w:space="0" w:color="auto"/>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c>
          <w:tcPr>
            <w:tcW w:w="1046" w:type="dxa"/>
            <w:tcBorders>
              <w:top w:val="nil"/>
              <w:left w:val="single" w:sz="6" w:space="0" w:color="auto"/>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0.9341</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0.0849</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0.3033</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0.0000</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0.0000</w:t>
            </w: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 </w:t>
            </w: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ind w:right="10"/>
              <w:jc w:val="center"/>
              <w:rPr>
                <w:rFonts w:ascii="Arial" w:hAnsi="Arial" w:cs="Arial"/>
                <w:color w:val="000000"/>
                <w:sz w:val="18"/>
                <w:szCs w:val="18"/>
                <w:lang w:val="en-US"/>
              </w:rPr>
            </w:pPr>
          </w:p>
        </w:tc>
      </w:tr>
      <w:tr w:rsidR="001B062E" w:rsidRPr="00053C90" w:rsidTr="0002738A">
        <w:trPr>
          <w:trHeight w:hRule="exact" w:val="60"/>
        </w:trPr>
        <w:tc>
          <w:tcPr>
            <w:tcW w:w="1440"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double" w:sz="6" w:space="0" w:color="auto"/>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r w:rsidR="001B062E" w:rsidRPr="00053C90" w:rsidTr="0002738A">
        <w:trPr>
          <w:trHeight w:hRule="exact" w:val="90"/>
        </w:trPr>
        <w:tc>
          <w:tcPr>
            <w:tcW w:w="1440"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rPr>
                <w:rFonts w:ascii="Arial" w:hAnsi="Arial" w:cs="Arial"/>
                <w:color w:val="000000"/>
                <w:sz w:val="18"/>
                <w:szCs w:val="18"/>
                <w:lang w:val="en-US"/>
              </w:rPr>
            </w:pPr>
          </w:p>
        </w:tc>
        <w:tc>
          <w:tcPr>
            <w:tcW w:w="1046" w:type="dxa"/>
            <w:tcBorders>
              <w:top w:val="nil"/>
              <w:left w:val="nil"/>
              <w:bottom w:val="nil"/>
              <w:right w:val="nil"/>
            </w:tcBorders>
            <w:vAlign w:val="bottom"/>
          </w:tcPr>
          <w:p w:rsidR="001B062E" w:rsidRPr="00053C90" w:rsidRDefault="001B062E" w:rsidP="0002738A">
            <w:pPr>
              <w:autoSpaceDE w:val="0"/>
              <w:autoSpaceDN w:val="0"/>
              <w:adjustRightInd w:val="0"/>
              <w:spacing w:after="0" w:line="240" w:lineRule="auto"/>
              <w:jc w:val="center"/>
              <w:rPr>
                <w:rFonts w:ascii="Arial" w:hAnsi="Arial" w:cs="Arial"/>
                <w:color w:val="000000"/>
                <w:sz w:val="18"/>
                <w:szCs w:val="18"/>
                <w:lang w:val="en-US"/>
              </w:rPr>
            </w:pPr>
          </w:p>
        </w:tc>
      </w:tr>
    </w:tbl>
    <w:p w:rsidR="00D55E87" w:rsidRPr="00053C90" w:rsidRDefault="00D55E87" w:rsidP="00D55E87">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360" w:lineRule="auto"/>
        <w:rPr>
          <w:szCs w:val="24"/>
          <w:lang w:val="en-US"/>
        </w:rPr>
      </w:pPr>
    </w:p>
    <w:p w:rsidR="001B062E" w:rsidRPr="00053C90" w:rsidRDefault="001B062E" w:rsidP="001B062E">
      <w:pPr>
        <w:rPr>
          <w:szCs w:val="24"/>
          <w:lang w:val="en-US"/>
        </w:rPr>
      </w:pPr>
    </w:p>
    <w:p w:rsidR="001B062E" w:rsidRPr="00053C90" w:rsidRDefault="001B062E" w:rsidP="009F3FBF">
      <w:pPr>
        <w:pStyle w:val="Heading2"/>
        <w:numPr>
          <w:ilvl w:val="1"/>
          <w:numId w:val="2"/>
        </w:numPr>
        <w:rPr>
          <w:lang w:val="en-US"/>
        </w:rPr>
      </w:pPr>
      <w:bookmarkStart w:id="48" w:name="_Toc428399247"/>
      <w:r w:rsidRPr="00053C90">
        <w:rPr>
          <w:lang w:val="en-US"/>
        </w:rPr>
        <w:t>Multiple linear regressions</w:t>
      </w:r>
      <w:bookmarkEnd w:id="48"/>
    </w:p>
    <w:p w:rsidR="001B062E" w:rsidRPr="00053C90" w:rsidRDefault="001B062E" w:rsidP="00D13EE4">
      <w:pPr>
        <w:autoSpaceDE w:val="0"/>
        <w:autoSpaceDN w:val="0"/>
        <w:adjustRightInd w:val="0"/>
        <w:spacing w:after="0" w:line="360" w:lineRule="auto"/>
        <w:rPr>
          <w:szCs w:val="24"/>
          <w:lang w:val="en-US"/>
        </w:rPr>
      </w:pPr>
      <w:r w:rsidRPr="00053C90">
        <w:rPr>
          <w:szCs w:val="24"/>
          <w:lang w:val="en-US"/>
        </w:rPr>
        <w:t xml:space="preserve">The results from the multiple linear regressions are presented </w:t>
      </w:r>
      <w:r w:rsidR="00D55E87" w:rsidRPr="00053C90">
        <w:rPr>
          <w:szCs w:val="24"/>
          <w:lang w:val="en-US"/>
        </w:rPr>
        <w:t>in full in appendix</w:t>
      </w:r>
      <w:r w:rsidR="00937744" w:rsidRPr="00053C90">
        <w:rPr>
          <w:szCs w:val="24"/>
          <w:lang w:val="en-US"/>
        </w:rPr>
        <w:t xml:space="preserve"> </w:t>
      </w:r>
      <w:r w:rsidR="0058530F">
        <w:rPr>
          <w:szCs w:val="24"/>
          <w:lang w:val="en-US"/>
        </w:rPr>
        <w:t>1 A</w:t>
      </w:r>
      <w:r w:rsidR="00937744" w:rsidRPr="00053C90">
        <w:rPr>
          <w:szCs w:val="24"/>
          <w:lang w:val="en-US"/>
        </w:rPr>
        <w:t>2.5</w:t>
      </w:r>
      <w:r w:rsidRPr="00053C90">
        <w:rPr>
          <w:szCs w:val="24"/>
          <w:lang w:val="en-US"/>
        </w:rPr>
        <w:t>. Below extracts from these regressions are described. Each variable is described in terms beta and</w:t>
      </w:r>
      <w:r w:rsidR="00D13EE4">
        <w:rPr>
          <w:szCs w:val="24"/>
          <w:lang w:val="en-US"/>
        </w:rPr>
        <w:t xml:space="preserve"> p-value for each event window.</w:t>
      </w:r>
    </w:p>
    <w:p w:rsidR="001B062E" w:rsidRPr="00053C90" w:rsidRDefault="001B062E" w:rsidP="001B062E">
      <w:pPr>
        <w:autoSpaceDE w:val="0"/>
        <w:autoSpaceDN w:val="0"/>
        <w:adjustRightInd w:val="0"/>
        <w:spacing w:after="0" w:line="240" w:lineRule="auto"/>
        <w:rPr>
          <w:szCs w:val="24"/>
          <w:lang w:val="en-US"/>
        </w:rPr>
      </w:pPr>
    </w:p>
    <w:p w:rsidR="001B062E" w:rsidRDefault="001B062E" w:rsidP="001B062E">
      <w:pPr>
        <w:autoSpaceDE w:val="0"/>
        <w:autoSpaceDN w:val="0"/>
        <w:adjustRightInd w:val="0"/>
        <w:spacing w:after="0" w:line="240" w:lineRule="auto"/>
        <w:rPr>
          <w:i/>
          <w:szCs w:val="24"/>
          <w:lang w:val="en-US"/>
        </w:rPr>
      </w:pPr>
      <w:r w:rsidRPr="00053C90">
        <w:rPr>
          <w:i/>
          <w:szCs w:val="24"/>
          <w:lang w:val="en-US"/>
        </w:rPr>
        <w:t>Market-to-book</w:t>
      </w:r>
      <w:r w:rsidR="00D13EE4">
        <w:rPr>
          <w:i/>
          <w:szCs w:val="24"/>
          <w:lang w:val="en-US"/>
        </w:rPr>
        <w:t xml:space="preserve"> ratio</w:t>
      </w:r>
    </w:p>
    <w:p w:rsidR="00E13749" w:rsidRPr="00E13749" w:rsidRDefault="00E13749" w:rsidP="00E13749">
      <w:pPr>
        <w:spacing w:after="0"/>
        <w:jc w:val="center"/>
        <w:rPr>
          <w:lang w:val="en-US"/>
        </w:rPr>
      </w:pPr>
      <w:r w:rsidRPr="00053C90">
        <w:rPr>
          <w:i/>
          <w:sz w:val="20"/>
          <w:szCs w:val="20"/>
          <w:lang w:val="en-US"/>
        </w:rPr>
        <w:t>Table 4.4 Market-to-book ratio results</w:t>
      </w:r>
    </w:p>
    <w:tbl>
      <w:tblPr>
        <w:tblpPr w:leftFromText="141" w:rightFromText="141" w:vertAnchor="text" w:horzAnchor="margin" w:tblpY="332"/>
        <w:tblW w:w="8940" w:type="dxa"/>
        <w:tblLook w:val="04A0" w:firstRow="1" w:lastRow="0" w:firstColumn="1" w:lastColumn="0" w:noHBand="0" w:noVBand="1"/>
      </w:tblPr>
      <w:tblGrid>
        <w:gridCol w:w="1600"/>
        <w:gridCol w:w="1300"/>
        <w:gridCol w:w="1220"/>
        <w:gridCol w:w="1220"/>
        <w:gridCol w:w="1200"/>
        <w:gridCol w:w="1200"/>
        <w:gridCol w:w="1200"/>
      </w:tblGrid>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5B9BD5" w:fill="5B9BD5"/>
            <w:noWrap/>
            <w:vAlign w:val="bottom"/>
            <w:hideMark/>
          </w:tcPr>
          <w:p w:rsidR="001B062E" w:rsidRPr="00053C90" w:rsidRDefault="001B062E" w:rsidP="0002738A">
            <w:pPr>
              <w:spacing w:after="0" w:line="240" w:lineRule="auto"/>
              <w:rPr>
                <w:rFonts w:ascii="Calibri" w:eastAsia="Times New Roman" w:hAnsi="Calibri"/>
                <w:b/>
                <w:bCs/>
                <w:color w:val="FFFFFF"/>
                <w:szCs w:val="24"/>
                <w:lang w:val="en-US"/>
              </w:rPr>
            </w:pPr>
          </w:p>
        </w:tc>
        <w:tc>
          <w:tcPr>
            <w:tcW w:w="1300" w:type="dxa"/>
            <w:tcBorders>
              <w:top w:val="single" w:sz="4" w:space="0" w:color="9BC2E6"/>
              <w:left w:val="single" w:sz="4" w:space="0" w:color="auto"/>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BHAR12</w:t>
            </w:r>
          </w:p>
        </w:tc>
        <w:tc>
          <w:tcPr>
            <w:tcW w:w="122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BHAR24</w:t>
            </w:r>
          </w:p>
        </w:tc>
        <w:tc>
          <w:tcPr>
            <w:tcW w:w="122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BHAR36</w:t>
            </w:r>
          </w:p>
        </w:tc>
        <w:tc>
          <w:tcPr>
            <w:tcW w:w="120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ROA12</w:t>
            </w:r>
          </w:p>
        </w:tc>
        <w:tc>
          <w:tcPr>
            <w:tcW w:w="120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ROA24</w:t>
            </w:r>
          </w:p>
        </w:tc>
        <w:tc>
          <w:tcPr>
            <w:tcW w:w="1200" w:type="dxa"/>
            <w:tcBorders>
              <w:top w:val="single" w:sz="4" w:space="0" w:color="9BC2E6"/>
              <w:left w:val="nil"/>
              <w:bottom w:val="single" w:sz="4" w:space="0" w:color="9BC2E6"/>
              <w:right w:val="single" w:sz="4" w:space="0" w:color="9BC2E6"/>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ROA36</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Beta</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0.029785</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0.036775</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0.029408</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0.000408</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0.004134</w:t>
            </w:r>
          </w:p>
        </w:tc>
        <w:tc>
          <w:tcPr>
            <w:tcW w:w="120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0.013360</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P-value</w:t>
            </w:r>
          </w:p>
        </w:tc>
        <w:tc>
          <w:tcPr>
            <w:tcW w:w="13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0.3239</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0.4208</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0.5855</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0.9304</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0.3499</w:t>
            </w:r>
          </w:p>
        </w:tc>
        <w:tc>
          <w:tcPr>
            <w:tcW w:w="1200"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0.0172</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Significant</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Yes</w:t>
            </w:r>
          </w:p>
        </w:tc>
      </w:tr>
    </w:tbl>
    <w:p w:rsidR="00E13749" w:rsidRDefault="00E13749" w:rsidP="001B062E">
      <w:pPr>
        <w:spacing w:line="360" w:lineRule="auto"/>
        <w:rPr>
          <w:lang w:val="en-US"/>
        </w:rPr>
      </w:pPr>
    </w:p>
    <w:p w:rsidR="001B062E" w:rsidRPr="00053C90" w:rsidRDefault="001B062E" w:rsidP="001B062E">
      <w:pPr>
        <w:spacing w:line="360" w:lineRule="auto"/>
        <w:rPr>
          <w:lang w:val="en-US"/>
        </w:rPr>
      </w:pPr>
      <w:r w:rsidRPr="00053C90">
        <w:rPr>
          <w:lang w:val="en-US"/>
        </w:rPr>
        <w:t xml:space="preserve">As can be seen table </w:t>
      </w:r>
      <w:r w:rsidR="00937744" w:rsidRPr="00053C90">
        <w:rPr>
          <w:lang w:val="en-US"/>
        </w:rPr>
        <w:t>4.4</w:t>
      </w:r>
      <w:r w:rsidRPr="00053C90">
        <w:rPr>
          <w:lang w:val="en-US"/>
        </w:rPr>
        <w:t xml:space="preserve"> no significant slope coefficients are found, except </w:t>
      </w:r>
      <w:r w:rsidR="00937744" w:rsidRPr="00053C90">
        <w:rPr>
          <w:lang w:val="en-US"/>
        </w:rPr>
        <w:t xml:space="preserve">the coefficient for </w:t>
      </w:r>
      <w:r w:rsidRPr="00053C90">
        <w:rPr>
          <w:lang w:val="en-US"/>
        </w:rPr>
        <w:t xml:space="preserve">ROA after 36 months. This means that market-to-book ratio of the acquirer before the transaction affects the operating performance in the long term on a 5% significance level. </w:t>
      </w:r>
    </w:p>
    <w:p w:rsidR="001B062E" w:rsidRPr="00053C90" w:rsidRDefault="001B062E" w:rsidP="001B062E">
      <w:pPr>
        <w:autoSpaceDE w:val="0"/>
        <w:autoSpaceDN w:val="0"/>
        <w:adjustRightInd w:val="0"/>
        <w:spacing w:after="0" w:line="240" w:lineRule="auto"/>
        <w:rPr>
          <w:sz w:val="18"/>
          <w:szCs w:val="18"/>
          <w:lang w:val="en-US"/>
        </w:rPr>
      </w:pPr>
    </w:p>
    <w:p w:rsidR="001B062E" w:rsidRDefault="001B062E" w:rsidP="001B062E">
      <w:pPr>
        <w:autoSpaceDE w:val="0"/>
        <w:autoSpaceDN w:val="0"/>
        <w:adjustRightInd w:val="0"/>
        <w:spacing w:after="0" w:line="240" w:lineRule="auto"/>
        <w:rPr>
          <w:i/>
          <w:szCs w:val="24"/>
          <w:lang w:val="en-US"/>
        </w:rPr>
      </w:pPr>
      <w:r w:rsidRPr="00053C90">
        <w:rPr>
          <w:i/>
          <w:szCs w:val="24"/>
          <w:lang w:val="en-US"/>
        </w:rPr>
        <w:t>Size</w:t>
      </w:r>
    </w:p>
    <w:p w:rsidR="001B062E" w:rsidRPr="00E13749" w:rsidRDefault="00E13749" w:rsidP="00E13749">
      <w:pPr>
        <w:jc w:val="center"/>
        <w:rPr>
          <w:lang w:val="en-US"/>
        </w:rPr>
      </w:pPr>
      <w:r w:rsidRPr="00053C90">
        <w:rPr>
          <w:i/>
          <w:sz w:val="20"/>
          <w:szCs w:val="20"/>
          <w:lang w:val="en-US"/>
        </w:rPr>
        <w:t>Table 4.5 Size results</w:t>
      </w:r>
    </w:p>
    <w:tbl>
      <w:tblPr>
        <w:tblW w:w="8940" w:type="dxa"/>
        <w:tblInd w:w="113" w:type="dxa"/>
        <w:tblLook w:val="04A0" w:firstRow="1" w:lastRow="0" w:firstColumn="1" w:lastColumn="0" w:noHBand="0" w:noVBand="1"/>
      </w:tblPr>
      <w:tblGrid>
        <w:gridCol w:w="1600"/>
        <w:gridCol w:w="1300"/>
        <w:gridCol w:w="1220"/>
        <w:gridCol w:w="1220"/>
        <w:gridCol w:w="1200"/>
        <w:gridCol w:w="1200"/>
        <w:gridCol w:w="1200"/>
      </w:tblGrid>
      <w:tr w:rsidR="001B062E" w:rsidRPr="00053C90" w:rsidTr="0002738A">
        <w:trPr>
          <w:trHeight w:val="312"/>
        </w:trPr>
        <w:tc>
          <w:tcPr>
            <w:tcW w:w="1600" w:type="dxa"/>
            <w:tcBorders>
              <w:top w:val="single" w:sz="4" w:space="0" w:color="8DB3E2"/>
              <w:left w:val="single" w:sz="4" w:space="0" w:color="8DB3E2"/>
              <w:bottom w:val="single" w:sz="4" w:space="0" w:color="9BC2E6"/>
              <w:right w:val="nil"/>
            </w:tcBorders>
            <w:shd w:val="clear" w:color="5B9BD5" w:fill="5B9BD5"/>
            <w:noWrap/>
            <w:vAlign w:val="bottom"/>
            <w:hideMark/>
          </w:tcPr>
          <w:p w:rsidR="001B062E" w:rsidRPr="00053C90" w:rsidRDefault="001B062E" w:rsidP="0002738A">
            <w:pPr>
              <w:spacing w:after="0" w:line="240" w:lineRule="auto"/>
              <w:rPr>
                <w:rFonts w:ascii="Calibri" w:eastAsia="Times New Roman" w:hAnsi="Calibri"/>
                <w:b/>
                <w:bCs/>
                <w:color w:val="FFFFFF"/>
                <w:szCs w:val="24"/>
                <w:lang w:val="en-US"/>
              </w:rPr>
            </w:pPr>
          </w:p>
        </w:tc>
        <w:tc>
          <w:tcPr>
            <w:tcW w:w="1300" w:type="dxa"/>
            <w:tcBorders>
              <w:top w:val="single" w:sz="4" w:space="0" w:color="8DB3E2"/>
              <w:left w:val="single" w:sz="4" w:space="0" w:color="auto"/>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BHAR12</w:t>
            </w:r>
          </w:p>
        </w:tc>
        <w:tc>
          <w:tcPr>
            <w:tcW w:w="122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BHAR24</w:t>
            </w:r>
          </w:p>
        </w:tc>
        <w:tc>
          <w:tcPr>
            <w:tcW w:w="122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BHAR36</w:t>
            </w:r>
          </w:p>
        </w:tc>
        <w:tc>
          <w:tcPr>
            <w:tcW w:w="120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ROA12</w:t>
            </w:r>
          </w:p>
        </w:tc>
        <w:tc>
          <w:tcPr>
            <w:tcW w:w="120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ROA24</w:t>
            </w:r>
          </w:p>
        </w:tc>
        <w:tc>
          <w:tcPr>
            <w:tcW w:w="1200" w:type="dxa"/>
            <w:tcBorders>
              <w:top w:val="single" w:sz="4" w:space="0" w:color="8DB3E2"/>
              <w:left w:val="nil"/>
              <w:bottom w:val="single" w:sz="4" w:space="0" w:color="9BC2E6"/>
              <w:right w:val="single" w:sz="4" w:space="0" w:color="8DB3E2"/>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ROA36</w:t>
            </w:r>
          </w:p>
        </w:tc>
      </w:tr>
      <w:tr w:rsidR="001B062E" w:rsidRPr="00053C90" w:rsidTr="0002738A">
        <w:trPr>
          <w:trHeight w:val="312"/>
        </w:trPr>
        <w:tc>
          <w:tcPr>
            <w:tcW w:w="1600" w:type="dxa"/>
            <w:tcBorders>
              <w:top w:val="single" w:sz="4" w:space="0" w:color="9BC2E6"/>
              <w:left w:val="single" w:sz="4" w:space="0" w:color="8DB3E2"/>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Beta</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-0.031903</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0.016993</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-0.027664</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0.004925</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-0.000772</w:t>
            </w:r>
          </w:p>
        </w:tc>
        <w:tc>
          <w:tcPr>
            <w:tcW w:w="1200" w:type="dxa"/>
            <w:tcBorders>
              <w:top w:val="single" w:sz="4" w:space="0" w:color="9BC2E6"/>
              <w:left w:val="nil"/>
              <w:bottom w:val="single" w:sz="4" w:space="0" w:color="9BC2E6"/>
              <w:right w:val="single" w:sz="4" w:space="0" w:color="8DB3E2"/>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-0.025974</w:t>
            </w:r>
          </w:p>
        </w:tc>
      </w:tr>
      <w:tr w:rsidR="001B062E" w:rsidRPr="00053C90" w:rsidTr="0002738A">
        <w:trPr>
          <w:trHeight w:val="312"/>
        </w:trPr>
        <w:tc>
          <w:tcPr>
            <w:tcW w:w="1600" w:type="dxa"/>
            <w:tcBorders>
              <w:top w:val="single" w:sz="4" w:space="0" w:color="9BC2E6"/>
              <w:left w:val="single" w:sz="4" w:space="0" w:color="8DB3E2"/>
              <w:bottom w:val="single" w:sz="4" w:space="0" w:color="9BC2E6"/>
              <w:right w:val="nil"/>
            </w:tcBorders>
            <w:shd w:val="clear" w:color="auto" w:fill="auto"/>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P-value</w:t>
            </w:r>
          </w:p>
        </w:tc>
        <w:tc>
          <w:tcPr>
            <w:tcW w:w="13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0.7407</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0.9073</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0.8726</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0.7424</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0.9564</w:t>
            </w:r>
          </w:p>
        </w:tc>
        <w:tc>
          <w:tcPr>
            <w:tcW w:w="1200" w:type="dxa"/>
            <w:tcBorders>
              <w:top w:val="single" w:sz="4" w:space="0" w:color="9BC2E6"/>
              <w:left w:val="nil"/>
              <w:bottom w:val="single" w:sz="4" w:space="0" w:color="9BC2E6"/>
              <w:right w:val="single" w:sz="4" w:space="0" w:color="8DB3E2"/>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0.1421</w:t>
            </w:r>
          </w:p>
        </w:tc>
      </w:tr>
      <w:tr w:rsidR="001B062E" w:rsidRPr="00053C90" w:rsidTr="0002738A">
        <w:trPr>
          <w:trHeight w:val="312"/>
        </w:trPr>
        <w:tc>
          <w:tcPr>
            <w:tcW w:w="1600" w:type="dxa"/>
            <w:tcBorders>
              <w:top w:val="single" w:sz="4" w:space="0" w:color="9BC2E6"/>
              <w:left w:val="single" w:sz="4" w:space="0" w:color="8DB3E2"/>
              <w:bottom w:val="single" w:sz="4" w:space="0" w:color="8DB3E2"/>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Significant</w:t>
            </w:r>
          </w:p>
        </w:tc>
        <w:tc>
          <w:tcPr>
            <w:tcW w:w="13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8DB3E2"/>
              <w:right w:val="single" w:sz="4" w:space="0" w:color="8DB3E2"/>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r>
    </w:tbl>
    <w:p w:rsidR="00E13749" w:rsidRDefault="00E13749" w:rsidP="001B062E">
      <w:pPr>
        <w:spacing w:line="360" w:lineRule="auto"/>
        <w:rPr>
          <w:lang w:val="en-US"/>
        </w:rPr>
      </w:pPr>
    </w:p>
    <w:p w:rsidR="001B062E" w:rsidRPr="00053C90" w:rsidRDefault="001B062E" w:rsidP="001B062E">
      <w:pPr>
        <w:spacing w:line="360" w:lineRule="auto"/>
        <w:rPr>
          <w:lang w:val="en-US"/>
        </w:rPr>
      </w:pPr>
      <w:r w:rsidRPr="00053C90">
        <w:rPr>
          <w:lang w:val="en-US"/>
        </w:rPr>
        <w:t xml:space="preserve">Size of the acquirer has no significant impact on the performance after the transaction. This is the case on all event windows for both types of measures.  There seems to be indications of smaller acquirers having a superior operating performance after 36 months, but since this is not significant, no conclusions can be made based on this. </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b/>
          <w:sz w:val="18"/>
          <w:szCs w:val="18"/>
          <w:lang w:val="en-US"/>
        </w:rPr>
      </w:pPr>
    </w:p>
    <w:p w:rsidR="001B062E" w:rsidRDefault="001B062E" w:rsidP="001B062E">
      <w:pPr>
        <w:autoSpaceDE w:val="0"/>
        <w:autoSpaceDN w:val="0"/>
        <w:adjustRightInd w:val="0"/>
        <w:spacing w:after="0" w:line="240" w:lineRule="auto"/>
        <w:rPr>
          <w:i/>
          <w:szCs w:val="24"/>
          <w:lang w:val="en-US"/>
        </w:rPr>
      </w:pPr>
      <w:r w:rsidRPr="00053C90">
        <w:rPr>
          <w:i/>
          <w:szCs w:val="24"/>
          <w:lang w:val="en-US"/>
        </w:rPr>
        <w:t>Relative Transaction Size</w:t>
      </w:r>
    </w:p>
    <w:p w:rsidR="001B062E" w:rsidRPr="00E13749" w:rsidRDefault="00E13749" w:rsidP="00E13749">
      <w:pPr>
        <w:jc w:val="center"/>
        <w:rPr>
          <w:lang w:val="en-US"/>
        </w:rPr>
      </w:pPr>
      <w:r w:rsidRPr="00053C90">
        <w:rPr>
          <w:i/>
          <w:sz w:val="20"/>
          <w:szCs w:val="20"/>
          <w:lang w:val="en-US"/>
        </w:rPr>
        <w:t>Table 4.6 Relative transaction size results</w:t>
      </w:r>
    </w:p>
    <w:tbl>
      <w:tblPr>
        <w:tblW w:w="8940" w:type="dxa"/>
        <w:tblInd w:w="113" w:type="dxa"/>
        <w:tblLook w:val="04A0" w:firstRow="1" w:lastRow="0" w:firstColumn="1" w:lastColumn="0" w:noHBand="0" w:noVBand="1"/>
      </w:tblPr>
      <w:tblGrid>
        <w:gridCol w:w="1600"/>
        <w:gridCol w:w="1300"/>
        <w:gridCol w:w="1220"/>
        <w:gridCol w:w="1220"/>
        <w:gridCol w:w="1200"/>
        <w:gridCol w:w="1200"/>
        <w:gridCol w:w="1200"/>
      </w:tblGrid>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5B9BD5" w:fill="5B9BD5"/>
            <w:noWrap/>
            <w:vAlign w:val="bottom"/>
            <w:hideMark/>
          </w:tcPr>
          <w:p w:rsidR="001B062E" w:rsidRPr="00053C90" w:rsidRDefault="001B062E" w:rsidP="0002738A">
            <w:pPr>
              <w:spacing w:after="0" w:line="240" w:lineRule="auto"/>
              <w:rPr>
                <w:rFonts w:ascii="Calibri" w:eastAsia="Times New Roman" w:hAnsi="Calibri"/>
                <w:b/>
                <w:bCs/>
                <w:color w:val="FFFFFF"/>
                <w:szCs w:val="24"/>
                <w:lang w:val="en-US"/>
              </w:rPr>
            </w:pPr>
          </w:p>
        </w:tc>
        <w:tc>
          <w:tcPr>
            <w:tcW w:w="1300" w:type="dxa"/>
            <w:tcBorders>
              <w:top w:val="single" w:sz="4" w:space="0" w:color="9BC2E6"/>
              <w:left w:val="single" w:sz="4" w:space="0" w:color="auto"/>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BHAR12</w:t>
            </w:r>
          </w:p>
        </w:tc>
        <w:tc>
          <w:tcPr>
            <w:tcW w:w="122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BHAR24</w:t>
            </w:r>
          </w:p>
        </w:tc>
        <w:tc>
          <w:tcPr>
            <w:tcW w:w="122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BHAR36</w:t>
            </w:r>
          </w:p>
        </w:tc>
        <w:tc>
          <w:tcPr>
            <w:tcW w:w="120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ROA12</w:t>
            </w:r>
          </w:p>
        </w:tc>
        <w:tc>
          <w:tcPr>
            <w:tcW w:w="1200" w:type="dxa"/>
            <w:tcBorders>
              <w:top w:val="single" w:sz="4" w:space="0" w:color="9BC2E6"/>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ROA24</w:t>
            </w:r>
          </w:p>
        </w:tc>
        <w:tc>
          <w:tcPr>
            <w:tcW w:w="1200" w:type="dxa"/>
            <w:tcBorders>
              <w:top w:val="single" w:sz="4" w:space="0" w:color="9BC2E6"/>
              <w:left w:val="nil"/>
              <w:bottom w:val="single" w:sz="4" w:space="0" w:color="9BC2E6"/>
              <w:right w:val="single" w:sz="4" w:space="0" w:color="9BC2E6"/>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ROA36</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Beta</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0.033961</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0.168691</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0.199130</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-0.003423</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0.011852</w:t>
            </w:r>
          </w:p>
        </w:tc>
        <w:tc>
          <w:tcPr>
            <w:tcW w:w="120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-0.000576</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auto" w:fill="auto"/>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P-value</w:t>
            </w:r>
          </w:p>
        </w:tc>
        <w:tc>
          <w:tcPr>
            <w:tcW w:w="13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0.5685</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0.0651</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0.0654</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0.7113</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0.1773</w:t>
            </w:r>
          </w:p>
        </w:tc>
        <w:tc>
          <w:tcPr>
            <w:tcW w:w="1200" w:type="dxa"/>
            <w:tcBorders>
              <w:top w:val="single" w:sz="4" w:space="0" w:color="9BC2E6"/>
              <w:left w:val="nil"/>
              <w:bottom w:val="single" w:sz="4" w:space="0" w:color="9BC2E6"/>
              <w:right w:val="single" w:sz="4" w:space="0" w:color="9BC2E6"/>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0.9576</w:t>
            </w:r>
          </w:p>
        </w:tc>
      </w:tr>
      <w:tr w:rsidR="001B062E" w:rsidRPr="00053C90" w:rsidTr="0002738A">
        <w:trPr>
          <w:trHeight w:val="312"/>
        </w:trPr>
        <w:tc>
          <w:tcPr>
            <w:tcW w:w="1600" w:type="dxa"/>
            <w:tcBorders>
              <w:top w:val="single" w:sz="4" w:space="0" w:color="9BC2E6"/>
              <w:left w:val="single" w:sz="4" w:space="0" w:color="9BC2E6"/>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Significant</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Yes</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Yes</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9BC2E6"/>
              <w:right w:val="single" w:sz="4" w:space="0" w:color="9BC2E6"/>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r>
    </w:tbl>
    <w:p w:rsidR="001B062E" w:rsidRDefault="001B062E" w:rsidP="001B062E">
      <w:pPr>
        <w:autoSpaceDE w:val="0"/>
        <w:autoSpaceDN w:val="0"/>
        <w:adjustRightInd w:val="0"/>
        <w:spacing w:after="0" w:line="240" w:lineRule="auto"/>
        <w:rPr>
          <w:rFonts w:ascii="Arial" w:hAnsi="Arial" w:cs="Arial"/>
          <w:sz w:val="18"/>
          <w:szCs w:val="18"/>
          <w:lang w:val="en-US"/>
        </w:rPr>
      </w:pPr>
    </w:p>
    <w:p w:rsidR="00E13749" w:rsidRPr="00053C90" w:rsidRDefault="00E13749"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 xml:space="preserve">Relative transaction size is, as can be seen in table </w:t>
      </w:r>
      <w:r w:rsidR="00937744" w:rsidRPr="00053C90">
        <w:rPr>
          <w:szCs w:val="24"/>
          <w:lang w:val="en-US"/>
        </w:rPr>
        <w:t>4.6</w:t>
      </w:r>
      <w:r w:rsidR="00F0273C" w:rsidRPr="00053C90">
        <w:rPr>
          <w:szCs w:val="24"/>
          <w:lang w:val="en-US"/>
        </w:rPr>
        <w:t>,</w:t>
      </w:r>
      <w:r w:rsidRPr="00053C90">
        <w:rPr>
          <w:szCs w:val="24"/>
          <w:lang w:val="en-US"/>
        </w:rPr>
        <w:t xml:space="preserve"> affecting the stock performance after 24 and 36 months on a 10% significance level. The slope coefficient, beta, is rather high in both of these event windows, which means that the relative transaction size is affecting the stock performance to a rather large extent.</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Default="00937744" w:rsidP="001B062E">
      <w:pPr>
        <w:autoSpaceDE w:val="0"/>
        <w:autoSpaceDN w:val="0"/>
        <w:adjustRightInd w:val="0"/>
        <w:spacing w:after="0" w:line="240" w:lineRule="auto"/>
        <w:rPr>
          <w:i/>
          <w:szCs w:val="24"/>
          <w:lang w:val="en-US"/>
        </w:rPr>
      </w:pPr>
      <w:r w:rsidRPr="00053C90">
        <w:rPr>
          <w:i/>
          <w:szCs w:val="24"/>
          <w:lang w:val="en-US"/>
        </w:rPr>
        <w:t>Domestic or cross-</w:t>
      </w:r>
      <w:r w:rsidR="001B062E" w:rsidRPr="00053C90">
        <w:rPr>
          <w:i/>
          <w:szCs w:val="24"/>
          <w:lang w:val="en-US"/>
        </w:rPr>
        <w:t>border</w:t>
      </w:r>
    </w:p>
    <w:p w:rsidR="001B062E" w:rsidRPr="00E13749" w:rsidRDefault="00E13749" w:rsidP="00E13749">
      <w:pPr>
        <w:jc w:val="center"/>
        <w:rPr>
          <w:lang w:val="en-US"/>
        </w:rPr>
      </w:pPr>
      <w:r w:rsidRPr="00053C90">
        <w:rPr>
          <w:i/>
          <w:sz w:val="20"/>
          <w:szCs w:val="20"/>
          <w:lang w:val="en-US"/>
        </w:rPr>
        <w:t>Table 4.7 Domestic or cross-border</w:t>
      </w:r>
    </w:p>
    <w:tbl>
      <w:tblPr>
        <w:tblW w:w="8940" w:type="dxa"/>
        <w:tblInd w:w="113" w:type="dxa"/>
        <w:tblBorders>
          <w:top w:val="single" w:sz="4" w:space="0" w:color="8DB3E2"/>
          <w:left w:val="single" w:sz="4" w:space="0" w:color="8DB3E2"/>
          <w:bottom w:val="single" w:sz="4" w:space="0" w:color="8DB3E2"/>
          <w:right w:val="single" w:sz="4" w:space="0" w:color="8DB3E2"/>
          <w:insideH w:val="single" w:sz="4" w:space="0" w:color="9BC2E6"/>
        </w:tblBorders>
        <w:tblLook w:val="04A0" w:firstRow="1" w:lastRow="0" w:firstColumn="1" w:lastColumn="0" w:noHBand="0" w:noVBand="1"/>
      </w:tblPr>
      <w:tblGrid>
        <w:gridCol w:w="1600"/>
        <w:gridCol w:w="1300"/>
        <w:gridCol w:w="1220"/>
        <w:gridCol w:w="1220"/>
        <w:gridCol w:w="1200"/>
        <w:gridCol w:w="1200"/>
        <w:gridCol w:w="1200"/>
      </w:tblGrid>
      <w:tr w:rsidR="001B062E" w:rsidRPr="00053C90" w:rsidTr="0002738A">
        <w:trPr>
          <w:trHeight w:val="312"/>
        </w:trPr>
        <w:tc>
          <w:tcPr>
            <w:tcW w:w="1600" w:type="dxa"/>
            <w:shd w:val="clear" w:color="5B9BD5" w:fill="5B9BD5"/>
            <w:noWrap/>
            <w:vAlign w:val="bottom"/>
            <w:hideMark/>
          </w:tcPr>
          <w:p w:rsidR="001B062E" w:rsidRPr="00053C90" w:rsidRDefault="001B062E" w:rsidP="0002738A">
            <w:pPr>
              <w:spacing w:after="0" w:line="240" w:lineRule="auto"/>
              <w:rPr>
                <w:rFonts w:eastAsia="Times New Roman"/>
                <w:b/>
                <w:bCs/>
                <w:color w:val="FFFFFF"/>
                <w:szCs w:val="24"/>
                <w:lang w:val="en-US"/>
              </w:rPr>
            </w:pPr>
            <w:r w:rsidRPr="00053C90">
              <w:rPr>
                <w:rFonts w:eastAsia="Times New Roman"/>
                <w:b/>
                <w:bCs/>
                <w:color w:val="FFFFFF"/>
                <w:szCs w:val="24"/>
                <w:lang w:val="en-US"/>
              </w:rPr>
              <w:t> </w:t>
            </w:r>
          </w:p>
        </w:tc>
        <w:tc>
          <w:tcPr>
            <w:tcW w:w="130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BHAR12</w:t>
            </w:r>
          </w:p>
        </w:tc>
        <w:tc>
          <w:tcPr>
            <w:tcW w:w="122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BHAR24</w:t>
            </w:r>
          </w:p>
        </w:tc>
        <w:tc>
          <w:tcPr>
            <w:tcW w:w="122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BHAR36</w:t>
            </w:r>
          </w:p>
        </w:tc>
        <w:tc>
          <w:tcPr>
            <w:tcW w:w="120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ROA12</w:t>
            </w:r>
          </w:p>
        </w:tc>
        <w:tc>
          <w:tcPr>
            <w:tcW w:w="120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ROA24</w:t>
            </w:r>
          </w:p>
        </w:tc>
        <w:tc>
          <w:tcPr>
            <w:tcW w:w="1200" w:type="dxa"/>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ROA36</w:t>
            </w:r>
          </w:p>
        </w:tc>
      </w:tr>
      <w:tr w:rsidR="001B062E" w:rsidRPr="00053C90" w:rsidTr="0002738A">
        <w:trPr>
          <w:trHeight w:val="312"/>
        </w:trPr>
        <w:tc>
          <w:tcPr>
            <w:tcW w:w="1600" w:type="dxa"/>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Beta</w:t>
            </w:r>
          </w:p>
        </w:tc>
        <w:tc>
          <w:tcPr>
            <w:tcW w:w="13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0.049480</w:t>
            </w:r>
          </w:p>
        </w:tc>
        <w:tc>
          <w:tcPr>
            <w:tcW w:w="122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-0.125345</w:t>
            </w:r>
          </w:p>
        </w:tc>
        <w:tc>
          <w:tcPr>
            <w:tcW w:w="122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0.127463</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-0.013435</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0.003231</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0.021103</w:t>
            </w:r>
          </w:p>
        </w:tc>
      </w:tr>
      <w:tr w:rsidR="001B062E" w:rsidRPr="00053C90" w:rsidTr="0002738A">
        <w:trPr>
          <w:trHeight w:val="312"/>
        </w:trPr>
        <w:tc>
          <w:tcPr>
            <w:tcW w:w="1600" w:type="dxa"/>
            <w:shd w:val="clear" w:color="auto" w:fill="auto"/>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P-value</w:t>
            </w:r>
          </w:p>
        </w:tc>
        <w:tc>
          <w:tcPr>
            <w:tcW w:w="130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0.7177</w:t>
            </w:r>
          </w:p>
        </w:tc>
        <w:tc>
          <w:tcPr>
            <w:tcW w:w="122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0.5459</w:t>
            </w:r>
          </w:p>
        </w:tc>
        <w:tc>
          <w:tcPr>
            <w:tcW w:w="122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0.6033</w:t>
            </w:r>
          </w:p>
        </w:tc>
        <w:tc>
          <w:tcPr>
            <w:tcW w:w="120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0.5282</w:t>
            </w:r>
          </w:p>
        </w:tc>
        <w:tc>
          <w:tcPr>
            <w:tcW w:w="120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0.8719</w:t>
            </w:r>
          </w:p>
        </w:tc>
        <w:tc>
          <w:tcPr>
            <w:tcW w:w="1200" w:type="dxa"/>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0.3978</w:t>
            </w:r>
          </w:p>
        </w:tc>
      </w:tr>
      <w:tr w:rsidR="001B062E" w:rsidRPr="00053C90" w:rsidTr="0002738A">
        <w:trPr>
          <w:trHeight w:val="312"/>
        </w:trPr>
        <w:tc>
          <w:tcPr>
            <w:tcW w:w="1600" w:type="dxa"/>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Significant</w:t>
            </w:r>
          </w:p>
        </w:tc>
        <w:tc>
          <w:tcPr>
            <w:tcW w:w="13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r>
    </w:tbl>
    <w:p w:rsidR="00E13749" w:rsidRDefault="00E13749" w:rsidP="001B062E">
      <w:pPr>
        <w:autoSpaceDE w:val="0"/>
        <w:autoSpaceDN w:val="0"/>
        <w:adjustRightInd w:val="0"/>
        <w:spacing w:after="0" w:line="360" w:lineRule="auto"/>
        <w:rPr>
          <w:szCs w:val="24"/>
          <w:lang w:val="en-US"/>
        </w:rPr>
      </w:pPr>
    </w:p>
    <w:p w:rsidR="001B062E" w:rsidRPr="00053C90" w:rsidRDefault="001B062E" w:rsidP="001B062E">
      <w:pPr>
        <w:autoSpaceDE w:val="0"/>
        <w:autoSpaceDN w:val="0"/>
        <w:adjustRightInd w:val="0"/>
        <w:spacing w:after="0" w:line="360" w:lineRule="auto"/>
        <w:rPr>
          <w:szCs w:val="24"/>
          <w:lang w:val="en-US"/>
        </w:rPr>
      </w:pPr>
      <w:r w:rsidRPr="00053C90">
        <w:rPr>
          <w:szCs w:val="24"/>
          <w:lang w:val="en-US"/>
        </w:rPr>
        <w:t xml:space="preserve">To check if the transactions conducted on a target in the same country have superior performance compared to cross-border transaction is the fourth variable. As can be seen in the table above, no significant </w:t>
      </w:r>
      <w:r w:rsidR="0062387A" w:rsidRPr="00053C90">
        <w:rPr>
          <w:szCs w:val="24"/>
          <w:lang w:val="en-US"/>
        </w:rPr>
        <w:t>results are</w:t>
      </w:r>
      <w:r w:rsidRPr="00053C90">
        <w:rPr>
          <w:szCs w:val="24"/>
          <w:lang w:val="en-US"/>
        </w:rPr>
        <w:t xml:space="preserve"> found when examining this variable. </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Default="001B062E" w:rsidP="001B062E">
      <w:pPr>
        <w:autoSpaceDE w:val="0"/>
        <w:autoSpaceDN w:val="0"/>
        <w:adjustRightInd w:val="0"/>
        <w:spacing w:after="0" w:line="240" w:lineRule="auto"/>
        <w:rPr>
          <w:rFonts w:ascii="Arial" w:hAnsi="Arial" w:cs="Arial"/>
          <w:sz w:val="18"/>
          <w:szCs w:val="18"/>
          <w:lang w:val="en-US"/>
        </w:rPr>
      </w:pPr>
    </w:p>
    <w:p w:rsidR="00D13EE4" w:rsidRDefault="00D13EE4" w:rsidP="001B062E">
      <w:pPr>
        <w:autoSpaceDE w:val="0"/>
        <w:autoSpaceDN w:val="0"/>
        <w:adjustRightInd w:val="0"/>
        <w:spacing w:after="0" w:line="240" w:lineRule="auto"/>
        <w:rPr>
          <w:rFonts w:ascii="Arial" w:hAnsi="Arial" w:cs="Arial"/>
          <w:sz w:val="18"/>
          <w:szCs w:val="18"/>
          <w:lang w:val="en-US"/>
        </w:rPr>
      </w:pPr>
    </w:p>
    <w:p w:rsidR="00D13EE4" w:rsidRDefault="00D13EE4" w:rsidP="001B062E">
      <w:pPr>
        <w:autoSpaceDE w:val="0"/>
        <w:autoSpaceDN w:val="0"/>
        <w:adjustRightInd w:val="0"/>
        <w:spacing w:after="0" w:line="240" w:lineRule="auto"/>
        <w:rPr>
          <w:rFonts w:ascii="Arial" w:hAnsi="Arial" w:cs="Arial"/>
          <w:sz w:val="18"/>
          <w:szCs w:val="18"/>
          <w:lang w:val="en-US"/>
        </w:rPr>
      </w:pPr>
    </w:p>
    <w:p w:rsidR="00D13EE4" w:rsidRDefault="00D13EE4" w:rsidP="001B062E">
      <w:pPr>
        <w:autoSpaceDE w:val="0"/>
        <w:autoSpaceDN w:val="0"/>
        <w:adjustRightInd w:val="0"/>
        <w:spacing w:after="0" w:line="240" w:lineRule="auto"/>
        <w:rPr>
          <w:rFonts w:ascii="Arial" w:hAnsi="Arial" w:cs="Arial"/>
          <w:sz w:val="18"/>
          <w:szCs w:val="18"/>
          <w:lang w:val="en-US"/>
        </w:rPr>
      </w:pPr>
    </w:p>
    <w:p w:rsidR="00D13EE4" w:rsidRPr="00053C90" w:rsidRDefault="00D13EE4" w:rsidP="001B062E">
      <w:pPr>
        <w:autoSpaceDE w:val="0"/>
        <w:autoSpaceDN w:val="0"/>
        <w:adjustRightInd w:val="0"/>
        <w:spacing w:after="0" w:line="240" w:lineRule="auto"/>
        <w:rPr>
          <w:rFonts w:ascii="Arial" w:hAnsi="Arial" w:cs="Arial"/>
          <w:sz w:val="18"/>
          <w:szCs w:val="18"/>
          <w:lang w:val="en-US"/>
        </w:rPr>
      </w:pPr>
    </w:p>
    <w:p w:rsidR="001B062E" w:rsidRPr="00E13749" w:rsidRDefault="00E13749" w:rsidP="001B062E">
      <w:pPr>
        <w:autoSpaceDE w:val="0"/>
        <w:autoSpaceDN w:val="0"/>
        <w:adjustRightInd w:val="0"/>
        <w:spacing w:after="0" w:line="240" w:lineRule="auto"/>
        <w:rPr>
          <w:i/>
          <w:szCs w:val="24"/>
          <w:lang w:val="en-US"/>
        </w:rPr>
      </w:pPr>
      <w:r>
        <w:rPr>
          <w:i/>
          <w:szCs w:val="24"/>
          <w:lang w:val="en-US"/>
        </w:rPr>
        <w:t>Industry relatedness</w:t>
      </w:r>
    </w:p>
    <w:p w:rsidR="00E13749" w:rsidRPr="00E13749" w:rsidRDefault="00E13749" w:rsidP="00E13749">
      <w:pPr>
        <w:jc w:val="center"/>
        <w:rPr>
          <w:lang w:val="en-US"/>
        </w:rPr>
      </w:pPr>
      <w:r w:rsidRPr="00053C90">
        <w:rPr>
          <w:i/>
          <w:sz w:val="20"/>
          <w:szCs w:val="20"/>
          <w:lang w:val="en-US"/>
        </w:rPr>
        <w:t>Table 4.8 Industry relatedness</w:t>
      </w:r>
    </w:p>
    <w:tbl>
      <w:tblPr>
        <w:tblpPr w:leftFromText="141" w:rightFromText="141" w:vertAnchor="text" w:horzAnchor="margin" w:tblpY="9"/>
        <w:tblW w:w="8940" w:type="dxa"/>
        <w:tblLook w:val="04A0" w:firstRow="1" w:lastRow="0" w:firstColumn="1" w:lastColumn="0" w:noHBand="0" w:noVBand="1"/>
      </w:tblPr>
      <w:tblGrid>
        <w:gridCol w:w="1600"/>
        <w:gridCol w:w="1300"/>
        <w:gridCol w:w="1220"/>
        <w:gridCol w:w="1220"/>
        <w:gridCol w:w="1200"/>
        <w:gridCol w:w="1200"/>
        <w:gridCol w:w="1200"/>
      </w:tblGrid>
      <w:tr w:rsidR="001B062E" w:rsidRPr="00053C90" w:rsidTr="0002738A">
        <w:trPr>
          <w:trHeight w:val="312"/>
        </w:trPr>
        <w:tc>
          <w:tcPr>
            <w:tcW w:w="1600" w:type="dxa"/>
            <w:tcBorders>
              <w:top w:val="single" w:sz="4" w:space="0" w:color="8DB3E2"/>
              <w:left w:val="single" w:sz="4" w:space="0" w:color="8DB3E2"/>
              <w:bottom w:val="single" w:sz="4" w:space="0" w:color="9BC2E6"/>
              <w:right w:val="nil"/>
            </w:tcBorders>
            <w:shd w:val="clear" w:color="5B9BD5" w:fill="5B9BD5"/>
            <w:noWrap/>
            <w:vAlign w:val="bottom"/>
            <w:hideMark/>
          </w:tcPr>
          <w:p w:rsidR="001B062E" w:rsidRPr="00053C90" w:rsidRDefault="001B062E" w:rsidP="0002738A">
            <w:pPr>
              <w:spacing w:after="0" w:line="240" w:lineRule="auto"/>
              <w:rPr>
                <w:rFonts w:ascii="Calibri" w:eastAsia="Times New Roman" w:hAnsi="Calibri"/>
                <w:b/>
                <w:bCs/>
                <w:color w:val="FFFFFF"/>
                <w:szCs w:val="24"/>
                <w:lang w:val="en-US"/>
              </w:rPr>
            </w:pPr>
          </w:p>
        </w:tc>
        <w:tc>
          <w:tcPr>
            <w:tcW w:w="1300" w:type="dxa"/>
            <w:tcBorders>
              <w:top w:val="single" w:sz="4" w:space="0" w:color="8DB3E2"/>
              <w:left w:val="single" w:sz="4" w:space="0" w:color="auto"/>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BHAR12</w:t>
            </w:r>
          </w:p>
        </w:tc>
        <w:tc>
          <w:tcPr>
            <w:tcW w:w="122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BHAR24</w:t>
            </w:r>
          </w:p>
        </w:tc>
        <w:tc>
          <w:tcPr>
            <w:tcW w:w="122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BHAR36</w:t>
            </w:r>
          </w:p>
        </w:tc>
        <w:tc>
          <w:tcPr>
            <w:tcW w:w="120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ROA12</w:t>
            </w:r>
          </w:p>
        </w:tc>
        <w:tc>
          <w:tcPr>
            <w:tcW w:w="1200" w:type="dxa"/>
            <w:tcBorders>
              <w:top w:val="single" w:sz="4" w:space="0" w:color="8DB3E2"/>
              <w:left w:val="nil"/>
              <w:bottom w:val="single" w:sz="4" w:space="0" w:color="9BC2E6"/>
              <w:right w:val="nil"/>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ROA24</w:t>
            </w:r>
          </w:p>
        </w:tc>
        <w:tc>
          <w:tcPr>
            <w:tcW w:w="1200" w:type="dxa"/>
            <w:tcBorders>
              <w:top w:val="single" w:sz="4" w:space="0" w:color="8DB3E2"/>
              <w:left w:val="nil"/>
              <w:bottom w:val="single" w:sz="4" w:space="0" w:color="9BC2E6"/>
              <w:right w:val="single" w:sz="4" w:space="0" w:color="8DB3E2"/>
            </w:tcBorders>
            <w:shd w:val="clear" w:color="5B9BD5" w:fill="5B9BD5"/>
            <w:noWrap/>
            <w:hideMark/>
          </w:tcPr>
          <w:p w:rsidR="001B062E" w:rsidRPr="00053C90" w:rsidRDefault="001B062E" w:rsidP="0002738A">
            <w:pPr>
              <w:spacing w:after="0" w:line="240" w:lineRule="auto"/>
              <w:jc w:val="center"/>
              <w:rPr>
                <w:rFonts w:eastAsia="Times New Roman"/>
                <w:b/>
                <w:bCs/>
                <w:color w:val="FFFFFF"/>
                <w:szCs w:val="24"/>
                <w:lang w:val="en-US"/>
              </w:rPr>
            </w:pPr>
            <w:r w:rsidRPr="00053C90">
              <w:rPr>
                <w:rFonts w:eastAsia="Times New Roman"/>
                <w:b/>
                <w:bCs/>
                <w:color w:val="FFFFFF"/>
                <w:szCs w:val="24"/>
                <w:lang w:val="en-US"/>
              </w:rPr>
              <w:t>ROA36</w:t>
            </w:r>
          </w:p>
        </w:tc>
      </w:tr>
      <w:tr w:rsidR="001B062E" w:rsidRPr="00053C90" w:rsidTr="0002738A">
        <w:trPr>
          <w:trHeight w:val="312"/>
        </w:trPr>
        <w:tc>
          <w:tcPr>
            <w:tcW w:w="1600" w:type="dxa"/>
            <w:tcBorders>
              <w:top w:val="single" w:sz="4" w:space="0" w:color="9BC2E6"/>
              <w:left w:val="single" w:sz="4" w:space="0" w:color="8DB3E2"/>
              <w:bottom w:val="single" w:sz="4" w:space="0" w:color="9BC2E6"/>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Beta</w:t>
            </w:r>
          </w:p>
        </w:tc>
        <w:tc>
          <w:tcPr>
            <w:tcW w:w="13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-0.025711</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-0.012776</w:t>
            </w:r>
          </w:p>
        </w:tc>
        <w:tc>
          <w:tcPr>
            <w:tcW w:w="122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0.120842</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-0.036880</w:t>
            </w:r>
          </w:p>
        </w:tc>
        <w:tc>
          <w:tcPr>
            <w:tcW w:w="1200" w:type="dxa"/>
            <w:tcBorders>
              <w:top w:val="single" w:sz="4" w:space="0" w:color="9BC2E6"/>
              <w:left w:val="nil"/>
              <w:bottom w:val="single" w:sz="4" w:space="0" w:color="9BC2E6"/>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-0.011580</w:t>
            </w:r>
          </w:p>
        </w:tc>
        <w:tc>
          <w:tcPr>
            <w:tcW w:w="1200" w:type="dxa"/>
            <w:tcBorders>
              <w:top w:val="single" w:sz="4" w:space="0" w:color="9BC2E6"/>
              <w:left w:val="nil"/>
              <w:bottom w:val="single" w:sz="4" w:space="0" w:color="9BC2E6"/>
              <w:right w:val="single" w:sz="4" w:space="0" w:color="8DB3E2"/>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0.031493</w:t>
            </w:r>
          </w:p>
        </w:tc>
      </w:tr>
      <w:tr w:rsidR="001B062E" w:rsidRPr="00053C90" w:rsidTr="0002738A">
        <w:trPr>
          <w:trHeight w:val="312"/>
        </w:trPr>
        <w:tc>
          <w:tcPr>
            <w:tcW w:w="1600" w:type="dxa"/>
            <w:tcBorders>
              <w:top w:val="single" w:sz="4" w:space="0" w:color="9BC2E6"/>
              <w:left w:val="single" w:sz="4" w:space="0" w:color="8DB3E2"/>
              <w:bottom w:val="single" w:sz="4" w:space="0" w:color="9BC2E6"/>
              <w:right w:val="nil"/>
            </w:tcBorders>
            <w:shd w:val="clear" w:color="auto" w:fill="auto"/>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P-value</w:t>
            </w:r>
          </w:p>
        </w:tc>
        <w:tc>
          <w:tcPr>
            <w:tcW w:w="13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0.8565</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0.9527</w:t>
            </w:r>
          </w:p>
        </w:tc>
        <w:tc>
          <w:tcPr>
            <w:tcW w:w="122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0.6353</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0.0990</w:t>
            </w:r>
          </w:p>
        </w:tc>
        <w:tc>
          <w:tcPr>
            <w:tcW w:w="1200" w:type="dxa"/>
            <w:tcBorders>
              <w:top w:val="single" w:sz="4" w:space="0" w:color="9BC2E6"/>
              <w:left w:val="nil"/>
              <w:bottom w:val="single" w:sz="4" w:space="0" w:color="9BC2E6"/>
              <w:right w:val="nil"/>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0.5787</w:t>
            </w:r>
          </w:p>
        </w:tc>
        <w:tc>
          <w:tcPr>
            <w:tcW w:w="1200" w:type="dxa"/>
            <w:tcBorders>
              <w:top w:val="single" w:sz="4" w:space="0" w:color="9BC2E6"/>
              <w:left w:val="nil"/>
              <w:bottom w:val="single" w:sz="4" w:space="0" w:color="9BC2E6"/>
              <w:right w:val="single" w:sz="4" w:space="0" w:color="8DB3E2"/>
            </w:tcBorders>
            <w:shd w:val="clear" w:color="auto" w:fill="auto"/>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0.2261</w:t>
            </w:r>
          </w:p>
        </w:tc>
      </w:tr>
      <w:tr w:rsidR="001B062E" w:rsidRPr="00053C90" w:rsidTr="0002738A">
        <w:trPr>
          <w:trHeight w:val="312"/>
        </w:trPr>
        <w:tc>
          <w:tcPr>
            <w:tcW w:w="1600" w:type="dxa"/>
            <w:tcBorders>
              <w:top w:val="single" w:sz="4" w:space="0" w:color="9BC2E6"/>
              <w:left w:val="single" w:sz="4" w:space="0" w:color="8DB3E2"/>
              <w:bottom w:val="single" w:sz="4" w:space="0" w:color="8DB3E2"/>
              <w:right w:val="nil"/>
            </w:tcBorders>
            <w:shd w:val="clear" w:color="DDEBF7" w:fill="DDEBF7"/>
            <w:noWrap/>
            <w:vAlign w:val="bottom"/>
            <w:hideMark/>
          </w:tcPr>
          <w:p w:rsidR="001B062E" w:rsidRPr="00053C90" w:rsidRDefault="001B062E" w:rsidP="0002738A">
            <w:pPr>
              <w:spacing w:after="0" w:line="240" w:lineRule="auto"/>
              <w:rPr>
                <w:rFonts w:eastAsia="Times New Roman"/>
                <w:b/>
                <w:bCs/>
                <w:color w:val="000000"/>
                <w:szCs w:val="24"/>
                <w:lang w:val="en-US"/>
              </w:rPr>
            </w:pPr>
            <w:r w:rsidRPr="00053C90">
              <w:rPr>
                <w:rFonts w:eastAsia="Times New Roman"/>
                <w:b/>
                <w:bCs/>
                <w:color w:val="000000"/>
                <w:szCs w:val="24"/>
                <w:lang w:val="en-US"/>
              </w:rPr>
              <w:t>Significant</w:t>
            </w:r>
          </w:p>
        </w:tc>
        <w:tc>
          <w:tcPr>
            <w:tcW w:w="13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2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Yes</w:t>
            </w:r>
          </w:p>
        </w:tc>
        <w:tc>
          <w:tcPr>
            <w:tcW w:w="1200" w:type="dxa"/>
            <w:tcBorders>
              <w:top w:val="single" w:sz="4" w:space="0" w:color="9BC2E6"/>
              <w:left w:val="nil"/>
              <w:bottom w:val="single" w:sz="4" w:space="0" w:color="8DB3E2"/>
              <w:right w:val="nil"/>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c>
          <w:tcPr>
            <w:tcW w:w="1200" w:type="dxa"/>
            <w:tcBorders>
              <w:top w:val="single" w:sz="4" w:space="0" w:color="9BC2E6"/>
              <w:left w:val="nil"/>
              <w:bottom w:val="single" w:sz="4" w:space="0" w:color="8DB3E2"/>
              <w:right w:val="single" w:sz="4" w:space="0" w:color="8DB3E2"/>
            </w:tcBorders>
            <w:shd w:val="clear" w:color="DDEBF7" w:fill="DDEBF7"/>
            <w:hideMark/>
          </w:tcPr>
          <w:p w:rsidR="001B062E" w:rsidRPr="00053C90" w:rsidRDefault="001B062E" w:rsidP="0002738A">
            <w:pPr>
              <w:spacing w:after="0" w:line="240" w:lineRule="auto"/>
              <w:jc w:val="center"/>
              <w:rPr>
                <w:rFonts w:eastAsia="Times New Roman"/>
                <w:color w:val="000000"/>
                <w:szCs w:val="24"/>
                <w:lang w:val="en-US"/>
              </w:rPr>
            </w:pPr>
            <w:r w:rsidRPr="00053C90">
              <w:rPr>
                <w:rFonts w:eastAsia="Times New Roman"/>
                <w:color w:val="000000"/>
                <w:szCs w:val="24"/>
                <w:lang w:val="en-US"/>
              </w:rPr>
              <w:t>No</w:t>
            </w:r>
          </w:p>
        </w:tc>
      </w:tr>
    </w:tbl>
    <w:p w:rsidR="00E13749" w:rsidRDefault="00E13749" w:rsidP="00F0273C">
      <w:pPr>
        <w:spacing w:line="360" w:lineRule="auto"/>
        <w:rPr>
          <w:lang w:val="en-US"/>
        </w:rPr>
      </w:pPr>
    </w:p>
    <w:p w:rsidR="001B062E" w:rsidRPr="00053C90" w:rsidRDefault="001B062E" w:rsidP="00F0273C">
      <w:pPr>
        <w:spacing w:line="360" w:lineRule="auto"/>
        <w:rPr>
          <w:lang w:val="en-US"/>
        </w:rPr>
      </w:pPr>
      <w:r w:rsidRPr="00053C90">
        <w:rPr>
          <w:lang w:val="en-US"/>
        </w:rPr>
        <w:t xml:space="preserve">The industry relatedness of the acquirer and the target is also used as a variable.  According to the results, no significance can be found, except that acquirers in related industry as their target, seem to have a superior operating performance after 12 months. </w:t>
      </w: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autoSpaceDE w:val="0"/>
        <w:autoSpaceDN w:val="0"/>
        <w:adjustRightInd w:val="0"/>
        <w:spacing w:after="0" w:line="240" w:lineRule="auto"/>
        <w:rPr>
          <w:rFonts w:ascii="Arial" w:hAnsi="Arial" w:cs="Arial"/>
          <w:sz w:val="18"/>
          <w:szCs w:val="18"/>
          <w:lang w:val="en-US"/>
        </w:rPr>
      </w:pPr>
    </w:p>
    <w:p w:rsidR="001B062E" w:rsidRPr="00053C90" w:rsidRDefault="001B062E" w:rsidP="001B062E">
      <w:pPr>
        <w:spacing w:line="360" w:lineRule="auto"/>
        <w:rPr>
          <w:lang w:val="en-US"/>
        </w:rPr>
      </w:pPr>
    </w:p>
    <w:p w:rsidR="001B062E" w:rsidRPr="00053C90" w:rsidRDefault="001B062E" w:rsidP="001B062E">
      <w:pPr>
        <w:spacing w:line="360" w:lineRule="auto"/>
        <w:rPr>
          <w:lang w:val="en-US"/>
        </w:rPr>
      </w:pPr>
    </w:p>
    <w:p w:rsidR="001B062E" w:rsidRPr="00053C90" w:rsidRDefault="001B062E" w:rsidP="001B062E">
      <w:pPr>
        <w:spacing w:line="360" w:lineRule="auto"/>
        <w:rPr>
          <w:lang w:val="en-US"/>
        </w:rPr>
      </w:pPr>
    </w:p>
    <w:p w:rsidR="001B062E" w:rsidRPr="00053C90" w:rsidRDefault="001B062E" w:rsidP="001B062E">
      <w:pPr>
        <w:pStyle w:val="Heading1"/>
        <w:numPr>
          <w:ilvl w:val="0"/>
          <w:numId w:val="2"/>
        </w:numPr>
        <w:spacing w:line="360" w:lineRule="auto"/>
        <w:rPr>
          <w:rFonts w:ascii="Times New Roman" w:hAnsi="Times New Roman"/>
          <w:lang w:val="en-US"/>
        </w:rPr>
      </w:pPr>
      <w:bookmarkStart w:id="49" w:name="_Toc428399248"/>
      <w:r w:rsidRPr="00053C90">
        <w:rPr>
          <w:rFonts w:ascii="Times New Roman" w:hAnsi="Times New Roman"/>
          <w:lang w:val="en-US"/>
        </w:rPr>
        <w:t>Analysis</w:t>
      </w:r>
      <w:bookmarkEnd w:id="49"/>
    </w:p>
    <w:p w:rsidR="001B062E" w:rsidRDefault="001B062E" w:rsidP="001B062E">
      <w:pPr>
        <w:spacing w:line="360" w:lineRule="auto"/>
        <w:rPr>
          <w:i/>
          <w:szCs w:val="24"/>
          <w:lang w:val="en-US"/>
        </w:rPr>
      </w:pPr>
      <w:r w:rsidRPr="00053C90">
        <w:rPr>
          <w:i/>
          <w:szCs w:val="24"/>
          <w:lang w:val="en-US"/>
        </w:rPr>
        <w:t xml:space="preserve">One purpose of this chapter is to compare the results in this study </w:t>
      </w:r>
      <w:r w:rsidR="00E73E66" w:rsidRPr="00053C90">
        <w:rPr>
          <w:i/>
          <w:szCs w:val="24"/>
          <w:lang w:val="en-US"/>
        </w:rPr>
        <w:t>with the results in</w:t>
      </w:r>
      <w:r w:rsidRPr="00053C90">
        <w:rPr>
          <w:i/>
          <w:szCs w:val="24"/>
          <w:lang w:val="en-US"/>
        </w:rPr>
        <w:t xml:space="preserve"> previous studies. Another purpose is to discuss the study relative to the theories it is based on. The chapter begins with the analysis of the long term stock and accounting performance. This is followed by a part where these two measures are related to each other. The chapter ends with an analysis of the regression.</w:t>
      </w:r>
    </w:p>
    <w:p w:rsidR="00D13EE4" w:rsidRPr="00053C90" w:rsidRDefault="00D13EE4" w:rsidP="001B062E">
      <w:pPr>
        <w:spacing w:line="360" w:lineRule="auto"/>
        <w:rPr>
          <w:i/>
          <w:szCs w:val="24"/>
          <w:lang w:val="en-US"/>
        </w:rPr>
      </w:pPr>
    </w:p>
    <w:p w:rsidR="001B062E" w:rsidRPr="00053C90" w:rsidRDefault="001B062E" w:rsidP="001B062E">
      <w:pPr>
        <w:pStyle w:val="Heading2"/>
        <w:numPr>
          <w:ilvl w:val="1"/>
          <w:numId w:val="2"/>
        </w:numPr>
        <w:rPr>
          <w:lang w:val="en-US"/>
        </w:rPr>
      </w:pPr>
      <w:bookmarkStart w:id="50" w:name="_Toc428399249"/>
      <w:r w:rsidRPr="00053C90">
        <w:rPr>
          <w:lang w:val="en-US"/>
        </w:rPr>
        <w:t>Stock Performance</w:t>
      </w:r>
      <w:bookmarkEnd w:id="50"/>
      <w:r w:rsidRPr="00053C90">
        <w:rPr>
          <w:lang w:val="en-US"/>
        </w:rPr>
        <w:t xml:space="preserve"> </w:t>
      </w:r>
    </w:p>
    <w:p w:rsidR="001B062E" w:rsidRPr="00053C90" w:rsidRDefault="001B062E" w:rsidP="001B062E">
      <w:pPr>
        <w:spacing w:line="360" w:lineRule="auto"/>
        <w:rPr>
          <w:rFonts w:eastAsia="Times New Roman"/>
          <w:color w:val="000000"/>
          <w:szCs w:val="24"/>
          <w:lang w:val="en-US" w:eastAsia="sv-SE"/>
        </w:rPr>
      </w:pPr>
      <w:r w:rsidRPr="00053C90">
        <w:rPr>
          <w:szCs w:val="24"/>
          <w:lang w:val="en-US"/>
        </w:rPr>
        <w:t xml:space="preserve">The buy and hold abnormal return is used as model to measure stock performance. As described in chapter four no significant abnormal returns, neither positive nor negative are found. This is the case when examining 12, 24 and 36 months. These results are not aligned with the findings of </w:t>
      </w:r>
      <w:r w:rsidRPr="00053C90">
        <w:rPr>
          <w:rFonts w:eastAsia="Times New Roman"/>
          <w:color w:val="000000"/>
          <w:szCs w:val="24"/>
          <w:lang w:val="en-US" w:eastAsia="sv-SE"/>
        </w:rPr>
        <w:t xml:space="preserve">Agrawal et al (1992), Loughran &amp; Vijh (1997), and Rau &amp; Vermaelen (1998) who all find significant negative abnormal returns on a long term. </w:t>
      </w:r>
      <w:r w:rsidRPr="00053C90">
        <w:rPr>
          <w:szCs w:val="24"/>
          <w:lang w:val="en-US"/>
        </w:rPr>
        <w:t>The results of this study is however consistent with the findings of Du</w:t>
      </w:r>
      <w:r w:rsidR="00D13EE4">
        <w:rPr>
          <w:szCs w:val="24"/>
          <w:lang w:val="en-US"/>
        </w:rPr>
        <w:t>tta &amp; Jog (2009) who perform</w:t>
      </w:r>
      <w:r w:rsidRPr="00053C90">
        <w:rPr>
          <w:szCs w:val="24"/>
          <w:lang w:val="en-US"/>
        </w:rPr>
        <w:t xml:space="preserve"> a stud</w:t>
      </w:r>
      <w:r w:rsidR="00D13EE4">
        <w:rPr>
          <w:szCs w:val="24"/>
          <w:lang w:val="en-US"/>
        </w:rPr>
        <w:t>y on the Canadian market and do</w:t>
      </w:r>
      <w:r w:rsidRPr="00053C90">
        <w:rPr>
          <w:szCs w:val="24"/>
          <w:lang w:val="en-US"/>
        </w:rPr>
        <w:t xml:space="preserve"> not find any long term negative abnormal returns either. An implication of this could be that the different regulations across countries can affect the abnormal returns, which is suggested by Dutta &amp; Jog (2009). To </w:t>
      </w:r>
      <w:r w:rsidR="0062387A" w:rsidRPr="00053C90">
        <w:rPr>
          <w:szCs w:val="24"/>
          <w:lang w:val="en-US"/>
        </w:rPr>
        <w:t>analyses</w:t>
      </w:r>
      <w:r w:rsidRPr="00053C90">
        <w:rPr>
          <w:szCs w:val="24"/>
          <w:lang w:val="en-US"/>
        </w:rPr>
        <w:t xml:space="preserve"> this possibility is, however, out of the scope of this study.  </w:t>
      </w:r>
    </w:p>
    <w:p w:rsidR="001B062E" w:rsidRPr="00053C90" w:rsidRDefault="001B062E" w:rsidP="001B062E">
      <w:pPr>
        <w:spacing w:line="360" w:lineRule="auto"/>
        <w:rPr>
          <w:rFonts w:eastAsia="Times New Roman"/>
          <w:color w:val="000000"/>
          <w:szCs w:val="24"/>
          <w:lang w:val="en-US" w:eastAsia="sv-SE"/>
        </w:rPr>
      </w:pPr>
      <w:r w:rsidRPr="00053C90">
        <w:rPr>
          <w:szCs w:val="24"/>
          <w:lang w:val="en-US"/>
        </w:rPr>
        <w:t xml:space="preserve">When calculating BHAR several different models are used. </w:t>
      </w:r>
      <w:r w:rsidR="00D13EE4">
        <w:rPr>
          <w:rFonts w:eastAsia="Times New Roman"/>
          <w:color w:val="000000"/>
          <w:szCs w:val="24"/>
          <w:lang w:val="en-US" w:eastAsia="sv-SE"/>
        </w:rPr>
        <w:t>Rau &amp; Vermaelen (1998) state</w:t>
      </w:r>
      <w:r w:rsidRPr="00053C90">
        <w:rPr>
          <w:rFonts w:eastAsia="Times New Roman"/>
          <w:color w:val="000000"/>
          <w:szCs w:val="24"/>
          <w:lang w:val="en-US" w:eastAsia="sv-SE"/>
        </w:rPr>
        <w:t xml:space="preserve"> that the results in long term studies</w:t>
      </w:r>
      <w:r w:rsidRPr="00053C90">
        <w:rPr>
          <w:szCs w:val="24"/>
          <w:lang w:val="en-US"/>
        </w:rPr>
        <w:t xml:space="preserve"> are more sensitive to the model used than in short term studies. This can explain why the </w:t>
      </w:r>
      <w:r w:rsidR="0062387A" w:rsidRPr="00053C90">
        <w:rPr>
          <w:szCs w:val="24"/>
          <w:lang w:val="en-US"/>
        </w:rPr>
        <w:t>results differ</w:t>
      </w:r>
      <w:r w:rsidRPr="00053C90">
        <w:rPr>
          <w:szCs w:val="24"/>
          <w:lang w:val="en-US"/>
        </w:rPr>
        <w:t xml:space="preserve"> from </w:t>
      </w:r>
      <w:r w:rsidRPr="00053C90">
        <w:rPr>
          <w:rFonts w:eastAsia="Times New Roman"/>
          <w:color w:val="000000"/>
          <w:szCs w:val="24"/>
          <w:lang w:val="en-US" w:eastAsia="sv-SE"/>
        </w:rPr>
        <w:t>Agrawal et al (1992).</w:t>
      </w:r>
    </w:p>
    <w:p w:rsidR="001B062E" w:rsidRPr="00053C90" w:rsidRDefault="001B062E" w:rsidP="001B062E">
      <w:pPr>
        <w:spacing w:line="360" w:lineRule="auto"/>
        <w:rPr>
          <w:szCs w:val="24"/>
          <w:lang w:val="en-US"/>
        </w:rPr>
      </w:pPr>
      <w:r w:rsidRPr="00053C90">
        <w:rPr>
          <w:szCs w:val="24"/>
          <w:lang w:val="en-US"/>
        </w:rPr>
        <w:t xml:space="preserve">According to the efficient market hypothesis, elaborated by Fama (1970) all available information is immediately incorporated in the stock price. This suggests that all information about the transaction is immediately reflected in the stock price, and no abnormal returns, neither positive nor negative that derive from the transaction should be found. The lack of significance in the results suggests that the markets examined could possibly be characterized by strong or at least semi strong efficiency. </w:t>
      </w:r>
    </w:p>
    <w:p w:rsidR="001B062E" w:rsidRDefault="001B062E" w:rsidP="001B062E">
      <w:pPr>
        <w:spacing w:line="360" w:lineRule="auto"/>
        <w:rPr>
          <w:szCs w:val="24"/>
          <w:lang w:val="en-US"/>
        </w:rPr>
      </w:pPr>
    </w:p>
    <w:p w:rsidR="000703D7" w:rsidRPr="00053C90" w:rsidRDefault="000703D7" w:rsidP="001B062E">
      <w:pPr>
        <w:spacing w:line="360" w:lineRule="auto"/>
        <w:rPr>
          <w:szCs w:val="24"/>
          <w:lang w:val="en-US"/>
        </w:rPr>
      </w:pPr>
    </w:p>
    <w:p w:rsidR="001B062E" w:rsidRPr="00053C90" w:rsidRDefault="001B062E" w:rsidP="001B062E">
      <w:pPr>
        <w:pStyle w:val="Heading2"/>
        <w:numPr>
          <w:ilvl w:val="1"/>
          <w:numId w:val="2"/>
        </w:numPr>
        <w:rPr>
          <w:lang w:val="en-US"/>
        </w:rPr>
      </w:pPr>
      <w:bookmarkStart w:id="51" w:name="_Toc428399250"/>
      <w:r w:rsidRPr="00053C90">
        <w:rPr>
          <w:lang w:val="en-US"/>
        </w:rPr>
        <w:t>Operating Performance</w:t>
      </w:r>
      <w:bookmarkEnd w:id="51"/>
    </w:p>
    <w:p w:rsidR="001B062E" w:rsidRPr="00053C90" w:rsidRDefault="001B062E" w:rsidP="001B062E">
      <w:pPr>
        <w:spacing w:line="360" w:lineRule="auto"/>
        <w:rPr>
          <w:szCs w:val="24"/>
          <w:lang w:val="en-US"/>
        </w:rPr>
      </w:pPr>
      <w:r w:rsidRPr="00053C90">
        <w:rPr>
          <w:szCs w:val="24"/>
          <w:lang w:val="en-US"/>
        </w:rPr>
        <w:t>An adjusted measure of return on assets is used as a proxy for operating performance. As can been seen in chapter four, no evidence of long term abnormal returns is found. These results are similar to the stock performance results. To not be able to find any significant results is not consistent with the findings of Healy et al (1992) or Ramaswamy &amp; Waegelein (2003), who both concludes that the operating performance improves after mergers. On the other hand, the results in this study are in line with the findings of Ghosh (2001) and Martynova et al (2006). This is also the conclusion of King et al (2004), who performed a meta-analysis based on prior studies.</w:t>
      </w:r>
    </w:p>
    <w:p w:rsidR="001B062E" w:rsidRPr="00053C90" w:rsidRDefault="001B062E" w:rsidP="001B062E">
      <w:pPr>
        <w:spacing w:line="360" w:lineRule="auto"/>
        <w:rPr>
          <w:szCs w:val="24"/>
          <w:lang w:val="en-US"/>
        </w:rPr>
      </w:pPr>
      <w:r w:rsidRPr="00053C90">
        <w:rPr>
          <w:szCs w:val="24"/>
          <w:lang w:val="en-US"/>
        </w:rPr>
        <w:t xml:space="preserve">One possible reason of why the results of this study are not aligned with the results of Healy et al (1992) and Ramaswamy &amp; Waegelein (2003) could be the difference in methodologies applied. This study adopts the methodology of Ghosh (2001), who are influenced by Barber &amp; Lyon (1996). The reason why this was chosen is discussed thoroughly in chapter three. Another reason why there </w:t>
      </w:r>
      <w:r w:rsidR="0062387A" w:rsidRPr="00053C90">
        <w:rPr>
          <w:szCs w:val="24"/>
          <w:lang w:val="en-US"/>
        </w:rPr>
        <w:t>is difference</w:t>
      </w:r>
      <w:r w:rsidRPr="00053C90">
        <w:rPr>
          <w:szCs w:val="24"/>
          <w:lang w:val="en-US"/>
        </w:rPr>
        <w:t xml:space="preserve"> in results </w:t>
      </w:r>
      <w:r w:rsidR="0062387A" w:rsidRPr="00053C90">
        <w:rPr>
          <w:szCs w:val="24"/>
          <w:lang w:val="en-US"/>
        </w:rPr>
        <w:t>is</w:t>
      </w:r>
      <w:r w:rsidRPr="00053C90">
        <w:rPr>
          <w:szCs w:val="24"/>
          <w:lang w:val="en-US"/>
        </w:rPr>
        <w:t xml:space="preserve"> the different measures applied. Healy et al (1992), Ramaswamy &amp; Waegelein (2003) both used EBITDA as a proxy for operating performance. This was not the case in this study, instead a proxy that also adjusts for tax and changes in working capital was applied. The main reason for this choice is that one of the main target groups are companies and their opportunities to perform successful transactions and thus the purest proxy of measuring operating performance is applied.</w:t>
      </w:r>
    </w:p>
    <w:p w:rsidR="001B062E" w:rsidRPr="00053C90" w:rsidRDefault="001B062E" w:rsidP="001B062E">
      <w:pPr>
        <w:spacing w:line="360" w:lineRule="auto"/>
        <w:rPr>
          <w:szCs w:val="24"/>
          <w:lang w:val="en-US"/>
        </w:rPr>
      </w:pPr>
      <w:r w:rsidRPr="00053C90">
        <w:rPr>
          <w:szCs w:val="24"/>
          <w:lang w:val="en-US"/>
        </w:rPr>
        <w:t xml:space="preserve">Martynova et al (2006), who also conduct a study in a European market setting do not find any significant results either, the difference in the markets and legal origins between Europe and the U.S, could also be a reason why the results differ from the findings of Healy et al (1992) and Ramaswamy &amp; Waegelein (2003), but this is as stated in the section above, out of the scope in this study. </w:t>
      </w:r>
    </w:p>
    <w:p w:rsidR="001B062E" w:rsidRPr="00053C90" w:rsidRDefault="001B062E" w:rsidP="001B062E">
      <w:pPr>
        <w:spacing w:line="360" w:lineRule="auto"/>
        <w:rPr>
          <w:szCs w:val="24"/>
          <w:lang w:val="en-US"/>
        </w:rPr>
      </w:pPr>
      <w:r w:rsidRPr="00053C90">
        <w:rPr>
          <w:szCs w:val="24"/>
          <w:lang w:val="en-US"/>
        </w:rPr>
        <w:t xml:space="preserve">In chapter two a theory named the empire building theory was presented. This theory suggests that managers can conduct M&amp;A:s in order to get a better reputation and/or a higher compensation, i.e. out of self-interest rather than to undertake it because it will benefit the shareholders. Another theory that was described in chapter two was the hubris theory, which like the empire building has its origins in agency theory. The hubris theory is based on an overconfidence in valuation among decision makers were they believe themselves to know the true value of a target, even if that differs from market perceptions. One consequences of this is the occurrence of irrational decision making (Roll, 1986). The lack of significance in the results indicates that both of these theories can be present among decision makers in Swedish, Danish, Norwegian and Finnish companies, since shareholders do not benefit from the transaction. However, it should also be stated that even if these results indicates that this occurrence might exist, no conclusions can be drawn before this is investigated deeper.   </w:t>
      </w:r>
    </w:p>
    <w:p w:rsidR="001B062E" w:rsidRPr="00053C90" w:rsidRDefault="001B062E" w:rsidP="001B062E">
      <w:pPr>
        <w:spacing w:line="360" w:lineRule="auto"/>
        <w:rPr>
          <w:szCs w:val="24"/>
          <w:lang w:val="en-US"/>
        </w:rPr>
      </w:pPr>
      <w:r w:rsidRPr="00053C90">
        <w:rPr>
          <w:szCs w:val="24"/>
          <w:lang w:val="en-US"/>
        </w:rPr>
        <w:t>Three neoclassical theories; the efficiency theory, the monopoly theory and the disturbance theory, are presented in chapter two. The efficiency theory states that synergies are a motive for conducting M&amp;A transactions. If operating or financial synergies, described chapter two, are realized, they could appear in the adjusted ROA in three ways, either in lower costs, higher sales or a more efficient allocation of assets and lead to a higher ROA. A result that is not significantly positive indicates that these synergies are not realized, at least not during the eve</w:t>
      </w:r>
      <w:r w:rsidR="0062387A">
        <w:rPr>
          <w:szCs w:val="24"/>
          <w:lang w:val="en-US"/>
        </w:rPr>
        <w:t>nt windows. It is hard to analyz</w:t>
      </w:r>
      <w:r w:rsidRPr="00053C90">
        <w:rPr>
          <w:szCs w:val="24"/>
          <w:lang w:val="en-US"/>
        </w:rPr>
        <w:t xml:space="preserve">e whether the monopoly theory and the disturbance theory are reasons for acquiring among the sample in this study, since the benefits is hard to quantify. A lack of significance can be an indications of these motives since the benefits from these transactions potentially takes longer time to realize. </w:t>
      </w:r>
      <w:r w:rsidR="004A5F44">
        <w:rPr>
          <w:szCs w:val="24"/>
          <w:lang w:val="en-US"/>
        </w:rPr>
        <w:t xml:space="preserve"> dfdsfs</w:t>
      </w:r>
    </w:p>
    <w:p w:rsidR="001B062E" w:rsidRPr="00053C90" w:rsidRDefault="001B062E" w:rsidP="001B062E">
      <w:pPr>
        <w:rPr>
          <w:lang w:val="en-US"/>
        </w:rPr>
      </w:pPr>
    </w:p>
    <w:p w:rsidR="001B062E" w:rsidRPr="00053C90" w:rsidRDefault="001B062E" w:rsidP="001B062E">
      <w:pPr>
        <w:pStyle w:val="Heading2"/>
        <w:numPr>
          <w:ilvl w:val="1"/>
          <w:numId w:val="2"/>
        </w:numPr>
        <w:rPr>
          <w:lang w:val="en-US"/>
        </w:rPr>
      </w:pPr>
      <w:bookmarkStart w:id="52" w:name="_Toc428399251"/>
      <w:r w:rsidRPr="00053C90">
        <w:rPr>
          <w:lang w:val="en-US"/>
        </w:rPr>
        <w:t>Correlation</w:t>
      </w:r>
      <w:bookmarkEnd w:id="52"/>
    </w:p>
    <w:p w:rsidR="001B062E" w:rsidRPr="00053C90" w:rsidRDefault="001B062E" w:rsidP="001B062E">
      <w:pPr>
        <w:spacing w:line="360" w:lineRule="auto"/>
        <w:rPr>
          <w:szCs w:val="24"/>
          <w:lang w:val="en-US"/>
        </w:rPr>
      </w:pPr>
      <w:r w:rsidRPr="00053C90">
        <w:rPr>
          <w:szCs w:val="24"/>
          <w:lang w:val="en-US"/>
        </w:rPr>
        <w:t xml:space="preserve">Table </w:t>
      </w:r>
      <w:r w:rsidR="009F3FBF" w:rsidRPr="00053C90">
        <w:rPr>
          <w:szCs w:val="24"/>
          <w:lang w:val="en-US"/>
        </w:rPr>
        <w:t>4.3</w:t>
      </w:r>
      <w:r w:rsidRPr="00053C90">
        <w:rPr>
          <w:szCs w:val="24"/>
          <w:lang w:val="en-US"/>
        </w:rPr>
        <w:t xml:space="preserve"> shows correlation between the two measures in different event windows. Significant correlation could be found three times; stock and operating performance after 24 months, stock performance after 24 months and operating performance after 36 months, operating performance after 24 months and stock performance after 36 months. And lastly stock performance after 12 months and operating performance after 36 months. The other cases had insignificant correlation.</w:t>
      </w:r>
    </w:p>
    <w:p w:rsidR="009F3FBF" w:rsidRPr="00053C90" w:rsidRDefault="009F3FBF" w:rsidP="009F3FBF">
      <w:pPr>
        <w:spacing w:line="360" w:lineRule="auto"/>
        <w:rPr>
          <w:szCs w:val="24"/>
          <w:lang w:val="en-US"/>
        </w:rPr>
      </w:pPr>
      <w:r w:rsidRPr="00053C90">
        <w:rPr>
          <w:szCs w:val="24"/>
          <w:lang w:val="en-US"/>
        </w:rPr>
        <w:t>The correlation between the measures after 24 months is of interest, since this occurs during the same event window. A correlation c</w:t>
      </w:r>
      <w:r w:rsidR="004A5F44">
        <w:rPr>
          <w:szCs w:val="24"/>
          <w:lang w:val="en-US"/>
        </w:rPr>
        <w:t>oefficient of approximately 0.23</w:t>
      </w:r>
      <w:r w:rsidRPr="00053C90">
        <w:rPr>
          <w:szCs w:val="24"/>
          <w:lang w:val="en-US"/>
        </w:rPr>
        <w:t xml:space="preserve">, indicates that there is a relationship between the two measures after 24 months. Although, it is significant, the correlation is rather low, but implies that one only needs to use one of the measures when evaluating the performance 24 months after the transaction. Although it should be added that this correlation is only significant on a 10% level which makes this correlation rather weak. </w:t>
      </w:r>
    </w:p>
    <w:p w:rsidR="009F3FBF" w:rsidRPr="00053C90" w:rsidRDefault="009F3FBF" w:rsidP="009F3FBF">
      <w:pPr>
        <w:spacing w:line="360" w:lineRule="auto"/>
        <w:rPr>
          <w:szCs w:val="24"/>
          <w:lang w:val="en-US"/>
        </w:rPr>
      </w:pPr>
      <w:r w:rsidRPr="00053C90">
        <w:rPr>
          <w:szCs w:val="24"/>
          <w:lang w:val="en-US"/>
        </w:rPr>
        <w:t xml:space="preserve">After 12 months and 36 months however, no significant correlation can be detected. These results implies that when evaluating the success of a merger, one has to take into both the operating performance and the stock performance into consideration, unlike most studies today who only look at one of the measures. </w:t>
      </w:r>
    </w:p>
    <w:p w:rsidR="009F3FBF" w:rsidRPr="00053C90" w:rsidRDefault="009F3FBF" w:rsidP="009F3FBF">
      <w:pPr>
        <w:spacing w:line="360" w:lineRule="auto"/>
        <w:rPr>
          <w:szCs w:val="24"/>
          <w:lang w:val="en-US"/>
        </w:rPr>
      </w:pPr>
      <w:r w:rsidRPr="00053C90">
        <w:rPr>
          <w:szCs w:val="24"/>
          <w:lang w:val="en-US"/>
        </w:rPr>
        <w:t>One possible reason for this divergence in results is that these measures are focusing on different aspects, while operating performance look at past performance, the performance of stocks weigh in the future, i.e. the stock price can be explained as the discounted</w:t>
      </w:r>
      <w:r w:rsidR="002607B4" w:rsidRPr="00053C90">
        <w:rPr>
          <w:szCs w:val="24"/>
          <w:lang w:val="en-US"/>
        </w:rPr>
        <w:t xml:space="preserve"> value of all future cash flows</w:t>
      </w:r>
      <w:r w:rsidRPr="00053C90">
        <w:rPr>
          <w:szCs w:val="24"/>
          <w:lang w:val="en-US"/>
        </w:rPr>
        <w:t xml:space="preserve"> (Berk &amp; DeMarzo, 2011)</w:t>
      </w:r>
      <w:r w:rsidR="002607B4" w:rsidRPr="00053C90">
        <w:rPr>
          <w:szCs w:val="24"/>
          <w:lang w:val="en-US"/>
        </w:rPr>
        <w:t>.</w:t>
      </w:r>
      <w:r w:rsidRPr="00053C90">
        <w:rPr>
          <w:szCs w:val="24"/>
          <w:lang w:val="en-US"/>
        </w:rPr>
        <w:t xml:space="preserve"> If one agrees with that definition, a correlation between the stock performance on a shorter ter</w:t>
      </w:r>
      <w:r w:rsidR="002607B4" w:rsidRPr="00053C90">
        <w:rPr>
          <w:szCs w:val="24"/>
          <w:lang w:val="en-US"/>
        </w:rPr>
        <w:t>m and the operating performance</w:t>
      </w:r>
      <w:r w:rsidRPr="00053C90">
        <w:rPr>
          <w:szCs w:val="24"/>
          <w:lang w:val="en-US"/>
        </w:rPr>
        <w:t xml:space="preserve"> on a </w:t>
      </w:r>
      <w:r w:rsidR="002607B4" w:rsidRPr="00053C90">
        <w:rPr>
          <w:szCs w:val="24"/>
          <w:lang w:val="en-US"/>
        </w:rPr>
        <w:t>longer term</w:t>
      </w:r>
      <w:r w:rsidRPr="00053C90">
        <w:rPr>
          <w:szCs w:val="24"/>
          <w:lang w:val="en-US"/>
        </w:rPr>
        <w:t xml:space="preserve"> would be present. This is the case with stock performance after 12 and 24 months and the operating performance after 36 months. While this goes beyond the scope of this study, it is interesting to find that stock price can be partly explained by the future operating performance. Especially the correlation between the stock performance after 24 months and the operating performance after 36 months interesting, since this is significant at a 2.25% level, which makes this the strongest correlation.  </w:t>
      </w:r>
    </w:p>
    <w:p w:rsidR="009F3FBF" w:rsidRPr="00053C90" w:rsidRDefault="00D13EE4" w:rsidP="001B062E">
      <w:pPr>
        <w:spacing w:line="360" w:lineRule="auto"/>
        <w:rPr>
          <w:szCs w:val="24"/>
          <w:lang w:val="en-US"/>
        </w:rPr>
      </w:pPr>
      <w:r>
        <w:rPr>
          <w:szCs w:val="24"/>
          <w:lang w:val="en-US"/>
        </w:rPr>
        <w:t>One can argue that operating performance</w:t>
      </w:r>
      <w:r w:rsidRPr="007E4847">
        <w:rPr>
          <w:szCs w:val="24"/>
          <w:lang w:val="en-US"/>
        </w:rPr>
        <w:t xml:space="preserve">, in some instances send credible signals of post-merger performance to the shareholders. This is based on the correlation between operating performance after </w:t>
      </w:r>
      <w:r w:rsidRPr="00183419">
        <w:rPr>
          <w:szCs w:val="24"/>
          <w:lang w:val="en-US"/>
        </w:rPr>
        <w:t xml:space="preserve">24 </w:t>
      </w:r>
      <w:r>
        <w:rPr>
          <w:szCs w:val="24"/>
          <w:lang w:val="en-US"/>
        </w:rPr>
        <w:t xml:space="preserve">months </w:t>
      </w:r>
      <w:r w:rsidRPr="007E4847">
        <w:rPr>
          <w:szCs w:val="24"/>
          <w:lang w:val="en-US"/>
        </w:rPr>
        <w:t>and stock performance after 36 months. One can argue that an implication of this is that an increased operating performance after a transaction send</w:t>
      </w:r>
      <w:r>
        <w:rPr>
          <w:szCs w:val="24"/>
          <w:lang w:val="en-US"/>
        </w:rPr>
        <w:t>s</w:t>
      </w:r>
      <w:r w:rsidRPr="007E4847">
        <w:rPr>
          <w:szCs w:val="24"/>
          <w:lang w:val="en-US"/>
        </w:rPr>
        <w:t xml:space="preserve"> signals to the shareholders that the transaction are successful and this leads to positive stock performance. </w:t>
      </w:r>
      <w:r w:rsidRPr="00183419">
        <w:rPr>
          <w:szCs w:val="24"/>
          <w:lang w:val="en-US"/>
        </w:rPr>
        <w:t>Other way around is also applicable,</w:t>
      </w:r>
      <w:r w:rsidRPr="007E4847">
        <w:rPr>
          <w:szCs w:val="24"/>
          <w:lang w:val="en-US"/>
        </w:rPr>
        <w:t xml:space="preserve"> a decrease in operating performance send signals that lead to </w:t>
      </w:r>
      <w:r>
        <w:rPr>
          <w:szCs w:val="24"/>
          <w:lang w:val="en-US"/>
        </w:rPr>
        <w:t xml:space="preserve">a negative stock performance.  </w:t>
      </w:r>
    </w:p>
    <w:p w:rsidR="001B062E" w:rsidRPr="00053C90" w:rsidRDefault="001B062E" w:rsidP="001B062E">
      <w:pPr>
        <w:pStyle w:val="Heading2"/>
        <w:numPr>
          <w:ilvl w:val="1"/>
          <w:numId w:val="2"/>
        </w:numPr>
        <w:rPr>
          <w:lang w:val="en-US"/>
        </w:rPr>
      </w:pPr>
      <w:bookmarkStart w:id="53" w:name="_Toc428399252"/>
      <w:r w:rsidRPr="00053C90">
        <w:rPr>
          <w:lang w:val="en-US"/>
        </w:rPr>
        <w:t>Regressions</w:t>
      </w:r>
      <w:bookmarkEnd w:id="53"/>
    </w:p>
    <w:p w:rsidR="003D5BF5" w:rsidRPr="00053C90" w:rsidRDefault="001B062E" w:rsidP="001B062E">
      <w:pPr>
        <w:spacing w:line="360" w:lineRule="auto"/>
        <w:rPr>
          <w:szCs w:val="24"/>
          <w:lang w:val="en-US"/>
        </w:rPr>
      </w:pPr>
      <w:r w:rsidRPr="00053C90">
        <w:rPr>
          <w:szCs w:val="24"/>
          <w:lang w:val="en-US"/>
        </w:rPr>
        <w:t xml:space="preserve">The results of the regressions were presented in section </w:t>
      </w:r>
      <w:r w:rsidR="009F3FBF" w:rsidRPr="00053C90">
        <w:rPr>
          <w:szCs w:val="24"/>
          <w:lang w:val="en-US"/>
        </w:rPr>
        <w:t>4.4</w:t>
      </w:r>
      <w:r w:rsidRPr="00053C90">
        <w:rPr>
          <w:szCs w:val="24"/>
          <w:lang w:val="en-US"/>
        </w:rPr>
        <w:t>. Below an analysis of the result will be pre</w:t>
      </w:r>
      <w:r w:rsidR="004A5F44">
        <w:rPr>
          <w:szCs w:val="24"/>
          <w:lang w:val="en-US"/>
        </w:rPr>
        <w:t>sented. Each variable are analyz</w:t>
      </w:r>
      <w:r w:rsidRPr="00053C90">
        <w:rPr>
          <w:szCs w:val="24"/>
          <w:lang w:val="en-US"/>
        </w:rPr>
        <w:t>ed separately and contain both stock performance and operating performance analysis.</w:t>
      </w:r>
    </w:p>
    <w:p w:rsidR="001B062E" w:rsidRPr="00053C90" w:rsidRDefault="001B062E" w:rsidP="001B062E">
      <w:pPr>
        <w:spacing w:line="360" w:lineRule="auto"/>
        <w:rPr>
          <w:szCs w:val="24"/>
          <w:lang w:val="en-US"/>
        </w:rPr>
      </w:pPr>
      <w:r w:rsidRPr="00053C90">
        <w:rPr>
          <w:szCs w:val="24"/>
          <w:lang w:val="en-US"/>
        </w:rPr>
        <w:t xml:space="preserve"> </w:t>
      </w:r>
    </w:p>
    <w:p w:rsidR="00A44750" w:rsidRPr="00053C90" w:rsidRDefault="00A44750" w:rsidP="00A44750">
      <w:pPr>
        <w:spacing w:line="360" w:lineRule="auto"/>
        <w:rPr>
          <w:i/>
          <w:szCs w:val="24"/>
          <w:lang w:val="en-US"/>
        </w:rPr>
      </w:pPr>
      <w:r w:rsidRPr="00053C90">
        <w:rPr>
          <w:i/>
          <w:szCs w:val="24"/>
          <w:lang w:val="en-US"/>
        </w:rPr>
        <w:t>Market-to-Book</w:t>
      </w:r>
      <w:r w:rsidR="002607B4" w:rsidRPr="00053C90">
        <w:rPr>
          <w:i/>
          <w:szCs w:val="24"/>
          <w:lang w:val="en-US"/>
        </w:rPr>
        <w:t xml:space="preserve"> Ratio</w:t>
      </w:r>
    </w:p>
    <w:p w:rsidR="00A44750" w:rsidRPr="00053C90" w:rsidRDefault="00A44750" w:rsidP="00A44750">
      <w:pPr>
        <w:spacing w:line="360" w:lineRule="auto"/>
        <w:rPr>
          <w:szCs w:val="24"/>
          <w:lang w:val="en-US"/>
        </w:rPr>
      </w:pPr>
      <w:r w:rsidRPr="00053C90">
        <w:rPr>
          <w:szCs w:val="24"/>
          <w:lang w:val="en-US"/>
        </w:rPr>
        <w:t xml:space="preserve">Empirical evidence presented in chapter four indicates that no significance is found when examining if the market-to-book ratio affect the long term stock performance. This contradicts the results of Rau &amp; Vermaelen (1998) who find that companies with low market-to-book ratios outperform companies with high ratios. One of the possible reasons for these findings </w:t>
      </w:r>
      <w:r w:rsidR="004A5F44">
        <w:rPr>
          <w:szCs w:val="24"/>
          <w:lang w:val="en-US"/>
        </w:rPr>
        <w:t>is</w:t>
      </w:r>
      <w:r w:rsidRPr="00053C90">
        <w:rPr>
          <w:szCs w:val="24"/>
          <w:lang w:val="en-US"/>
        </w:rPr>
        <w:t xml:space="preserve"> that managers in companies with high ratios act under the influence of hubris. The results of this study can imply that hubris is influencing managers in companies with high market-to-book ratios in Sweden, Denmark, Norway or Finland. The reason for this is that managers in growth firms overvalue the future benefits of the transaction which is supported by the lack of significance in terms of stock performance.</w:t>
      </w:r>
    </w:p>
    <w:p w:rsidR="00A44750" w:rsidRPr="00053C90" w:rsidRDefault="00A44750" w:rsidP="00A44750">
      <w:pPr>
        <w:spacing w:line="360" w:lineRule="auto"/>
        <w:rPr>
          <w:szCs w:val="24"/>
          <w:lang w:val="en-US"/>
        </w:rPr>
      </w:pPr>
      <w:r w:rsidRPr="00053C90">
        <w:rPr>
          <w:szCs w:val="24"/>
          <w:lang w:val="en-US"/>
        </w:rPr>
        <w:t xml:space="preserve">When it comes to operating performance, measured as ROA, the results are similar in the event windows with the length of 12 and 24 months. However, significance is found after 36 months, on a 5% level. The significant result after 36 months is positive and can be interpreted as higher market-to-book leads to improvements in performance as is interesting of two reasons. Firstly, that this results contradicts the hubris motive for high market-to-book companies for conducting transactions, presented by Rau &amp; Vermaelen (1998), and secondly, that this differs from the stock performance result. </w:t>
      </w:r>
    </w:p>
    <w:p w:rsidR="00A44750" w:rsidRPr="00053C90" w:rsidRDefault="00A44750" w:rsidP="00A44750">
      <w:pPr>
        <w:spacing w:line="360" w:lineRule="auto"/>
        <w:rPr>
          <w:szCs w:val="24"/>
          <w:lang w:val="en-US"/>
        </w:rPr>
      </w:pPr>
      <w:r w:rsidRPr="00053C90">
        <w:rPr>
          <w:szCs w:val="24"/>
          <w:lang w:val="en-US"/>
        </w:rPr>
        <w:t xml:space="preserve">As described in section 2.2.3 a high market-to-book ratio implies that a company has growth potential according to the market. If strong market efficiency exists, high market-to-book values should generate superior operating performance in the future. The positive relationship is an indication that supports this. </w:t>
      </w:r>
    </w:p>
    <w:p w:rsidR="00D13EE4" w:rsidRDefault="00D13EE4" w:rsidP="00A44750">
      <w:pPr>
        <w:spacing w:line="360" w:lineRule="auto"/>
        <w:rPr>
          <w:i/>
          <w:szCs w:val="24"/>
          <w:lang w:val="en-US"/>
        </w:rPr>
      </w:pPr>
    </w:p>
    <w:p w:rsidR="00A44750" w:rsidRPr="00053C90" w:rsidRDefault="00A44750" w:rsidP="00A44750">
      <w:pPr>
        <w:spacing w:line="360" w:lineRule="auto"/>
        <w:rPr>
          <w:i/>
          <w:szCs w:val="24"/>
          <w:lang w:val="en-US"/>
        </w:rPr>
      </w:pPr>
      <w:r w:rsidRPr="00053C90">
        <w:rPr>
          <w:i/>
          <w:szCs w:val="24"/>
          <w:lang w:val="en-US"/>
        </w:rPr>
        <w:t>Size</w:t>
      </w:r>
    </w:p>
    <w:p w:rsidR="00A44750" w:rsidRPr="00053C90" w:rsidRDefault="00A44750" w:rsidP="00A44750">
      <w:pPr>
        <w:spacing w:line="360" w:lineRule="auto"/>
        <w:rPr>
          <w:b/>
          <w:szCs w:val="24"/>
          <w:lang w:val="en-US"/>
        </w:rPr>
      </w:pPr>
      <w:r w:rsidRPr="00053C90">
        <w:rPr>
          <w:szCs w:val="24"/>
          <w:lang w:val="en-US"/>
        </w:rPr>
        <w:t xml:space="preserve">Another determinant considered is the size of the acquiring company. The findings of this study imply that long term stock performance is not affected by the size of the acquiring company in any of the event windows.                                                                                                                                                                                                                                                                                                                                </w:t>
      </w:r>
    </w:p>
    <w:p w:rsidR="003D5BF5" w:rsidRPr="00053C90" w:rsidRDefault="00A44750" w:rsidP="00A44750">
      <w:pPr>
        <w:spacing w:line="360" w:lineRule="auto"/>
        <w:rPr>
          <w:szCs w:val="24"/>
          <w:lang w:val="en-US"/>
        </w:rPr>
      </w:pPr>
      <w:r w:rsidRPr="00053C90">
        <w:rPr>
          <w:szCs w:val="24"/>
          <w:lang w:val="en-US"/>
        </w:rPr>
        <w:t>No significance is found when conducting regressions with this variable as explanatory and long term stock performance as dependent. This is consistent with the results explaining how the size affects the operating performance, presented in table 4.5. These results are not aligned with the evidence in this area provided by Moeller et al (2004), who find that deals performed by large acquirers tend to underperform in comparison to smaller acquirers. This is motivated by agency theory and that</w:t>
      </w:r>
      <w:r w:rsidR="004A5F44">
        <w:rPr>
          <w:szCs w:val="24"/>
          <w:lang w:val="en-US"/>
        </w:rPr>
        <w:t xml:space="preserve"> management in smaller firms is</w:t>
      </w:r>
      <w:r w:rsidRPr="00053C90">
        <w:rPr>
          <w:szCs w:val="24"/>
          <w:lang w:val="en-US"/>
        </w:rPr>
        <w:t xml:space="preserve"> potentially better aligned with the shareholders’ interests. Although this could be the case, the evidence from this study does not support a better alignment between shareholders and management in smaller firms. A possible reason for the differences in results with prior research can be that the time period when the sample is collected, Moeller et al (2004) use a sample period between 1980 and 2001, whereas this study has a sample period from 2004 to 2012. The different market conditions present in the sample periods can maybe explain why the results differ. </w:t>
      </w:r>
    </w:p>
    <w:p w:rsidR="003D5BF5" w:rsidRPr="00053C90" w:rsidRDefault="003D5BF5" w:rsidP="00A44750">
      <w:pPr>
        <w:spacing w:line="360" w:lineRule="auto"/>
        <w:rPr>
          <w:szCs w:val="24"/>
          <w:lang w:val="en-US"/>
        </w:rPr>
      </w:pPr>
    </w:p>
    <w:p w:rsidR="00A44750" w:rsidRPr="00053C90" w:rsidRDefault="00A44750" w:rsidP="00A44750">
      <w:pPr>
        <w:spacing w:line="360" w:lineRule="auto"/>
        <w:rPr>
          <w:i/>
          <w:szCs w:val="24"/>
          <w:lang w:val="en-US"/>
        </w:rPr>
      </w:pPr>
      <w:r w:rsidRPr="00053C90">
        <w:rPr>
          <w:i/>
          <w:szCs w:val="24"/>
          <w:lang w:val="en-US"/>
        </w:rPr>
        <w:t>Rela</w:t>
      </w:r>
      <w:r w:rsidR="007D122C" w:rsidRPr="00053C90">
        <w:rPr>
          <w:i/>
          <w:szCs w:val="24"/>
          <w:lang w:val="en-US"/>
        </w:rPr>
        <w:t>tive transaction</w:t>
      </w:r>
      <w:r w:rsidRPr="00053C90">
        <w:rPr>
          <w:i/>
          <w:szCs w:val="24"/>
          <w:lang w:val="en-US"/>
        </w:rPr>
        <w:t xml:space="preserve"> size</w:t>
      </w:r>
    </w:p>
    <w:p w:rsidR="00A44750" w:rsidRPr="00053C90" w:rsidRDefault="00A44750" w:rsidP="00A44750">
      <w:pPr>
        <w:spacing w:line="360" w:lineRule="auto"/>
        <w:rPr>
          <w:szCs w:val="24"/>
          <w:lang w:val="en-US"/>
        </w:rPr>
      </w:pPr>
      <w:r w:rsidRPr="00053C90">
        <w:rPr>
          <w:szCs w:val="24"/>
          <w:lang w:val="en-US"/>
        </w:rPr>
        <w:t>Em</w:t>
      </w:r>
      <w:r w:rsidR="007D122C" w:rsidRPr="00053C90">
        <w:rPr>
          <w:szCs w:val="24"/>
          <w:lang w:val="en-US"/>
        </w:rPr>
        <w:t>pirical findings in this study</w:t>
      </w:r>
      <w:r w:rsidRPr="00053C90">
        <w:rPr>
          <w:szCs w:val="24"/>
          <w:lang w:val="en-US"/>
        </w:rPr>
        <w:t xml:space="preserve"> indicate that the long term stock performance, BHAR, is unaffected by this variable after 12 months. On the other hand, the </w:t>
      </w:r>
      <w:r w:rsidR="004A5F44" w:rsidRPr="00053C90">
        <w:rPr>
          <w:szCs w:val="24"/>
          <w:lang w:val="en-US"/>
        </w:rPr>
        <w:t>findings after 24 and 36 months are</w:t>
      </w:r>
      <w:r w:rsidRPr="00053C90">
        <w:rPr>
          <w:szCs w:val="24"/>
          <w:lang w:val="en-US"/>
        </w:rPr>
        <w:t xml:space="preserve"> that increased relative size of the transaction creates value for the shareholders. The slope coefficient is 0.17 after 24 months and 0.20 after 36 months, which is interpreted as a change of one unit in the relative transaction size causes a 17% or 20% in the stock performance. This means that stock performance following a merger is influenced by the relative transaction size to a fairly large extent. This variable is tested both from a stock performance and operating performance perspective by previous studies. Dutta &amp; Jog (2009) find a negative relati</w:t>
      </w:r>
      <w:r w:rsidR="004417BA" w:rsidRPr="00053C90">
        <w:rPr>
          <w:szCs w:val="24"/>
          <w:lang w:val="en-US"/>
        </w:rPr>
        <w:t>onship between the relative transaction</w:t>
      </w:r>
      <w:r w:rsidRPr="00053C90">
        <w:rPr>
          <w:szCs w:val="24"/>
          <w:lang w:val="en-US"/>
        </w:rPr>
        <w:t xml:space="preserve"> size and long term stock performance, which contradicts the results of this study. A possible reason for this can be the difference in market settings and in the studie</w:t>
      </w:r>
      <w:r w:rsidR="004417BA" w:rsidRPr="00053C90">
        <w:rPr>
          <w:szCs w:val="24"/>
          <w:lang w:val="en-US"/>
        </w:rPr>
        <w:t>s, since Dutta &amp; Jog (2009) use</w:t>
      </w:r>
      <w:r w:rsidRPr="00053C90">
        <w:rPr>
          <w:szCs w:val="24"/>
          <w:lang w:val="en-US"/>
        </w:rPr>
        <w:t xml:space="preserve"> Canada as market setting. The positive relationship in this study’s results support</w:t>
      </w:r>
      <w:r w:rsidR="004A5F44">
        <w:rPr>
          <w:szCs w:val="24"/>
          <w:lang w:val="en-US"/>
        </w:rPr>
        <w:t>s</w:t>
      </w:r>
      <w:r w:rsidRPr="00053C90">
        <w:rPr>
          <w:szCs w:val="24"/>
          <w:lang w:val="en-US"/>
        </w:rPr>
        <w:t xml:space="preserve"> the findings of Capron (1999). An argument for the positive relationship raised by Capron (1999) is that </w:t>
      </w:r>
      <w:r w:rsidR="004A5F44" w:rsidRPr="00053C90">
        <w:rPr>
          <w:szCs w:val="24"/>
          <w:lang w:val="en-US"/>
        </w:rPr>
        <w:t>large transactions increase</w:t>
      </w:r>
      <w:r w:rsidRPr="00053C90">
        <w:rPr>
          <w:szCs w:val="24"/>
          <w:lang w:val="en-US"/>
        </w:rPr>
        <w:t xml:space="preserve"> the possibilities to realize synergies.</w:t>
      </w:r>
    </w:p>
    <w:p w:rsidR="00A44750" w:rsidRPr="00053C90" w:rsidRDefault="00A44750" w:rsidP="00A44750">
      <w:pPr>
        <w:spacing w:line="360" w:lineRule="auto"/>
        <w:rPr>
          <w:szCs w:val="24"/>
          <w:lang w:val="en-US"/>
        </w:rPr>
      </w:pPr>
      <w:r w:rsidRPr="00053C90">
        <w:rPr>
          <w:szCs w:val="24"/>
          <w:lang w:val="en-US"/>
        </w:rPr>
        <w:t xml:space="preserve">In terms of operating performance, no significant results can be proven. Insignificant results are not in line with the findings of Martynova et al (2006) </w:t>
      </w:r>
      <w:r w:rsidR="004A5F44">
        <w:rPr>
          <w:szCs w:val="24"/>
          <w:lang w:val="en-US"/>
        </w:rPr>
        <w:t>who find</w:t>
      </w:r>
      <w:r w:rsidR="004417BA" w:rsidRPr="00053C90">
        <w:rPr>
          <w:szCs w:val="24"/>
          <w:lang w:val="en-US"/>
        </w:rPr>
        <w:t xml:space="preserve"> that the relative transaction</w:t>
      </w:r>
      <w:r w:rsidRPr="00053C90">
        <w:rPr>
          <w:szCs w:val="24"/>
          <w:lang w:val="en-US"/>
        </w:rPr>
        <w:t xml:space="preserve"> size had a negative relationship with the operating performance. The differences in methodologies when defining operating performance, presented in section </w:t>
      </w:r>
      <w:r w:rsidR="00F0273C" w:rsidRPr="00053C90">
        <w:rPr>
          <w:szCs w:val="24"/>
          <w:lang w:val="en-US"/>
        </w:rPr>
        <w:t>3.6</w:t>
      </w:r>
      <w:r w:rsidRPr="00053C90">
        <w:rPr>
          <w:szCs w:val="24"/>
          <w:lang w:val="en-US"/>
        </w:rPr>
        <w:t xml:space="preserve">, can possibly explain this result. Insignificant results in terms of operating performance can be interpreted as a failure to realize synergies since a realization would most likely result in a superior performance. Due to the positive results in terms of stock performance, one can raise an argument that the positive performance is driven by expectations of superior future operating performance caused by the transaction, the larger it is. A longer event window could have provided more insights to this, if there still were insignificance when examining operating performance and if so, how the stock performance would react.    </w:t>
      </w:r>
    </w:p>
    <w:p w:rsidR="00A44750" w:rsidRDefault="00A44750" w:rsidP="00A44750">
      <w:pPr>
        <w:spacing w:line="360" w:lineRule="auto"/>
        <w:rPr>
          <w:szCs w:val="24"/>
          <w:lang w:val="en-US"/>
        </w:rPr>
      </w:pPr>
      <w:r w:rsidRPr="00053C90">
        <w:rPr>
          <w:szCs w:val="24"/>
          <w:lang w:val="en-US"/>
        </w:rPr>
        <w:t xml:space="preserve">Another aspect of why there is a difference in the two performance measures can be that there is an information asymmetry between the company and its shareholders. A large transaction can be interpreted as a successful deal by the shareholders, even if the synergies are not realized, if the information asymmetry is high and the shareholders are unable to understand the true performance.  </w:t>
      </w:r>
    </w:p>
    <w:p w:rsidR="000703D7" w:rsidRPr="00053C90" w:rsidRDefault="000703D7" w:rsidP="00A44750">
      <w:pPr>
        <w:spacing w:line="360" w:lineRule="auto"/>
        <w:rPr>
          <w:szCs w:val="24"/>
          <w:lang w:val="en-US"/>
        </w:rPr>
      </w:pPr>
    </w:p>
    <w:p w:rsidR="00A44750" w:rsidRPr="007E4847" w:rsidRDefault="004417BA" w:rsidP="00A44750">
      <w:pPr>
        <w:spacing w:line="360" w:lineRule="auto"/>
        <w:rPr>
          <w:i/>
          <w:szCs w:val="24"/>
          <w:lang w:val="en-US"/>
        </w:rPr>
      </w:pPr>
      <w:r w:rsidRPr="007E4847">
        <w:rPr>
          <w:i/>
          <w:szCs w:val="24"/>
          <w:lang w:val="en-US"/>
        </w:rPr>
        <w:t>Domestic or cross-</w:t>
      </w:r>
      <w:r w:rsidR="00A44750" w:rsidRPr="007E4847">
        <w:rPr>
          <w:i/>
          <w:szCs w:val="24"/>
          <w:lang w:val="en-US"/>
        </w:rPr>
        <w:t>border transaction</w:t>
      </w:r>
    </w:p>
    <w:p w:rsidR="00A44750" w:rsidRPr="00053C90" w:rsidRDefault="00A44750" w:rsidP="00A44750">
      <w:pPr>
        <w:spacing w:line="360" w:lineRule="auto"/>
        <w:rPr>
          <w:szCs w:val="24"/>
          <w:lang w:val="en-US"/>
        </w:rPr>
      </w:pPr>
      <w:r w:rsidRPr="00053C90">
        <w:rPr>
          <w:szCs w:val="24"/>
          <w:lang w:val="en-US"/>
        </w:rPr>
        <w:t>To determine if a domestic transaction is m</w:t>
      </w:r>
      <w:r w:rsidR="004417BA" w:rsidRPr="00053C90">
        <w:rPr>
          <w:szCs w:val="24"/>
          <w:lang w:val="en-US"/>
        </w:rPr>
        <w:t>ore value creating than a cross-</w:t>
      </w:r>
      <w:r w:rsidRPr="00053C90">
        <w:rPr>
          <w:szCs w:val="24"/>
          <w:lang w:val="en-US"/>
        </w:rPr>
        <w:t xml:space="preserve">border transaction is the fourth variable of interest. As can be seen in table </w:t>
      </w:r>
      <w:r w:rsidR="00F0273C" w:rsidRPr="00053C90">
        <w:rPr>
          <w:szCs w:val="24"/>
          <w:lang w:val="en-US"/>
        </w:rPr>
        <w:t>4.7</w:t>
      </w:r>
      <w:r w:rsidRPr="00053C90">
        <w:rPr>
          <w:szCs w:val="24"/>
          <w:lang w:val="en-US"/>
        </w:rPr>
        <w:t xml:space="preserve"> no significance could be found in neither event window, both in terms of stock and operating performance. Prior research has found different result. For instance, Black et al (2001) present results indicating </w:t>
      </w:r>
      <w:r w:rsidR="004417BA" w:rsidRPr="00053C90">
        <w:rPr>
          <w:szCs w:val="24"/>
          <w:lang w:val="en-US"/>
        </w:rPr>
        <w:t>that companies conducting cross-</w:t>
      </w:r>
      <w:r w:rsidRPr="00053C90">
        <w:rPr>
          <w:szCs w:val="24"/>
          <w:lang w:val="en-US"/>
        </w:rPr>
        <w:t xml:space="preserve">border transactions underperform compared to companies conducting transactions domestically. </w:t>
      </w:r>
    </w:p>
    <w:p w:rsidR="00A44750" w:rsidRPr="00053C90" w:rsidRDefault="00A44750" w:rsidP="00A44750">
      <w:pPr>
        <w:spacing w:line="360" w:lineRule="auto"/>
        <w:rPr>
          <w:szCs w:val="24"/>
          <w:lang w:val="en-US"/>
        </w:rPr>
      </w:pPr>
      <w:r w:rsidRPr="00053C90">
        <w:rPr>
          <w:szCs w:val="24"/>
          <w:lang w:val="en-US"/>
        </w:rPr>
        <w:t xml:space="preserve">A possible reason for the divergence between this study and prior research can be that the time period in this study is more recent than earlier studies. As the world is becoming more globalized and the technology development enabling information to be attained easier, information asymmetry between acquirers and targets can be assumed to be lower. Thus, enabling acquirers to be as informed when they conduct a cross-border transaction as they are when they conduct a transaction domestically. </w:t>
      </w:r>
    </w:p>
    <w:p w:rsidR="00A44750" w:rsidRPr="00053C90" w:rsidRDefault="00A44750" w:rsidP="00A44750">
      <w:pPr>
        <w:spacing w:line="360" w:lineRule="auto"/>
        <w:rPr>
          <w:szCs w:val="24"/>
          <w:lang w:val="en-US"/>
        </w:rPr>
      </w:pPr>
    </w:p>
    <w:p w:rsidR="00A44750" w:rsidRPr="007E4847" w:rsidRDefault="00A44750" w:rsidP="00A44750">
      <w:pPr>
        <w:spacing w:line="360" w:lineRule="auto"/>
        <w:rPr>
          <w:i/>
          <w:szCs w:val="24"/>
          <w:lang w:val="en-US"/>
        </w:rPr>
      </w:pPr>
      <w:r w:rsidRPr="007E4847">
        <w:rPr>
          <w:i/>
          <w:szCs w:val="24"/>
          <w:lang w:val="en-US"/>
        </w:rPr>
        <w:t xml:space="preserve">Industry relatedness </w:t>
      </w:r>
    </w:p>
    <w:p w:rsidR="00A44750" w:rsidRPr="00053C90" w:rsidRDefault="00A44750" w:rsidP="00A44750">
      <w:pPr>
        <w:spacing w:line="360" w:lineRule="auto"/>
        <w:rPr>
          <w:szCs w:val="24"/>
          <w:lang w:val="en-US"/>
        </w:rPr>
      </w:pPr>
      <w:r w:rsidRPr="00053C90">
        <w:rPr>
          <w:szCs w:val="24"/>
          <w:lang w:val="en-US"/>
        </w:rPr>
        <w:t xml:space="preserve">The relatedness between the acquirer’s and the target’s industries is the last studied variable. Long term stock performance is not affected by the relatedness in either of the event windows. Operating performance has on the other hand significant results after 12 months, but no significance after 24 or 36 months. </w:t>
      </w:r>
    </w:p>
    <w:p w:rsidR="00A44750" w:rsidRPr="00053C90" w:rsidRDefault="00A44750" w:rsidP="00A44750">
      <w:pPr>
        <w:spacing w:line="360" w:lineRule="auto"/>
        <w:rPr>
          <w:szCs w:val="24"/>
          <w:lang w:val="en-US"/>
        </w:rPr>
      </w:pPr>
      <w:r w:rsidRPr="00053C90">
        <w:rPr>
          <w:szCs w:val="24"/>
          <w:lang w:val="en-US"/>
        </w:rPr>
        <w:t xml:space="preserve">An insignificant result does not support the findings of Agrawal et al (1992), who point out financial synergy opportunities as a possible reason for their result. The divergence in results can possibly be derived from these financial synergies being harder to attain on the Swedish, Danish, Norwegian and Finnish markets than on the US. Markets, but no findings support this and this notion be analyzed more thoroughly before any conclusions about this can be drawn. </w:t>
      </w:r>
    </w:p>
    <w:p w:rsidR="00A44750" w:rsidRPr="00053C90" w:rsidRDefault="00A44750" w:rsidP="00A44750">
      <w:pPr>
        <w:spacing w:line="360" w:lineRule="auto"/>
        <w:rPr>
          <w:szCs w:val="24"/>
          <w:lang w:val="en-US"/>
        </w:rPr>
      </w:pPr>
      <w:r w:rsidRPr="00053C90">
        <w:rPr>
          <w:szCs w:val="24"/>
          <w:lang w:val="en-US"/>
        </w:rPr>
        <w:t xml:space="preserve">The significant result in operating performance indicates a negative relationship on 10% level, which can be interpreted as transactions within related industries outperform unrelated transactions after 12 months. This is in line with Jensen’s (1986) suggestion that transactions where the acquirer and target has different industries are more likely to perform, since the management are unfamiliar with the industry of the target and thereby lacks the competence to realize the synergy effects. It should also be remarked that, this relationship was only significant on a 10% level and had a slope coefficient of </w:t>
      </w:r>
      <w:r w:rsidRPr="00053C90">
        <w:rPr>
          <w:color w:val="000000"/>
          <w:szCs w:val="24"/>
          <w:lang w:val="en-US"/>
        </w:rPr>
        <w:t>-0.037</w:t>
      </w:r>
      <w:r w:rsidRPr="00053C90">
        <w:rPr>
          <w:szCs w:val="24"/>
          <w:lang w:val="en-US"/>
        </w:rPr>
        <w:t xml:space="preserve">, which indicates that the relationship is rather weak. Healy et al (1992) also examine how industry relatedness influence operating performance and come to the conclusion that firms in related industries has a superior performance. </w:t>
      </w:r>
      <w:r w:rsidR="004A5F44" w:rsidRPr="00053C90">
        <w:rPr>
          <w:szCs w:val="24"/>
          <w:lang w:val="en-US"/>
        </w:rPr>
        <w:t>These findings are</w:t>
      </w:r>
      <w:r w:rsidRPr="00053C90">
        <w:rPr>
          <w:szCs w:val="24"/>
          <w:lang w:val="en-US"/>
        </w:rPr>
        <w:t xml:space="preserve"> partially supported by the results in this study.</w:t>
      </w:r>
    </w:p>
    <w:p w:rsidR="00A44750" w:rsidRPr="00053C90" w:rsidRDefault="00A44750" w:rsidP="00A44750">
      <w:pPr>
        <w:spacing w:line="360" w:lineRule="auto"/>
        <w:rPr>
          <w:szCs w:val="24"/>
          <w:lang w:val="en-US"/>
        </w:rPr>
      </w:pPr>
      <w:r w:rsidRPr="00053C90">
        <w:rPr>
          <w:szCs w:val="24"/>
          <w:lang w:val="en-US"/>
        </w:rPr>
        <w:t xml:space="preserve">A potential reason why the operating performance is only influenced by industry relatedness after 12 months and that industry relatedness does not affect stock performance significantly is that the shareholders do not expect any lasting superior performance from transactions within the same industry. The result shows that they are correct, since the operating performance is only slightly influenced after 12 months and then no influenced at all. </w:t>
      </w:r>
    </w:p>
    <w:p w:rsidR="00A44750" w:rsidRPr="00053C90" w:rsidRDefault="00A44750" w:rsidP="00A44750">
      <w:pPr>
        <w:spacing w:line="360" w:lineRule="auto"/>
        <w:rPr>
          <w:lang w:val="en-US"/>
        </w:rPr>
      </w:pPr>
      <w:r w:rsidRPr="00053C90">
        <w:rPr>
          <w:lang w:val="en-US"/>
        </w:rPr>
        <w:t>Both the ROA and BHAR are to complex measures that are influenced by a vast amount factors. To capture all of these factors are impossible, which can explain fairly low R</w:t>
      </w:r>
      <w:r w:rsidRPr="00053C90">
        <w:rPr>
          <w:vertAlign w:val="superscript"/>
          <w:lang w:val="en-US"/>
        </w:rPr>
        <w:t>2</w:t>
      </w:r>
      <w:r w:rsidRPr="00053C90">
        <w:rPr>
          <w:lang w:val="en-US"/>
        </w:rPr>
        <w:t xml:space="preserve"> in the regressions. Low R</w:t>
      </w:r>
      <w:r w:rsidRPr="00053C90">
        <w:rPr>
          <w:vertAlign w:val="superscript"/>
          <w:lang w:val="en-US"/>
        </w:rPr>
        <w:t xml:space="preserve">2 </w:t>
      </w:r>
      <w:r w:rsidRPr="00053C90">
        <w:rPr>
          <w:lang w:val="en-US"/>
        </w:rPr>
        <w:t>:s are also present in some of the prior studies and the R</w:t>
      </w:r>
      <w:r w:rsidRPr="00053C90">
        <w:rPr>
          <w:vertAlign w:val="superscript"/>
          <w:lang w:val="en-US"/>
        </w:rPr>
        <w:t>2</w:t>
      </w:r>
      <w:r w:rsidRPr="00053C90">
        <w:rPr>
          <w:lang w:val="en-US"/>
        </w:rPr>
        <w:t xml:space="preserve"> is similar to the ones in Martynova et al (2006). An interesting factor to illuminate is that the R</w:t>
      </w:r>
      <w:r w:rsidRPr="00053C90">
        <w:rPr>
          <w:vertAlign w:val="superscript"/>
          <w:lang w:val="en-US"/>
        </w:rPr>
        <w:t xml:space="preserve">2 </w:t>
      </w:r>
      <w:r w:rsidRPr="00053C90">
        <w:rPr>
          <w:lang w:val="en-US"/>
        </w:rPr>
        <w:t xml:space="preserve">is increasing for both </w:t>
      </w:r>
      <w:r w:rsidR="004A5F44" w:rsidRPr="00053C90">
        <w:rPr>
          <w:lang w:val="en-US"/>
        </w:rPr>
        <w:t>measures</w:t>
      </w:r>
      <w:r w:rsidRPr="00053C90">
        <w:rPr>
          <w:lang w:val="en-US"/>
        </w:rPr>
        <w:t xml:space="preserve"> when the event window is increased. This means that the goodness of fit becomes better, which should be interpreted that the variables are affecting both long term stock performance and operating performance to a larger extent in the long term. This implies that the determinants presented in this study have an increased influence on the performance after 36 months than they have after 12 and 24 months.</w:t>
      </w:r>
      <w:r w:rsidR="00F0273C" w:rsidRPr="00053C90">
        <w:rPr>
          <w:lang w:val="en-US"/>
        </w:rPr>
        <w:t xml:space="preserve"> The R</w:t>
      </w:r>
      <w:r w:rsidR="00F0273C" w:rsidRPr="00053C90">
        <w:rPr>
          <w:vertAlign w:val="superscript"/>
          <w:lang w:val="en-US"/>
        </w:rPr>
        <w:t>2</w:t>
      </w:r>
      <w:r w:rsidR="004A5F44">
        <w:rPr>
          <w:lang w:val="en-US"/>
        </w:rPr>
        <w:t>:</w:t>
      </w:r>
      <w:r w:rsidR="004A5F44" w:rsidRPr="00053C90">
        <w:rPr>
          <w:lang w:val="en-US"/>
        </w:rPr>
        <w:t>s</w:t>
      </w:r>
      <w:r w:rsidR="00F0273C" w:rsidRPr="00053C90">
        <w:rPr>
          <w:lang w:val="en-US"/>
        </w:rPr>
        <w:t xml:space="preserve"> in this study can be found in appendix</w:t>
      </w:r>
      <w:r w:rsidR="0058530F">
        <w:rPr>
          <w:lang w:val="en-US"/>
        </w:rPr>
        <w:t xml:space="preserve"> 1</w:t>
      </w:r>
      <w:r w:rsidR="00F0273C" w:rsidRPr="00053C90">
        <w:rPr>
          <w:lang w:val="en-US"/>
        </w:rPr>
        <w:t xml:space="preserve"> </w:t>
      </w:r>
      <w:r w:rsidR="0058530F">
        <w:rPr>
          <w:lang w:val="en-US"/>
        </w:rPr>
        <w:t>A</w:t>
      </w:r>
      <w:r w:rsidR="00F0273C" w:rsidRPr="00053C90">
        <w:rPr>
          <w:lang w:val="en-US"/>
        </w:rPr>
        <w:t>2.5.</w:t>
      </w:r>
    </w:p>
    <w:p w:rsidR="00A44750" w:rsidRPr="00053C90" w:rsidRDefault="00A44750" w:rsidP="00A44750">
      <w:pPr>
        <w:rPr>
          <w:lang w:val="en-US"/>
        </w:rPr>
      </w:pPr>
    </w:p>
    <w:p w:rsidR="001B062E" w:rsidRPr="00053C90" w:rsidRDefault="001B062E" w:rsidP="001B062E">
      <w:pPr>
        <w:spacing w:line="360" w:lineRule="auto"/>
        <w:rPr>
          <w:lang w:val="en-US"/>
        </w:rPr>
      </w:pPr>
    </w:p>
    <w:p w:rsidR="001B062E" w:rsidRDefault="001B062E" w:rsidP="007E4847">
      <w:pPr>
        <w:pStyle w:val="Heading1"/>
        <w:numPr>
          <w:ilvl w:val="0"/>
          <w:numId w:val="2"/>
        </w:numPr>
        <w:spacing w:line="360" w:lineRule="auto"/>
        <w:rPr>
          <w:rFonts w:ascii="Times New Roman" w:hAnsi="Times New Roman"/>
          <w:lang w:val="en-US"/>
        </w:rPr>
      </w:pPr>
      <w:bookmarkStart w:id="54" w:name="_Toc428399253"/>
      <w:r w:rsidRPr="00053C90">
        <w:rPr>
          <w:rFonts w:ascii="Times New Roman" w:hAnsi="Times New Roman"/>
          <w:lang w:val="en-US"/>
        </w:rPr>
        <w:t>Conclusion</w:t>
      </w:r>
      <w:bookmarkEnd w:id="54"/>
    </w:p>
    <w:p w:rsidR="007E4847" w:rsidRPr="00CC2ED7" w:rsidRDefault="007E4847" w:rsidP="007E4847">
      <w:pPr>
        <w:spacing w:line="360" w:lineRule="auto"/>
        <w:rPr>
          <w:i/>
          <w:lang w:val="en-US"/>
        </w:rPr>
      </w:pPr>
      <w:r>
        <w:rPr>
          <w:i/>
          <w:lang w:val="en-US"/>
        </w:rPr>
        <w:t xml:space="preserve">The conclusion is based on the results and analysis in this study and puts the results in relation to the hypotheses formulated in chapter 2. </w:t>
      </w:r>
      <w:r w:rsidR="004A5F44">
        <w:rPr>
          <w:i/>
          <w:lang w:val="en-US"/>
        </w:rPr>
        <w:t>Further implications of the results and suggestions for future research are</w:t>
      </w:r>
      <w:r>
        <w:rPr>
          <w:i/>
          <w:lang w:val="en-US"/>
        </w:rPr>
        <w:t xml:space="preserve"> also presented. </w:t>
      </w:r>
    </w:p>
    <w:p w:rsidR="007E4847" w:rsidRPr="007E4847" w:rsidRDefault="007E4847" w:rsidP="007E4847">
      <w:pPr>
        <w:pStyle w:val="Heading2"/>
        <w:numPr>
          <w:ilvl w:val="1"/>
          <w:numId w:val="2"/>
        </w:numPr>
        <w:rPr>
          <w:sz w:val="24"/>
          <w:lang w:val="en-US"/>
        </w:rPr>
      </w:pPr>
      <w:bookmarkStart w:id="55" w:name="_Toc428399254"/>
      <w:r>
        <w:rPr>
          <w:lang w:val="en-US"/>
        </w:rPr>
        <w:t>Conclusion</w:t>
      </w:r>
      <w:bookmarkEnd w:id="55"/>
    </w:p>
    <w:p w:rsidR="007E4847" w:rsidRPr="007E4847" w:rsidRDefault="007E4847" w:rsidP="007E4847">
      <w:pPr>
        <w:spacing w:line="360" w:lineRule="auto"/>
        <w:rPr>
          <w:szCs w:val="24"/>
          <w:lang w:val="en-US"/>
        </w:rPr>
      </w:pPr>
      <w:r w:rsidRPr="007E4847">
        <w:rPr>
          <w:szCs w:val="24"/>
          <w:lang w:val="en-US"/>
        </w:rPr>
        <w:t>This study has two purposes, to review the performance of</w:t>
      </w:r>
      <w:r>
        <w:rPr>
          <w:szCs w:val="24"/>
          <w:lang w:val="en-US"/>
        </w:rPr>
        <w:t xml:space="preserve"> M&amp;A</w:t>
      </w:r>
      <w:r w:rsidRPr="007E4847">
        <w:rPr>
          <w:szCs w:val="24"/>
          <w:lang w:val="en-US"/>
        </w:rPr>
        <w:t xml:space="preserve"> transactions, both from a financial and an operating perspective, and to analyze how a set of determinants affected these measures. The purposes were broken down into eight hypotheses</w:t>
      </w:r>
      <w:r>
        <w:rPr>
          <w:szCs w:val="24"/>
          <w:lang w:val="en-US"/>
        </w:rPr>
        <w:t>.</w:t>
      </w:r>
      <w:r w:rsidRPr="007E4847">
        <w:rPr>
          <w:szCs w:val="24"/>
          <w:lang w:val="en-US"/>
        </w:rPr>
        <w:t xml:space="preserve"> To be able to perform this study, two event studies, one correlation analysis and six multiple linear regressions have been conducted. </w:t>
      </w:r>
    </w:p>
    <w:p w:rsidR="007E4847" w:rsidRPr="007E4847" w:rsidRDefault="007E4847" w:rsidP="007E4847">
      <w:pPr>
        <w:spacing w:line="360" w:lineRule="auto"/>
        <w:rPr>
          <w:szCs w:val="24"/>
          <w:lang w:val="en-US"/>
        </w:rPr>
      </w:pPr>
      <w:r w:rsidRPr="007E4847">
        <w:rPr>
          <w:szCs w:val="24"/>
          <w:lang w:val="en-US"/>
        </w:rPr>
        <w:t>The results indicated that no significance can be found, when examining stock and operating performance on 12, 24 and 36 months. This means that no abnormal positive or abnormal negative return can be detected in these measures. The researchers hoped, based on the majority of previous studies, to find significant negative abnormal stock returns on a long term, but the results is not that surprising, since there are previous studies, e.g. Dutta &amp; Jog (2009)  that also find insignificant results.</w:t>
      </w:r>
    </w:p>
    <w:p w:rsidR="007E4847" w:rsidRPr="007E4847" w:rsidRDefault="007E4847" w:rsidP="007E4847">
      <w:pPr>
        <w:spacing w:line="360" w:lineRule="auto"/>
        <w:rPr>
          <w:szCs w:val="24"/>
          <w:lang w:val="en-US"/>
        </w:rPr>
      </w:pPr>
      <w:r w:rsidRPr="007E4847">
        <w:rPr>
          <w:szCs w:val="24"/>
          <w:lang w:val="en-US"/>
        </w:rPr>
        <w:t>The hypothesis of no abnormal operating performance following a transaction was in line with the results</w:t>
      </w:r>
      <w:r>
        <w:rPr>
          <w:szCs w:val="24"/>
          <w:lang w:val="en-US"/>
        </w:rPr>
        <w:t xml:space="preserve"> of this study</w:t>
      </w:r>
      <w:r w:rsidRPr="007E4847">
        <w:rPr>
          <w:szCs w:val="24"/>
          <w:lang w:val="en-US"/>
        </w:rPr>
        <w:t>. As discussed</w:t>
      </w:r>
      <w:r w:rsidR="00183419">
        <w:rPr>
          <w:szCs w:val="24"/>
          <w:lang w:val="en-US"/>
        </w:rPr>
        <w:t xml:space="preserve"> in chapter two and five, the most recent studies within </w:t>
      </w:r>
      <w:r w:rsidR="004A5F44">
        <w:rPr>
          <w:szCs w:val="24"/>
          <w:lang w:val="en-US"/>
        </w:rPr>
        <w:t>this area</w:t>
      </w:r>
      <w:r w:rsidR="00183419">
        <w:rPr>
          <w:szCs w:val="24"/>
          <w:lang w:val="en-US"/>
        </w:rPr>
        <w:t xml:space="preserve"> also find</w:t>
      </w:r>
      <w:r w:rsidRPr="007E4847">
        <w:rPr>
          <w:szCs w:val="24"/>
          <w:lang w:val="en-US"/>
        </w:rPr>
        <w:t xml:space="preserve"> insignificant </w:t>
      </w:r>
      <w:r w:rsidR="00183419">
        <w:rPr>
          <w:szCs w:val="24"/>
          <w:lang w:val="en-US"/>
        </w:rPr>
        <w:t xml:space="preserve">results when </w:t>
      </w:r>
      <w:r w:rsidR="004A5F44">
        <w:rPr>
          <w:szCs w:val="24"/>
          <w:lang w:val="en-US"/>
        </w:rPr>
        <w:t>examining</w:t>
      </w:r>
      <w:r w:rsidR="00183419">
        <w:rPr>
          <w:szCs w:val="24"/>
          <w:lang w:val="en-US"/>
        </w:rPr>
        <w:t xml:space="preserve"> the operating performance</w:t>
      </w:r>
      <w:r w:rsidRPr="007E4847">
        <w:rPr>
          <w:szCs w:val="24"/>
          <w:lang w:val="en-US"/>
        </w:rPr>
        <w:t xml:space="preserve"> following </w:t>
      </w:r>
      <w:r w:rsidR="00183419">
        <w:rPr>
          <w:szCs w:val="24"/>
          <w:lang w:val="en-US"/>
        </w:rPr>
        <w:t xml:space="preserve">the </w:t>
      </w:r>
      <w:r w:rsidRPr="007E4847">
        <w:rPr>
          <w:szCs w:val="24"/>
          <w:lang w:val="en-US"/>
        </w:rPr>
        <w:t xml:space="preserve">transactions. The </w:t>
      </w:r>
      <w:r w:rsidR="004A5F44" w:rsidRPr="007E4847">
        <w:rPr>
          <w:szCs w:val="24"/>
          <w:lang w:val="en-US"/>
        </w:rPr>
        <w:t>results of this study further enhance</w:t>
      </w:r>
      <w:r w:rsidRPr="007E4847">
        <w:rPr>
          <w:szCs w:val="24"/>
          <w:lang w:val="en-US"/>
        </w:rPr>
        <w:t xml:space="preserve"> the notion that M&amp;A:s in general do not add value for the shareholders. This is probably no news to managements in companies that are about to undertake an acquisition, which raises the question, why do they continue to undertake it?</w:t>
      </w:r>
    </w:p>
    <w:p w:rsidR="007E4847" w:rsidRPr="007E4847" w:rsidRDefault="007E4847" w:rsidP="007E4847">
      <w:pPr>
        <w:spacing w:line="360" w:lineRule="auto"/>
        <w:rPr>
          <w:szCs w:val="24"/>
          <w:lang w:val="en-US"/>
        </w:rPr>
      </w:pPr>
      <w:r w:rsidRPr="007E4847">
        <w:rPr>
          <w:szCs w:val="24"/>
          <w:lang w:val="en-US"/>
        </w:rPr>
        <w:t>This study discusses some motives for transactions. Three of the theories discussed are to realize synergy effects, perform empire building or to conduct transactions out of hubris. Even though it is hard to find clear evidence for the two latter motives, the lack of significance in the result can be deemed to have those motives even when that is not the case. Poor performance can simply be lack of realizing the anticipated synergies. Hubris and empire building are two theories that should be taken seriously,</w:t>
      </w:r>
      <w:r w:rsidR="00183419">
        <w:rPr>
          <w:szCs w:val="24"/>
          <w:lang w:val="en-US"/>
        </w:rPr>
        <w:t xml:space="preserve"> </w:t>
      </w:r>
      <w:r w:rsidR="00183419" w:rsidRPr="007E4847">
        <w:rPr>
          <w:szCs w:val="24"/>
          <w:lang w:val="en-US"/>
        </w:rPr>
        <w:t>a way to solve it</w:t>
      </w:r>
      <w:r w:rsidR="00183419">
        <w:rPr>
          <w:szCs w:val="24"/>
          <w:lang w:val="en-US"/>
        </w:rPr>
        <w:t xml:space="preserve"> can be</w:t>
      </w:r>
      <w:r w:rsidRPr="007E4847">
        <w:rPr>
          <w:szCs w:val="24"/>
          <w:lang w:val="en-US"/>
        </w:rPr>
        <w:t xml:space="preserve"> to increase the board’s controlling f</w:t>
      </w:r>
      <w:r w:rsidR="00183419">
        <w:rPr>
          <w:szCs w:val="24"/>
          <w:lang w:val="en-US"/>
        </w:rPr>
        <w:t>unction on the management</w:t>
      </w:r>
      <w:r w:rsidRPr="007E4847">
        <w:rPr>
          <w:szCs w:val="24"/>
          <w:lang w:val="en-US"/>
        </w:rPr>
        <w:t>.</w:t>
      </w:r>
    </w:p>
    <w:p w:rsidR="007E4847" w:rsidRPr="007E4847" w:rsidRDefault="007E4847" w:rsidP="007E4847">
      <w:pPr>
        <w:spacing w:line="360" w:lineRule="auto"/>
        <w:rPr>
          <w:szCs w:val="24"/>
          <w:lang w:val="en-US"/>
        </w:rPr>
      </w:pPr>
      <w:r w:rsidRPr="007E4847">
        <w:rPr>
          <w:szCs w:val="24"/>
          <w:lang w:val="en-US"/>
        </w:rPr>
        <w:t xml:space="preserve">The lack of significance can possibly be explained by the dispersion in the sample. This dispersion can potentially have arisen by the models used to calculate abnormal returns. For </w:t>
      </w:r>
      <w:r w:rsidR="00183419">
        <w:rPr>
          <w:szCs w:val="24"/>
          <w:lang w:val="en-US"/>
        </w:rPr>
        <w:t>instance, this study used</w:t>
      </w:r>
      <w:r w:rsidRPr="007E4847">
        <w:rPr>
          <w:szCs w:val="24"/>
          <w:lang w:val="en-US"/>
        </w:rPr>
        <w:t xml:space="preserve"> benchmark firms when calculating abnormal returns. These benchmark firms are supposed to be similar to the firms in the sample and are chosen based on a set of filters discussed in </w:t>
      </w:r>
      <w:r w:rsidR="00183419">
        <w:rPr>
          <w:szCs w:val="24"/>
          <w:lang w:val="en-US"/>
        </w:rPr>
        <w:t>3.5.1</w:t>
      </w:r>
      <w:r w:rsidRPr="007E4847">
        <w:rPr>
          <w:szCs w:val="24"/>
          <w:lang w:val="en-US"/>
        </w:rPr>
        <w:t>. To include more</w:t>
      </w:r>
      <w:r w:rsidR="00183419">
        <w:rPr>
          <w:szCs w:val="24"/>
          <w:lang w:val="en-US"/>
        </w:rPr>
        <w:t xml:space="preserve"> filters</w:t>
      </w:r>
      <w:r w:rsidRPr="007E4847">
        <w:rPr>
          <w:szCs w:val="24"/>
          <w:lang w:val="en-US"/>
        </w:rPr>
        <w:t>, or a different set of filters could have mitigated the dispersion. Another factor that could have mitigated the dispersion is to increase the sample and thereby include more observations. To use reference portfolios along with benchmark</w:t>
      </w:r>
      <w:r w:rsidR="00183419">
        <w:rPr>
          <w:szCs w:val="24"/>
          <w:lang w:val="en-US"/>
        </w:rPr>
        <w:t xml:space="preserve"> firms</w:t>
      </w:r>
      <w:r w:rsidRPr="007E4847">
        <w:rPr>
          <w:szCs w:val="24"/>
          <w:lang w:val="en-US"/>
        </w:rPr>
        <w:t xml:space="preserve"> and then take an average of these two measures could also potentially mitigate the large dispersion. </w:t>
      </w:r>
    </w:p>
    <w:p w:rsidR="007E4847" w:rsidRPr="007E4847" w:rsidRDefault="007E4847" w:rsidP="007E4847">
      <w:pPr>
        <w:spacing w:line="360" w:lineRule="auto"/>
        <w:rPr>
          <w:szCs w:val="24"/>
          <w:lang w:val="en-US"/>
        </w:rPr>
      </w:pPr>
      <w:r w:rsidRPr="007E4847">
        <w:rPr>
          <w:szCs w:val="24"/>
          <w:lang w:val="en-US"/>
        </w:rPr>
        <w:t xml:space="preserve">Decision makers in companies are, as stated in section </w:t>
      </w:r>
      <w:r w:rsidRPr="00183419">
        <w:rPr>
          <w:szCs w:val="24"/>
          <w:lang w:val="en-US"/>
        </w:rPr>
        <w:t>1.</w:t>
      </w:r>
      <w:r w:rsidR="00183419" w:rsidRPr="00183419">
        <w:rPr>
          <w:szCs w:val="24"/>
          <w:lang w:val="en-US"/>
        </w:rPr>
        <w:t>6</w:t>
      </w:r>
      <w:r w:rsidRPr="007E4847">
        <w:rPr>
          <w:szCs w:val="24"/>
          <w:lang w:val="en-US"/>
        </w:rPr>
        <w:t xml:space="preserve"> one of the target groups </w:t>
      </w:r>
      <w:r w:rsidR="00183419">
        <w:rPr>
          <w:szCs w:val="24"/>
          <w:lang w:val="en-US"/>
        </w:rPr>
        <w:t>of</w:t>
      </w:r>
      <w:r w:rsidRPr="007E4847">
        <w:rPr>
          <w:szCs w:val="24"/>
          <w:lang w:val="en-US"/>
        </w:rPr>
        <w:t xml:space="preserve"> this study. The results show that m</w:t>
      </w:r>
      <w:r w:rsidR="00183419">
        <w:rPr>
          <w:szCs w:val="24"/>
          <w:lang w:val="en-US"/>
        </w:rPr>
        <w:t>ost stock and operating measures</w:t>
      </w:r>
      <w:r w:rsidRPr="007E4847">
        <w:rPr>
          <w:szCs w:val="24"/>
          <w:lang w:val="en-US"/>
        </w:rPr>
        <w:t xml:space="preserve"> lack significant correlation, which implies that decision makers have to take both measures into account when evaluating the performance of a transaction. For instance, poor stock performance following a transaction can be influenced by more factors than the operating performance, and if the operating performance is increased after a merger the question whether the transaction really was unsuccessful is raised. </w:t>
      </w:r>
    </w:p>
    <w:p w:rsidR="007E4847" w:rsidRPr="007E4847" w:rsidRDefault="007E4847" w:rsidP="007E4847">
      <w:pPr>
        <w:spacing w:line="360" w:lineRule="auto"/>
        <w:rPr>
          <w:szCs w:val="24"/>
          <w:lang w:val="en-US"/>
        </w:rPr>
      </w:pPr>
      <w:r w:rsidRPr="007E4847">
        <w:rPr>
          <w:szCs w:val="24"/>
          <w:lang w:val="en-US"/>
        </w:rPr>
        <w:t xml:space="preserve">Lack of correlation between many of the measures also raises the question to whom the company is responsible to. Is it necessary to study different measures if the sole purpose of a company is to maximize shareholders’ value? </w:t>
      </w:r>
      <w:r w:rsidRPr="007E4847">
        <w:rPr>
          <w:szCs w:val="24"/>
          <w:lang w:val="en-US"/>
        </w:rPr>
        <w:br/>
        <w:t xml:space="preserve">We think that the increasing shareholders value is an important objective for a company, however looking at the performance from other perspectives can give indications on how healthy the transaction has been.  </w:t>
      </w:r>
    </w:p>
    <w:p w:rsidR="00183419" w:rsidRDefault="007E4847" w:rsidP="007E4847">
      <w:pPr>
        <w:spacing w:line="360" w:lineRule="auto"/>
        <w:rPr>
          <w:szCs w:val="24"/>
          <w:lang w:val="en-US"/>
        </w:rPr>
      </w:pPr>
      <w:r w:rsidRPr="007E4847">
        <w:rPr>
          <w:szCs w:val="24"/>
          <w:lang w:val="en-US"/>
        </w:rPr>
        <w:t>Chapter four presented results that the operating performance after 36 months was correlated with stock performance after 12 and 24 months. An implication of these variables being correlated is that shareholders are well informed</w:t>
      </w:r>
      <w:r w:rsidR="00183419">
        <w:rPr>
          <w:szCs w:val="24"/>
          <w:lang w:val="en-US"/>
        </w:rPr>
        <w:t xml:space="preserve"> about the company’s performance and that this</w:t>
      </w:r>
      <w:r w:rsidRPr="007E4847">
        <w:rPr>
          <w:szCs w:val="24"/>
          <w:lang w:val="en-US"/>
        </w:rPr>
        <w:t xml:space="preserve"> could be a sign of fairly low information asymmetry between the shareholders and the company. </w:t>
      </w:r>
    </w:p>
    <w:p w:rsidR="007E4847" w:rsidRPr="007E4847" w:rsidRDefault="007E4847" w:rsidP="007E4847">
      <w:pPr>
        <w:spacing w:line="360" w:lineRule="auto"/>
        <w:rPr>
          <w:rFonts w:eastAsia="Times New Roman"/>
          <w:i/>
          <w:iCs/>
          <w:color w:val="000000"/>
          <w:szCs w:val="24"/>
          <w:lang w:val="en-GB" w:eastAsia="sv-SE"/>
        </w:rPr>
      </w:pPr>
      <w:r w:rsidRPr="007E4847">
        <w:rPr>
          <w:szCs w:val="24"/>
          <w:lang w:val="en-US"/>
        </w:rPr>
        <w:t xml:space="preserve">Hypothesis four to eight all aim at examining how a set of determinants influenced the different measures was tested using regressions and then analyzed in chapter </w:t>
      </w:r>
      <w:r w:rsidR="00506024">
        <w:rPr>
          <w:szCs w:val="24"/>
          <w:lang w:val="en-US"/>
        </w:rPr>
        <w:t>five</w:t>
      </w:r>
      <w:r w:rsidRPr="007E4847">
        <w:rPr>
          <w:szCs w:val="24"/>
          <w:lang w:val="en-US"/>
        </w:rPr>
        <w:t xml:space="preserve">. A general conclusion is that there are variables that affects the value creation the measures differently. A summary of all </w:t>
      </w:r>
      <w:r w:rsidR="00506024">
        <w:rPr>
          <w:szCs w:val="24"/>
          <w:lang w:val="en-US"/>
        </w:rPr>
        <w:t xml:space="preserve">the </w:t>
      </w:r>
      <w:r w:rsidRPr="007E4847">
        <w:rPr>
          <w:szCs w:val="24"/>
          <w:lang w:val="en-US"/>
        </w:rPr>
        <w:t>hypothe</w:t>
      </w:r>
      <w:r w:rsidR="00506024">
        <w:rPr>
          <w:szCs w:val="24"/>
          <w:lang w:val="en-US"/>
        </w:rPr>
        <w:t>ses can be found in table 2.4.</w:t>
      </w:r>
    </w:p>
    <w:p w:rsidR="007E4847" w:rsidRPr="007E4847" w:rsidRDefault="007E4847" w:rsidP="007E4847">
      <w:pPr>
        <w:spacing w:line="360" w:lineRule="auto"/>
        <w:rPr>
          <w:szCs w:val="24"/>
          <w:lang w:val="en-US"/>
        </w:rPr>
      </w:pPr>
      <w:r w:rsidRPr="007E4847">
        <w:rPr>
          <w:szCs w:val="24"/>
          <w:lang w:val="en-US"/>
        </w:rPr>
        <w:t xml:space="preserve">Hypothesis 4, 6 and 8 are partially supported by the results in this study, whereas no significance are detected in the other variables. Market-to-book ratio is the only variable that impacts performance on a 5% level. The other significant variables, relative transaction size and industry relatedness have a slightly weaker relationship since they are only significant on a 10% level. </w:t>
      </w:r>
    </w:p>
    <w:p w:rsidR="007E4847" w:rsidRPr="007E4847" w:rsidRDefault="007E4847" w:rsidP="007E4847">
      <w:pPr>
        <w:spacing w:line="360" w:lineRule="auto"/>
        <w:rPr>
          <w:szCs w:val="24"/>
          <w:lang w:val="en-US"/>
        </w:rPr>
      </w:pPr>
      <w:r w:rsidRPr="007E4847">
        <w:rPr>
          <w:szCs w:val="24"/>
          <w:lang w:val="en-US"/>
        </w:rPr>
        <w:t>These findings has a set of implications. First it is not enough to take the variables affecting one measure into account since they affects the measures differently. Another implication is that studies only examining one of the measures of post-merger performance leads to incomplete conclusions of the impact of determinants</w:t>
      </w:r>
      <w:r w:rsidR="00506024">
        <w:rPr>
          <w:szCs w:val="24"/>
          <w:lang w:val="en-US"/>
        </w:rPr>
        <w:t xml:space="preserve"> on performance following a transaction</w:t>
      </w:r>
      <w:r w:rsidRPr="007E4847">
        <w:rPr>
          <w:szCs w:val="24"/>
          <w:lang w:val="en-US"/>
        </w:rPr>
        <w:t xml:space="preserve">. </w:t>
      </w:r>
    </w:p>
    <w:p w:rsidR="007E4847" w:rsidRPr="007E4847" w:rsidRDefault="007E4847" w:rsidP="007E4847">
      <w:pPr>
        <w:spacing w:line="360" w:lineRule="auto"/>
        <w:rPr>
          <w:szCs w:val="24"/>
          <w:lang w:val="en-US"/>
        </w:rPr>
      </w:pPr>
      <w:r w:rsidRPr="007E4847">
        <w:rPr>
          <w:szCs w:val="24"/>
          <w:lang w:val="en-US"/>
        </w:rPr>
        <w:t>The market-to-book ratio only influenced operating performance on the long term, which</w:t>
      </w:r>
      <w:r w:rsidR="00506024">
        <w:rPr>
          <w:szCs w:val="24"/>
          <w:lang w:val="en-US"/>
        </w:rPr>
        <w:t xml:space="preserve"> is</w:t>
      </w:r>
      <w:r w:rsidRPr="007E4847">
        <w:rPr>
          <w:szCs w:val="24"/>
          <w:lang w:val="en-US"/>
        </w:rPr>
        <w:t xml:space="preserve"> not aligned with previous research</w:t>
      </w:r>
      <w:r w:rsidR="00506024">
        <w:rPr>
          <w:szCs w:val="24"/>
          <w:lang w:val="en-US"/>
        </w:rPr>
        <w:t xml:space="preserve"> or our</w:t>
      </w:r>
      <w:r w:rsidRPr="007E4847">
        <w:rPr>
          <w:szCs w:val="24"/>
          <w:lang w:val="en-US"/>
        </w:rPr>
        <w:t xml:space="preserve"> hypothesis, which stated that negative relationship between the market-to-book ratio and the performance measures. Apparently, the hubris motive that was pres</w:t>
      </w:r>
      <w:r w:rsidR="004A5F44">
        <w:rPr>
          <w:szCs w:val="24"/>
          <w:lang w:val="en-US"/>
        </w:rPr>
        <w:t>ented as a reason for this for is not present on a Swedish, Danish, Norwegian or Finnish market setting.</w:t>
      </w:r>
    </w:p>
    <w:p w:rsidR="005E0828" w:rsidRPr="005E0828" w:rsidRDefault="007E4847" w:rsidP="005E0828">
      <w:pPr>
        <w:spacing w:line="360" w:lineRule="auto"/>
        <w:rPr>
          <w:szCs w:val="24"/>
          <w:lang w:val="en-US"/>
        </w:rPr>
      </w:pPr>
      <w:r w:rsidRPr="007E4847">
        <w:rPr>
          <w:szCs w:val="24"/>
          <w:lang w:val="en-US"/>
        </w:rPr>
        <w:t>The researchers hoped to find a significant negative relationship between the size of the acquirer and the post-merger performance. Flexibility and agility by smaller firms could have explained this. The hypothesis about domestic transaction performing significantly better than cross-border transaction did not hold. A reason for this can potentially be that earlier studies that find this to be the case have influenced the decision markers into be more cautious about future synergy effect</w:t>
      </w:r>
      <w:r w:rsidR="00506024">
        <w:rPr>
          <w:szCs w:val="24"/>
          <w:lang w:val="en-US"/>
        </w:rPr>
        <w:t>s</w:t>
      </w:r>
      <w:r w:rsidRPr="007E4847">
        <w:rPr>
          <w:szCs w:val="24"/>
          <w:lang w:val="en-US"/>
        </w:rPr>
        <w:t xml:space="preserve"> and to make a more thorough analysis when they conduct cross-border transaction</w:t>
      </w:r>
      <w:r w:rsidR="00506024">
        <w:rPr>
          <w:szCs w:val="24"/>
          <w:lang w:val="en-US"/>
        </w:rPr>
        <w:t>s.</w:t>
      </w:r>
      <w:r w:rsidRPr="007E4847">
        <w:rPr>
          <w:szCs w:val="24"/>
          <w:lang w:val="en-US"/>
        </w:rPr>
        <w:t xml:space="preserve"> There was partial evidence for the last hypothesis, that industry relatedness has a positive impact on the post-merger operating performance. </w:t>
      </w:r>
      <w:r w:rsidR="005E0828">
        <w:rPr>
          <w:szCs w:val="24"/>
          <w:lang w:val="en-US"/>
        </w:rPr>
        <w:t xml:space="preserve">The positive relationship between the stock returns and the relative transaction size, and the lack of significant relationship between the relative transaction size and operating performance can be explained by too large premiums being paid. These lead to high expectations of future performance and thus, an increase in stock price. If the premiums are too large one can argue that it is more difficult realize synergies and thereby generate a superior post-merger operating performance. </w:t>
      </w:r>
    </w:p>
    <w:p w:rsidR="007E4847" w:rsidRPr="007E4847" w:rsidRDefault="007E4847" w:rsidP="007E4847">
      <w:pPr>
        <w:spacing w:line="360" w:lineRule="auto"/>
        <w:rPr>
          <w:szCs w:val="24"/>
          <w:lang w:val="en-US"/>
        </w:rPr>
      </w:pPr>
      <w:r w:rsidRPr="007E4847">
        <w:rPr>
          <w:szCs w:val="24"/>
          <w:lang w:val="en-US"/>
        </w:rPr>
        <w:t>An implication presented in chapter five was that the variables have a greater influence on the performance after 36 months than they have after 12 and 24 months, due to an increasing goodness of fit. This ought to send signals to decision makers not to have a myopic view of how the post-transaction performance is affected by different variables. Another signal is that it takes time to be able to fully evaluate how variables</w:t>
      </w:r>
      <w:r w:rsidR="00506024">
        <w:rPr>
          <w:szCs w:val="24"/>
          <w:lang w:val="en-US"/>
        </w:rPr>
        <w:t>,</w:t>
      </w:r>
      <w:r w:rsidRPr="007E4847">
        <w:rPr>
          <w:szCs w:val="24"/>
          <w:lang w:val="en-US"/>
        </w:rPr>
        <w:t xml:space="preserve"> present before the transaction, such as market-to-book ratio</w:t>
      </w:r>
      <w:r w:rsidR="00506024">
        <w:rPr>
          <w:szCs w:val="24"/>
          <w:lang w:val="en-US"/>
        </w:rPr>
        <w:t>,</w:t>
      </w:r>
      <w:r w:rsidRPr="007E4847">
        <w:rPr>
          <w:szCs w:val="24"/>
          <w:lang w:val="en-US"/>
        </w:rPr>
        <w:t xml:space="preserve"> are affecting the performance.  </w:t>
      </w:r>
    </w:p>
    <w:p w:rsidR="007E4847" w:rsidRPr="007E4847" w:rsidRDefault="007E4847" w:rsidP="007E4847">
      <w:pPr>
        <w:spacing w:line="360" w:lineRule="auto"/>
        <w:rPr>
          <w:szCs w:val="24"/>
          <w:lang w:val="en-US"/>
        </w:rPr>
      </w:pPr>
      <w:r w:rsidRPr="007E4847">
        <w:rPr>
          <w:szCs w:val="24"/>
          <w:lang w:val="en-US"/>
        </w:rPr>
        <w:t xml:space="preserve">Below a summary of the most important findings of this study </w:t>
      </w:r>
      <w:r w:rsidR="00506024">
        <w:rPr>
          <w:szCs w:val="24"/>
          <w:lang w:val="en-US"/>
        </w:rPr>
        <w:t>is</w:t>
      </w:r>
      <w:r w:rsidRPr="007E4847">
        <w:rPr>
          <w:szCs w:val="24"/>
          <w:lang w:val="en-US"/>
        </w:rPr>
        <w:t xml:space="preserve"> presented:</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Acquirers do not earn significant abnormal stock returns following M&amp;A:s.</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Acquirers do not have a significant abnormal operating performance after M&amp;A:s.</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 xml:space="preserve">There is a positive relationship between stock performance on 12 and 24 months and operating performance after 36 months. </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Operating performance and stock performance are correlated 24 months after a transaction.</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An increased market-to-book ratio leads to an increased operating performance after 36 months</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Transaction deal size has positive relationship with stock performance after 24 and 36 months</w:t>
      </w:r>
    </w:p>
    <w:p w:rsidR="007E4847" w:rsidRPr="007E4847" w:rsidRDefault="007E4847" w:rsidP="007E4847">
      <w:pPr>
        <w:pStyle w:val="ListParagraph"/>
        <w:numPr>
          <w:ilvl w:val="0"/>
          <w:numId w:val="41"/>
        </w:numPr>
        <w:spacing w:line="360" w:lineRule="auto"/>
        <w:rPr>
          <w:szCs w:val="24"/>
          <w:lang w:val="en-US"/>
        </w:rPr>
      </w:pPr>
      <w:r w:rsidRPr="007E4847">
        <w:rPr>
          <w:szCs w:val="24"/>
          <w:lang w:val="en-US"/>
        </w:rPr>
        <w:t xml:space="preserve">Operating performance is somewhat enhanced after 12 months if the acquirer and target are within the same industry.  </w:t>
      </w:r>
    </w:p>
    <w:p w:rsidR="007E4847" w:rsidRPr="007E4847" w:rsidRDefault="007E4847" w:rsidP="007E4847">
      <w:pPr>
        <w:spacing w:line="360" w:lineRule="auto"/>
        <w:rPr>
          <w:szCs w:val="24"/>
          <w:lang w:val="en-US"/>
        </w:rPr>
      </w:pPr>
      <w:r w:rsidRPr="007E4847">
        <w:rPr>
          <w:szCs w:val="24"/>
          <w:lang w:val="en-US"/>
        </w:rPr>
        <w:t xml:space="preserve"> </w:t>
      </w:r>
    </w:p>
    <w:p w:rsidR="007E4847" w:rsidRDefault="007E4847" w:rsidP="007E4847">
      <w:pPr>
        <w:pStyle w:val="Heading2"/>
        <w:numPr>
          <w:ilvl w:val="1"/>
          <w:numId w:val="2"/>
        </w:numPr>
        <w:rPr>
          <w:lang w:val="en-US"/>
        </w:rPr>
      </w:pPr>
      <w:bookmarkStart w:id="56" w:name="_Toc428399255"/>
      <w:r>
        <w:rPr>
          <w:lang w:val="en-US"/>
        </w:rPr>
        <w:t>Suggestions for f</w:t>
      </w:r>
      <w:r w:rsidRPr="007E4847">
        <w:rPr>
          <w:lang w:val="en-US"/>
        </w:rPr>
        <w:t>urther research</w:t>
      </w:r>
      <w:bookmarkEnd w:id="56"/>
    </w:p>
    <w:p w:rsidR="0061436C" w:rsidRDefault="0061436C" w:rsidP="0061436C">
      <w:pPr>
        <w:spacing w:line="360" w:lineRule="auto"/>
        <w:rPr>
          <w:lang w:val="en-US"/>
        </w:rPr>
      </w:pPr>
      <w:r>
        <w:rPr>
          <w:lang w:val="en-US"/>
        </w:rPr>
        <w:t xml:space="preserve">Below we will present suggestions to what academics could research in the future: </w:t>
      </w:r>
    </w:p>
    <w:p w:rsidR="007E4847" w:rsidRPr="0061436C" w:rsidRDefault="007E4847" w:rsidP="0061436C">
      <w:pPr>
        <w:spacing w:line="360" w:lineRule="auto"/>
        <w:rPr>
          <w:lang w:val="en-US"/>
        </w:rPr>
      </w:pPr>
      <w:r w:rsidRPr="0061436C">
        <w:rPr>
          <w:szCs w:val="24"/>
          <w:lang w:val="en-US"/>
        </w:rPr>
        <w:t>A deeper case study on a few companies to evaluate the post-merger-performance</w:t>
      </w:r>
      <w:r w:rsidRPr="007E4847">
        <w:rPr>
          <w:szCs w:val="24"/>
          <w:lang w:val="en-US"/>
        </w:rPr>
        <w:t>. This could be done by identifying firms with similar development of operating and stock performance</w:t>
      </w:r>
      <w:r w:rsidR="0061436C">
        <w:rPr>
          <w:szCs w:val="24"/>
          <w:lang w:val="en-US"/>
        </w:rPr>
        <w:t>. Thereafter</w:t>
      </w:r>
      <w:r w:rsidRPr="007E4847">
        <w:rPr>
          <w:szCs w:val="24"/>
          <w:lang w:val="en-US"/>
        </w:rPr>
        <w:t xml:space="preserve"> examine if there are</w:t>
      </w:r>
      <w:r w:rsidR="0061436C">
        <w:rPr>
          <w:szCs w:val="24"/>
          <w:lang w:val="en-US"/>
        </w:rPr>
        <w:t xml:space="preserve"> similarities in the</w:t>
      </w:r>
      <w:r w:rsidRPr="007E4847">
        <w:rPr>
          <w:szCs w:val="24"/>
          <w:lang w:val="en-US"/>
        </w:rPr>
        <w:t xml:space="preserve"> characteristics that are value adding or value destroying for these firms. </w:t>
      </w:r>
    </w:p>
    <w:p w:rsidR="007E4847" w:rsidRPr="007E4847" w:rsidRDefault="007E4847" w:rsidP="0061436C">
      <w:pPr>
        <w:spacing w:line="360" w:lineRule="auto"/>
        <w:rPr>
          <w:szCs w:val="24"/>
          <w:lang w:val="en-US"/>
        </w:rPr>
      </w:pPr>
      <w:r w:rsidRPr="007E4847">
        <w:rPr>
          <w:szCs w:val="24"/>
          <w:lang w:val="en-US"/>
        </w:rPr>
        <w:t>As discussed earlier, the sample could be increased in order to lower the dispersion in results, since the large dispersion in our sample led to large standard error</w:t>
      </w:r>
      <w:r w:rsidR="0061436C">
        <w:rPr>
          <w:szCs w:val="24"/>
          <w:lang w:val="en-US"/>
        </w:rPr>
        <w:t>s</w:t>
      </w:r>
      <w:r w:rsidRPr="007E4847">
        <w:rPr>
          <w:szCs w:val="24"/>
          <w:lang w:val="en-US"/>
        </w:rPr>
        <w:t xml:space="preserve"> and thereby insignificant results.  </w:t>
      </w:r>
    </w:p>
    <w:p w:rsidR="007E4847" w:rsidRPr="007E4847" w:rsidRDefault="00506024" w:rsidP="007E4847">
      <w:pPr>
        <w:spacing w:line="360" w:lineRule="auto"/>
        <w:rPr>
          <w:szCs w:val="24"/>
          <w:lang w:val="en-US"/>
        </w:rPr>
      </w:pPr>
      <w:r>
        <w:rPr>
          <w:szCs w:val="24"/>
          <w:lang w:val="en-US"/>
        </w:rPr>
        <w:t>A study to i</w:t>
      </w:r>
      <w:r w:rsidR="007E4847" w:rsidRPr="007E4847">
        <w:rPr>
          <w:szCs w:val="24"/>
          <w:lang w:val="en-US"/>
        </w:rPr>
        <w:t>nvestigate if the type of ownership affects the stock performance and operating performance differently. For example to examine if institutional owners are more focused on long term operating performance than families or if a certain type of owner has a high impact on the correlation between the measures.</w:t>
      </w:r>
    </w:p>
    <w:p w:rsidR="007E4847" w:rsidRPr="007E4847" w:rsidRDefault="007E4847" w:rsidP="007E4847">
      <w:pPr>
        <w:spacing w:line="360" w:lineRule="auto"/>
        <w:rPr>
          <w:szCs w:val="24"/>
          <w:lang w:val="en-US"/>
        </w:rPr>
      </w:pPr>
      <w:r w:rsidRPr="007E4847">
        <w:rPr>
          <w:szCs w:val="24"/>
          <w:lang w:val="en-US"/>
        </w:rPr>
        <w:t xml:space="preserve">Study operating and stock performance on the long term and add a legal perspective. This would be interesting, since there are differences across in M&amp;A regulation across countries and it would be interesting to </w:t>
      </w:r>
      <w:r w:rsidR="0061436C">
        <w:rPr>
          <w:szCs w:val="24"/>
          <w:lang w:val="en-US"/>
        </w:rPr>
        <w:t>highlight</w:t>
      </w:r>
      <w:r w:rsidRPr="007E4847">
        <w:rPr>
          <w:szCs w:val="24"/>
          <w:lang w:val="en-US"/>
        </w:rPr>
        <w:t xml:space="preserve"> how these </w:t>
      </w:r>
      <w:r w:rsidR="0062387A" w:rsidRPr="007E4847">
        <w:rPr>
          <w:szCs w:val="24"/>
          <w:lang w:val="en-US"/>
        </w:rPr>
        <w:t>differences</w:t>
      </w:r>
      <w:r w:rsidRPr="007E4847">
        <w:rPr>
          <w:szCs w:val="24"/>
          <w:lang w:val="en-US"/>
        </w:rPr>
        <w:t xml:space="preserve"> affect the financial and operating performance of companies, since the results in this study differs from most studies conducted in the U.S. </w:t>
      </w:r>
    </w:p>
    <w:p w:rsidR="007E4847" w:rsidRPr="007E4847" w:rsidRDefault="007E4847" w:rsidP="007E4847">
      <w:pPr>
        <w:spacing w:line="360" w:lineRule="auto"/>
        <w:rPr>
          <w:szCs w:val="24"/>
          <w:lang w:val="en-US"/>
        </w:rPr>
      </w:pPr>
      <w:r w:rsidRPr="007E4847">
        <w:rPr>
          <w:szCs w:val="24"/>
          <w:lang w:val="en-US"/>
        </w:rPr>
        <w:t>By using more than one methodology for each measure</w:t>
      </w:r>
      <w:r w:rsidR="0061436C">
        <w:rPr>
          <w:szCs w:val="24"/>
          <w:lang w:val="en-US"/>
        </w:rPr>
        <w:t xml:space="preserve"> that</w:t>
      </w:r>
      <w:r w:rsidRPr="007E4847">
        <w:rPr>
          <w:szCs w:val="24"/>
          <w:lang w:val="en-US"/>
        </w:rPr>
        <w:t xml:space="preserve"> could increase the robustness of the results. An example of this is to use both control firms and reference portfolios both when calculating the abnormal stock returns and the abnormal operating returns. </w:t>
      </w:r>
    </w:p>
    <w:p w:rsidR="007E4847" w:rsidRPr="007E4847" w:rsidRDefault="007E4847" w:rsidP="007E4847">
      <w:pPr>
        <w:spacing w:line="360" w:lineRule="auto"/>
        <w:rPr>
          <w:szCs w:val="24"/>
          <w:lang w:val="en-US"/>
        </w:rPr>
      </w:pPr>
      <w:r w:rsidRPr="007E4847">
        <w:rPr>
          <w:szCs w:val="24"/>
          <w:lang w:val="en-US"/>
        </w:rPr>
        <w:t xml:space="preserve">Healy et al (1992) find positive relationship between the short term announcement effects on stock performance and long term operating performance. By applying this to a northern European market setting and to use a larger sample than Healy et al’s (1992) sample of 50 observations would be of great interest for academics, since this sends implications about market efficiency.  </w:t>
      </w:r>
    </w:p>
    <w:p w:rsidR="007E4847" w:rsidRPr="007E4847" w:rsidRDefault="007E4847" w:rsidP="007E4847">
      <w:pPr>
        <w:spacing w:line="360" w:lineRule="auto"/>
        <w:rPr>
          <w:szCs w:val="24"/>
          <w:lang w:val="en-US"/>
        </w:rPr>
      </w:pPr>
      <w:r w:rsidRPr="007E4847">
        <w:rPr>
          <w:szCs w:val="24"/>
          <w:lang w:val="en-US"/>
        </w:rPr>
        <w:t xml:space="preserve">To use a large sample and identify a set of variables that can be used as proxies of hubris affecting the decision to undertake an acquisition is also an area where more research needs to be done. </w:t>
      </w:r>
      <w:r w:rsidR="00506024" w:rsidRPr="00053C90">
        <w:rPr>
          <w:szCs w:val="24"/>
          <w:lang w:val="en-US"/>
        </w:rPr>
        <w:t>Rau &amp; Vermaelen (1998)</w:t>
      </w:r>
      <w:r w:rsidR="00506024">
        <w:rPr>
          <w:szCs w:val="24"/>
          <w:lang w:val="en-US"/>
        </w:rPr>
        <w:t xml:space="preserve"> </w:t>
      </w:r>
      <w:r w:rsidRPr="007E4847">
        <w:rPr>
          <w:szCs w:val="24"/>
          <w:lang w:val="en-US"/>
        </w:rPr>
        <w:t xml:space="preserve">identify high market-to-book ratio of the acquirer as an indication. To include more variables, e.g. a variable that captures differences in compensation across companies and test against performance is </w:t>
      </w:r>
      <w:r w:rsidR="0062387A" w:rsidRPr="007E4847">
        <w:rPr>
          <w:szCs w:val="24"/>
          <w:lang w:val="en-US"/>
        </w:rPr>
        <w:t>a suggestion for a further study that creates</w:t>
      </w:r>
      <w:r w:rsidRPr="007E4847">
        <w:rPr>
          <w:szCs w:val="24"/>
          <w:lang w:val="en-US"/>
        </w:rPr>
        <w:t xml:space="preserve"> an understanding of the hubris hypothesis.  </w:t>
      </w: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5E0051" w:rsidRPr="00053C90" w:rsidRDefault="005E0051" w:rsidP="003E49AF">
      <w:pPr>
        <w:spacing w:line="360" w:lineRule="auto"/>
        <w:rPr>
          <w:lang w:val="en-US"/>
        </w:rPr>
      </w:pPr>
    </w:p>
    <w:p w:rsidR="00E60236" w:rsidRPr="0009090C" w:rsidRDefault="0009090C" w:rsidP="0009090C">
      <w:pPr>
        <w:pStyle w:val="Heading1"/>
        <w:spacing w:line="360" w:lineRule="auto"/>
        <w:rPr>
          <w:rFonts w:ascii="Times New Roman" w:hAnsi="Times New Roman"/>
          <w:lang w:val="en-US"/>
        </w:rPr>
      </w:pPr>
      <w:bookmarkStart w:id="57" w:name="_Toc428399256"/>
      <w:r>
        <w:rPr>
          <w:rFonts w:ascii="Times New Roman" w:hAnsi="Times New Roman"/>
          <w:lang w:val="en-US"/>
        </w:rPr>
        <w:t>References</w:t>
      </w:r>
      <w:bookmarkEnd w:id="57"/>
      <w:r>
        <w:rPr>
          <w:rFonts w:ascii="Times New Roman" w:hAnsi="Times New Roman"/>
          <w:lang w:val="en-US"/>
        </w:rPr>
        <w:t xml:space="preserve"> </w:t>
      </w:r>
    </w:p>
    <w:p w:rsidR="00616606" w:rsidRPr="00053C90" w:rsidRDefault="00616606" w:rsidP="007C19A7">
      <w:pPr>
        <w:spacing w:after="0" w:line="240" w:lineRule="auto"/>
        <w:rPr>
          <w:szCs w:val="24"/>
          <w:lang w:val="en-US"/>
        </w:rPr>
      </w:pPr>
    </w:p>
    <w:p w:rsidR="00616606" w:rsidRPr="00053C90" w:rsidRDefault="00616606" w:rsidP="00616606">
      <w:pPr>
        <w:pStyle w:val="FootnoteText"/>
        <w:rPr>
          <w:i/>
          <w:sz w:val="24"/>
          <w:szCs w:val="24"/>
          <w:lang w:val="en-US"/>
        </w:rPr>
      </w:pPr>
      <w:r w:rsidRPr="0009090C">
        <w:rPr>
          <w:sz w:val="24"/>
          <w:szCs w:val="24"/>
          <w:lang w:val="en-US"/>
        </w:rPr>
        <w:t xml:space="preserve">Agrawal, A., Jaffe, J.F., &amp; Mandelker, G.N. 1992. </w:t>
      </w:r>
      <w:r w:rsidRPr="00053C90">
        <w:rPr>
          <w:i/>
          <w:sz w:val="24"/>
          <w:szCs w:val="24"/>
          <w:lang w:val="en-US"/>
        </w:rPr>
        <w:t>The post-merger performance of</w:t>
      </w:r>
    </w:p>
    <w:p w:rsidR="00616606" w:rsidRPr="00053C90" w:rsidRDefault="00616606" w:rsidP="00616606">
      <w:pPr>
        <w:pStyle w:val="FootnoteText"/>
        <w:rPr>
          <w:sz w:val="24"/>
          <w:szCs w:val="24"/>
          <w:lang w:val="en-US"/>
        </w:rPr>
      </w:pPr>
      <w:r w:rsidRPr="00053C90">
        <w:rPr>
          <w:i/>
          <w:sz w:val="24"/>
          <w:szCs w:val="24"/>
          <w:lang w:val="en-US"/>
        </w:rPr>
        <w:t>acquiring firms: A re-examination of an anomaly</w:t>
      </w:r>
      <w:r w:rsidRPr="00053C90">
        <w:rPr>
          <w:sz w:val="24"/>
          <w:szCs w:val="24"/>
          <w:lang w:val="en-US"/>
        </w:rPr>
        <w:t>. The Journal of Finance, Vol. 47, 1605–1621</w:t>
      </w:r>
    </w:p>
    <w:p w:rsidR="00616606" w:rsidRPr="00053C90" w:rsidRDefault="00616606" w:rsidP="007C19A7">
      <w:pPr>
        <w:spacing w:after="0" w:line="240" w:lineRule="auto"/>
        <w:rPr>
          <w:szCs w:val="24"/>
          <w:lang w:val="en-US"/>
        </w:rPr>
      </w:pPr>
    </w:p>
    <w:p w:rsidR="00181CF6" w:rsidRPr="00053C90" w:rsidRDefault="00181CF6" w:rsidP="007C19A7">
      <w:pPr>
        <w:spacing w:after="0" w:line="240" w:lineRule="auto"/>
        <w:rPr>
          <w:szCs w:val="24"/>
          <w:lang w:val="en-US"/>
        </w:rPr>
      </w:pPr>
      <w:r w:rsidRPr="00286008">
        <w:rPr>
          <w:szCs w:val="24"/>
          <w:lang w:val="en-US"/>
        </w:rPr>
        <w:t>Akben-Selcuk, E.,</w:t>
      </w:r>
      <w:r w:rsidR="00A50D3F" w:rsidRPr="00286008">
        <w:rPr>
          <w:szCs w:val="24"/>
          <w:lang w:val="en-US"/>
        </w:rPr>
        <w:t xml:space="preserve"> &amp;</w:t>
      </w:r>
      <w:r w:rsidRPr="00286008">
        <w:rPr>
          <w:szCs w:val="24"/>
          <w:lang w:val="en-US"/>
        </w:rPr>
        <w:t xml:space="preserve"> Altiok-Yilmaz, A. 2011. </w:t>
      </w:r>
      <w:r w:rsidRPr="00053C90">
        <w:rPr>
          <w:i/>
          <w:szCs w:val="24"/>
          <w:lang w:val="en-US"/>
        </w:rPr>
        <w:t>The Impact of Mergers and Acquisitions on Acquirer Performance: Evidence from Turkey</w:t>
      </w:r>
      <w:r w:rsidRPr="00053C90">
        <w:rPr>
          <w:szCs w:val="24"/>
          <w:lang w:val="en-US"/>
        </w:rPr>
        <w:t>. Business and Economics Journal, Vol</w:t>
      </w:r>
      <w:r w:rsidR="001E7BB5" w:rsidRPr="00053C90">
        <w:rPr>
          <w:szCs w:val="24"/>
          <w:lang w:val="en-US"/>
        </w:rPr>
        <w:t xml:space="preserve">. </w:t>
      </w:r>
      <w:r w:rsidRPr="00053C90">
        <w:rPr>
          <w:szCs w:val="24"/>
          <w:lang w:val="en-US"/>
        </w:rPr>
        <w:t>22</w:t>
      </w:r>
      <w:r w:rsidR="0061436C">
        <w:rPr>
          <w:szCs w:val="24"/>
          <w:lang w:val="en-US"/>
        </w:rPr>
        <w:t>, 1-8.</w:t>
      </w:r>
    </w:p>
    <w:p w:rsidR="00181CF6" w:rsidRPr="00053C90" w:rsidRDefault="00181CF6" w:rsidP="007C19A7">
      <w:pPr>
        <w:spacing w:after="0" w:line="240" w:lineRule="auto"/>
        <w:rPr>
          <w:szCs w:val="24"/>
          <w:lang w:val="en-US"/>
        </w:rPr>
      </w:pPr>
    </w:p>
    <w:p w:rsidR="00C6574F" w:rsidRPr="00053C90" w:rsidRDefault="00926F14" w:rsidP="007C19A7">
      <w:pPr>
        <w:spacing w:after="0"/>
        <w:rPr>
          <w:szCs w:val="24"/>
          <w:lang w:val="en-US"/>
        </w:rPr>
      </w:pPr>
      <w:r w:rsidRPr="00053C90">
        <w:rPr>
          <w:szCs w:val="24"/>
          <w:lang w:val="en-US"/>
        </w:rPr>
        <w:t>Akerlof, G.</w:t>
      </w:r>
      <w:r w:rsidR="00C6574F" w:rsidRPr="00053C90">
        <w:rPr>
          <w:szCs w:val="24"/>
          <w:lang w:val="en-US"/>
        </w:rPr>
        <w:t xml:space="preserve"> 1970. </w:t>
      </w:r>
      <w:r w:rsidR="00C6574F" w:rsidRPr="00053C90">
        <w:rPr>
          <w:i/>
          <w:szCs w:val="24"/>
          <w:lang w:val="en-US"/>
        </w:rPr>
        <w:t>The market for ‘lemons’: quality uncertainty and the market mechanism</w:t>
      </w:r>
      <w:r w:rsidR="00C6574F" w:rsidRPr="00053C90">
        <w:rPr>
          <w:szCs w:val="24"/>
          <w:lang w:val="en-US"/>
        </w:rPr>
        <w:t>. Quarterly Journal of Economics</w:t>
      </w:r>
      <w:r w:rsidR="001E7BB5" w:rsidRPr="00053C90">
        <w:rPr>
          <w:szCs w:val="24"/>
          <w:lang w:val="en-US"/>
        </w:rPr>
        <w:t>, Vol.</w:t>
      </w:r>
      <w:r w:rsidR="00C6574F" w:rsidRPr="00053C90">
        <w:rPr>
          <w:szCs w:val="24"/>
          <w:lang w:val="en-US"/>
        </w:rPr>
        <w:t xml:space="preserve"> 90, 629–650.</w:t>
      </w:r>
    </w:p>
    <w:p w:rsidR="00B610F9" w:rsidRPr="00053C90" w:rsidRDefault="00B610F9" w:rsidP="007C19A7">
      <w:pPr>
        <w:spacing w:after="0"/>
        <w:rPr>
          <w:szCs w:val="24"/>
          <w:lang w:val="en-US"/>
        </w:rPr>
      </w:pPr>
    </w:p>
    <w:p w:rsidR="00B610F9" w:rsidRPr="00053C90" w:rsidRDefault="00B610F9" w:rsidP="00B610F9">
      <w:pPr>
        <w:spacing w:after="0"/>
        <w:rPr>
          <w:szCs w:val="24"/>
          <w:lang w:val="en-US"/>
        </w:rPr>
      </w:pPr>
      <w:r w:rsidRPr="00053C90">
        <w:rPr>
          <w:szCs w:val="24"/>
          <w:lang w:val="en-US"/>
        </w:rPr>
        <w:t xml:space="preserve">Arnold, G. 2008. </w:t>
      </w:r>
      <w:r w:rsidRPr="00053C90">
        <w:rPr>
          <w:i/>
          <w:szCs w:val="24"/>
          <w:lang w:val="en-US"/>
        </w:rPr>
        <w:t>Corporate Financial Management</w:t>
      </w:r>
      <w:r w:rsidRPr="00053C90">
        <w:rPr>
          <w:szCs w:val="24"/>
          <w:lang w:val="en-US"/>
        </w:rPr>
        <w:t>. 5</w:t>
      </w:r>
      <w:r w:rsidRPr="00053C90">
        <w:rPr>
          <w:szCs w:val="24"/>
          <w:vertAlign w:val="superscript"/>
          <w:lang w:val="en-US"/>
        </w:rPr>
        <w:t>th</w:t>
      </w:r>
      <w:r w:rsidRPr="00053C90">
        <w:rPr>
          <w:szCs w:val="24"/>
          <w:lang w:val="en-US"/>
        </w:rPr>
        <w:t xml:space="preserve">  edition. Harlow</w:t>
      </w:r>
      <w:r w:rsidR="00C406A0" w:rsidRPr="00053C90">
        <w:rPr>
          <w:szCs w:val="24"/>
          <w:lang w:val="en-US"/>
        </w:rPr>
        <w:t>,</w:t>
      </w:r>
      <w:r w:rsidRPr="00053C90">
        <w:rPr>
          <w:szCs w:val="24"/>
          <w:lang w:val="en-US"/>
        </w:rPr>
        <w:t xml:space="preserve"> Pearson Education Ltd.</w:t>
      </w:r>
    </w:p>
    <w:p w:rsidR="00616606" w:rsidRPr="00053C90" w:rsidRDefault="00616606" w:rsidP="007C19A7">
      <w:pPr>
        <w:pStyle w:val="FootnoteText"/>
        <w:rPr>
          <w:sz w:val="24"/>
          <w:szCs w:val="24"/>
          <w:lang w:val="en-US"/>
        </w:rPr>
      </w:pPr>
    </w:p>
    <w:p w:rsidR="00616606" w:rsidRPr="00053C90" w:rsidRDefault="00616606" w:rsidP="007C19A7">
      <w:pPr>
        <w:pStyle w:val="FootnoteText"/>
        <w:rPr>
          <w:sz w:val="24"/>
          <w:szCs w:val="24"/>
          <w:lang w:val="en-US"/>
        </w:rPr>
      </w:pPr>
      <w:r w:rsidRPr="00053C90">
        <w:rPr>
          <w:sz w:val="24"/>
          <w:szCs w:val="24"/>
          <w:lang w:val="en-US"/>
        </w:rPr>
        <w:t xml:space="preserve">Andrade, G., Mitchell, M., &amp; Stafford, E. 2001. </w:t>
      </w:r>
      <w:r w:rsidRPr="00053C90">
        <w:rPr>
          <w:i/>
          <w:sz w:val="24"/>
          <w:szCs w:val="24"/>
          <w:lang w:val="en-US"/>
        </w:rPr>
        <w:t>New evidence and perspectives on mergers</w:t>
      </w:r>
      <w:r w:rsidRPr="00053C90">
        <w:rPr>
          <w:sz w:val="24"/>
          <w:szCs w:val="24"/>
          <w:lang w:val="en-US"/>
        </w:rPr>
        <w:t>. Journal of Economic Perspectives, Vol. 15, 103-120.</w:t>
      </w:r>
    </w:p>
    <w:p w:rsidR="00330A73" w:rsidRPr="00053C90" w:rsidRDefault="00330A73" w:rsidP="007C19A7">
      <w:pPr>
        <w:pStyle w:val="FootnoteText"/>
        <w:rPr>
          <w:sz w:val="24"/>
          <w:szCs w:val="24"/>
          <w:lang w:val="en-US"/>
        </w:rPr>
      </w:pPr>
    </w:p>
    <w:p w:rsidR="00330A73" w:rsidRPr="00053C90" w:rsidRDefault="00A50D3F" w:rsidP="007C19A7">
      <w:pPr>
        <w:pStyle w:val="FootnoteText"/>
        <w:rPr>
          <w:i/>
          <w:sz w:val="24"/>
          <w:szCs w:val="24"/>
          <w:lang w:val="en-US"/>
        </w:rPr>
      </w:pPr>
      <w:r w:rsidRPr="00053C90">
        <w:rPr>
          <w:sz w:val="24"/>
          <w:szCs w:val="24"/>
          <w:lang w:val="en-US"/>
        </w:rPr>
        <w:t>Asquith, P.</w:t>
      </w:r>
      <w:r w:rsidR="001E7BB5" w:rsidRPr="00053C90">
        <w:rPr>
          <w:sz w:val="24"/>
          <w:szCs w:val="24"/>
          <w:lang w:val="en-US"/>
        </w:rPr>
        <w:t>,</w:t>
      </w:r>
      <w:r w:rsidRPr="00053C90">
        <w:rPr>
          <w:sz w:val="24"/>
          <w:szCs w:val="24"/>
          <w:lang w:val="en-US"/>
        </w:rPr>
        <w:t xml:space="preserve"> &amp;</w:t>
      </w:r>
      <w:r w:rsidR="00926F14" w:rsidRPr="00053C90">
        <w:rPr>
          <w:sz w:val="24"/>
          <w:szCs w:val="24"/>
          <w:lang w:val="en-US"/>
        </w:rPr>
        <w:t xml:space="preserve"> </w:t>
      </w:r>
      <w:r w:rsidR="0037771D" w:rsidRPr="00053C90">
        <w:rPr>
          <w:sz w:val="24"/>
          <w:szCs w:val="24"/>
          <w:lang w:val="en-US"/>
        </w:rPr>
        <w:t xml:space="preserve">Kim, E.H. </w:t>
      </w:r>
      <w:r w:rsidR="00926F14" w:rsidRPr="00053C90">
        <w:rPr>
          <w:sz w:val="24"/>
          <w:szCs w:val="24"/>
          <w:lang w:val="en-US"/>
        </w:rPr>
        <w:t>1981.</w:t>
      </w:r>
      <w:r w:rsidR="00330A73" w:rsidRPr="00053C90">
        <w:rPr>
          <w:sz w:val="24"/>
          <w:szCs w:val="24"/>
          <w:lang w:val="en-US"/>
        </w:rPr>
        <w:t xml:space="preserve"> </w:t>
      </w:r>
      <w:r w:rsidR="00330A73" w:rsidRPr="00053C90">
        <w:rPr>
          <w:i/>
          <w:sz w:val="24"/>
          <w:szCs w:val="24"/>
          <w:lang w:val="en-US"/>
        </w:rPr>
        <w:t>The impact of me</w:t>
      </w:r>
      <w:r w:rsidR="00926F14" w:rsidRPr="00053C90">
        <w:rPr>
          <w:i/>
          <w:sz w:val="24"/>
          <w:szCs w:val="24"/>
          <w:lang w:val="en-US"/>
        </w:rPr>
        <w:t>rger bids on the participating f</w:t>
      </w:r>
      <w:r w:rsidR="00330A73" w:rsidRPr="00053C90">
        <w:rPr>
          <w:i/>
          <w:sz w:val="24"/>
          <w:szCs w:val="24"/>
          <w:lang w:val="en-US"/>
        </w:rPr>
        <w:t>irms’</w:t>
      </w:r>
    </w:p>
    <w:p w:rsidR="00330A73" w:rsidRPr="00053C90" w:rsidRDefault="00926F14" w:rsidP="007C19A7">
      <w:pPr>
        <w:pStyle w:val="FootnoteText"/>
        <w:rPr>
          <w:sz w:val="24"/>
          <w:szCs w:val="24"/>
          <w:lang w:val="en-US"/>
        </w:rPr>
      </w:pPr>
      <w:r w:rsidRPr="00053C90">
        <w:rPr>
          <w:i/>
          <w:sz w:val="24"/>
          <w:szCs w:val="24"/>
          <w:lang w:val="en-US"/>
        </w:rPr>
        <w:t>S</w:t>
      </w:r>
      <w:r w:rsidR="00330A73" w:rsidRPr="00053C90">
        <w:rPr>
          <w:i/>
          <w:sz w:val="24"/>
          <w:szCs w:val="24"/>
          <w:lang w:val="en-US"/>
        </w:rPr>
        <w:t>ecurity</w:t>
      </w:r>
      <w:r w:rsidR="001E7BB5" w:rsidRPr="00053C90">
        <w:rPr>
          <w:i/>
          <w:sz w:val="24"/>
          <w:szCs w:val="24"/>
          <w:lang w:val="en-US"/>
        </w:rPr>
        <w:t xml:space="preserve"> </w:t>
      </w:r>
      <w:r w:rsidR="00330A73" w:rsidRPr="00053C90">
        <w:rPr>
          <w:i/>
          <w:sz w:val="24"/>
          <w:szCs w:val="24"/>
          <w:lang w:val="en-US"/>
        </w:rPr>
        <w:t>holders</w:t>
      </w:r>
      <w:r w:rsidRPr="00053C90">
        <w:rPr>
          <w:sz w:val="24"/>
          <w:szCs w:val="24"/>
          <w:lang w:val="en-US"/>
        </w:rPr>
        <w:t>.</w:t>
      </w:r>
      <w:r w:rsidR="00330A73" w:rsidRPr="00053C90">
        <w:rPr>
          <w:sz w:val="24"/>
          <w:szCs w:val="24"/>
          <w:lang w:val="en-US"/>
        </w:rPr>
        <w:t xml:space="preserve"> Journal of Finance</w:t>
      </w:r>
      <w:r w:rsidR="001E7BB5" w:rsidRPr="00053C90">
        <w:rPr>
          <w:sz w:val="24"/>
          <w:szCs w:val="24"/>
          <w:lang w:val="en-US"/>
        </w:rPr>
        <w:t>, Vol.</w:t>
      </w:r>
      <w:r w:rsidR="00330A73" w:rsidRPr="00053C90">
        <w:rPr>
          <w:sz w:val="24"/>
          <w:szCs w:val="24"/>
          <w:lang w:val="en-US"/>
        </w:rPr>
        <w:t xml:space="preserve"> 37, no. 5.</w:t>
      </w:r>
    </w:p>
    <w:p w:rsidR="00B2143B" w:rsidRPr="00053C90" w:rsidRDefault="00B2143B" w:rsidP="007C19A7">
      <w:pPr>
        <w:pStyle w:val="FootnoteText"/>
        <w:rPr>
          <w:sz w:val="24"/>
          <w:szCs w:val="24"/>
          <w:lang w:val="en-US"/>
        </w:rPr>
      </w:pPr>
    </w:p>
    <w:p w:rsidR="00A50D3F" w:rsidRPr="00053C90" w:rsidRDefault="00A50D3F" w:rsidP="007C19A7">
      <w:pPr>
        <w:pStyle w:val="FootnoteText"/>
        <w:rPr>
          <w:sz w:val="24"/>
          <w:szCs w:val="24"/>
          <w:lang w:val="en-US"/>
        </w:rPr>
      </w:pPr>
      <w:r w:rsidRPr="00286008">
        <w:rPr>
          <w:sz w:val="24"/>
          <w:szCs w:val="24"/>
        </w:rPr>
        <w:t xml:space="preserve">Barber, B.M., &amp; Lyon, J.D. 1996. </w:t>
      </w:r>
      <w:r w:rsidRPr="00053C90">
        <w:rPr>
          <w:i/>
          <w:sz w:val="24"/>
          <w:szCs w:val="24"/>
          <w:lang w:val="en-US"/>
        </w:rPr>
        <w:t>Detecting abnormal operating performance</w:t>
      </w:r>
      <w:r w:rsidRPr="00053C90">
        <w:rPr>
          <w:sz w:val="24"/>
          <w:szCs w:val="24"/>
          <w:lang w:val="en-US"/>
        </w:rPr>
        <w:t>. Journal of Financial Economics</w:t>
      </w:r>
      <w:r w:rsidR="001E7BB5" w:rsidRPr="00053C90">
        <w:rPr>
          <w:sz w:val="24"/>
          <w:szCs w:val="24"/>
          <w:lang w:val="en-US"/>
        </w:rPr>
        <w:t>, Vol.</w:t>
      </w:r>
      <w:r w:rsidRPr="00053C90">
        <w:rPr>
          <w:sz w:val="24"/>
          <w:szCs w:val="24"/>
          <w:lang w:val="en-US"/>
        </w:rPr>
        <w:t xml:space="preserve"> 43, 359-399.</w:t>
      </w:r>
    </w:p>
    <w:p w:rsidR="00A50D3F" w:rsidRPr="00053C90" w:rsidRDefault="00A50D3F" w:rsidP="007C19A7">
      <w:pPr>
        <w:pStyle w:val="FootnoteText"/>
        <w:rPr>
          <w:sz w:val="24"/>
          <w:szCs w:val="24"/>
          <w:lang w:val="en-US"/>
        </w:rPr>
      </w:pPr>
    </w:p>
    <w:p w:rsidR="00166D2C" w:rsidRPr="00053C90" w:rsidRDefault="00166D2C" w:rsidP="007C19A7">
      <w:pPr>
        <w:pStyle w:val="FootnoteText"/>
        <w:rPr>
          <w:sz w:val="24"/>
          <w:szCs w:val="24"/>
          <w:lang w:val="en-US"/>
        </w:rPr>
      </w:pPr>
      <w:r w:rsidRPr="00286008">
        <w:rPr>
          <w:sz w:val="24"/>
          <w:szCs w:val="24"/>
        </w:rPr>
        <w:t>Barb</w:t>
      </w:r>
      <w:r w:rsidR="00A50D3F" w:rsidRPr="00286008">
        <w:rPr>
          <w:sz w:val="24"/>
          <w:szCs w:val="24"/>
        </w:rPr>
        <w:t>er, B.M., &amp;</w:t>
      </w:r>
      <w:r w:rsidR="00926F14" w:rsidRPr="00286008">
        <w:rPr>
          <w:sz w:val="24"/>
          <w:szCs w:val="24"/>
        </w:rPr>
        <w:t xml:space="preserve"> </w:t>
      </w:r>
      <w:r w:rsidR="0037771D" w:rsidRPr="00286008">
        <w:rPr>
          <w:sz w:val="24"/>
          <w:szCs w:val="24"/>
        </w:rPr>
        <w:t>Lyon, J.D.</w:t>
      </w:r>
      <w:r w:rsidR="00926F14" w:rsidRPr="00286008">
        <w:rPr>
          <w:sz w:val="24"/>
          <w:szCs w:val="24"/>
        </w:rPr>
        <w:t xml:space="preserve"> 1997. </w:t>
      </w:r>
      <w:r w:rsidRPr="00053C90">
        <w:rPr>
          <w:i/>
          <w:sz w:val="24"/>
          <w:szCs w:val="24"/>
          <w:lang w:val="en-US"/>
        </w:rPr>
        <w:t>Detecting Long-Run Abnormal Stock Returns: The Empirical Power and Specification of Test Statistics</w:t>
      </w:r>
      <w:r w:rsidR="00926F14" w:rsidRPr="00053C90">
        <w:rPr>
          <w:sz w:val="24"/>
          <w:szCs w:val="24"/>
          <w:lang w:val="en-US"/>
        </w:rPr>
        <w:t>.</w:t>
      </w:r>
      <w:r w:rsidRPr="00053C90">
        <w:rPr>
          <w:sz w:val="24"/>
          <w:szCs w:val="24"/>
          <w:lang w:val="en-US"/>
        </w:rPr>
        <w:t xml:space="preserve"> Journal of Financial Economics</w:t>
      </w:r>
      <w:r w:rsidR="001E7BB5" w:rsidRPr="00053C90">
        <w:rPr>
          <w:sz w:val="24"/>
          <w:szCs w:val="24"/>
          <w:lang w:val="en-US"/>
        </w:rPr>
        <w:t>, Vol.</w:t>
      </w:r>
      <w:r w:rsidRPr="00053C90">
        <w:rPr>
          <w:sz w:val="24"/>
          <w:szCs w:val="24"/>
          <w:lang w:val="en-US"/>
        </w:rPr>
        <w:t xml:space="preserve"> 43, 341-372.</w:t>
      </w:r>
    </w:p>
    <w:p w:rsidR="0037771D" w:rsidRPr="00053C90" w:rsidRDefault="0037771D" w:rsidP="0037771D">
      <w:pPr>
        <w:spacing w:after="0"/>
        <w:rPr>
          <w:szCs w:val="24"/>
          <w:lang w:val="en-US"/>
        </w:rPr>
      </w:pPr>
    </w:p>
    <w:p w:rsidR="0037771D" w:rsidRPr="00053C90" w:rsidRDefault="0037771D" w:rsidP="004417BA">
      <w:pPr>
        <w:spacing w:after="0" w:line="360" w:lineRule="auto"/>
        <w:rPr>
          <w:szCs w:val="24"/>
          <w:lang w:val="en-US"/>
        </w:rPr>
      </w:pPr>
      <w:r w:rsidRPr="00053C90">
        <w:rPr>
          <w:szCs w:val="24"/>
          <w:shd w:val="clear" w:color="auto" w:fill="FFFFFF"/>
          <w:lang w:val="en-US"/>
        </w:rPr>
        <w:t>Berk</w:t>
      </w:r>
      <w:r w:rsidR="004417BA" w:rsidRPr="00053C90">
        <w:rPr>
          <w:szCs w:val="24"/>
          <w:shd w:val="clear" w:color="auto" w:fill="FFFFFF"/>
          <w:lang w:val="en-US"/>
        </w:rPr>
        <w:t>, J.,</w:t>
      </w:r>
      <w:r w:rsidRPr="00053C90">
        <w:rPr>
          <w:szCs w:val="24"/>
          <w:shd w:val="clear" w:color="auto" w:fill="FFFFFF"/>
          <w:lang w:val="en-US"/>
        </w:rPr>
        <w:t xml:space="preserve"> </w:t>
      </w:r>
      <w:r w:rsidR="004417BA" w:rsidRPr="00053C90">
        <w:rPr>
          <w:szCs w:val="24"/>
          <w:shd w:val="clear" w:color="auto" w:fill="FFFFFF"/>
          <w:lang w:val="en-US"/>
        </w:rPr>
        <w:t>&amp; DeMarzo, P.</w:t>
      </w:r>
      <w:r w:rsidRPr="00053C90">
        <w:rPr>
          <w:szCs w:val="24"/>
          <w:shd w:val="clear" w:color="auto" w:fill="FFFFFF"/>
          <w:lang w:val="en-US"/>
        </w:rPr>
        <w:t xml:space="preserve"> 2011. </w:t>
      </w:r>
      <w:r w:rsidRPr="00053C90">
        <w:rPr>
          <w:i/>
          <w:szCs w:val="24"/>
          <w:shd w:val="clear" w:color="auto" w:fill="FFFFFF"/>
          <w:lang w:val="en-US"/>
        </w:rPr>
        <w:t>Corporate Finance</w:t>
      </w:r>
      <w:r w:rsidRPr="00053C90">
        <w:rPr>
          <w:szCs w:val="24"/>
          <w:shd w:val="clear" w:color="auto" w:fill="FFFFFF"/>
          <w:lang w:val="en-US"/>
        </w:rPr>
        <w:t>. 3</w:t>
      </w:r>
      <w:r w:rsidRPr="00053C90">
        <w:rPr>
          <w:szCs w:val="24"/>
          <w:shd w:val="clear" w:color="auto" w:fill="FFFFFF"/>
          <w:vertAlign w:val="superscript"/>
          <w:lang w:val="en-US"/>
        </w:rPr>
        <w:t>rd</w:t>
      </w:r>
      <w:r w:rsidRPr="00053C90">
        <w:rPr>
          <w:szCs w:val="24"/>
          <w:shd w:val="clear" w:color="auto" w:fill="FFFFFF"/>
          <w:lang w:val="en-US"/>
        </w:rPr>
        <w:t xml:space="preserve"> edition. Prentice Hall. </w:t>
      </w:r>
    </w:p>
    <w:p w:rsidR="00166D2C" w:rsidRPr="00053C90" w:rsidRDefault="00166D2C" w:rsidP="007C19A7">
      <w:pPr>
        <w:pStyle w:val="FootnoteText"/>
        <w:rPr>
          <w:sz w:val="24"/>
          <w:szCs w:val="24"/>
          <w:lang w:val="en-US"/>
        </w:rPr>
      </w:pPr>
    </w:p>
    <w:p w:rsidR="00B2143B" w:rsidRPr="00053C90" w:rsidRDefault="00B2143B" w:rsidP="007C19A7">
      <w:pPr>
        <w:pStyle w:val="FootnoteText"/>
        <w:rPr>
          <w:sz w:val="24"/>
          <w:szCs w:val="24"/>
          <w:lang w:val="en-US"/>
        </w:rPr>
      </w:pPr>
      <w:r w:rsidRPr="00053C90">
        <w:rPr>
          <w:sz w:val="24"/>
          <w:szCs w:val="24"/>
          <w:lang w:val="en-US"/>
        </w:rPr>
        <w:t>Bha</w:t>
      </w:r>
      <w:r w:rsidR="001E7BB5" w:rsidRPr="00053C90">
        <w:rPr>
          <w:sz w:val="24"/>
          <w:szCs w:val="24"/>
          <w:lang w:val="en-US"/>
        </w:rPr>
        <w:t>gat, S., Malhotra, S., &amp;</w:t>
      </w:r>
      <w:r w:rsidR="004417BA" w:rsidRPr="00053C90">
        <w:rPr>
          <w:sz w:val="24"/>
          <w:szCs w:val="24"/>
          <w:lang w:val="en-US"/>
        </w:rPr>
        <w:t xml:space="preserve"> Zhu, P</w:t>
      </w:r>
      <w:r w:rsidR="00926F14" w:rsidRPr="00053C90">
        <w:rPr>
          <w:sz w:val="24"/>
          <w:szCs w:val="24"/>
          <w:lang w:val="en-US"/>
        </w:rPr>
        <w:t>. 2011</w:t>
      </w:r>
      <w:r w:rsidRPr="00053C90">
        <w:rPr>
          <w:sz w:val="24"/>
          <w:szCs w:val="24"/>
          <w:lang w:val="en-US"/>
        </w:rPr>
        <w:t xml:space="preserve">. </w:t>
      </w:r>
      <w:r w:rsidRPr="00053C90">
        <w:rPr>
          <w:i/>
          <w:sz w:val="24"/>
          <w:szCs w:val="24"/>
          <w:lang w:val="en-US"/>
        </w:rPr>
        <w:t>Emerging country cross-border acquisitions Characteristics, acquirer returns and cross-sectional determinants</w:t>
      </w:r>
      <w:r w:rsidR="00926F14" w:rsidRPr="00053C90">
        <w:rPr>
          <w:sz w:val="24"/>
          <w:szCs w:val="24"/>
          <w:lang w:val="en-US"/>
        </w:rPr>
        <w:t>.</w:t>
      </w:r>
      <w:r w:rsidRPr="00053C90">
        <w:rPr>
          <w:sz w:val="24"/>
          <w:szCs w:val="24"/>
          <w:lang w:val="en-US"/>
        </w:rPr>
        <w:t xml:space="preserve"> Emerging Markets </w:t>
      </w:r>
      <w:r w:rsidR="001E7BB5" w:rsidRPr="00053C90">
        <w:rPr>
          <w:sz w:val="24"/>
          <w:szCs w:val="24"/>
          <w:lang w:val="en-US"/>
        </w:rPr>
        <w:t>Review, Vol. 12,</w:t>
      </w:r>
      <w:r w:rsidRPr="00053C90">
        <w:rPr>
          <w:sz w:val="24"/>
          <w:szCs w:val="24"/>
          <w:lang w:val="en-US"/>
        </w:rPr>
        <w:t xml:space="preserve"> 250-271.</w:t>
      </w:r>
    </w:p>
    <w:p w:rsidR="00B2143B" w:rsidRPr="00053C90" w:rsidRDefault="00B2143B" w:rsidP="007C19A7">
      <w:pPr>
        <w:pStyle w:val="FootnoteText"/>
        <w:rPr>
          <w:sz w:val="24"/>
          <w:szCs w:val="24"/>
          <w:lang w:val="en-US"/>
        </w:rPr>
      </w:pPr>
    </w:p>
    <w:p w:rsidR="00DF242B" w:rsidRPr="00053C90" w:rsidRDefault="00C84558" w:rsidP="007C19A7">
      <w:pPr>
        <w:autoSpaceDE w:val="0"/>
        <w:autoSpaceDN w:val="0"/>
        <w:adjustRightInd w:val="0"/>
        <w:spacing w:after="0" w:line="240" w:lineRule="auto"/>
        <w:rPr>
          <w:szCs w:val="24"/>
          <w:lang w:val="en-US"/>
        </w:rPr>
      </w:pPr>
      <w:r w:rsidRPr="00053C90">
        <w:rPr>
          <w:szCs w:val="24"/>
          <w:lang w:val="en-US"/>
        </w:rPr>
        <w:t>Black, E.L</w:t>
      </w:r>
      <w:r w:rsidR="00DF242B" w:rsidRPr="00053C90">
        <w:rPr>
          <w:szCs w:val="24"/>
          <w:lang w:val="en-US"/>
        </w:rPr>
        <w:t>.</w:t>
      </w:r>
      <w:r w:rsidRPr="00053C90">
        <w:rPr>
          <w:szCs w:val="24"/>
          <w:lang w:val="en-US"/>
        </w:rPr>
        <w:t>,</w:t>
      </w:r>
      <w:r w:rsidR="00DF242B" w:rsidRPr="00053C90">
        <w:rPr>
          <w:szCs w:val="24"/>
          <w:lang w:val="en-US"/>
        </w:rPr>
        <w:t xml:space="preserve"> </w:t>
      </w:r>
      <w:r w:rsidRPr="00053C90">
        <w:rPr>
          <w:szCs w:val="24"/>
          <w:lang w:val="en-US"/>
        </w:rPr>
        <w:t>Carnes, T.</w:t>
      </w:r>
      <w:r w:rsidR="00A50D3F" w:rsidRPr="00053C90">
        <w:rPr>
          <w:szCs w:val="24"/>
          <w:lang w:val="en-US"/>
        </w:rPr>
        <w:t>A.</w:t>
      </w:r>
      <w:r w:rsidR="001E7BB5" w:rsidRPr="00053C90">
        <w:rPr>
          <w:szCs w:val="24"/>
          <w:lang w:val="en-US"/>
        </w:rPr>
        <w:t>,</w:t>
      </w:r>
      <w:r w:rsidR="00A50D3F" w:rsidRPr="00053C90">
        <w:rPr>
          <w:szCs w:val="24"/>
          <w:lang w:val="en-US"/>
        </w:rPr>
        <w:t xml:space="preserve"> &amp;</w:t>
      </w:r>
      <w:r w:rsidRPr="00053C90">
        <w:rPr>
          <w:szCs w:val="24"/>
          <w:lang w:val="en-US"/>
        </w:rPr>
        <w:t xml:space="preserve"> Jandik, T.</w:t>
      </w:r>
      <w:r w:rsidR="00756B1A" w:rsidRPr="00053C90">
        <w:rPr>
          <w:szCs w:val="24"/>
          <w:lang w:val="en-US"/>
        </w:rPr>
        <w:t xml:space="preserve"> 2001.</w:t>
      </w:r>
      <w:r w:rsidR="00DF242B" w:rsidRPr="00053C90">
        <w:rPr>
          <w:szCs w:val="24"/>
          <w:lang w:val="en-US"/>
        </w:rPr>
        <w:t xml:space="preserve"> </w:t>
      </w:r>
      <w:r w:rsidR="00DF242B" w:rsidRPr="00053C90">
        <w:rPr>
          <w:i/>
          <w:szCs w:val="24"/>
          <w:lang w:val="en-US"/>
        </w:rPr>
        <w:t>The Long-Run Success of Cross-Border Mergers and Acquisitions</w:t>
      </w:r>
      <w:r w:rsidR="00DF242B" w:rsidRPr="00053C90">
        <w:rPr>
          <w:szCs w:val="24"/>
          <w:lang w:val="en-US"/>
        </w:rPr>
        <w:t>, University of Arkansas Working Paper.</w:t>
      </w:r>
    </w:p>
    <w:p w:rsidR="007C19A7" w:rsidRPr="00053C90" w:rsidRDefault="007C19A7" w:rsidP="001349BA">
      <w:pPr>
        <w:shd w:val="clear" w:color="auto" w:fill="FFFFFF"/>
        <w:spacing w:after="0"/>
        <w:rPr>
          <w:szCs w:val="24"/>
          <w:lang w:val="en-US"/>
        </w:rPr>
      </w:pPr>
    </w:p>
    <w:p w:rsidR="00A72C10" w:rsidRPr="00053C90" w:rsidRDefault="00A72C10" w:rsidP="001349BA">
      <w:pPr>
        <w:shd w:val="clear" w:color="auto" w:fill="FFFFFF"/>
        <w:spacing w:after="0"/>
        <w:rPr>
          <w:szCs w:val="24"/>
          <w:lang w:val="en-US"/>
        </w:rPr>
      </w:pPr>
      <w:r w:rsidRPr="00053C90">
        <w:rPr>
          <w:szCs w:val="24"/>
          <w:lang w:val="en-US"/>
        </w:rPr>
        <w:t xml:space="preserve">Brooks, C. 2008. </w:t>
      </w:r>
      <w:r w:rsidRPr="00053C90">
        <w:rPr>
          <w:i/>
          <w:szCs w:val="24"/>
          <w:lang w:val="en-US"/>
        </w:rPr>
        <w:t>Introductory Econometrics for Finance</w:t>
      </w:r>
      <w:r w:rsidRPr="00053C90">
        <w:rPr>
          <w:szCs w:val="24"/>
          <w:lang w:val="en-US"/>
        </w:rPr>
        <w:t>. Cambridge University Press. 2</w:t>
      </w:r>
      <w:r w:rsidRPr="00053C90">
        <w:rPr>
          <w:szCs w:val="24"/>
          <w:vertAlign w:val="superscript"/>
          <w:lang w:val="en-US"/>
        </w:rPr>
        <w:t>nd</w:t>
      </w:r>
      <w:r w:rsidRPr="00053C90">
        <w:rPr>
          <w:szCs w:val="24"/>
          <w:lang w:val="en-US"/>
        </w:rPr>
        <w:t xml:space="preserve"> edition.</w:t>
      </w:r>
    </w:p>
    <w:p w:rsidR="00A72C10" w:rsidRPr="00053C90" w:rsidRDefault="00A72C10" w:rsidP="001349BA">
      <w:pPr>
        <w:shd w:val="clear" w:color="auto" w:fill="FFFFFF"/>
        <w:spacing w:after="0"/>
        <w:rPr>
          <w:szCs w:val="24"/>
          <w:lang w:val="en-US"/>
        </w:rPr>
      </w:pPr>
    </w:p>
    <w:p w:rsidR="00447520" w:rsidRPr="007E4847" w:rsidRDefault="00756B1A" w:rsidP="007C19A7">
      <w:pPr>
        <w:autoSpaceDE w:val="0"/>
        <w:autoSpaceDN w:val="0"/>
        <w:adjustRightInd w:val="0"/>
        <w:spacing w:after="0" w:line="240" w:lineRule="auto"/>
        <w:rPr>
          <w:szCs w:val="24"/>
        </w:rPr>
      </w:pPr>
      <w:r w:rsidRPr="007E4847">
        <w:rPr>
          <w:szCs w:val="24"/>
        </w:rPr>
        <w:t>Bryman, A., &amp; Bell, E. 2011</w:t>
      </w:r>
      <w:r w:rsidR="00447520" w:rsidRPr="007E4847">
        <w:rPr>
          <w:szCs w:val="24"/>
        </w:rPr>
        <w:t xml:space="preserve">. </w:t>
      </w:r>
      <w:r w:rsidR="00447520" w:rsidRPr="007E4847">
        <w:rPr>
          <w:i/>
          <w:szCs w:val="24"/>
        </w:rPr>
        <w:t>Företagsekonomiska forskningsmetoder</w:t>
      </w:r>
      <w:r w:rsidR="00447520" w:rsidRPr="007E4847">
        <w:rPr>
          <w:szCs w:val="24"/>
        </w:rPr>
        <w:t>, Stockholm: Liber</w:t>
      </w:r>
    </w:p>
    <w:p w:rsidR="00447520" w:rsidRPr="00053C90" w:rsidRDefault="00447520" w:rsidP="007C19A7">
      <w:pPr>
        <w:autoSpaceDE w:val="0"/>
        <w:autoSpaceDN w:val="0"/>
        <w:adjustRightInd w:val="0"/>
        <w:spacing w:after="0" w:line="240" w:lineRule="auto"/>
        <w:rPr>
          <w:i/>
          <w:szCs w:val="24"/>
          <w:lang w:val="en-US"/>
        </w:rPr>
      </w:pPr>
      <w:r w:rsidRPr="00053C90">
        <w:rPr>
          <w:szCs w:val="24"/>
          <w:lang w:val="en-US"/>
        </w:rPr>
        <w:t>AB</w:t>
      </w:r>
      <w:r w:rsidR="001E7BB5" w:rsidRPr="00053C90">
        <w:rPr>
          <w:szCs w:val="24"/>
          <w:lang w:val="en-US"/>
        </w:rPr>
        <w:t>.</w:t>
      </w:r>
    </w:p>
    <w:p w:rsidR="0039333F" w:rsidRPr="00053C90" w:rsidRDefault="0039333F" w:rsidP="007C19A7">
      <w:pPr>
        <w:pStyle w:val="FootnoteText"/>
        <w:rPr>
          <w:color w:val="373E4D"/>
          <w:sz w:val="24"/>
          <w:szCs w:val="24"/>
          <w:shd w:val="clear" w:color="auto" w:fill="F6F7F8"/>
          <w:lang w:val="en-US"/>
        </w:rPr>
      </w:pPr>
    </w:p>
    <w:p w:rsidR="00BC350B" w:rsidRPr="00053C90" w:rsidRDefault="0039333F" w:rsidP="00BC350B">
      <w:pPr>
        <w:pStyle w:val="FootnoteText"/>
        <w:rPr>
          <w:sz w:val="24"/>
          <w:szCs w:val="24"/>
          <w:lang w:val="en-US"/>
        </w:rPr>
      </w:pPr>
      <w:r w:rsidRPr="00053C90">
        <w:rPr>
          <w:sz w:val="24"/>
          <w:szCs w:val="24"/>
          <w:lang w:val="en-US"/>
        </w:rPr>
        <w:t xml:space="preserve">Capron, L. 1999. </w:t>
      </w:r>
      <w:r w:rsidRPr="00053C90">
        <w:rPr>
          <w:i/>
          <w:sz w:val="24"/>
          <w:szCs w:val="24"/>
          <w:lang w:val="en-US"/>
        </w:rPr>
        <w:t>The Long-Term Performance of Horizontal Acquisitions</w:t>
      </w:r>
      <w:r w:rsidR="004417BA" w:rsidRPr="00053C90">
        <w:rPr>
          <w:sz w:val="24"/>
          <w:szCs w:val="24"/>
          <w:lang w:val="en-US"/>
        </w:rPr>
        <w:t xml:space="preserve">. Strategic Management Journal, </w:t>
      </w:r>
      <w:r w:rsidR="001E7BB5" w:rsidRPr="00053C90">
        <w:rPr>
          <w:sz w:val="24"/>
          <w:szCs w:val="24"/>
          <w:lang w:val="en-US"/>
        </w:rPr>
        <w:t>Vol.</w:t>
      </w:r>
      <w:r w:rsidR="007C19A7" w:rsidRPr="00053C90">
        <w:rPr>
          <w:sz w:val="24"/>
          <w:szCs w:val="24"/>
          <w:lang w:val="en-US"/>
        </w:rPr>
        <w:t xml:space="preserve"> 20,</w:t>
      </w:r>
      <w:r w:rsidR="00BC350B" w:rsidRPr="00053C90">
        <w:rPr>
          <w:sz w:val="24"/>
          <w:szCs w:val="24"/>
          <w:lang w:val="en-US"/>
        </w:rPr>
        <w:t xml:space="preserve"> 987-1018.</w:t>
      </w:r>
    </w:p>
    <w:p w:rsidR="00BC350B" w:rsidRPr="00053C90" w:rsidRDefault="00BC350B" w:rsidP="007C19A7">
      <w:pPr>
        <w:autoSpaceDE w:val="0"/>
        <w:autoSpaceDN w:val="0"/>
        <w:adjustRightInd w:val="0"/>
        <w:spacing w:after="0" w:line="240" w:lineRule="auto"/>
        <w:rPr>
          <w:szCs w:val="24"/>
          <w:lang w:val="en-US"/>
        </w:rPr>
      </w:pPr>
    </w:p>
    <w:p w:rsidR="00DF242B" w:rsidRPr="00053C90" w:rsidRDefault="00DF242B" w:rsidP="007C19A7">
      <w:pPr>
        <w:autoSpaceDE w:val="0"/>
        <w:autoSpaceDN w:val="0"/>
        <w:adjustRightInd w:val="0"/>
        <w:spacing w:after="0" w:line="240" w:lineRule="auto"/>
        <w:rPr>
          <w:szCs w:val="24"/>
          <w:lang w:val="en-US"/>
        </w:rPr>
      </w:pPr>
      <w:r w:rsidRPr="00053C90">
        <w:rPr>
          <w:szCs w:val="24"/>
          <w:lang w:val="en-US"/>
        </w:rPr>
        <w:t>Conn, C, Cosh,</w:t>
      </w:r>
      <w:r w:rsidR="004D3737" w:rsidRPr="00053C90">
        <w:rPr>
          <w:szCs w:val="24"/>
          <w:lang w:val="en-US"/>
        </w:rPr>
        <w:t xml:space="preserve"> A.,</w:t>
      </w:r>
      <w:r w:rsidRPr="00053C90">
        <w:rPr>
          <w:szCs w:val="24"/>
          <w:lang w:val="en-US"/>
        </w:rPr>
        <w:t xml:space="preserve"> Guest</w:t>
      </w:r>
      <w:r w:rsidR="004D3737" w:rsidRPr="00053C90">
        <w:rPr>
          <w:szCs w:val="24"/>
          <w:lang w:val="en-US"/>
        </w:rPr>
        <w:t xml:space="preserve"> P., </w:t>
      </w:r>
      <w:r w:rsidR="001E7BB5" w:rsidRPr="00053C90">
        <w:rPr>
          <w:szCs w:val="24"/>
          <w:lang w:val="en-US"/>
        </w:rPr>
        <w:t>&amp;</w:t>
      </w:r>
      <w:r w:rsidRPr="00053C90">
        <w:rPr>
          <w:szCs w:val="24"/>
          <w:lang w:val="en-US"/>
        </w:rPr>
        <w:t xml:space="preserve"> Hughes,</w:t>
      </w:r>
      <w:r w:rsidR="004D3737" w:rsidRPr="00053C90">
        <w:rPr>
          <w:szCs w:val="24"/>
          <w:lang w:val="en-US"/>
        </w:rPr>
        <w:t xml:space="preserve"> A.</w:t>
      </w:r>
      <w:r w:rsidRPr="00053C90">
        <w:rPr>
          <w:szCs w:val="24"/>
          <w:lang w:val="en-US"/>
        </w:rPr>
        <w:t xml:space="preserve"> 2001, </w:t>
      </w:r>
      <w:r w:rsidRPr="00053C90">
        <w:rPr>
          <w:i/>
          <w:szCs w:val="24"/>
          <w:lang w:val="en-US"/>
        </w:rPr>
        <w:t>Long-Run Share Performance of UK Firms Engaging in Cross-Border Acquisitions</w:t>
      </w:r>
      <w:r w:rsidR="001E7BB5" w:rsidRPr="00053C90">
        <w:rPr>
          <w:szCs w:val="24"/>
          <w:lang w:val="en-US"/>
        </w:rPr>
        <w:t>.</w:t>
      </w:r>
      <w:r w:rsidRPr="00053C90">
        <w:rPr>
          <w:szCs w:val="24"/>
          <w:lang w:val="en-US"/>
        </w:rPr>
        <w:t xml:space="preserve"> Centre for Business Research University of Cambridge Working Paper 214. </w:t>
      </w:r>
    </w:p>
    <w:p w:rsidR="00DF242B" w:rsidRPr="00053C90" w:rsidRDefault="00DF242B" w:rsidP="007C19A7">
      <w:pPr>
        <w:pStyle w:val="NormalWeb"/>
        <w:spacing w:before="0" w:beforeAutospacing="0" w:after="0" w:afterAutospacing="0"/>
      </w:pPr>
    </w:p>
    <w:p w:rsidR="00BA2F03" w:rsidRPr="00053C90" w:rsidRDefault="00BA2F03" w:rsidP="007C19A7">
      <w:pPr>
        <w:pStyle w:val="TimesNewRoman"/>
        <w:spacing w:after="0" w:line="276" w:lineRule="auto"/>
        <w:rPr>
          <w:lang w:val="en-US"/>
        </w:rPr>
      </w:pPr>
      <w:r w:rsidRPr="00053C90">
        <w:rPr>
          <w:lang w:val="en-US"/>
        </w:rPr>
        <w:t>Conrad, J.</w:t>
      </w:r>
      <w:r w:rsidR="001E7BB5" w:rsidRPr="00053C90">
        <w:rPr>
          <w:lang w:val="en-US"/>
        </w:rPr>
        <w:t>,</w:t>
      </w:r>
      <w:r w:rsidRPr="00053C90">
        <w:rPr>
          <w:lang w:val="en-US"/>
        </w:rPr>
        <w:t xml:space="preserve"> &amp; Kaul, G. 1993. </w:t>
      </w:r>
      <w:r w:rsidR="001E7BB5" w:rsidRPr="00053C90">
        <w:rPr>
          <w:i/>
          <w:lang w:val="en-US"/>
        </w:rPr>
        <w:t>Long-term market overreaction or</w:t>
      </w:r>
      <w:r w:rsidRPr="00053C90">
        <w:rPr>
          <w:i/>
          <w:lang w:val="en-US"/>
        </w:rPr>
        <w:t xml:space="preserve"> biases in computed returns</w:t>
      </w:r>
      <w:r w:rsidR="001E7BB5" w:rsidRPr="00053C90">
        <w:rPr>
          <w:lang w:val="en-US"/>
        </w:rPr>
        <w:t>.</w:t>
      </w:r>
      <w:r w:rsidR="004D3737" w:rsidRPr="00053C90">
        <w:rPr>
          <w:lang w:val="en-US"/>
        </w:rPr>
        <w:t xml:space="preserve"> </w:t>
      </w:r>
      <w:r w:rsidRPr="00053C90">
        <w:rPr>
          <w:lang w:val="en-US"/>
        </w:rPr>
        <w:t xml:space="preserve">The Journal of Finance, </w:t>
      </w:r>
      <w:r w:rsidR="001E7BB5" w:rsidRPr="00053C90">
        <w:rPr>
          <w:lang w:val="en-US"/>
        </w:rPr>
        <w:t xml:space="preserve">Vol. </w:t>
      </w:r>
      <w:r w:rsidRPr="00053C90">
        <w:rPr>
          <w:lang w:val="en-US"/>
        </w:rPr>
        <w:t>48,</w:t>
      </w:r>
      <w:r w:rsidR="0034126A" w:rsidRPr="00053C90">
        <w:rPr>
          <w:lang w:val="en-US"/>
        </w:rPr>
        <w:t xml:space="preserve"> 39-63</w:t>
      </w:r>
      <w:r w:rsidR="001E7BB5" w:rsidRPr="00053C90">
        <w:rPr>
          <w:lang w:val="en-US"/>
        </w:rPr>
        <w:t>.</w:t>
      </w:r>
    </w:p>
    <w:p w:rsidR="006A793D" w:rsidRPr="00053C90" w:rsidRDefault="006A793D" w:rsidP="007C19A7">
      <w:pPr>
        <w:pStyle w:val="TimesNewRoman"/>
        <w:spacing w:after="0" w:line="276" w:lineRule="auto"/>
        <w:rPr>
          <w:lang w:val="en-US"/>
        </w:rPr>
      </w:pPr>
    </w:p>
    <w:p w:rsidR="001E3820" w:rsidRPr="00053C90" w:rsidRDefault="001E3820" w:rsidP="007C19A7">
      <w:pPr>
        <w:pStyle w:val="TimesNewRoman"/>
        <w:spacing w:after="0" w:line="276" w:lineRule="auto"/>
        <w:rPr>
          <w:lang w:val="en-US"/>
        </w:rPr>
      </w:pPr>
      <w:r w:rsidRPr="00053C90">
        <w:rPr>
          <w:lang w:val="en-US"/>
        </w:rPr>
        <w:t>Devos, E., Kadap</w:t>
      </w:r>
      <w:r w:rsidR="001E7BB5" w:rsidRPr="00053C90">
        <w:rPr>
          <w:lang w:val="en-US"/>
        </w:rPr>
        <w:t>akkam, P., &amp; Krishnamurthy, S. 2009</w:t>
      </w:r>
      <w:r w:rsidRPr="00053C90">
        <w:rPr>
          <w:lang w:val="en-US"/>
        </w:rPr>
        <w:t xml:space="preserve">. </w:t>
      </w:r>
      <w:r w:rsidRPr="00053C90">
        <w:rPr>
          <w:i/>
          <w:lang w:val="en-US"/>
        </w:rPr>
        <w:t>How Do Mergers Create Value? A Comparison of Taxes, Market Power, and Efficiency Improvements as Explanations for Synergies</w:t>
      </w:r>
      <w:r w:rsidRPr="00053C90">
        <w:rPr>
          <w:lang w:val="en-US"/>
        </w:rPr>
        <w:t>. Review Of Financial Studies,</w:t>
      </w:r>
      <w:r w:rsidR="001E7BB5" w:rsidRPr="00053C90">
        <w:rPr>
          <w:lang w:val="en-US"/>
        </w:rPr>
        <w:t xml:space="preserve"> Vol.</w:t>
      </w:r>
      <w:r w:rsidRPr="00053C90">
        <w:rPr>
          <w:lang w:val="en-US"/>
        </w:rPr>
        <w:t xml:space="preserve"> 22, 1179-1211.</w:t>
      </w:r>
    </w:p>
    <w:p w:rsidR="007C19A7" w:rsidRPr="00053C90" w:rsidRDefault="007C19A7" w:rsidP="007C19A7">
      <w:pPr>
        <w:pStyle w:val="TimesNewRoman"/>
        <w:spacing w:after="0" w:line="276" w:lineRule="auto"/>
        <w:rPr>
          <w:i/>
          <w:lang w:val="en-US"/>
        </w:rPr>
      </w:pPr>
    </w:p>
    <w:p w:rsidR="00B2143B" w:rsidRPr="00053C90" w:rsidRDefault="004D3737" w:rsidP="007C19A7">
      <w:pPr>
        <w:pStyle w:val="NormalWeb"/>
        <w:spacing w:before="0" w:beforeAutospacing="0" w:after="0" w:afterAutospacing="0"/>
        <w:rPr>
          <w:color w:val="000000"/>
        </w:rPr>
      </w:pPr>
      <w:r w:rsidRPr="00053C90">
        <w:t>Dimson, E.,</w:t>
      </w:r>
      <w:r w:rsidR="00926F14" w:rsidRPr="00053C90">
        <w:t xml:space="preserve"> </w:t>
      </w:r>
      <w:r w:rsidR="001E7BB5" w:rsidRPr="00053C90">
        <w:t>&amp; Marsh, P</w:t>
      </w:r>
      <w:r w:rsidR="00926F14" w:rsidRPr="00053C90">
        <w:t>. 1986.</w:t>
      </w:r>
      <w:r w:rsidR="00B2143B" w:rsidRPr="00053C90">
        <w:t xml:space="preserve"> </w:t>
      </w:r>
      <w:r w:rsidR="00B2143B" w:rsidRPr="00053C90">
        <w:rPr>
          <w:i/>
        </w:rPr>
        <w:t>Event study methodologies and the size effect: The case of UK Press recommendations</w:t>
      </w:r>
      <w:r w:rsidR="00B2143B" w:rsidRPr="00053C90">
        <w:t>. Journal of Financial Economics</w:t>
      </w:r>
      <w:r w:rsidR="001E7BB5" w:rsidRPr="00053C90">
        <w:t>, Vol.</w:t>
      </w:r>
      <w:r w:rsidR="00B2143B" w:rsidRPr="00053C90">
        <w:t xml:space="preserve"> 17, 113-142.</w:t>
      </w:r>
    </w:p>
    <w:p w:rsidR="00330A73" w:rsidRPr="00053C90" w:rsidRDefault="00330A73" w:rsidP="007C19A7">
      <w:pPr>
        <w:spacing w:after="0"/>
        <w:rPr>
          <w:szCs w:val="24"/>
          <w:lang w:val="en-US"/>
        </w:rPr>
      </w:pPr>
    </w:p>
    <w:p w:rsidR="00330A73" w:rsidRPr="00053C90" w:rsidRDefault="0037771D" w:rsidP="007C19A7">
      <w:pPr>
        <w:pStyle w:val="FootnoteText"/>
        <w:rPr>
          <w:sz w:val="24"/>
          <w:szCs w:val="24"/>
          <w:lang w:val="en-US"/>
        </w:rPr>
      </w:pPr>
      <w:r w:rsidRPr="00053C90">
        <w:rPr>
          <w:sz w:val="24"/>
          <w:szCs w:val="24"/>
          <w:lang w:val="en-US"/>
        </w:rPr>
        <w:t>Dodd, P</w:t>
      </w:r>
      <w:r w:rsidR="0066179A" w:rsidRPr="00053C90">
        <w:rPr>
          <w:sz w:val="24"/>
          <w:szCs w:val="24"/>
          <w:lang w:val="en-US"/>
        </w:rPr>
        <w:t>. 1980.</w:t>
      </w:r>
      <w:r w:rsidR="00330A73" w:rsidRPr="00053C90">
        <w:rPr>
          <w:sz w:val="24"/>
          <w:szCs w:val="24"/>
          <w:lang w:val="en-US"/>
        </w:rPr>
        <w:t xml:space="preserve"> </w:t>
      </w:r>
      <w:r w:rsidR="00330A73" w:rsidRPr="00053C90">
        <w:rPr>
          <w:i/>
          <w:sz w:val="24"/>
          <w:szCs w:val="24"/>
          <w:lang w:val="en-US"/>
        </w:rPr>
        <w:t>Merger proposals, management discretion and stockholder wealth</w:t>
      </w:r>
      <w:r w:rsidR="0066179A" w:rsidRPr="00053C90">
        <w:rPr>
          <w:sz w:val="24"/>
          <w:szCs w:val="24"/>
          <w:lang w:val="en-US"/>
        </w:rPr>
        <w:t>.</w:t>
      </w:r>
      <w:r w:rsidR="00330A73" w:rsidRPr="00053C90">
        <w:rPr>
          <w:sz w:val="24"/>
          <w:szCs w:val="24"/>
          <w:lang w:val="en-US"/>
        </w:rPr>
        <w:t xml:space="preserve"> Journal of Financial Economics</w:t>
      </w:r>
      <w:r w:rsidR="001E7BB5" w:rsidRPr="00053C90">
        <w:rPr>
          <w:sz w:val="24"/>
          <w:szCs w:val="24"/>
          <w:lang w:val="en-US"/>
        </w:rPr>
        <w:t>, Vol.</w:t>
      </w:r>
      <w:r w:rsidR="00330A73" w:rsidRPr="00053C90">
        <w:rPr>
          <w:sz w:val="24"/>
          <w:szCs w:val="24"/>
          <w:lang w:val="en-US"/>
        </w:rPr>
        <w:t xml:space="preserve"> 8, 105-138.</w:t>
      </w:r>
    </w:p>
    <w:p w:rsidR="00330A73" w:rsidRPr="00053C90" w:rsidRDefault="00330A73" w:rsidP="007C19A7">
      <w:pPr>
        <w:spacing w:after="0"/>
        <w:rPr>
          <w:szCs w:val="24"/>
          <w:lang w:val="en-US"/>
        </w:rPr>
      </w:pPr>
    </w:p>
    <w:p w:rsidR="00F50234" w:rsidRPr="00053C90" w:rsidRDefault="00F50234" w:rsidP="007C19A7">
      <w:pPr>
        <w:spacing w:after="0"/>
        <w:contextualSpacing/>
        <w:rPr>
          <w:szCs w:val="24"/>
          <w:lang w:val="en-US"/>
        </w:rPr>
      </w:pPr>
      <w:r w:rsidRPr="00053C90">
        <w:rPr>
          <w:szCs w:val="24"/>
          <w:lang w:val="en-US"/>
        </w:rPr>
        <w:t>Dutta, S.,</w:t>
      </w:r>
      <w:r w:rsidR="00A50D3F" w:rsidRPr="00053C90">
        <w:rPr>
          <w:szCs w:val="24"/>
          <w:lang w:val="en-US"/>
        </w:rPr>
        <w:t xml:space="preserve"> &amp;</w:t>
      </w:r>
      <w:r w:rsidRPr="00053C90">
        <w:rPr>
          <w:szCs w:val="24"/>
          <w:lang w:val="en-US"/>
        </w:rPr>
        <w:t xml:space="preserve"> Jog, V., 2009. </w:t>
      </w:r>
      <w:r w:rsidRPr="00053C90">
        <w:rPr>
          <w:i/>
          <w:szCs w:val="24"/>
          <w:lang w:val="en-US"/>
        </w:rPr>
        <w:t xml:space="preserve">The long term performance of acquiring firms: A re-examination of an </w:t>
      </w:r>
      <w:r w:rsidR="0066179A" w:rsidRPr="00053C90">
        <w:rPr>
          <w:i/>
          <w:szCs w:val="24"/>
          <w:lang w:val="en-US"/>
        </w:rPr>
        <w:t>anomaly</w:t>
      </w:r>
      <w:r w:rsidR="001E7BB5" w:rsidRPr="00053C90">
        <w:rPr>
          <w:szCs w:val="24"/>
          <w:lang w:val="en-US"/>
        </w:rPr>
        <w:t xml:space="preserve">. </w:t>
      </w:r>
      <w:r w:rsidRPr="00053C90">
        <w:rPr>
          <w:szCs w:val="24"/>
          <w:lang w:val="en-US"/>
        </w:rPr>
        <w:t>The Journal of Banking &amp; Finance,</w:t>
      </w:r>
      <w:r w:rsidR="001E7BB5" w:rsidRPr="00053C90">
        <w:rPr>
          <w:szCs w:val="24"/>
          <w:lang w:val="en-US"/>
        </w:rPr>
        <w:t xml:space="preserve"> Vol.</w:t>
      </w:r>
      <w:r w:rsidR="0061436C">
        <w:rPr>
          <w:szCs w:val="24"/>
          <w:lang w:val="en-US"/>
        </w:rPr>
        <w:t xml:space="preserve"> 33, 1400-1412.</w:t>
      </w:r>
    </w:p>
    <w:p w:rsidR="00A50D3F" w:rsidRPr="00053C90" w:rsidRDefault="00A50D3F" w:rsidP="007C19A7">
      <w:pPr>
        <w:spacing w:after="0"/>
        <w:contextualSpacing/>
        <w:rPr>
          <w:szCs w:val="24"/>
          <w:lang w:val="en-US"/>
        </w:rPr>
      </w:pPr>
    </w:p>
    <w:p w:rsidR="00A50D3F" w:rsidRPr="00053C90" w:rsidRDefault="0037771D" w:rsidP="007C19A7">
      <w:pPr>
        <w:pStyle w:val="FootnoteText"/>
        <w:rPr>
          <w:sz w:val="24"/>
          <w:szCs w:val="24"/>
          <w:lang w:val="en-US"/>
        </w:rPr>
      </w:pPr>
      <w:r w:rsidRPr="00053C90">
        <w:rPr>
          <w:sz w:val="24"/>
          <w:szCs w:val="24"/>
          <w:lang w:val="en-US"/>
        </w:rPr>
        <w:t>Faccio, M., &amp; Masulis, R.</w:t>
      </w:r>
      <w:r w:rsidR="00A50D3F" w:rsidRPr="00053C90">
        <w:rPr>
          <w:sz w:val="24"/>
          <w:szCs w:val="24"/>
          <w:lang w:val="en-US"/>
        </w:rPr>
        <w:t xml:space="preserve">W. 2005. </w:t>
      </w:r>
      <w:r w:rsidR="00A50D3F" w:rsidRPr="00053C90">
        <w:rPr>
          <w:i/>
          <w:sz w:val="24"/>
          <w:szCs w:val="24"/>
          <w:lang w:val="en-US"/>
        </w:rPr>
        <w:t>The choice of payment method in European mergers and acquisitions</w:t>
      </w:r>
      <w:r w:rsidR="00A50D3F" w:rsidRPr="00053C90">
        <w:rPr>
          <w:sz w:val="24"/>
          <w:szCs w:val="24"/>
          <w:lang w:val="en-US"/>
        </w:rPr>
        <w:t>. Journal of Finance,</w:t>
      </w:r>
      <w:r w:rsidR="001E7BB5" w:rsidRPr="00053C90">
        <w:rPr>
          <w:sz w:val="24"/>
          <w:szCs w:val="24"/>
          <w:lang w:val="en-US"/>
        </w:rPr>
        <w:t xml:space="preserve"> Vol.</w:t>
      </w:r>
      <w:r w:rsidR="00A50D3F" w:rsidRPr="00053C90">
        <w:rPr>
          <w:sz w:val="24"/>
          <w:szCs w:val="24"/>
          <w:lang w:val="en-US"/>
        </w:rPr>
        <w:t xml:space="preserve"> 60, 1345–1388.</w:t>
      </w:r>
    </w:p>
    <w:p w:rsidR="00804C88" w:rsidRPr="00053C90" w:rsidRDefault="00804C88" w:rsidP="007C19A7">
      <w:pPr>
        <w:spacing w:after="0" w:line="240" w:lineRule="auto"/>
        <w:rPr>
          <w:szCs w:val="24"/>
          <w:lang w:val="en-US"/>
        </w:rPr>
      </w:pPr>
    </w:p>
    <w:p w:rsidR="00C6574F" w:rsidRPr="00053C90" w:rsidRDefault="004D3737" w:rsidP="007C19A7">
      <w:pPr>
        <w:spacing w:after="0"/>
        <w:rPr>
          <w:szCs w:val="24"/>
          <w:lang w:val="en-US"/>
        </w:rPr>
      </w:pPr>
      <w:r w:rsidRPr="00053C90">
        <w:rPr>
          <w:szCs w:val="24"/>
          <w:lang w:val="en-US"/>
        </w:rPr>
        <w:t>Fama, E</w:t>
      </w:r>
      <w:r w:rsidR="0066179A" w:rsidRPr="00053C90">
        <w:rPr>
          <w:szCs w:val="24"/>
          <w:lang w:val="en-US"/>
        </w:rPr>
        <w:t xml:space="preserve">. 1970. </w:t>
      </w:r>
      <w:r w:rsidR="00C6574F" w:rsidRPr="00053C90">
        <w:rPr>
          <w:i/>
          <w:szCs w:val="24"/>
          <w:lang w:val="en-US"/>
        </w:rPr>
        <w:t>Efficient Capital Markets: A Review of Theory and Empirical Work</w:t>
      </w:r>
      <w:r w:rsidR="0066179A" w:rsidRPr="00053C90">
        <w:rPr>
          <w:szCs w:val="24"/>
          <w:lang w:val="en-US"/>
        </w:rPr>
        <w:t>.</w:t>
      </w:r>
      <w:r w:rsidR="001E7BB5" w:rsidRPr="00053C90">
        <w:rPr>
          <w:szCs w:val="24"/>
          <w:lang w:val="en-US"/>
        </w:rPr>
        <w:t xml:space="preserve"> Journal of Finance. Vol. 25:2,</w:t>
      </w:r>
      <w:r w:rsidR="00C6574F" w:rsidRPr="00053C90">
        <w:rPr>
          <w:szCs w:val="24"/>
          <w:lang w:val="en-US"/>
        </w:rPr>
        <w:t xml:space="preserve"> 383-417.</w:t>
      </w:r>
    </w:p>
    <w:p w:rsidR="00B2143B" w:rsidRPr="00053C90" w:rsidRDefault="00B2143B" w:rsidP="007C19A7">
      <w:pPr>
        <w:spacing w:after="0"/>
        <w:rPr>
          <w:szCs w:val="24"/>
          <w:lang w:val="en-US"/>
        </w:rPr>
      </w:pPr>
    </w:p>
    <w:p w:rsidR="00C6574F" w:rsidRPr="00053C90" w:rsidRDefault="004D3737" w:rsidP="007C19A7">
      <w:pPr>
        <w:pStyle w:val="FootnoteText"/>
        <w:rPr>
          <w:sz w:val="24"/>
          <w:szCs w:val="24"/>
          <w:lang w:val="en-US"/>
        </w:rPr>
      </w:pPr>
      <w:r w:rsidRPr="00053C90">
        <w:rPr>
          <w:sz w:val="24"/>
          <w:szCs w:val="24"/>
          <w:lang w:val="en-US"/>
        </w:rPr>
        <w:t>Fama, E</w:t>
      </w:r>
      <w:r w:rsidR="0066179A" w:rsidRPr="00053C90">
        <w:rPr>
          <w:sz w:val="24"/>
          <w:szCs w:val="24"/>
          <w:lang w:val="en-US"/>
        </w:rPr>
        <w:t xml:space="preserve">. 1998. </w:t>
      </w:r>
      <w:r w:rsidR="00B2143B" w:rsidRPr="00053C90">
        <w:rPr>
          <w:i/>
          <w:sz w:val="24"/>
          <w:szCs w:val="24"/>
          <w:lang w:val="en-US"/>
        </w:rPr>
        <w:t>Market Efficiency, Long-Term Returns, and Behavioral Finance</w:t>
      </w:r>
      <w:r w:rsidR="0066179A" w:rsidRPr="00053C90">
        <w:rPr>
          <w:sz w:val="24"/>
          <w:szCs w:val="24"/>
          <w:lang w:val="en-US"/>
        </w:rPr>
        <w:t xml:space="preserve">. </w:t>
      </w:r>
      <w:r w:rsidR="00B2143B" w:rsidRPr="00053C90">
        <w:rPr>
          <w:sz w:val="24"/>
          <w:szCs w:val="24"/>
          <w:lang w:val="en-US"/>
        </w:rPr>
        <w:t>Journal of Financia</w:t>
      </w:r>
      <w:r w:rsidR="001E7BB5" w:rsidRPr="00053C90">
        <w:rPr>
          <w:sz w:val="24"/>
          <w:szCs w:val="24"/>
          <w:lang w:val="en-US"/>
        </w:rPr>
        <w:t>l Economics. Vol. 49:3,</w:t>
      </w:r>
      <w:r w:rsidR="00A50D3F" w:rsidRPr="00053C90">
        <w:rPr>
          <w:sz w:val="24"/>
          <w:szCs w:val="24"/>
          <w:lang w:val="en-US"/>
        </w:rPr>
        <w:t xml:space="preserve"> 283-306.</w:t>
      </w:r>
    </w:p>
    <w:p w:rsidR="00A50D3F" w:rsidRPr="00053C90" w:rsidRDefault="00A50D3F" w:rsidP="007C19A7">
      <w:pPr>
        <w:spacing w:after="0"/>
        <w:contextualSpacing/>
        <w:rPr>
          <w:color w:val="373E4D"/>
          <w:szCs w:val="24"/>
          <w:shd w:val="clear" w:color="auto" w:fill="F6F7F8"/>
          <w:lang w:val="en-US"/>
        </w:rPr>
      </w:pPr>
    </w:p>
    <w:p w:rsidR="00A50D3F" w:rsidRPr="00053C90" w:rsidRDefault="00A50D3F" w:rsidP="007C19A7">
      <w:pPr>
        <w:spacing w:after="0"/>
        <w:contextualSpacing/>
        <w:rPr>
          <w:rFonts w:eastAsia="Times New Roman"/>
          <w:color w:val="222222"/>
          <w:szCs w:val="24"/>
          <w:lang w:val="en-US"/>
        </w:rPr>
      </w:pPr>
      <w:r w:rsidRPr="00053C90">
        <w:rPr>
          <w:rFonts w:eastAsia="Times New Roman"/>
          <w:color w:val="222222"/>
          <w:szCs w:val="24"/>
          <w:lang w:val="en-US"/>
        </w:rPr>
        <w:t>Fama, E</w:t>
      </w:r>
      <w:r w:rsidR="001E7BB5" w:rsidRPr="00053C90">
        <w:rPr>
          <w:rFonts w:eastAsia="Times New Roman"/>
          <w:color w:val="222222"/>
          <w:szCs w:val="24"/>
          <w:lang w:val="en-US"/>
        </w:rPr>
        <w:t>., &amp; French K. 1995.</w:t>
      </w:r>
      <w:r w:rsidRPr="00053C90">
        <w:rPr>
          <w:rFonts w:eastAsia="Times New Roman"/>
          <w:color w:val="222222"/>
          <w:szCs w:val="24"/>
          <w:lang w:val="en-US"/>
        </w:rPr>
        <w:t xml:space="preserve"> Size and book-to-market factors in earnings and</w:t>
      </w:r>
    </w:p>
    <w:p w:rsidR="00A50D3F" w:rsidRPr="00053C90" w:rsidRDefault="00A50D3F" w:rsidP="007C19A7">
      <w:pPr>
        <w:spacing w:after="0"/>
        <w:contextualSpacing/>
        <w:rPr>
          <w:rFonts w:eastAsia="Times New Roman"/>
          <w:color w:val="222222"/>
          <w:szCs w:val="24"/>
          <w:lang w:val="en-US"/>
        </w:rPr>
      </w:pPr>
      <w:r w:rsidRPr="00053C90">
        <w:rPr>
          <w:rFonts w:eastAsia="Times New Roman"/>
          <w:color w:val="222222"/>
          <w:szCs w:val="24"/>
          <w:lang w:val="en-US"/>
        </w:rPr>
        <w:t>returns, Journal of Finance</w:t>
      </w:r>
      <w:r w:rsidR="001E7BB5" w:rsidRPr="00053C90">
        <w:rPr>
          <w:rFonts w:eastAsia="Times New Roman"/>
          <w:color w:val="222222"/>
          <w:szCs w:val="24"/>
          <w:lang w:val="en-US"/>
        </w:rPr>
        <w:t>, Vol.</w:t>
      </w:r>
      <w:r w:rsidRPr="00053C90">
        <w:rPr>
          <w:rFonts w:eastAsia="Times New Roman"/>
          <w:color w:val="222222"/>
          <w:szCs w:val="24"/>
          <w:lang w:val="en-US"/>
        </w:rPr>
        <w:t xml:space="preserve"> 50, 131-155.</w:t>
      </w:r>
    </w:p>
    <w:p w:rsidR="00A50D3F" w:rsidRPr="00053C90" w:rsidRDefault="00A50D3F" w:rsidP="007C19A7">
      <w:pPr>
        <w:spacing w:after="0"/>
        <w:contextualSpacing/>
        <w:rPr>
          <w:rFonts w:eastAsia="Times New Roman"/>
          <w:color w:val="222222"/>
          <w:szCs w:val="24"/>
          <w:lang w:val="en-US"/>
        </w:rPr>
      </w:pPr>
    </w:p>
    <w:p w:rsidR="00C6574F" w:rsidRPr="00053C90" w:rsidRDefault="0066179A" w:rsidP="007C19A7">
      <w:pPr>
        <w:spacing w:after="0"/>
        <w:contextualSpacing/>
        <w:rPr>
          <w:rFonts w:eastAsia="Times New Roman"/>
          <w:color w:val="222222"/>
          <w:szCs w:val="24"/>
          <w:lang w:val="en-US"/>
        </w:rPr>
      </w:pPr>
      <w:r w:rsidRPr="00053C90">
        <w:rPr>
          <w:rFonts w:eastAsia="Times New Roman"/>
          <w:color w:val="222222"/>
          <w:szCs w:val="24"/>
          <w:lang w:val="en-US"/>
        </w:rPr>
        <w:t xml:space="preserve">Firth, M. 1980. </w:t>
      </w:r>
      <w:r w:rsidR="00C6574F" w:rsidRPr="00053C90">
        <w:rPr>
          <w:rFonts w:eastAsia="Times New Roman"/>
          <w:i/>
          <w:color w:val="222222"/>
          <w:szCs w:val="24"/>
          <w:lang w:val="en-US"/>
        </w:rPr>
        <w:t>Takeovers, shareholder returns, and the theory of the firm</w:t>
      </w:r>
      <w:r w:rsidRPr="00053C90">
        <w:rPr>
          <w:rFonts w:eastAsia="Times New Roman"/>
          <w:color w:val="222222"/>
          <w:szCs w:val="24"/>
          <w:lang w:val="en-US"/>
        </w:rPr>
        <w:t>.</w:t>
      </w:r>
      <w:r w:rsidR="00C6574F" w:rsidRPr="00053C90">
        <w:rPr>
          <w:rFonts w:eastAsia="Times New Roman"/>
          <w:color w:val="222222"/>
          <w:szCs w:val="24"/>
          <w:lang w:val="en-US"/>
        </w:rPr>
        <w:t xml:space="preserve"> The Quarterly Journa</w:t>
      </w:r>
      <w:r w:rsidR="001E7BB5" w:rsidRPr="00053C90">
        <w:rPr>
          <w:rFonts w:eastAsia="Times New Roman"/>
          <w:color w:val="222222"/>
          <w:szCs w:val="24"/>
          <w:lang w:val="en-US"/>
        </w:rPr>
        <w:t xml:space="preserve">l of Economics, Vol. 94, </w:t>
      </w:r>
      <w:r w:rsidR="00C6574F" w:rsidRPr="00053C90">
        <w:rPr>
          <w:rFonts w:eastAsia="Times New Roman"/>
          <w:color w:val="222222"/>
          <w:szCs w:val="24"/>
          <w:lang w:val="en-US"/>
        </w:rPr>
        <w:t>235 – 260</w:t>
      </w:r>
      <w:r w:rsidR="001E7BB5" w:rsidRPr="00053C90">
        <w:rPr>
          <w:rFonts w:eastAsia="Times New Roman"/>
          <w:color w:val="222222"/>
          <w:szCs w:val="24"/>
          <w:lang w:val="en-US"/>
        </w:rPr>
        <w:t>.</w:t>
      </w:r>
    </w:p>
    <w:p w:rsidR="0037771D" w:rsidRPr="00053C90" w:rsidRDefault="0037771D" w:rsidP="007C19A7">
      <w:pPr>
        <w:spacing w:after="0"/>
        <w:contextualSpacing/>
        <w:rPr>
          <w:rFonts w:eastAsia="Times New Roman"/>
          <w:color w:val="222222"/>
          <w:szCs w:val="24"/>
          <w:lang w:val="en-US"/>
        </w:rPr>
      </w:pPr>
    </w:p>
    <w:p w:rsidR="0037771D" w:rsidRPr="00053C90" w:rsidRDefault="0037771D" w:rsidP="0037771D">
      <w:pPr>
        <w:spacing w:after="0" w:line="240" w:lineRule="auto"/>
        <w:rPr>
          <w:rFonts w:eastAsia="Times New Roman"/>
          <w:color w:val="000000"/>
          <w:szCs w:val="24"/>
          <w:lang w:val="en-US"/>
        </w:rPr>
      </w:pPr>
      <w:r w:rsidRPr="00053C90">
        <w:rPr>
          <w:rFonts w:eastAsia="Times New Roman"/>
          <w:color w:val="000000"/>
          <w:szCs w:val="24"/>
          <w:lang w:val="en-US"/>
        </w:rPr>
        <w:t xml:space="preserve">Fraser &amp; Ormiston. 2014. </w:t>
      </w:r>
      <w:r w:rsidRPr="00053C90">
        <w:rPr>
          <w:rFonts w:eastAsia="Times New Roman"/>
          <w:i/>
          <w:color w:val="000000"/>
          <w:szCs w:val="24"/>
          <w:lang w:val="en-US"/>
        </w:rPr>
        <w:t>Understanding financial statements</w:t>
      </w:r>
      <w:r w:rsidRPr="00053C90">
        <w:rPr>
          <w:rFonts w:eastAsia="Times New Roman"/>
          <w:color w:val="000000"/>
          <w:szCs w:val="24"/>
          <w:lang w:val="en-US"/>
        </w:rPr>
        <w:t>. 11</w:t>
      </w:r>
      <w:r w:rsidRPr="00053C90">
        <w:rPr>
          <w:rFonts w:eastAsia="Times New Roman"/>
          <w:color w:val="000000"/>
          <w:szCs w:val="24"/>
          <w:vertAlign w:val="superscript"/>
          <w:lang w:val="en-US"/>
        </w:rPr>
        <w:t>th</w:t>
      </w:r>
      <w:r w:rsidRPr="00053C90">
        <w:rPr>
          <w:rFonts w:eastAsia="Times New Roman"/>
          <w:color w:val="000000"/>
          <w:szCs w:val="24"/>
          <w:lang w:val="en-US"/>
        </w:rPr>
        <w:t xml:space="preserve"> edition. Pearson</w:t>
      </w:r>
    </w:p>
    <w:p w:rsidR="0021036A" w:rsidRPr="00053C90" w:rsidRDefault="0021036A" w:rsidP="007C19A7">
      <w:pPr>
        <w:spacing w:after="0"/>
        <w:rPr>
          <w:szCs w:val="24"/>
          <w:lang w:val="en-US"/>
        </w:rPr>
      </w:pPr>
    </w:p>
    <w:p w:rsidR="0021036A" w:rsidRPr="00053C90" w:rsidRDefault="0021036A" w:rsidP="0021036A">
      <w:pPr>
        <w:pStyle w:val="NormalWeb"/>
        <w:spacing w:before="0" w:beforeAutospacing="0" w:after="0" w:afterAutospacing="0"/>
      </w:pPr>
      <w:r w:rsidRPr="00053C90">
        <w:t xml:space="preserve">Gaughan, P. 2007. </w:t>
      </w:r>
      <w:r w:rsidRPr="00053C90">
        <w:rPr>
          <w:i/>
        </w:rPr>
        <w:t>Mergers, Acquisitions, and Corporate Restructuring.</w:t>
      </w:r>
      <w:r w:rsidRPr="00053C90">
        <w:t xml:space="preserve"> 4</w:t>
      </w:r>
      <w:r w:rsidRPr="00053C90">
        <w:rPr>
          <w:vertAlign w:val="superscript"/>
        </w:rPr>
        <w:t>th</w:t>
      </w:r>
      <w:r w:rsidRPr="00053C90">
        <w:t xml:space="preserve"> edition. John Wiley &amp; Sons Inc. Hoboken, New Jersey.</w:t>
      </w:r>
    </w:p>
    <w:p w:rsidR="005C0601" w:rsidRPr="00053C90" w:rsidRDefault="005C0601" w:rsidP="007C19A7">
      <w:pPr>
        <w:spacing w:after="0"/>
        <w:rPr>
          <w:szCs w:val="24"/>
          <w:lang w:val="en-US"/>
        </w:rPr>
      </w:pPr>
    </w:p>
    <w:p w:rsidR="00F50234" w:rsidRPr="00053C90" w:rsidRDefault="001E7BB5" w:rsidP="007C19A7">
      <w:pPr>
        <w:spacing w:after="0"/>
        <w:contextualSpacing/>
        <w:rPr>
          <w:szCs w:val="24"/>
          <w:lang w:val="en-US"/>
        </w:rPr>
      </w:pPr>
      <w:r w:rsidRPr="00053C90">
        <w:rPr>
          <w:szCs w:val="24"/>
          <w:lang w:val="en-US"/>
        </w:rPr>
        <w:t>Ghosh, A.</w:t>
      </w:r>
      <w:r w:rsidR="00F50234" w:rsidRPr="00053C90">
        <w:rPr>
          <w:szCs w:val="24"/>
          <w:lang w:val="en-US"/>
        </w:rPr>
        <w:t xml:space="preserve"> 2001. </w:t>
      </w:r>
      <w:r w:rsidR="00F50234" w:rsidRPr="00053C90">
        <w:rPr>
          <w:i/>
          <w:szCs w:val="24"/>
          <w:lang w:val="en-US"/>
        </w:rPr>
        <w:t>Does operating performance really improve following corporate acquisitions</w:t>
      </w:r>
      <w:r w:rsidR="00F50234" w:rsidRPr="00053C90">
        <w:rPr>
          <w:szCs w:val="24"/>
          <w:lang w:val="en-US"/>
        </w:rPr>
        <w:t>. Journal of Corporate Finance</w:t>
      </w:r>
      <w:r w:rsidRPr="00053C90">
        <w:rPr>
          <w:szCs w:val="24"/>
          <w:lang w:val="en-US"/>
        </w:rPr>
        <w:t xml:space="preserve"> Vol.</w:t>
      </w:r>
      <w:r w:rsidR="00F50234" w:rsidRPr="00053C90">
        <w:rPr>
          <w:szCs w:val="24"/>
          <w:lang w:val="en-US"/>
        </w:rPr>
        <w:t xml:space="preserve"> 7, 151–178.</w:t>
      </w:r>
    </w:p>
    <w:p w:rsidR="00F50234" w:rsidRPr="00053C90" w:rsidRDefault="00F50234" w:rsidP="007C19A7">
      <w:pPr>
        <w:spacing w:after="0"/>
        <w:contextualSpacing/>
        <w:rPr>
          <w:szCs w:val="24"/>
          <w:lang w:val="en-US"/>
        </w:rPr>
      </w:pPr>
    </w:p>
    <w:p w:rsidR="00F50234" w:rsidRPr="00053C90" w:rsidRDefault="00F50234" w:rsidP="007C19A7">
      <w:pPr>
        <w:spacing w:after="0"/>
        <w:contextualSpacing/>
        <w:rPr>
          <w:szCs w:val="24"/>
          <w:lang w:val="en-US"/>
        </w:rPr>
      </w:pPr>
      <w:r w:rsidRPr="00053C90">
        <w:rPr>
          <w:szCs w:val="24"/>
          <w:lang w:val="en-US"/>
        </w:rPr>
        <w:t>Healy, P., Palepu, K.,</w:t>
      </w:r>
      <w:r w:rsidR="00A50D3F" w:rsidRPr="00053C90">
        <w:rPr>
          <w:szCs w:val="24"/>
          <w:lang w:val="en-US"/>
        </w:rPr>
        <w:t xml:space="preserve"> &amp;</w:t>
      </w:r>
      <w:r w:rsidRPr="00053C90">
        <w:rPr>
          <w:szCs w:val="24"/>
          <w:lang w:val="en-US"/>
        </w:rPr>
        <w:t xml:space="preserve"> Ruback, R., 1992. </w:t>
      </w:r>
      <w:r w:rsidRPr="00053C90">
        <w:rPr>
          <w:i/>
          <w:szCs w:val="24"/>
          <w:lang w:val="en-US"/>
        </w:rPr>
        <w:t>Does corporate performance improve after mergers?</w:t>
      </w:r>
      <w:r w:rsidRPr="00053C90">
        <w:rPr>
          <w:szCs w:val="24"/>
          <w:lang w:val="en-US"/>
        </w:rPr>
        <w:t xml:space="preserve"> Journal of Financial Economics</w:t>
      </w:r>
      <w:r w:rsidR="001E7BB5" w:rsidRPr="00053C90">
        <w:rPr>
          <w:szCs w:val="24"/>
          <w:lang w:val="en-US"/>
        </w:rPr>
        <w:t>, Vol.</w:t>
      </w:r>
      <w:r w:rsidRPr="00053C90">
        <w:rPr>
          <w:szCs w:val="24"/>
          <w:lang w:val="en-US"/>
        </w:rPr>
        <w:t xml:space="preserve"> 31, 135 – 175.</w:t>
      </w:r>
    </w:p>
    <w:p w:rsidR="00F50234" w:rsidRPr="00053C90" w:rsidRDefault="00F50234" w:rsidP="007C19A7">
      <w:pPr>
        <w:spacing w:after="0"/>
        <w:contextualSpacing/>
        <w:rPr>
          <w:szCs w:val="24"/>
          <w:lang w:val="en-US"/>
        </w:rPr>
      </w:pPr>
    </w:p>
    <w:p w:rsidR="005C0601" w:rsidRPr="00053C90" w:rsidRDefault="005C0601" w:rsidP="007C19A7">
      <w:pPr>
        <w:spacing w:after="0"/>
        <w:contextualSpacing/>
        <w:rPr>
          <w:szCs w:val="24"/>
          <w:lang w:val="en-US"/>
        </w:rPr>
      </w:pPr>
    </w:p>
    <w:p w:rsidR="00A9436F" w:rsidRPr="00053C90" w:rsidRDefault="00A9436F" w:rsidP="007C19A7">
      <w:pPr>
        <w:spacing w:after="0"/>
        <w:contextualSpacing/>
        <w:rPr>
          <w:szCs w:val="24"/>
          <w:lang w:val="en-US"/>
        </w:rPr>
      </w:pPr>
      <w:r w:rsidRPr="00053C90">
        <w:rPr>
          <w:szCs w:val="24"/>
          <w:lang w:val="en-US"/>
        </w:rPr>
        <w:t>Hitt, M.,</w:t>
      </w:r>
      <w:r w:rsidR="00DF242B" w:rsidRPr="00053C90">
        <w:rPr>
          <w:szCs w:val="24"/>
          <w:lang w:val="en-US"/>
        </w:rPr>
        <w:t xml:space="preserve"> &amp;</w:t>
      </w:r>
      <w:r w:rsidRPr="00053C90">
        <w:rPr>
          <w:szCs w:val="24"/>
          <w:lang w:val="en-US"/>
        </w:rPr>
        <w:t xml:space="preserve"> Pisano</w:t>
      </w:r>
      <w:r w:rsidR="001E7BB5" w:rsidRPr="00053C90">
        <w:rPr>
          <w:szCs w:val="24"/>
          <w:lang w:val="en-US"/>
        </w:rPr>
        <w:t>, V.</w:t>
      </w:r>
      <w:r w:rsidR="00DF242B" w:rsidRPr="00053C90">
        <w:rPr>
          <w:szCs w:val="24"/>
          <w:lang w:val="en-US"/>
        </w:rPr>
        <w:t xml:space="preserve"> 2003</w:t>
      </w:r>
      <w:r w:rsidRPr="00053C90">
        <w:rPr>
          <w:szCs w:val="24"/>
          <w:lang w:val="en-US"/>
        </w:rPr>
        <w:t xml:space="preserve">. </w:t>
      </w:r>
      <w:r w:rsidR="00DF242B" w:rsidRPr="00053C90">
        <w:rPr>
          <w:i/>
          <w:szCs w:val="24"/>
          <w:lang w:val="en-US"/>
        </w:rPr>
        <w:t>The Cross-Border Merger and Acquisition Strategy: A Research Perspective.</w:t>
      </w:r>
      <w:r w:rsidRPr="00053C90">
        <w:rPr>
          <w:szCs w:val="24"/>
          <w:lang w:val="en-US"/>
        </w:rPr>
        <w:t xml:space="preserve"> </w:t>
      </w:r>
      <w:r w:rsidR="00DF242B" w:rsidRPr="00053C90">
        <w:rPr>
          <w:szCs w:val="24"/>
          <w:lang w:val="en-US"/>
        </w:rPr>
        <w:t xml:space="preserve">Management Research: Journal of the Iberoamerican Academy </w:t>
      </w:r>
      <w:r w:rsidR="001E7BB5" w:rsidRPr="00053C90">
        <w:rPr>
          <w:szCs w:val="24"/>
          <w:lang w:val="en-US"/>
        </w:rPr>
        <w:t xml:space="preserve">of Management, Vol. 1, </w:t>
      </w:r>
      <w:r w:rsidR="00DF242B" w:rsidRPr="00053C90">
        <w:rPr>
          <w:szCs w:val="24"/>
          <w:lang w:val="en-US"/>
        </w:rPr>
        <w:t>133 – 144</w:t>
      </w:r>
      <w:r w:rsidR="001E7BB5" w:rsidRPr="00053C90">
        <w:rPr>
          <w:szCs w:val="24"/>
          <w:lang w:val="en-US"/>
        </w:rPr>
        <w:t>.</w:t>
      </w:r>
    </w:p>
    <w:p w:rsidR="00756B1A" w:rsidRPr="00053C90" w:rsidRDefault="00756B1A" w:rsidP="007C19A7">
      <w:pPr>
        <w:spacing w:after="0"/>
        <w:contextualSpacing/>
        <w:rPr>
          <w:szCs w:val="24"/>
          <w:lang w:val="en-US"/>
        </w:rPr>
      </w:pPr>
    </w:p>
    <w:p w:rsidR="00756B1A" w:rsidRPr="007E4847" w:rsidRDefault="00756B1A" w:rsidP="007C19A7">
      <w:pPr>
        <w:spacing w:after="0"/>
        <w:contextualSpacing/>
        <w:rPr>
          <w:i/>
          <w:szCs w:val="24"/>
        </w:rPr>
      </w:pPr>
      <w:r w:rsidRPr="007E4847">
        <w:rPr>
          <w:szCs w:val="24"/>
        </w:rPr>
        <w:t xml:space="preserve">Jacobsen, D-I. 2002. </w:t>
      </w:r>
      <w:r w:rsidRPr="007E4847">
        <w:rPr>
          <w:i/>
          <w:szCs w:val="24"/>
        </w:rPr>
        <w:t>Vad, hur och varför? : Om metodval i företagsekonomi och andra</w:t>
      </w:r>
    </w:p>
    <w:p w:rsidR="00756B1A" w:rsidRPr="007E4847" w:rsidRDefault="00756B1A" w:rsidP="007C19A7">
      <w:pPr>
        <w:spacing w:after="0"/>
        <w:contextualSpacing/>
        <w:rPr>
          <w:szCs w:val="24"/>
        </w:rPr>
      </w:pPr>
      <w:r w:rsidRPr="007E4847">
        <w:rPr>
          <w:i/>
          <w:szCs w:val="24"/>
        </w:rPr>
        <w:t>samhällsekonomiska ämnen</w:t>
      </w:r>
      <w:r w:rsidR="001E7BB5" w:rsidRPr="007E4847">
        <w:rPr>
          <w:szCs w:val="24"/>
        </w:rPr>
        <w:t>.</w:t>
      </w:r>
      <w:r w:rsidRPr="007E4847">
        <w:rPr>
          <w:szCs w:val="24"/>
        </w:rPr>
        <w:t xml:space="preserve"> Lund: Studentlitteratur</w:t>
      </w:r>
      <w:r w:rsidR="001E7BB5" w:rsidRPr="007E4847">
        <w:rPr>
          <w:szCs w:val="24"/>
        </w:rPr>
        <w:t>.</w:t>
      </w:r>
    </w:p>
    <w:p w:rsidR="00A376A2" w:rsidRPr="007E4847" w:rsidRDefault="00A376A2" w:rsidP="007C19A7">
      <w:pPr>
        <w:spacing w:after="0"/>
        <w:contextualSpacing/>
        <w:rPr>
          <w:szCs w:val="24"/>
        </w:rPr>
      </w:pPr>
    </w:p>
    <w:p w:rsidR="00A376A2" w:rsidRPr="00053C90" w:rsidRDefault="001E7BB5" w:rsidP="007C19A7">
      <w:pPr>
        <w:autoSpaceDE w:val="0"/>
        <w:autoSpaceDN w:val="0"/>
        <w:adjustRightInd w:val="0"/>
        <w:spacing w:after="0" w:line="240" w:lineRule="auto"/>
        <w:rPr>
          <w:szCs w:val="24"/>
          <w:lang w:val="en-US"/>
        </w:rPr>
      </w:pPr>
      <w:r w:rsidRPr="007E4847">
        <w:rPr>
          <w:szCs w:val="24"/>
        </w:rPr>
        <w:t>Jensen, M.</w:t>
      </w:r>
      <w:r w:rsidR="0037771D" w:rsidRPr="007E4847">
        <w:rPr>
          <w:szCs w:val="24"/>
        </w:rPr>
        <w:t xml:space="preserve"> </w:t>
      </w:r>
      <w:r w:rsidR="00A376A2" w:rsidRPr="007E4847">
        <w:rPr>
          <w:szCs w:val="24"/>
        </w:rPr>
        <w:t xml:space="preserve">1986. </w:t>
      </w:r>
      <w:r w:rsidR="00A376A2" w:rsidRPr="00053C90">
        <w:rPr>
          <w:i/>
          <w:szCs w:val="24"/>
          <w:lang w:val="en-US"/>
        </w:rPr>
        <w:t>Agency costs of free cash flow, corporate finance and takeovers</w:t>
      </w:r>
      <w:r w:rsidR="00A376A2" w:rsidRPr="00053C90">
        <w:rPr>
          <w:szCs w:val="24"/>
          <w:lang w:val="en-US"/>
        </w:rPr>
        <w:t xml:space="preserve">. </w:t>
      </w:r>
    </w:p>
    <w:p w:rsidR="00A376A2" w:rsidRPr="00053C90" w:rsidRDefault="00A376A2" w:rsidP="007C19A7">
      <w:pPr>
        <w:autoSpaceDE w:val="0"/>
        <w:autoSpaceDN w:val="0"/>
        <w:adjustRightInd w:val="0"/>
        <w:spacing w:after="0" w:line="240" w:lineRule="auto"/>
        <w:rPr>
          <w:szCs w:val="24"/>
          <w:lang w:val="en-US"/>
        </w:rPr>
      </w:pPr>
      <w:r w:rsidRPr="00053C90">
        <w:rPr>
          <w:szCs w:val="24"/>
          <w:lang w:val="en-US"/>
        </w:rPr>
        <w:t xml:space="preserve">American Economic Review </w:t>
      </w:r>
      <w:r w:rsidR="001E7BB5" w:rsidRPr="00053C90">
        <w:rPr>
          <w:szCs w:val="24"/>
          <w:lang w:val="en-US"/>
        </w:rPr>
        <w:t xml:space="preserve">Papers and Proceedings, Vol. 76, </w:t>
      </w:r>
      <w:r w:rsidRPr="00053C90">
        <w:rPr>
          <w:szCs w:val="24"/>
          <w:lang w:val="en-US"/>
        </w:rPr>
        <w:t xml:space="preserve">323-329.  </w:t>
      </w:r>
    </w:p>
    <w:p w:rsidR="001416DD" w:rsidRPr="00053C90" w:rsidRDefault="001416DD" w:rsidP="007C19A7">
      <w:pPr>
        <w:spacing w:after="0"/>
        <w:contextualSpacing/>
        <w:rPr>
          <w:szCs w:val="24"/>
          <w:lang w:val="en-US"/>
        </w:rPr>
      </w:pPr>
    </w:p>
    <w:p w:rsidR="001416DD" w:rsidRPr="00053C90" w:rsidRDefault="004D3737" w:rsidP="007C19A7">
      <w:pPr>
        <w:pStyle w:val="FootnoteText"/>
        <w:rPr>
          <w:sz w:val="24"/>
          <w:szCs w:val="24"/>
          <w:lang w:val="en-US"/>
        </w:rPr>
      </w:pPr>
      <w:r w:rsidRPr="00053C90">
        <w:rPr>
          <w:sz w:val="24"/>
          <w:szCs w:val="24"/>
          <w:lang w:val="en-US"/>
        </w:rPr>
        <w:t>Jensen, M., &amp;</w:t>
      </w:r>
      <w:r w:rsidR="001416DD" w:rsidRPr="00053C90">
        <w:rPr>
          <w:sz w:val="24"/>
          <w:szCs w:val="24"/>
          <w:lang w:val="en-US"/>
        </w:rPr>
        <w:t xml:space="preserve"> Meckling, W. 1976. </w:t>
      </w:r>
      <w:r w:rsidR="001416DD" w:rsidRPr="00053C90">
        <w:rPr>
          <w:i/>
          <w:sz w:val="24"/>
          <w:szCs w:val="24"/>
          <w:lang w:val="en-US"/>
        </w:rPr>
        <w:t>Theory of the Firm: Managerial Behaviour, Agency Costs and Ownership Structure</w:t>
      </w:r>
      <w:r w:rsidR="001416DD" w:rsidRPr="00053C90">
        <w:rPr>
          <w:sz w:val="24"/>
          <w:szCs w:val="24"/>
          <w:lang w:val="en-US"/>
        </w:rPr>
        <w:t>. Journal of Financial Economics</w:t>
      </w:r>
      <w:r w:rsidR="001E7BB5" w:rsidRPr="00053C90">
        <w:rPr>
          <w:sz w:val="24"/>
          <w:szCs w:val="24"/>
          <w:lang w:val="en-US"/>
        </w:rPr>
        <w:t>,</w:t>
      </w:r>
      <w:r w:rsidR="001416DD" w:rsidRPr="00053C90">
        <w:rPr>
          <w:sz w:val="24"/>
          <w:szCs w:val="24"/>
          <w:lang w:val="en-US"/>
        </w:rPr>
        <w:t xml:space="preserve"> Vol</w:t>
      </w:r>
      <w:r w:rsidR="001E7BB5" w:rsidRPr="00053C90">
        <w:rPr>
          <w:sz w:val="24"/>
          <w:szCs w:val="24"/>
          <w:lang w:val="en-US"/>
        </w:rPr>
        <w:t>.</w:t>
      </w:r>
      <w:r w:rsidR="001416DD" w:rsidRPr="00053C90">
        <w:rPr>
          <w:sz w:val="24"/>
          <w:szCs w:val="24"/>
          <w:lang w:val="en-US"/>
        </w:rPr>
        <w:t xml:space="preserve"> </w:t>
      </w:r>
      <w:r w:rsidR="001E7BB5" w:rsidRPr="00053C90">
        <w:rPr>
          <w:sz w:val="24"/>
          <w:szCs w:val="24"/>
          <w:lang w:val="en-US"/>
        </w:rPr>
        <w:t>3</w:t>
      </w:r>
      <w:r w:rsidR="001416DD" w:rsidRPr="00053C90">
        <w:rPr>
          <w:sz w:val="24"/>
          <w:szCs w:val="24"/>
          <w:lang w:val="en-US"/>
        </w:rPr>
        <w:t>, 305-360.</w:t>
      </w:r>
    </w:p>
    <w:p w:rsidR="00DF242B" w:rsidRPr="00053C90" w:rsidRDefault="00DF242B" w:rsidP="007C19A7">
      <w:pPr>
        <w:spacing w:after="0"/>
        <w:contextualSpacing/>
        <w:rPr>
          <w:szCs w:val="24"/>
          <w:lang w:val="en-US"/>
        </w:rPr>
      </w:pPr>
    </w:p>
    <w:p w:rsidR="00DF242B" w:rsidRPr="00053C90" w:rsidRDefault="007044A9" w:rsidP="007C19A7">
      <w:pPr>
        <w:autoSpaceDE w:val="0"/>
        <w:autoSpaceDN w:val="0"/>
        <w:adjustRightInd w:val="0"/>
        <w:spacing w:after="0" w:line="240" w:lineRule="auto"/>
        <w:rPr>
          <w:szCs w:val="24"/>
          <w:lang w:val="en-US"/>
        </w:rPr>
      </w:pPr>
      <w:r w:rsidRPr="00053C90">
        <w:rPr>
          <w:szCs w:val="24"/>
          <w:lang w:val="en-US"/>
        </w:rPr>
        <w:t>Kang, J</w:t>
      </w:r>
      <w:r w:rsidR="00DF242B" w:rsidRPr="00053C90">
        <w:rPr>
          <w:szCs w:val="24"/>
          <w:lang w:val="en-US"/>
        </w:rPr>
        <w:t xml:space="preserve">. 1993. </w:t>
      </w:r>
      <w:r w:rsidR="00DF242B" w:rsidRPr="00053C90">
        <w:rPr>
          <w:i/>
          <w:szCs w:val="24"/>
          <w:lang w:val="en-US"/>
        </w:rPr>
        <w:t>The International Market for Corporate Control: Mergers and Acquisitions of US Finns by Japanese Firms</w:t>
      </w:r>
      <w:r w:rsidR="001E7BB5" w:rsidRPr="00053C90">
        <w:rPr>
          <w:szCs w:val="24"/>
          <w:lang w:val="en-US"/>
        </w:rPr>
        <w:t>.</w:t>
      </w:r>
      <w:r w:rsidR="00DF242B" w:rsidRPr="00053C90">
        <w:rPr>
          <w:szCs w:val="24"/>
          <w:lang w:val="en-US"/>
        </w:rPr>
        <w:t xml:space="preserve"> </w:t>
      </w:r>
      <w:r w:rsidR="00DF242B" w:rsidRPr="00053C90">
        <w:rPr>
          <w:iCs/>
          <w:szCs w:val="24"/>
          <w:lang w:val="en-US"/>
        </w:rPr>
        <w:t>Journal of Financial Economics</w:t>
      </w:r>
      <w:r w:rsidR="001E7BB5" w:rsidRPr="00053C90">
        <w:rPr>
          <w:iCs/>
          <w:szCs w:val="24"/>
          <w:lang w:val="en-US"/>
        </w:rPr>
        <w:t>,</w:t>
      </w:r>
      <w:r w:rsidR="001E7BB5" w:rsidRPr="00053C90">
        <w:rPr>
          <w:i/>
          <w:iCs/>
          <w:szCs w:val="24"/>
          <w:lang w:val="en-US"/>
        </w:rPr>
        <w:t xml:space="preserve"> </w:t>
      </w:r>
      <w:r w:rsidR="001E7BB5" w:rsidRPr="00053C90">
        <w:rPr>
          <w:iCs/>
          <w:szCs w:val="24"/>
          <w:lang w:val="en-US"/>
        </w:rPr>
        <w:t>Vol.</w:t>
      </w:r>
      <w:r w:rsidR="00DF242B" w:rsidRPr="00053C90">
        <w:rPr>
          <w:i/>
          <w:iCs/>
          <w:szCs w:val="24"/>
          <w:lang w:val="en-US"/>
        </w:rPr>
        <w:t xml:space="preserve"> </w:t>
      </w:r>
      <w:r w:rsidR="00DF242B" w:rsidRPr="00053C90">
        <w:rPr>
          <w:szCs w:val="24"/>
          <w:lang w:val="en-US"/>
        </w:rPr>
        <w:t>34,</w:t>
      </w:r>
      <w:r w:rsidR="001E7BB5" w:rsidRPr="00053C90">
        <w:rPr>
          <w:szCs w:val="24"/>
          <w:lang w:val="en-US"/>
        </w:rPr>
        <w:t xml:space="preserve"> </w:t>
      </w:r>
      <w:r w:rsidR="00DF242B" w:rsidRPr="00053C90">
        <w:rPr>
          <w:szCs w:val="24"/>
          <w:lang w:val="en-US"/>
        </w:rPr>
        <w:t>345-371.</w:t>
      </w:r>
    </w:p>
    <w:p w:rsidR="00DF242B" w:rsidRPr="00053C90" w:rsidRDefault="00DF242B" w:rsidP="007C19A7">
      <w:pPr>
        <w:autoSpaceDE w:val="0"/>
        <w:autoSpaceDN w:val="0"/>
        <w:adjustRightInd w:val="0"/>
        <w:spacing w:after="0" w:line="240" w:lineRule="auto"/>
        <w:rPr>
          <w:szCs w:val="24"/>
          <w:lang w:val="en-US"/>
        </w:rPr>
      </w:pPr>
    </w:p>
    <w:p w:rsidR="00F50234" w:rsidRPr="00286008" w:rsidRDefault="00F50234" w:rsidP="007C19A7">
      <w:pPr>
        <w:spacing w:after="0"/>
        <w:contextualSpacing/>
        <w:rPr>
          <w:szCs w:val="24"/>
          <w:lang w:val="de-DE"/>
        </w:rPr>
      </w:pPr>
      <w:r w:rsidRPr="00053C90">
        <w:rPr>
          <w:szCs w:val="24"/>
          <w:lang w:val="en-US"/>
        </w:rPr>
        <w:t>King, D., Dalton,</w:t>
      </w:r>
      <w:r w:rsidR="007044A9" w:rsidRPr="00053C90">
        <w:rPr>
          <w:szCs w:val="24"/>
          <w:lang w:val="en-US"/>
        </w:rPr>
        <w:t xml:space="preserve"> D.,</w:t>
      </w:r>
      <w:r w:rsidR="0009673F" w:rsidRPr="00053C90">
        <w:rPr>
          <w:szCs w:val="24"/>
          <w:lang w:val="en-US"/>
        </w:rPr>
        <w:t xml:space="preserve"> Daily</w:t>
      </w:r>
      <w:r w:rsidR="007044A9" w:rsidRPr="00053C90">
        <w:rPr>
          <w:szCs w:val="24"/>
          <w:lang w:val="en-US"/>
        </w:rPr>
        <w:t>, C.,</w:t>
      </w:r>
      <w:r w:rsidR="0009673F" w:rsidRPr="00053C90">
        <w:rPr>
          <w:szCs w:val="24"/>
          <w:lang w:val="en-US"/>
        </w:rPr>
        <w:t xml:space="preserve"> </w:t>
      </w:r>
      <w:r w:rsidR="007044A9" w:rsidRPr="00053C90">
        <w:rPr>
          <w:szCs w:val="24"/>
          <w:lang w:val="en-US"/>
        </w:rPr>
        <w:t>&amp;</w:t>
      </w:r>
      <w:r w:rsidR="0009673F" w:rsidRPr="00053C90">
        <w:rPr>
          <w:szCs w:val="24"/>
          <w:lang w:val="en-US"/>
        </w:rPr>
        <w:t xml:space="preserve"> </w:t>
      </w:r>
      <w:r w:rsidR="007044A9" w:rsidRPr="00053C90">
        <w:rPr>
          <w:szCs w:val="24"/>
          <w:lang w:val="en-US"/>
        </w:rPr>
        <w:t>Covin, J.</w:t>
      </w:r>
      <w:r w:rsidR="0009673F" w:rsidRPr="00053C90">
        <w:rPr>
          <w:szCs w:val="24"/>
          <w:lang w:val="en-US"/>
        </w:rPr>
        <w:t xml:space="preserve"> 2004</w:t>
      </w:r>
      <w:r w:rsidR="0066179A" w:rsidRPr="00053C90">
        <w:rPr>
          <w:szCs w:val="24"/>
          <w:lang w:val="en-US"/>
        </w:rPr>
        <w:t xml:space="preserve">. </w:t>
      </w:r>
      <w:r w:rsidRPr="00053C90">
        <w:rPr>
          <w:i/>
          <w:szCs w:val="24"/>
          <w:lang w:val="en-US"/>
        </w:rPr>
        <w:t>Meta-Analyses of Post-Acquisition Performance: Indications of Unidentiﬁ</w:t>
      </w:r>
      <w:r w:rsidR="0066179A" w:rsidRPr="00053C90">
        <w:rPr>
          <w:i/>
          <w:szCs w:val="24"/>
          <w:lang w:val="en-US"/>
        </w:rPr>
        <w:t>ed Moderators</w:t>
      </w:r>
      <w:r w:rsidR="0066179A" w:rsidRPr="00053C90">
        <w:rPr>
          <w:szCs w:val="24"/>
          <w:lang w:val="en-US"/>
        </w:rPr>
        <w:t>.</w:t>
      </w:r>
      <w:r w:rsidRPr="00053C90">
        <w:rPr>
          <w:szCs w:val="24"/>
          <w:lang w:val="en-US"/>
        </w:rPr>
        <w:t xml:space="preserve"> </w:t>
      </w:r>
      <w:r w:rsidRPr="00286008">
        <w:rPr>
          <w:szCs w:val="24"/>
          <w:lang w:val="de-DE"/>
        </w:rPr>
        <w:t>Str</w:t>
      </w:r>
      <w:r w:rsidR="001E7BB5" w:rsidRPr="00286008">
        <w:rPr>
          <w:szCs w:val="24"/>
          <w:lang w:val="de-DE"/>
        </w:rPr>
        <w:t>ategic Management Journal, Vol. 25,</w:t>
      </w:r>
      <w:r w:rsidRPr="00286008">
        <w:rPr>
          <w:szCs w:val="24"/>
          <w:lang w:val="de-DE"/>
        </w:rPr>
        <w:t xml:space="preserve"> 187–200.</w:t>
      </w:r>
    </w:p>
    <w:p w:rsidR="00293A80" w:rsidRPr="00053C90" w:rsidRDefault="00293A80" w:rsidP="007C19A7">
      <w:pPr>
        <w:spacing w:after="0"/>
        <w:contextualSpacing/>
        <w:rPr>
          <w:i/>
          <w:szCs w:val="24"/>
          <w:lang w:val="en-US"/>
        </w:rPr>
      </w:pPr>
      <w:r w:rsidRPr="00286008">
        <w:rPr>
          <w:szCs w:val="24"/>
          <w:lang w:val="de-DE"/>
        </w:rPr>
        <w:br/>
        <w:t xml:space="preserve">Koller, T., Goodhart, M., &amp; Wessels, D. 2010. </w:t>
      </w:r>
      <w:r w:rsidRPr="00053C90">
        <w:rPr>
          <w:i/>
          <w:szCs w:val="24"/>
          <w:lang w:val="en-US"/>
        </w:rPr>
        <w:t xml:space="preserve">Valuation: Measuring and Managing the Value of Companies. </w:t>
      </w:r>
      <w:r w:rsidRPr="00053C90">
        <w:rPr>
          <w:szCs w:val="24"/>
          <w:lang w:val="en-US"/>
        </w:rPr>
        <w:t>5</w:t>
      </w:r>
      <w:r w:rsidRPr="00053C90">
        <w:rPr>
          <w:szCs w:val="24"/>
          <w:vertAlign w:val="superscript"/>
          <w:lang w:val="en-US"/>
        </w:rPr>
        <w:t>th</w:t>
      </w:r>
      <w:r w:rsidRPr="00053C90">
        <w:rPr>
          <w:szCs w:val="24"/>
          <w:lang w:val="en-US"/>
        </w:rPr>
        <w:t xml:space="preserve"> edition.</w:t>
      </w:r>
      <w:r w:rsidR="001E7BB5" w:rsidRPr="00053C90">
        <w:rPr>
          <w:szCs w:val="24"/>
          <w:lang w:val="en-US"/>
        </w:rPr>
        <w:t xml:space="preserve"> </w:t>
      </w:r>
    </w:p>
    <w:p w:rsidR="00F50234" w:rsidRPr="00053C90" w:rsidRDefault="00F50234" w:rsidP="007C19A7">
      <w:pPr>
        <w:spacing w:after="0"/>
        <w:contextualSpacing/>
        <w:rPr>
          <w:szCs w:val="24"/>
          <w:lang w:val="en-US"/>
        </w:rPr>
      </w:pPr>
    </w:p>
    <w:p w:rsidR="00B2143B" w:rsidRPr="00053C90" w:rsidRDefault="004D3737" w:rsidP="007C19A7">
      <w:pPr>
        <w:pStyle w:val="FootnoteText"/>
        <w:rPr>
          <w:sz w:val="24"/>
          <w:szCs w:val="24"/>
          <w:lang w:val="en-US"/>
        </w:rPr>
      </w:pPr>
      <w:r w:rsidRPr="00053C90">
        <w:rPr>
          <w:sz w:val="24"/>
          <w:szCs w:val="24"/>
          <w:lang w:val="en-US"/>
        </w:rPr>
        <w:t>Kothari, S.P. &amp;</w:t>
      </w:r>
      <w:r w:rsidR="0009673F" w:rsidRPr="00053C90">
        <w:rPr>
          <w:sz w:val="24"/>
          <w:szCs w:val="24"/>
          <w:lang w:val="en-US"/>
        </w:rPr>
        <w:t xml:space="preserve"> Warner, J.B. 1997.</w:t>
      </w:r>
      <w:r w:rsidR="00B2143B" w:rsidRPr="00053C90">
        <w:rPr>
          <w:sz w:val="24"/>
          <w:szCs w:val="24"/>
          <w:lang w:val="en-US"/>
        </w:rPr>
        <w:t xml:space="preserve"> </w:t>
      </w:r>
      <w:r w:rsidR="00B2143B" w:rsidRPr="00053C90">
        <w:rPr>
          <w:i/>
          <w:sz w:val="24"/>
          <w:szCs w:val="24"/>
          <w:lang w:val="en-US"/>
        </w:rPr>
        <w:t>Measuring Long-Horizon Security Price Performance</w:t>
      </w:r>
      <w:r w:rsidR="0009673F" w:rsidRPr="00053C90">
        <w:rPr>
          <w:sz w:val="24"/>
          <w:szCs w:val="24"/>
          <w:lang w:val="en-US"/>
        </w:rPr>
        <w:t>.</w:t>
      </w:r>
      <w:r w:rsidR="00B2143B" w:rsidRPr="00053C90">
        <w:rPr>
          <w:sz w:val="24"/>
          <w:szCs w:val="24"/>
          <w:lang w:val="en-US"/>
        </w:rPr>
        <w:t xml:space="preserve"> Journal of Financ</w:t>
      </w:r>
      <w:r w:rsidR="00A9436F" w:rsidRPr="00053C90">
        <w:rPr>
          <w:sz w:val="24"/>
          <w:szCs w:val="24"/>
          <w:lang w:val="en-US"/>
        </w:rPr>
        <w:t>ial Economics,</w:t>
      </w:r>
      <w:r w:rsidR="001E7BB5" w:rsidRPr="00053C90">
        <w:rPr>
          <w:sz w:val="24"/>
          <w:szCs w:val="24"/>
          <w:lang w:val="en-US"/>
        </w:rPr>
        <w:t xml:space="preserve"> Vol.</w:t>
      </w:r>
      <w:r w:rsidR="00A9436F" w:rsidRPr="00053C90">
        <w:rPr>
          <w:sz w:val="24"/>
          <w:szCs w:val="24"/>
          <w:lang w:val="en-US"/>
        </w:rPr>
        <w:t xml:space="preserve"> </w:t>
      </w:r>
      <w:r w:rsidR="00B2143B" w:rsidRPr="00053C90">
        <w:rPr>
          <w:sz w:val="24"/>
          <w:szCs w:val="24"/>
          <w:lang w:val="en-US"/>
        </w:rPr>
        <w:t>43, 301-339</w:t>
      </w:r>
      <w:r w:rsidR="001E7BB5" w:rsidRPr="00053C90">
        <w:rPr>
          <w:sz w:val="24"/>
          <w:szCs w:val="24"/>
          <w:lang w:val="en-US"/>
        </w:rPr>
        <w:t>.</w:t>
      </w:r>
    </w:p>
    <w:p w:rsidR="0021036A" w:rsidRPr="00053C90" w:rsidRDefault="0021036A" w:rsidP="007C19A7">
      <w:pPr>
        <w:pStyle w:val="FootnoteText"/>
        <w:rPr>
          <w:sz w:val="24"/>
          <w:szCs w:val="24"/>
          <w:lang w:val="en-US"/>
        </w:rPr>
      </w:pPr>
    </w:p>
    <w:p w:rsidR="0021036A" w:rsidRPr="00053C90" w:rsidRDefault="0021036A" w:rsidP="0021036A">
      <w:pPr>
        <w:spacing w:after="0"/>
        <w:rPr>
          <w:szCs w:val="24"/>
          <w:lang w:val="en-US"/>
        </w:rPr>
      </w:pPr>
      <w:r w:rsidRPr="00053C90">
        <w:rPr>
          <w:szCs w:val="24"/>
          <w:lang w:val="en-US"/>
        </w:rPr>
        <w:t xml:space="preserve">Körner, S., &amp; Wahlgren, L. 2006. </w:t>
      </w:r>
      <w:r w:rsidRPr="00053C90">
        <w:rPr>
          <w:i/>
          <w:szCs w:val="24"/>
          <w:lang w:val="en-US"/>
        </w:rPr>
        <w:t xml:space="preserve">Statistisk Dataanalys. </w:t>
      </w:r>
      <w:r w:rsidRPr="00053C90">
        <w:rPr>
          <w:szCs w:val="24"/>
          <w:lang w:val="en-US"/>
        </w:rPr>
        <w:t>4</w:t>
      </w:r>
      <w:r w:rsidRPr="00053C90">
        <w:rPr>
          <w:szCs w:val="24"/>
          <w:vertAlign w:val="superscript"/>
          <w:lang w:val="en-US"/>
        </w:rPr>
        <w:t>th</w:t>
      </w:r>
      <w:r w:rsidRPr="00053C90">
        <w:rPr>
          <w:szCs w:val="24"/>
          <w:lang w:val="en-US"/>
        </w:rPr>
        <w:t xml:space="preserve"> edition. Lund, Studentlitteratur AB. </w:t>
      </w:r>
    </w:p>
    <w:p w:rsidR="00B2143B" w:rsidRPr="00053C90" w:rsidRDefault="00B2143B" w:rsidP="007C19A7">
      <w:pPr>
        <w:pStyle w:val="FootnoteText"/>
        <w:rPr>
          <w:sz w:val="24"/>
          <w:szCs w:val="24"/>
          <w:lang w:val="en-US"/>
        </w:rPr>
      </w:pPr>
    </w:p>
    <w:p w:rsidR="0039333F" w:rsidRPr="00053C90" w:rsidRDefault="0039333F" w:rsidP="007C19A7">
      <w:pPr>
        <w:pStyle w:val="FootnoteText"/>
        <w:rPr>
          <w:sz w:val="24"/>
          <w:szCs w:val="24"/>
          <w:lang w:val="en-US"/>
        </w:rPr>
      </w:pPr>
      <w:r w:rsidRPr="00053C90">
        <w:rPr>
          <w:sz w:val="24"/>
          <w:szCs w:val="24"/>
          <w:lang w:val="en-US"/>
        </w:rPr>
        <w:t>Lakonishok, J., Shleifer, A.,</w:t>
      </w:r>
      <w:r w:rsidR="001E7BB5" w:rsidRPr="00053C90">
        <w:rPr>
          <w:sz w:val="24"/>
          <w:szCs w:val="24"/>
          <w:lang w:val="en-US"/>
        </w:rPr>
        <w:t xml:space="preserve"> &amp;</w:t>
      </w:r>
      <w:r w:rsidR="0037771D" w:rsidRPr="00053C90">
        <w:rPr>
          <w:sz w:val="24"/>
          <w:szCs w:val="24"/>
          <w:lang w:val="en-US"/>
        </w:rPr>
        <w:t xml:space="preserve"> Vishny, R.W.</w:t>
      </w:r>
      <w:r w:rsidRPr="00053C90">
        <w:rPr>
          <w:sz w:val="24"/>
          <w:szCs w:val="24"/>
          <w:lang w:val="en-US"/>
        </w:rPr>
        <w:t xml:space="preserve"> 1994. </w:t>
      </w:r>
      <w:r w:rsidRPr="00053C90">
        <w:rPr>
          <w:i/>
          <w:sz w:val="24"/>
          <w:szCs w:val="24"/>
          <w:lang w:val="en-US"/>
        </w:rPr>
        <w:t>Contrarian investment, extrapolation, and risk</w:t>
      </w:r>
      <w:r w:rsidRPr="00053C90">
        <w:rPr>
          <w:sz w:val="24"/>
          <w:szCs w:val="24"/>
          <w:lang w:val="en-US"/>
        </w:rPr>
        <w:t>. Journal of Finance</w:t>
      </w:r>
      <w:r w:rsidR="001E7BB5" w:rsidRPr="00053C90">
        <w:rPr>
          <w:sz w:val="24"/>
          <w:szCs w:val="24"/>
          <w:lang w:val="en-US"/>
        </w:rPr>
        <w:t>, Vol.</w:t>
      </w:r>
      <w:r w:rsidRPr="00053C90">
        <w:rPr>
          <w:sz w:val="24"/>
          <w:szCs w:val="24"/>
          <w:lang w:val="en-US"/>
        </w:rPr>
        <w:t xml:space="preserve"> 49, 1541-1578.</w:t>
      </w:r>
    </w:p>
    <w:p w:rsidR="0039333F" w:rsidRPr="00053C90" w:rsidRDefault="0039333F" w:rsidP="007C19A7">
      <w:pPr>
        <w:spacing w:after="0"/>
        <w:rPr>
          <w:color w:val="000000"/>
          <w:szCs w:val="24"/>
          <w:lang w:val="en-US"/>
        </w:rPr>
      </w:pPr>
    </w:p>
    <w:p w:rsidR="00B2143B" w:rsidRPr="00053C90" w:rsidRDefault="00B2143B" w:rsidP="007C19A7">
      <w:pPr>
        <w:spacing w:after="0"/>
        <w:rPr>
          <w:color w:val="000000"/>
          <w:szCs w:val="24"/>
          <w:lang w:val="en-US"/>
        </w:rPr>
      </w:pPr>
      <w:r w:rsidRPr="00053C90">
        <w:rPr>
          <w:color w:val="000000"/>
          <w:szCs w:val="24"/>
          <w:lang w:val="en-US"/>
        </w:rPr>
        <w:t>Lien,</w:t>
      </w:r>
      <w:r w:rsidR="0009673F" w:rsidRPr="00053C90">
        <w:rPr>
          <w:color w:val="000000"/>
          <w:szCs w:val="24"/>
          <w:lang w:val="en-US"/>
        </w:rPr>
        <w:t xml:space="preserve"> D. &amp; Balakrishnan, N. 2005.</w:t>
      </w:r>
      <w:r w:rsidRPr="00053C90">
        <w:rPr>
          <w:color w:val="000000"/>
          <w:szCs w:val="24"/>
          <w:lang w:val="en-US"/>
        </w:rPr>
        <w:t xml:space="preserve"> </w:t>
      </w:r>
      <w:r w:rsidRPr="00053C90">
        <w:rPr>
          <w:i/>
          <w:color w:val="000000"/>
          <w:szCs w:val="24"/>
          <w:lang w:val="en-US"/>
        </w:rPr>
        <w:t>On Regression Analysis with Data Cleaning vid Trimming, Winsorization and Dichotomization</w:t>
      </w:r>
      <w:r w:rsidR="0009673F" w:rsidRPr="00053C90">
        <w:rPr>
          <w:color w:val="000000"/>
          <w:szCs w:val="24"/>
          <w:lang w:val="en-US"/>
        </w:rPr>
        <w:t>.</w:t>
      </w:r>
      <w:r w:rsidRPr="00053C90">
        <w:rPr>
          <w:color w:val="000000"/>
          <w:szCs w:val="24"/>
          <w:lang w:val="en-US"/>
        </w:rPr>
        <w:t xml:space="preserve"> Communications in Statistics – </w:t>
      </w:r>
      <w:r w:rsidR="00A9436F" w:rsidRPr="00053C90">
        <w:rPr>
          <w:color w:val="000000"/>
          <w:szCs w:val="24"/>
          <w:lang w:val="en-US"/>
        </w:rPr>
        <w:t>S</w:t>
      </w:r>
      <w:r w:rsidR="001E7BB5" w:rsidRPr="00053C90">
        <w:rPr>
          <w:color w:val="000000"/>
          <w:szCs w:val="24"/>
          <w:lang w:val="en-US"/>
        </w:rPr>
        <w:t xml:space="preserve">imulation and Computation, Vol. 34, </w:t>
      </w:r>
      <w:r w:rsidRPr="00053C90">
        <w:rPr>
          <w:color w:val="000000"/>
          <w:szCs w:val="24"/>
          <w:lang w:val="en-US"/>
        </w:rPr>
        <w:t>839-849</w:t>
      </w:r>
      <w:r w:rsidR="001E7BB5" w:rsidRPr="00053C90">
        <w:rPr>
          <w:color w:val="000000"/>
          <w:szCs w:val="24"/>
          <w:lang w:val="en-US"/>
        </w:rPr>
        <w:t>.</w:t>
      </w:r>
    </w:p>
    <w:p w:rsidR="00B2143B" w:rsidRPr="00053C90" w:rsidRDefault="00B2143B" w:rsidP="007C19A7">
      <w:pPr>
        <w:spacing w:after="0"/>
        <w:rPr>
          <w:szCs w:val="24"/>
          <w:lang w:val="en-US"/>
        </w:rPr>
      </w:pPr>
    </w:p>
    <w:p w:rsidR="003A16BA" w:rsidRPr="00053C90" w:rsidRDefault="003A16BA" w:rsidP="007C19A7">
      <w:pPr>
        <w:spacing w:after="0"/>
        <w:contextualSpacing/>
        <w:rPr>
          <w:i/>
          <w:szCs w:val="24"/>
          <w:lang w:val="en-US"/>
        </w:rPr>
      </w:pPr>
      <w:r w:rsidRPr="00053C90">
        <w:rPr>
          <w:szCs w:val="24"/>
          <w:lang w:val="en-US"/>
        </w:rPr>
        <w:t>Loughran, T.,</w:t>
      </w:r>
      <w:r w:rsidR="007044A9" w:rsidRPr="00053C90">
        <w:rPr>
          <w:szCs w:val="24"/>
          <w:lang w:val="en-US"/>
        </w:rPr>
        <w:t xml:space="preserve"> &amp;</w:t>
      </w:r>
      <w:r w:rsidR="001E7BB5" w:rsidRPr="00053C90">
        <w:rPr>
          <w:szCs w:val="24"/>
          <w:lang w:val="en-US"/>
        </w:rPr>
        <w:t xml:space="preserve"> Ritter, J.R.</w:t>
      </w:r>
      <w:r w:rsidRPr="00053C90">
        <w:rPr>
          <w:szCs w:val="24"/>
          <w:lang w:val="en-US"/>
        </w:rPr>
        <w:t xml:space="preserve"> 1997. </w:t>
      </w:r>
      <w:r w:rsidRPr="00053C90">
        <w:rPr>
          <w:i/>
          <w:szCs w:val="24"/>
          <w:lang w:val="en-US"/>
        </w:rPr>
        <w:t>The operating performance of firms conducting seasoned equity offerings</w:t>
      </w:r>
      <w:r w:rsidRPr="00053C90">
        <w:rPr>
          <w:szCs w:val="24"/>
          <w:lang w:val="en-US"/>
        </w:rPr>
        <w:t>. Journal of Finance</w:t>
      </w:r>
      <w:r w:rsidR="001E7BB5" w:rsidRPr="00053C90">
        <w:rPr>
          <w:szCs w:val="24"/>
          <w:lang w:val="en-US"/>
        </w:rPr>
        <w:t>, Vol.</w:t>
      </w:r>
      <w:r w:rsidRPr="00053C90">
        <w:rPr>
          <w:szCs w:val="24"/>
          <w:lang w:val="en-US"/>
        </w:rPr>
        <w:t xml:space="preserve"> 52, 1823–1850.</w:t>
      </w:r>
    </w:p>
    <w:p w:rsidR="003A16BA" w:rsidRPr="00053C90" w:rsidRDefault="003A16BA" w:rsidP="007C19A7">
      <w:pPr>
        <w:spacing w:after="0"/>
        <w:contextualSpacing/>
        <w:rPr>
          <w:szCs w:val="24"/>
          <w:lang w:val="en-US"/>
        </w:rPr>
      </w:pPr>
    </w:p>
    <w:p w:rsidR="00F50234" w:rsidRPr="00053C90" w:rsidRDefault="0009673F" w:rsidP="007C19A7">
      <w:pPr>
        <w:spacing w:after="0"/>
        <w:contextualSpacing/>
        <w:rPr>
          <w:szCs w:val="24"/>
          <w:lang w:val="en-US"/>
        </w:rPr>
      </w:pPr>
      <w:r w:rsidRPr="00053C90">
        <w:rPr>
          <w:szCs w:val="24"/>
          <w:lang w:val="en-US"/>
        </w:rPr>
        <w:t>Loughran, T. &amp; Vijh, M. 1997.</w:t>
      </w:r>
      <w:r w:rsidR="00F50234" w:rsidRPr="00053C90">
        <w:rPr>
          <w:szCs w:val="24"/>
          <w:lang w:val="en-US"/>
        </w:rPr>
        <w:t xml:space="preserve"> </w:t>
      </w:r>
      <w:r w:rsidR="00F50234" w:rsidRPr="00053C90">
        <w:rPr>
          <w:i/>
          <w:szCs w:val="24"/>
          <w:lang w:val="en-US"/>
        </w:rPr>
        <w:t>Do long-term shareholder benefit from corporate acquisitions?</w:t>
      </w:r>
      <w:r w:rsidRPr="00053C90">
        <w:rPr>
          <w:szCs w:val="24"/>
          <w:lang w:val="en-US"/>
        </w:rPr>
        <w:t xml:space="preserve"> The journal of Finance. </w:t>
      </w:r>
      <w:r w:rsidR="006A793D" w:rsidRPr="00053C90">
        <w:rPr>
          <w:szCs w:val="24"/>
          <w:lang w:val="en-US"/>
        </w:rPr>
        <w:t>Vol. 52, 1765-1790.</w:t>
      </w:r>
    </w:p>
    <w:p w:rsidR="00C6574F" w:rsidRPr="00053C90" w:rsidRDefault="00C6574F" w:rsidP="007C19A7">
      <w:pPr>
        <w:spacing w:after="0"/>
        <w:contextualSpacing/>
        <w:rPr>
          <w:szCs w:val="24"/>
          <w:lang w:val="en-US"/>
        </w:rPr>
      </w:pPr>
    </w:p>
    <w:p w:rsidR="00181CF6" w:rsidRPr="00053C90" w:rsidRDefault="001E7BB5" w:rsidP="007C19A7">
      <w:pPr>
        <w:spacing w:after="0"/>
        <w:rPr>
          <w:szCs w:val="24"/>
          <w:lang w:val="en-US"/>
        </w:rPr>
      </w:pPr>
      <w:r w:rsidRPr="00053C90">
        <w:rPr>
          <w:szCs w:val="24"/>
          <w:lang w:val="en-US"/>
        </w:rPr>
        <w:t>MacKinlay, C</w:t>
      </w:r>
      <w:r w:rsidR="00181CF6" w:rsidRPr="00053C90">
        <w:rPr>
          <w:szCs w:val="24"/>
          <w:lang w:val="en-US"/>
        </w:rPr>
        <w:t xml:space="preserve">. 1997. </w:t>
      </w:r>
      <w:r w:rsidR="00181CF6" w:rsidRPr="00053C90">
        <w:rPr>
          <w:i/>
          <w:szCs w:val="24"/>
          <w:lang w:val="en-US"/>
        </w:rPr>
        <w:t>Event Studies in Economics and Finance</w:t>
      </w:r>
      <w:r w:rsidR="00181CF6" w:rsidRPr="00053C90">
        <w:rPr>
          <w:szCs w:val="24"/>
          <w:lang w:val="en-US"/>
        </w:rPr>
        <w:t>. Journal of Economic Literatur</w:t>
      </w:r>
      <w:r w:rsidR="006A793D" w:rsidRPr="00053C90">
        <w:rPr>
          <w:szCs w:val="24"/>
          <w:lang w:val="en-US"/>
        </w:rPr>
        <w:t>e, Vol. 35,</w:t>
      </w:r>
      <w:r w:rsidRPr="00053C90">
        <w:rPr>
          <w:szCs w:val="24"/>
          <w:lang w:val="en-US"/>
        </w:rPr>
        <w:t xml:space="preserve"> </w:t>
      </w:r>
      <w:r w:rsidR="00181CF6" w:rsidRPr="00053C90">
        <w:rPr>
          <w:szCs w:val="24"/>
          <w:lang w:val="en-US"/>
        </w:rPr>
        <w:t>13-39.</w:t>
      </w:r>
    </w:p>
    <w:p w:rsidR="00181CF6" w:rsidRPr="00053C90" w:rsidRDefault="00181CF6" w:rsidP="007C19A7">
      <w:pPr>
        <w:pStyle w:val="FootnoteText"/>
        <w:rPr>
          <w:sz w:val="24"/>
          <w:szCs w:val="24"/>
          <w:lang w:val="en-US"/>
        </w:rPr>
      </w:pPr>
    </w:p>
    <w:p w:rsidR="00330A73" w:rsidRPr="00053C90" w:rsidRDefault="0009673F" w:rsidP="007C19A7">
      <w:pPr>
        <w:pStyle w:val="FootnoteText"/>
        <w:rPr>
          <w:sz w:val="24"/>
          <w:szCs w:val="24"/>
          <w:lang w:val="en-US"/>
        </w:rPr>
      </w:pPr>
      <w:r w:rsidRPr="00053C90">
        <w:rPr>
          <w:sz w:val="24"/>
          <w:szCs w:val="24"/>
          <w:lang w:val="en-US"/>
        </w:rPr>
        <w:t>Mandelker, G.</w:t>
      </w:r>
      <w:r w:rsidR="00330A73" w:rsidRPr="00053C90">
        <w:rPr>
          <w:sz w:val="24"/>
          <w:szCs w:val="24"/>
          <w:lang w:val="en-US"/>
        </w:rPr>
        <w:t xml:space="preserve"> 19</w:t>
      </w:r>
      <w:r w:rsidRPr="00053C90">
        <w:rPr>
          <w:sz w:val="24"/>
          <w:szCs w:val="24"/>
          <w:lang w:val="en-US"/>
        </w:rPr>
        <w:t>74.</w:t>
      </w:r>
      <w:r w:rsidR="00330A73" w:rsidRPr="00053C90">
        <w:rPr>
          <w:sz w:val="24"/>
          <w:szCs w:val="24"/>
          <w:lang w:val="en-US"/>
        </w:rPr>
        <w:t xml:space="preserve"> </w:t>
      </w:r>
      <w:r w:rsidR="00330A73" w:rsidRPr="00053C90">
        <w:rPr>
          <w:i/>
          <w:sz w:val="24"/>
          <w:szCs w:val="24"/>
          <w:lang w:val="en-US"/>
        </w:rPr>
        <w:t>Risk and return: The case of merging firms</w:t>
      </w:r>
      <w:r w:rsidRPr="00053C90">
        <w:rPr>
          <w:sz w:val="24"/>
          <w:szCs w:val="24"/>
          <w:lang w:val="en-US"/>
        </w:rPr>
        <w:t>.</w:t>
      </w:r>
      <w:r w:rsidR="00330A73" w:rsidRPr="00053C90">
        <w:rPr>
          <w:sz w:val="24"/>
          <w:szCs w:val="24"/>
          <w:lang w:val="en-US"/>
        </w:rPr>
        <w:t xml:space="preserve"> Journal of Financial</w:t>
      </w:r>
    </w:p>
    <w:p w:rsidR="00330A73" w:rsidRPr="00053C90" w:rsidRDefault="00330A73" w:rsidP="007C19A7">
      <w:pPr>
        <w:pStyle w:val="FootnoteText"/>
        <w:rPr>
          <w:sz w:val="24"/>
          <w:szCs w:val="24"/>
          <w:lang w:val="en-US"/>
        </w:rPr>
      </w:pPr>
      <w:r w:rsidRPr="00053C90">
        <w:rPr>
          <w:sz w:val="24"/>
          <w:szCs w:val="24"/>
          <w:lang w:val="en-US"/>
        </w:rPr>
        <w:t>Economics</w:t>
      </w:r>
      <w:r w:rsidR="001E7BB5" w:rsidRPr="00053C90">
        <w:rPr>
          <w:sz w:val="24"/>
          <w:szCs w:val="24"/>
          <w:lang w:val="en-US"/>
        </w:rPr>
        <w:t>,</w:t>
      </w:r>
      <w:r w:rsidRPr="00053C90">
        <w:rPr>
          <w:sz w:val="24"/>
          <w:szCs w:val="24"/>
          <w:lang w:val="en-US"/>
        </w:rPr>
        <w:t xml:space="preserve"> </w:t>
      </w:r>
      <w:r w:rsidR="001E7BB5" w:rsidRPr="00053C90">
        <w:rPr>
          <w:sz w:val="24"/>
          <w:szCs w:val="24"/>
          <w:lang w:val="en-US"/>
        </w:rPr>
        <w:t xml:space="preserve">Vol. </w:t>
      </w:r>
      <w:r w:rsidRPr="00053C90">
        <w:rPr>
          <w:sz w:val="24"/>
          <w:szCs w:val="24"/>
          <w:lang w:val="en-US"/>
        </w:rPr>
        <w:t xml:space="preserve">1, 303-336. </w:t>
      </w:r>
    </w:p>
    <w:p w:rsidR="0017162E" w:rsidRPr="00053C90" w:rsidRDefault="0017162E" w:rsidP="007C19A7">
      <w:pPr>
        <w:pStyle w:val="FootnoteText"/>
        <w:rPr>
          <w:sz w:val="24"/>
          <w:szCs w:val="24"/>
          <w:lang w:val="en-US"/>
        </w:rPr>
      </w:pPr>
    </w:p>
    <w:p w:rsidR="0093088B" w:rsidRPr="00053C90" w:rsidRDefault="0093088B" w:rsidP="007C19A7">
      <w:pPr>
        <w:pStyle w:val="FootnoteText"/>
        <w:rPr>
          <w:sz w:val="24"/>
          <w:szCs w:val="24"/>
          <w:lang w:val="en-US"/>
        </w:rPr>
      </w:pPr>
      <w:r w:rsidRPr="00053C90">
        <w:rPr>
          <w:sz w:val="24"/>
          <w:szCs w:val="24"/>
          <w:lang w:val="en-US"/>
        </w:rPr>
        <w:t>Maquiera, C., Megginson</w:t>
      </w:r>
      <w:r w:rsidR="001E7BB5" w:rsidRPr="00053C90">
        <w:rPr>
          <w:sz w:val="24"/>
          <w:szCs w:val="24"/>
          <w:lang w:val="en-US"/>
        </w:rPr>
        <w:t xml:space="preserve">, W., </w:t>
      </w:r>
      <w:r w:rsidRPr="00053C90">
        <w:rPr>
          <w:sz w:val="24"/>
          <w:szCs w:val="24"/>
          <w:lang w:val="en-US"/>
        </w:rPr>
        <w:t xml:space="preserve">&amp; </w:t>
      </w:r>
      <w:r w:rsidR="001E7BB5" w:rsidRPr="00053C90">
        <w:rPr>
          <w:sz w:val="24"/>
          <w:szCs w:val="24"/>
          <w:lang w:val="en-US"/>
        </w:rPr>
        <w:t>Nail, L.</w:t>
      </w:r>
      <w:r w:rsidRPr="00053C90">
        <w:rPr>
          <w:sz w:val="24"/>
          <w:szCs w:val="24"/>
          <w:lang w:val="en-US"/>
        </w:rPr>
        <w:t xml:space="preserve"> 1998. </w:t>
      </w:r>
      <w:r w:rsidRPr="00053C90">
        <w:rPr>
          <w:i/>
          <w:sz w:val="24"/>
          <w:szCs w:val="24"/>
          <w:lang w:val="en-US"/>
        </w:rPr>
        <w:t>Wealth Creation versus Wealth Redistribution in Pure Stock-for-Stock Mergers</w:t>
      </w:r>
      <w:r w:rsidR="001E7BB5" w:rsidRPr="00053C90">
        <w:rPr>
          <w:sz w:val="24"/>
          <w:szCs w:val="24"/>
          <w:lang w:val="en-US"/>
        </w:rPr>
        <w:t>. Journal of Financial Economics, Vol. 48,</w:t>
      </w:r>
      <w:r w:rsidRPr="00053C90">
        <w:rPr>
          <w:sz w:val="24"/>
          <w:szCs w:val="24"/>
          <w:lang w:val="en-US"/>
        </w:rPr>
        <w:t xml:space="preserve"> 3-33.</w:t>
      </w:r>
    </w:p>
    <w:p w:rsidR="0093088B" w:rsidRPr="00053C90" w:rsidRDefault="0093088B" w:rsidP="007C19A7">
      <w:pPr>
        <w:pStyle w:val="FootnoteText"/>
        <w:rPr>
          <w:sz w:val="24"/>
          <w:szCs w:val="24"/>
          <w:lang w:val="en-US"/>
        </w:rPr>
      </w:pPr>
    </w:p>
    <w:p w:rsidR="0017162E" w:rsidRPr="00053C90" w:rsidRDefault="0017162E" w:rsidP="007C19A7">
      <w:pPr>
        <w:pStyle w:val="FootnoteText"/>
        <w:rPr>
          <w:sz w:val="24"/>
          <w:szCs w:val="24"/>
          <w:lang w:val="en-US"/>
        </w:rPr>
      </w:pPr>
      <w:r w:rsidRPr="00053C90">
        <w:rPr>
          <w:sz w:val="24"/>
          <w:szCs w:val="24"/>
          <w:lang w:val="en-US"/>
        </w:rPr>
        <w:t>Martynova, M.,</w:t>
      </w:r>
      <w:r w:rsidR="007044A9" w:rsidRPr="00053C90">
        <w:rPr>
          <w:sz w:val="24"/>
          <w:szCs w:val="24"/>
          <w:lang w:val="en-US"/>
        </w:rPr>
        <w:t xml:space="preserve"> Oosting, S.</w:t>
      </w:r>
      <w:r w:rsidR="001E7BB5" w:rsidRPr="00053C90">
        <w:rPr>
          <w:sz w:val="24"/>
          <w:szCs w:val="24"/>
          <w:lang w:val="en-US"/>
        </w:rPr>
        <w:t>,</w:t>
      </w:r>
      <w:r w:rsidR="007044A9" w:rsidRPr="00053C90">
        <w:rPr>
          <w:sz w:val="24"/>
          <w:szCs w:val="24"/>
          <w:lang w:val="en-US"/>
        </w:rPr>
        <w:t xml:space="preserve"> &amp;</w:t>
      </w:r>
      <w:r w:rsidR="0009673F" w:rsidRPr="00053C90">
        <w:rPr>
          <w:sz w:val="24"/>
          <w:szCs w:val="24"/>
          <w:lang w:val="en-US"/>
        </w:rPr>
        <w:t xml:space="preserve"> Renneboog, L. 2006.</w:t>
      </w:r>
      <w:r w:rsidRPr="00053C90">
        <w:rPr>
          <w:sz w:val="24"/>
          <w:szCs w:val="24"/>
          <w:lang w:val="en-US"/>
        </w:rPr>
        <w:t xml:space="preserve"> </w:t>
      </w:r>
      <w:r w:rsidRPr="00053C90">
        <w:rPr>
          <w:i/>
          <w:sz w:val="24"/>
          <w:szCs w:val="24"/>
          <w:lang w:val="en-US"/>
        </w:rPr>
        <w:t>The Long-term Operating Performance of European Mergers and Acquisitions</w:t>
      </w:r>
      <w:r w:rsidR="0009673F" w:rsidRPr="00053C90">
        <w:rPr>
          <w:sz w:val="24"/>
          <w:szCs w:val="24"/>
          <w:lang w:val="en-US"/>
        </w:rPr>
        <w:t>.</w:t>
      </w:r>
      <w:r w:rsidRPr="00053C90">
        <w:rPr>
          <w:sz w:val="24"/>
          <w:szCs w:val="24"/>
          <w:lang w:val="en-US"/>
        </w:rPr>
        <w:t xml:space="preserve"> Finance Working Paper, No. 137</w:t>
      </w:r>
      <w:r w:rsidR="001E7BB5" w:rsidRPr="00053C90">
        <w:rPr>
          <w:sz w:val="24"/>
          <w:szCs w:val="24"/>
          <w:lang w:val="en-US"/>
        </w:rPr>
        <w:t xml:space="preserve">, </w:t>
      </w:r>
      <w:r w:rsidRPr="00053C90">
        <w:rPr>
          <w:sz w:val="24"/>
          <w:szCs w:val="24"/>
          <w:lang w:val="en-US"/>
        </w:rPr>
        <w:t>1-39</w:t>
      </w:r>
      <w:r w:rsidR="001E7BB5" w:rsidRPr="00053C90">
        <w:rPr>
          <w:sz w:val="24"/>
          <w:szCs w:val="24"/>
          <w:lang w:val="en-US"/>
        </w:rPr>
        <w:t>.</w:t>
      </w:r>
    </w:p>
    <w:p w:rsidR="00330A73" w:rsidRPr="00053C90" w:rsidRDefault="00330A73" w:rsidP="007C19A7">
      <w:pPr>
        <w:spacing w:after="0"/>
        <w:contextualSpacing/>
        <w:rPr>
          <w:szCs w:val="24"/>
          <w:lang w:val="en-US"/>
        </w:rPr>
      </w:pPr>
    </w:p>
    <w:p w:rsidR="00C6574F" w:rsidRPr="00053C90" w:rsidRDefault="00C6574F" w:rsidP="007C19A7">
      <w:pPr>
        <w:spacing w:after="0" w:line="240" w:lineRule="auto"/>
        <w:rPr>
          <w:rFonts w:eastAsia="Times New Roman"/>
          <w:color w:val="222222"/>
          <w:szCs w:val="24"/>
          <w:lang w:val="en-US"/>
        </w:rPr>
      </w:pPr>
      <w:r w:rsidRPr="00053C90">
        <w:rPr>
          <w:rFonts w:eastAsia="Times New Roman"/>
          <w:color w:val="222222"/>
          <w:szCs w:val="24"/>
          <w:lang w:val="en-US"/>
        </w:rPr>
        <w:t>Mit</w:t>
      </w:r>
      <w:r w:rsidR="001E7BB5" w:rsidRPr="00053C90">
        <w:rPr>
          <w:rFonts w:eastAsia="Times New Roman"/>
          <w:color w:val="222222"/>
          <w:szCs w:val="24"/>
          <w:lang w:val="en-US"/>
        </w:rPr>
        <w:t>chell, M. &amp; Mulherin, H.</w:t>
      </w:r>
      <w:r w:rsidR="0009673F" w:rsidRPr="00053C90">
        <w:rPr>
          <w:rFonts w:eastAsia="Times New Roman"/>
          <w:color w:val="222222"/>
          <w:szCs w:val="24"/>
          <w:lang w:val="en-US"/>
        </w:rPr>
        <w:t xml:space="preserve"> 1996.</w:t>
      </w:r>
      <w:r w:rsidRPr="00053C90">
        <w:rPr>
          <w:rFonts w:eastAsia="Times New Roman"/>
          <w:color w:val="222222"/>
          <w:szCs w:val="24"/>
          <w:lang w:val="en-US"/>
        </w:rPr>
        <w:t xml:space="preserve"> </w:t>
      </w:r>
      <w:r w:rsidRPr="00053C90">
        <w:rPr>
          <w:rFonts w:eastAsia="Times New Roman"/>
          <w:i/>
          <w:color w:val="222222"/>
          <w:szCs w:val="24"/>
          <w:lang w:val="en-US"/>
        </w:rPr>
        <w:t>The impact of industry shocks on takeover and restructuring activity</w:t>
      </w:r>
      <w:r w:rsidRPr="00053C90">
        <w:rPr>
          <w:rFonts w:eastAsia="Times New Roman"/>
          <w:color w:val="222222"/>
          <w:szCs w:val="24"/>
          <w:lang w:val="en-US"/>
        </w:rPr>
        <w:t>, Journal of Financial Economics</w:t>
      </w:r>
      <w:r w:rsidR="001E7BB5" w:rsidRPr="00053C90">
        <w:rPr>
          <w:rFonts w:eastAsia="Times New Roman"/>
          <w:color w:val="222222"/>
          <w:szCs w:val="24"/>
          <w:lang w:val="en-US"/>
        </w:rPr>
        <w:t xml:space="preserve">, Vol. 41, </w:t>
      </w:r>
      <w:r w:rsidRPr="00053C90">
        <w:rPr>
          <w:rFonts w:eastAsia="Times New Roman"/>
          <w:color w:val="222222"/>
          <w:szCs w:val="24"/>
          <w:lang w:val="en-US"/>
        </w:rPr>
        <w:t>193 – 229</w:t>
      </w:r>
      <w:r w:rsidR="0009673F" w:rsidRPr="00053C90">
        <w:rPr>
          <w:rFonts w:eastAsia="Times New Roman"/>
          <w:color w:val="222222"/>
          <w:szCs w:val="24"/>
          <w:lang w:val="en-US"/>
        </w:rPr>
        <w:t>.</w:t>
      </w:r>
    </w:p>
    <w:p w:rsidR="00B2143B" w:rsidRPr="00053C90" w:rsidRDefault="00B2143B" w:rsidP="007C19A7">
      <w:pPr>
        <w:spacing w:after="0" w:line="240" w:lineRule="auto"/>
        <w:rPr>
          <w:rFonts w:eastAsia="Times New Roman"/>
          <w:color w:val="222222"/>
          <w:szCs w:val="24"/>
          <w:lang w:val="en-US"/>
        </w:rPr>
      </w:pPr>
    </w:p>
    <w:p w:rsidR="002E25BA" w:rsidRPr="00053C90" w:rsidRDefault="001E7BB5" w:rsidP="007C19A7">
      <w:pPr>
        <w:spacing w:after="0"/>
        <w:rPr>
          <w:szCs w:val="24"/>
          <w:lang w:val="en-US"/>
        </w:rPr>
      </w:pPr>
      <w:r w:rsidRPr="00053C90">
        <w:rPr>
          <w:szCs w:val="24"/>
          <w:lang w:val="en-US"/>
        </w:rPr>
        <w:t>Michelsen, M</w:t>
      </w:r>
      <w:r w:rsidR="007044A9" w:rsidRPr="00053C90">
        <w:rPr>
          <w:szCs w:val="24"/>
          <w:lang w:val="en-US"/>
        </w:rPr>
        <w:t>, &amp;</w:t>
      </w:r>
      <w:r w:rsidR="002E25BA" w:rsidRPr="00053C90">
        <w:rPr>
          <w:szCs w:val="24"/>
          <w:lang w:val="en-US"/>
        </w:rPr>
        <w:t xml:space="preserve"> Klein, C</w:t>
      </w:r>
      <w:r w:rsidR="00181CF6" w:rsidRPr="00053C90">
        <w:rPr>
          <w:szCs w:val="24"/>
          <w:lang w:val="en-US"/>
        </w:rPr>
        <w:t>. 2011</w:t>
      </w:r>
      <w:r w:rsidR="002E25BA" w:rsidRPr="00053C90">
        <w:rPr>
          <w:i/>
          <w:szCs w:val="24"/>
          <w:lang w:val="en-US"/>
        </w:rPr>
        <w:t>. The Relevance of External Credit Ratings in the Capital Structure Decision-Making Process</w:t>
      </w:r>
      <w:r w:rsidR="002E25BA" w:rsidRPr="00053C90">
        <w:rPr>
          <w:szCs w:val="24"/>
          <w:lang w:val="en-US"/>
        </w:rPr>
        <w:t xml:space="preserve">. </w:t>
      </w:r>
      <w:r w:rsidR="00ED56C2">
        <w:rPr>
          <w:szCs w:val="24"/>
          <w:lang w:val="en-US"/>
        </w:rPr>
        <w:t>University of Hohenheim. Working Paper.</w:t>
      </w:r>
    </w:p>
    <w:p w:rsidR="007C19A7" w:rsidRPr="00053C90" w:rsidRDefault="007C19A7" w:rsidP="007C19A7">
      <w:pPr>
        <w:spacing w:after="0"/>
        <w:rPr>
          <w:szCs w:val="24"/>
          <w:lang w:val="en-US"/>
        </w:rPr>
      </w:pPr>
    </w:p>
    <w:p w:rsidR="001E7BB5" w:rsidRPr="00053C90" w:rsidRDefault="001E7BB5" w:rsidP="007C19A7">
      <w:pPr>
        <w:spacing w:after="0"/>
        <w:rPr>
          <w:szCs w:val="24"/>
          <w:lang w:val="en-US"/>
        </w:rPr>
      </w:pPr>
      <w:r w:rsidRPr="000703D7">
        <w:rPr>
          <w:szCs w:val="24"/>
          <w:lang w:val="en-US"/>
        </w:rPr>
        <w:t xml:space="preserve">Moeller, S., Schlingemann, F., &amp; Stulz, R. 2003. </w:t>
      </w:r>
      <w:r w:rsidRPr="00053C90">
        <w:rPr>
          <w:i/>
          <w:szCs w:val="24"/>
          <w:lang w:val="en-US"/>
        </w:rPr>
        <w:t>Firm size and the gains from acquisitions</w:t>
      </w:r>
      <w:r w:rsidRPr="00053C90">
        <w:rPr>
          <w:szCs w:val="24"/>
          <w:lang w:val="en-US"/>
        </w:rPr>
        <w:t>. Journal of Financial Economics, Vol. 73, 201–228.</w:t>
      </w:r>
    </w:p>
    <w:p w:rsidR="002E25BA" w:rsidRPr="00053C90" w:rsidRDefault="002E25BA" w:rsidP="007C19A7">
      <w:pPr>
        <w:pStyle w:val="NormalWeb"/>
        <w:shd w:val="clear" w:color="auto" w:fill="FFFFFF"/>
        <w:spacing w:before="0" w:beforeAutospacing="0" w:after="0" w:afterAutospacing="0"/>
      </w:pPr>
    </w:p>
    <w:p w:rsidR="00B2143B" w:rsidRPr="00053C90" w:rsidRDefault="00B2143B" w:rsidP="007C19A7">
      <w:pPr>
        <w:pStyle w:val="NormalWeb"/>
        <w:shd w:val="clear" w:color="auto" w:fill="FFFFFF"/>
        <w:spacing w:before="0" w:beforeAutospacing="0" w:after="0" w:afterAutospacing="0"/>
      </w:pPr>
      <w:r w:rsidRPr="00053C90">
        <w:t>Morck, R., Shleifer, A.,</w:t>
      </w:r>
      <w:r w:rsidR="007044A9" w:rsidRPr="00053C90">
        <w:t xml:space="preserve"> &amp;</w:t>
      </w:r>
      <w:r w:rsidR="001E7BB5" w:rsidRPr="00053C90">
        <w:t xml:space="preserve"> Vishny, R.W.</w:t>
      </w:r>
      <w:r w:rsidRPr="00053C90">
        <w:t xml:space="preserve"> 1990. </w:t>
      </w:r>
      <w:r w:rsidRPr="00053C90">
        <w:rPr>
          <w:i/>
        </w:rPr>
        <w:t>Do managerial objectives drive bad acquisitions?</w:t>
      </w:r>
      <w:r w:rsidRPr="00053C90">
        <w:t xml:space="preserve"> Journal of Finance</w:t>
      </w:r>
      <w:r w:rsidR="001E7BB5" w:rsidRPr="00053C90">
        <w:t>, Vol.</w:t>
      </w:r>
      <w:r w:rsidRPr="00053C90">
        <w:t xml:space="preserve"> 45, 31–48.</w:t>
      </w:r>
    </w:p>
    <w:p w:rsidR="00F50234" w:rsidRPr="00053C90" w:rsidRDefault="00F50234" w:rsidP="007C19A7">
      <w:pPr>
        <w:spacing w:after="0"/>
        <w:contextualSpacing/>
        <w:rPr>
          <w:szCs w:val="24"/>
          <w:lang w:val="en-US"/>
        </w:rPr>
      </w:pPr>
    </w:p>
    <w:p w:rsidR="00330A73" w:rsidRPr="00053C90" w:rsidRDefault="0009673F" w:rsidP="007C19A7">
      <w:pPr>
        <w:spacing w:after="0" w:line="240" w:lineRule="auto"/>
        <w:rPr>
          <w:szCs w:val="24"/>
          <w:lang w:val="en-US"/>
        </w:rPr>
      </w:pPr>
      <w:r w:rsidRPr="00053C90">
        <w:rPr>
          <w:szCs w:val="24"/>
          <w:lang w:val="en-US"/>
        </w:rPr>
        <w:t>Petmezas</w:t>
      </w:r>
      <w:r w:rsidR="007044A9" w:rsidRPr="00053C90">
        <w:rPr>
          <w:szCs w:val="24"/>
          <w:lang w:val="en-US"/>
        </w:rPr>
        <w:t>, D</w:t>
      </w:r>
      <w:r w:rsidRPr="00053C90">
        <w:rPr>
          <w:szCs w:val="24"/>
          <w:lang w:val="en-US"/>
        </w:rPr>
        <w:t xml:space="preserve">. 2008. </w:t>
      </w:r>
      <w:r w:rsidR="00330A73" w:rsidRPr="00053C90">
        <w:rPr>
          <w:i/>
          <w:szCs w:val="24"/>
          <w:lang w:val="en-US"/>
        </w:rPr>
        <w:t>What drives Acquisitions? Market valuations and bidder performance</w:t>
      </w:r>
      <w:r w:rsidRPr="00053C90">
        <w:rPr>
          <w:szCs w:val="24"/>
          <w:lang w:val="en-US"/>
        </w:rPr>
        <w:t>.</w:t>
      </w:r>
      <w:r w:rsidR="00330A73" w:rsidRPr="00053C90">
        <w:rPr>
          <w:szCs w:val="24"/>
          <w:lang w:val="en-US"/>
        </w:rPr>
        <w:t xml:space="preserve"> Journal </w:t>
      </w:r>
      <w:r w:rsidRPr="00053C90">
        <w:rPr>
          <w:szCs w:val="24"/>
          <w:lang w:val="en-US"/>
        </w:rPr>
        <w:t>of Multi</w:t>
      </w:r>
      <w:r w:rsidR="001E7BB5" w:rsidRPr="00053C90">
        <w:rPr>
          <w:szCs w:val="24"/>
          <w:lang w:val="en-US"/>
        </w:rPr>
        <w:t xml:space="preserve">national Management, Vol. 19, </w:t>
      </w:r>
      <w:r w:rsidR="00330A73" w:rsidRPr="00053C90">
        <w:rPr>
          <w:szCs w:val="24"/>
          <w:lang w:val="en-US"/>
        </w:rPr>
        <w:t>54-74</w:t>
      </w:r>
      <w:r w:rsidRPr="00053C90">
        <w:rPr>
          <w:szCs w:val="24"/>
          <w:lang w:val="en-US"/>
        </w:rPr>
        <w:t>.</w:t>
      </w:r>
    </w:p>
    <w:p w:rsidR="00330A73" w:rsidRPr="00053C90" w:rsidRDefault="00330A73" w:rsidP="007C19A7">
      <w:pPr>
        <w:spacing w:after="0"/>
        <w:contextualSpacing/>
        <w:rPr>
          <w:szCs w:val="24"/>
          <w:lang w:val="en-US"/>
        </w:rPr>
      </w:pPr>
    </w:p>
    <w:p w:rsidR="00F50234" w:rsidRPr="00053C90" w:rsidRDefault="0037771D" w:rsidP="007C19A7">
      <w:pPr>
        <w:spacing w:after="0"/>
        <w:contextualSpacing/>
        <w:rPr>
          <w:szCs w:val="24"/>
          <w:lang w:val="en-US"/>
        </w:rPr>
      </w:pPr>
      <w:r w:rsidRPr="00053C90">
        <w:rPr>
          <w:szCs w:val="24"/>
          <w:lang w:val="en-US"/>
        </w:rPr>
        <w:t>Rau, R. &amp; Vermaelen, T</w:t>
      </w:r>
      <w:r w:rsidR="0009673F" w:rsidRPr="00053C90">
        <w:rPr>
          <w:szCs w:val="24"/>
          <w:lang w:val="en-US"/>
        </w:rPr>
        <w:t>. 1998.</w:t>
      </w:r>
      <w:r w:rsidRPr="00053C90">
        <w:rPr>
          <w:szCs w:val="24"/>
          <w:lang w:val="en-US"/>
        </w:rPr>
        <w:t xml:space="preserve"> </w:t>
      </w:r>
      <w:r w:rsidRPr="00053C90">
        <w:rPr>
          <w:i/>
          <w:szCs w:val="24"/>
          <w:lang w:val="en-US"/>
        </w:rPr>
        <w:t>Glamour,</w:t>
      </w:r>
      <w:r w:rsidR="00F50234" w:rsidRPr="00053C90">
        <w:rPr>
          <w:i/>
          <w:szCs w:val="24"/>
          <w:lang w:val="en-US"/>
        </w:rPr>
        <w:t xml:space="preserve"> Value and the post-acquisition performance of acquiring firms</w:t>
      </w:r>
      <w:r w:rsidR="0009673F" w:rsidRPr="00053C90">
        <w:rPr>
          <w:szCs w:val="24"/>
          <w:lang w:val="en-US"/>
        </w:rPr>
        <w:t xml:space="preserve">. </w:t>
      </w:r>
      <w:r w:rsidR="00F50234" w:rsidRPr="00053C90">
        <w:rPr>
          <w:szCs w:val="24"/>
          <w:lang w:val="en-US"/>
        </w:rPr>
        <w:t>Journal of Financial Eco</w:t>
      </w:r>
      <w:r w:rsidRPr="00053C90">
        <w:rPr>
          <w:szCs w:val="24"/>
          <w:lang w:val="en-US"/>
        </w:rPr>
        <w:t>nomics, Vol. 49, 223-253.</w:t>
      </w:r>
    </w:p>
    <w:p w:rsidR="00F50234" w:rsidRPr="00053C90" w:rsidRDefault="00F50234" w:rsidP="007C19A7">
      <w:pPr>
        <w:spacing w:after="0"/>
        <w:contextualSpacing/>
        <w:rPr>
          <w:szCs w:val="24"/>
          <w:lang w:val="en-US"/>
        </w:rPr>
      </w:pPr>
    </w:p>
    <w:p w:rsidR="00F50234" w:rsidRPr="00053C90" w:rsidRDefault="0009673F" w:rsidP="007C19A7">
      <w:pPr>
        <w:spacing w:after="0"/>
        <w:contextualSpacing/>
        <w:rPr>
          <w:szCs w:val="24"/>
          <w:lang w:val="en-US"/>
        </w:rPr>
      </w:pPr>
      <w:r w:rsidRPr="00053C90">
        <w:rPr>
          <w:szCs w:val="24"/>
          <w:lang w:val="en-US"/>
        </w:rPr>
        <w:t>Ramaswamy, K.,</w:t>
      </w:r>
      <w:r w:rsidR="007044A9" w:rsidRPr="00053C90">
        <w:rPr>
          <w:szCs w:val="24"/>
          <w:lang w:val="en-US"/>
        </w:rPr>
        <w:t xml:space="preserve"> &amp;</w:t>
      </w:r>
      <w:r w:rsidRPr="00053C90">
        <w:rPr>
          <w:szCs w:val="24"/>
          <w:lang w:val="en-US"/>
        </w:rPr>
        <w:t xml:space="preserve"> Waegelein, J.F.</w:t>
      </w:r>
      <w:r w:rsidR="00F50234" w:rsidRPr="00053C90">
        <w:rPr>
          <w:szCs w:val="24"/>
          <w:lang w:val="en-US"/>
        </w:rPr>
        <w:t xml:space="preserve"> 2003. </w:t>
      </w:r>
      <w:r w:rsidR="00F50234" w:rsidRPr="00053C90">
        <w:rPr>
          <w:i/>
          <w:szCs w:val="24"/>
          <w:lang w:val="en-US"/>
        </w:rPr>
        <w:t>Firm financial performance following mergers</w:t>
      </w:r>
      <w:r w:rsidR="00F50234" w:rsidRPr="00053C90">
        <w:rPr>
          <w:szCs w:val="24"/>
          <w:lang w:val="en-US"/>
        </w:rPr>
        <w:t>. Review of Quantitative Finance and Accounting</w:t>
      </w:r>
      <w:r w:rsidR="001E7BB5" w:rsidRPr="00053C90">
        <w:rPr>
          <w:szCs w:val="24"/>
          <w:lang w:val="en-US"/>
        </w:rPr>
        <w:t>,</w:t>
      </w:r>
      <w:r w:rsidR="00F50234" w:rsidRPr="00053C90">
        <w:rPr>
          <w:szCs w:val="24"/>
          <w:lang w:val="en-US"/>
        </w:rPr>
        <w:t xml:space="preserve"> </w:t>
      </w:r>
      <w:r w:rsidR="001E7BB5" w:rsidRPr="00053C90">
        <w:rPr>
          <w:szCs w:val="24"/>
          <w:lang w:val="en-US"/>
        </w:rPr>
        <w:t xml:space="preserve">Vol. </w:t>
      </w:r>
      <w:r w:rsidR="00F50234" w:rsidRPr="00053C90">
        <w:rPr>
          <w:szCs w:val="24"/>
          <w:lang w:val="en-US"/>
        </w:rPr>
        <w:t>20, 115–126</w:t>
      </w:r>
    </w:p>
    <w:p w:rsidR="00B2143B" w:rsidRPr="00053C90" w:rsidRDefault="00B2143B" w:rsidP="007C19A7">
      <w:pPr>
        <w:spacing w:after="0"/>
        <w:contextualSpacing/>
        <w:rPr>
          <w:szCs w:val="24"/>
          <w:lang w:val="en-US"/>
        </w:rPr>
      </w:pPr>
    </w:p>
    <w:p w:rsidR="00ED05BE" w:rsidRPr="00053C90" w:rsidRDefault="00181CF6" w:rsidP="00ED56C2">
      <w:pPr>
        <w:autoSpaceDE w:val="0"/>
        <w:autoSpaceDN w:val="0"/>
        <w:adjustRightInd w:val="0"/>
        <w:spacing w:after="0" w:line="240" w:lineRule="auto"/>
        <w:rPr>
          <w:szCs w:val="24"/>
          <w:lang w:val="en-US"/>
        </w:rPr>
      </w:pPr>
      <w:r w:rsidRPr="00053C90">
        <w:rPr>
          <w:szCs w:val="24"/>
          <w:lang w:val="en-US"/>
        </w:rPr>
        <w:t>Roll, R. 1986</w:t>
      </w:r>
      <w:r w:rsidR="00ED05BE" w:rsidRPr="00053C90">
        <w:rPr>
          <w:szCs w:val="24"/>
          <w:lang w:val="en-US"/>
        </w:rPr>
        <w:t xml:space="preserve">. </w:t>
      </w:r>
      <w:r w:rsidR="00ED05BE" w:rsidRPr="00053C90">
        <w:rPr>
          <w:i/>
          <w:szCs w:val="24"/>
          <w:lang w:val="en-US"/>
        </w:rPr>
        <w:t>The Hubris Hypothesis of Corporate Takeovers</w:t>
      </w:r>
      <w:r w:rsidR="00ED05BE" w:rsidRPr="00053C90">
        <w:rPr>
          <w:szCs w:val="24"/>
          <w:lang w:val="en-US"/>
        </w:rPr>
        <w:t xml:space="preserve">, </w:t>
      </w:r>
      <w:r w:rsidR="00ED05BE" w:rsidRPr="00053C90">
        <w:rPr>
          <w:iCs/>
          <w:szCs w:val="24"/>
          <w:lang w:val="en-US"/>
        </w:rPr>
        <w:t>Journal of Business</w:t>
      </w:r>
      <w:r w:rsidR="00ED56C2">
        <w:rPr>
          <w:szCs w:val="24"/>
          <w:lang w:val="en-US"/>
        </w:rPr>
        <w:t>, Vol. 59</w:t>
      </w:r>
      <w:r w:rsidR="001E7BB5" w:rsidRPr="00053C90">
        <w:rPr>
          <w:szCs w:val="24"/>
          <w:lang w:val="en-US"/>
        </w:rPr>
        <w:t xml:space="preserve">, </w:t>
      </w:r>
      <w:r w:rsidR="00ED05BE" w:rsidRPr="00053C90">
        <w:rPr>
          <w:szCs w:val="24"/>
          <w:lang w:val="en-US"/>
        </w:rPr>
        <w:t>197-216</w:t>
      </w:r>
      <w:r w:rsidR="001E7BB5" w:rsidRPr="00053C90">
        <w:rPr>
          <w:szCs w:val="24"/>
          <w:lang w:val="en-US"/>
        </w:rPr>
        <w:t>.</w:t>
      </w:r>
    </w:p>
    <w:p w:rsidR="007C19A7" w:rsidRPr="00053C90" w:rsidRDefault="007C19A7" w:rsidP="007C19A7">
      <w:pPr>
        <w:spacing w:after="0"/>
        <w:rPr>
          <w:szCs w:val="24"/>
          <w:lang w:val="en-US"/>
        </w:rPr>
      </w:pPr>
    </w:p>
    <w:p w:rsidR="00B2143B" w:rsidRPr="00053C90" w:rsidRDefault="0009673F" w:rsidP="0037771D">
      <w:pPr>
        <w:spacing w:after="0"/>
        <w:contextualSpacing/>
        <w:rPr>
          <w:color w:val="000000"/>
          <w:szCs w:val="24"/>
          <w:lang w:val="en-US"/>
        </w:rPr>
      </w:pPr>
      <w:r w:rsidRPr="00053C90">
        <w:rPr>
          <w:color w:val="000000"/>
          <w:szCs w:val="24"/>
          <w:lang w:val="en-US"/>
        </w:rPr>
        <w:t>Santos, F. 2011.</w:t>
      </w:r>
      <w:r w:rsidR="00B2143B" w:rsidRPr="00053C90">
        <w:rPr>
          <w:color w:val="000000"/>
          <w:szCs w:val="24"/>
          <w:lang w:val="en-US"/>
        </w:rPr>
        <w:t xml:space="preserve"> </w:t>
      </w:r>
      <w:r w:rsidR="00B2143B" w:rsidRPr="00053C90">
        <w:rPr>
          <w:i/>
          <w:color w:val="000000"/>
          <w:szCs w:val="24"/>
          <w:lang w:val="en-US"/>
        </w:rPr>
        <w:t>Essays in Financial Economics</w:t>
      </w:r>
      <w:r w:rsidR="0037771D" w:rsidRPr="00053C90">
        <w:rPr>
          <w:color w:val="000000"/>
          <w:szCs w:val="24"/>
          <w:lang w:val="en-US"/>
        </w:rPr>
        <w:t xml:space="preserve">, USA, Stanford University. </w:t>
      </w:r>
    </w:p>
    <w:p w:rsidR="00330A73" w:rsidRPr="00053C90" w:rsidRDefault="00330A73" w:rsidP="007C19A7">
      <w:pPr>
        <w:spacing w:after="0"/>
        <w:contextualSpacing/>
        <w:rPr>
          <w:szCs w:val="24"/>
          <w:lang w:val="en-US"/>
        </w:rPr>
      </w:pPr>
    </w:p>
    <w:p w:rsidR="00C6574F" w:rsidRPr="00053C90" w:rsidRDefault="0009673F" w:rsidP="007C19A7">
      <w:pPr>
        <w:spacing w:after="0"/>
        <w:contextualSpacing/>
        <w:rPr>
          <w:szCs w:val="24"/>
          <w:lang w:val="en-US"/>
        </w:rPr>
      </w:pPr>
      <w:r w:rsidRPr="00053C90">
        <w:rPr>
          <w:szCs w:val="24"/>
          <w:lang w:val="en-US"/>
        </w:rPr>
        <w:t>Shiller, R.</w:t>
      </w:r>
      <w:r w:rsidR="001E7BB5" w:rsidRPr="00053C90">
        <w:rPr>
          <w:szCs w:val="24"/>
          <w:lang w:val="en-US"/>
        </w:rPr>
        <w:t xml:space="preserve"> 2003.</w:t>
      </w:r>
      <w:r w:rsidR="00C6574F" w:rsidRPr="00053C90">
        <w:rPr>
          <w:szCs w:val="24"/>
          <w:lang w:val="en-US"/>
        </w:rPr>
        <w:t xml:space="preserve"> </w:t>
      </w:r>
      <w:r w:rsidR="00C6574F" w:rsidRPr="00053C90">
        <w:rPr>
          <w:i/>
          <w:szCs w:val="24"/>
          <w:lang w:val="en-US"/>
        </w:rPr>
        <w:t>Efficient Markets Theory to Behavioral Finance</w:t>
      </w:r>
      <w:r w:rsidRPr="00053C90">
        <w:rPr>
          <w:szCs w:val="24"/>
          <w:lang w:val="en-US"/>
        </w:rPr>
        <w:t>.</w:t>
      </w:r>
      <w:r w:rsidR="00C6574F" w:rsidRPr="00053C90">
        <w:rPr>
          <w:szCs w:val="24"/>
          <w:lang w:val="en-US"/>
        </w:rPr>
        <w:t xml:space="preserve"> Journal of E</w:t>
      </w:r>
      <w:r w:rsidR="001E7BB5" w:rsidRPr="00053C90">
        <w:rPr>
          <w:szCs w:val="24"/>
          <w:lang w:val="en-US"/>
        </w:rPr>
        <w:t xml:space="preserve">conomic Perspectives, Vol. 17, </w:t>
      </w:r>
      <w:r w:rsidR="00C6574F" w:rsidRPr="00053C90">
        <w:rPr>
          <w:szCs w:val="24"/>
          <w:lang w:val="en-US"/>
        </w:rPr>
        <w:t>83-104</w:t>
      </w:r>
      <w:r w:rsidRPr="00053C90">
        <w:rPr>
          <w:szCs w:val="24"/>
          <w:lang w:val="en-US"/>
        </w:rPr>
        <w:t>.</w:t>
      </w:r>
    </w:p>
    <w:p w:rsidR="001E7BB5" w:rsidRPr="00053C90" w:rsidRDefault="001E7BB5" w:rsidP="007C19A7">
      <w:pPr>
        <w:spacing w:after="0"/>
        <w:contextualSpacing/>
        <w:rPr>
          <w:szCs w:val="24"/>
          <w:lang w:val="en-US"/>
        </w:rPr>
      </w:pPr>
    </w:p>
    <w:p w:rsidR="001E7BB5" w:rsidRPr="00053C90" w:rsidRDefault="001E7BB5" w:rsidP="007C19A7">
      <w:pPr>
        <w:spacing w:after="0"/>
        <w:rPr>
          <w:szCs w:val="24"/>
          <w:lang w:val="en-US"/>
        </w:rPr>
      </w:pPr>
      <w:r w:rsidRPr="00053C90">
        <w:rPr>
          <w:szCs w:val="24"/>
          <w:lang w:val="en-US"/>
        </w:rPr>
        <w:t xml:space="preserve">Smith, A. 1776. </w:t>
      </w:r>
      <w:r w:rsidRPr="00053C90">
        <w:rPr>
          <w:i/>
          <w:szCs w:val="24"/>
          <w:lang w:val="en-US"/>
        </w:rPr>
        <w:t>Wealth of Nations</w:t>
      </w:r>
      <w:r w:rsidRPr="00053C90">
        <w:rPr>
          <w:szCs w:val="24"/>
          <w:lang w:val="en-US"/>
        </w:rPr>
        <w:t>.</w:t>
      </w:r>
      <w:r w:rsidRPr="00053C90">
        <w:rPr>
          <w:szCs w:val="24"/>
          <w:highlight w:val="yellow"/>
          <w:lang w:val="en-US"/>
        </w:rPr>
        <w:t xml:space="preserve"> </w:t>
      </w:r>
    </w:p>
    <w:p w:rsidR="00C6574F" w:rsidRPr="00053C90" w:rsidRDefault="00C6574F" w:rsidP="007C19A7">
      <w:pPr>
        <w:spacing w:after="0"/>
        <w:contextualSpacing/>
        <w:rPr>
          <w:szCs w:val="24"/>
          <w:lang w:val="en-US"/>
        </w:rPr>
      </w:pPr>
    </w:p>
    <w:p w:rsidR="00C6574F" w:rsidRPr="00053C90" w:rsidRDefault="0009673F" w:rsidP="007C19A7">
      <w:pPr>
        <w:spacing w:after="0"/>
        <w:contextualSpacing/>
        <w:rPr>
          <w:rFonts w:eastAsia="Times New Roman"/>
          <w:color w:val="222222"/>
          <w:szCs w:val="24"/>
          <w:lang w:val="en-US"/>
        </w:rPr>
      </w:pPr>
      <w:r w:rsidRPr="00053C90">
        <w:rPr>
          <w:rFonts w:eastAsia="Times New Roman"/>
          <w:color w:val="222222"/>
          <w:szCs w:val="24"/>
          <w:lang w:val="en-US"/>
        </w:rPr>
        <w:t xml:space="preserve">Trautwein, F. 1990. </w:t>
      </w:r>
      <w:r w:rsidR="00C6574F" w:rsidRPr="00053C90">
        <w:rPr>
          <w:rFonts w:eastAsia="Times New Roman"/>
          <w:i/>
          <w:color w:val="222222"/>
          <w:szCs w:val="24"/>
          <w:lang w:val="en-US"/>
        </w:rPr>
        <w:t>Merger motives and merger prescriptions</w:t>
      </w:r>
      <w:r w:rsidRPr="00053C90">
        <w:rPr>
          <w:rFonts w:eastAsia="Times New Roman"/>
          <w:color w:val="222222"/>
          <w:szCs w:val="24"/>
          <w:lang w:val="en-US"/>
        </w:rPr>
        <w:t>.</w:t>
      </w:r>
      <w:r w:rsidR="00C6574F" w:rsidRPr="00053C90">
        <w:rPr>
          <w:rFonts w:eastAsia="Times New Roman"/>
          <w:color w:val="222222"/>
          <w:szCs w:val="24"/>
          <w:lang w:val="en-US"/>
        </w:rPr>
        <w:t xml:space="preserve"> Strategi</w:t>
      </w:r>
      <w:r w:rsidR="001E7BB5" w:rsidRPr="00053C90">
        <w:rPr>
          <w:rFonts w:eastAsia="Times New Roman"/>
          <w:color w:val="222222"/>
          <w:szCs w:val="24"/>
          <w:lang w:val="en-US"/>
        </w:rPr>
        <w:t xml:space="preserve">c Management Journal, Vol. 11, </w:t>
      </w:r>
      <w:r w:rsidR="00C6574F" w:rsidRPr="00053C90">
        <w:rPr>
          <w:rFonts w:eastAsia="Times New Roman"/>
          <w:color w:val="222222"/>
          <w:szCs w:val="24"/>
          <w:lang w:val="en-US"/>
        </w:rPr>
        <w:t>283 – 295</w:t>
      </w:r>
      <w:r w:rsidRPr="00053C90">
        <w:rPr>
          <w:rFonts w:eastAsia="Times New Roman"/>
          <w:color w:val="222222"/>
          <w:szCs w:val="24"/>
          <w:lang w:val="en-US"/>
        </w:rPr>
        <w:t>.</w:t>
      </w:r>
    </w:p>
    <w:p w:rsidR="0021036A" w:rsidRPr="00053C90" w:rsidRDefault="0021036A" w:rsidP="007C19A7">
      <w:pPr>
        <w:spacing w:after="0"/>
        <w:contextualSpacing/>
        <w:rPr>
          <w:rFonts w:eastAsia="Times New Roman"/>
          <w:color w:val="222222"/>
          <w:szCs w:val="24"/>
          <w:lang w:val="en-US"/>
        </w:rPr>
      </w:pPr>
    </w:p>
    <w:p w:rsidR="0021036A" w:rsidRPr="00053C90" w:rsidRDefault="0021036A" w:rsidP="007C19A7">
      <w:pPr>
        <w:spacing w:after="0"/>
        <w:rPr>
          <w:szCs w:val="24"/>
          <w:lang w:val="en-US"/>
        </w:rPr>
      </w:pPr>
      <w:r w:rsidRPr="00053C90">
        <w:rPr>
          <w:szCs w:val="24"/>
          <w:lang w:val="en-US"/>
        </w:rPr>
        <w:t xml:space="preserve">Westerlund, J. 2005. </w:t>
      </w:r>
      <w:r w:rsidRPr="00286008">
        <w:rPr>
          <w:i/>
          <w:szCs w:val="24"/>
          <w:lang w:val="en-US"/>
        </w:rPr>
        <w:t>Introduktion till ekonometri</w:t>
      </w:r>
      <w:r w:rsidRPr="00286008">
        <w:rPr>
          <w:szCs w:val="24"/>
          <w:lang w:val="en-US"/>
        </w:rPr>
        <w:t>.</w:t>
      </w:r>
      <w:r w:rsidR="006A793D" w:rsidRPr="00286008">
        <w:rPr>
          <w:szCs w:val="24"/>
          <w:lang w:val="en-US"/>
        </w:rPr>
        <w:t xml:space="preserve"> 1</w:t>
      </w:r>
      <w:r w:rsidR="006A793D" w:rsidRPr="00286008">
        <w:rPr>
          <w:szCs w:val="24"/>
          <w:vertAlign w:val="superscript"/>
          <w:lang w:val="en-US"/>
        </w:rPr>
        <w:t>st</w:t>
      </w:r>
      <w:r w:rsidR="006A793D" w:rsidRPr="00286008">
        <w:rPr>
          <w:szCs w:val="24"/>
          <w:lang w:val="en-US"/>
        </w:rPr>
        <w:t xml:space="preserve"> edition.</w:t>
      </w:r>
      <w:r w:rsidRPr="00286008">
        <w:rPr>
          <w:szCs w:val="24"/>
          <w:lang w:val="en-US"/>
        </w:rPr>
        <w:t xml:space="preserve"> </w:t>
      </w:r>
      <w:r w:rsidRPr="00053C90">
        <w:rPr>
          <w:szCs w:val="24"/>
          <w:lang w:val="en-US"/>
        </w:rPr>
        <w:t xml:space="preserve">Lund, Studentlitteratur AB. </w:t>
      </w:r>
    </w:p>
    <w:p w:rsidR="00F50234" w:rsidRPr="00053C90" w:rsidRDefault="00F50234" w:rsidP="007C19A7">
      <w:pPr>
        <w:spacing w:after="0"/>
        <w:rPr>
          <w:szCs w:val="24"/>
          <w:lang w:val="en-US"/>
        </w:rPr>
      </w:pPr>
    </w:p>
    <w:p w:rsidR="00435CFE" w:rsidRPr="00053C90" w:rsidRDefault="0009673F" w:rsidP="007C19A7">
      <w:pPr>
        <w:pStyle w:val="FootnoteText"/>
        <w:rPr>
          <w:sz w:val="24"/>
          <w:szCs w:val="24"/>
          <w:lang w:val="en-US"/>
        </w:rPr>
      </w:pPr>
      <w:r w:rsidRPr="00053C90">
        <w:rPr>
          <w:sz w:val="24"/>
          <w:szCs w:val="24"/>
          <w:lang w:val="en-US"/>
        </w:rPr>
        <w:t>Wilson, R</w:t>
      </w:r>
      <w:r w:rsidR="001E7BB5" w:rsidRPr="00053C90">
        <w:rPr>
          <w:sz w:val="24"/>
          <w:szCs w:val="24"/>
          <w:lang w:val="en-US"/>
        </w:rPr>
        <w:t xml:space="preserve">. </w:t>
      </w:r>
      <w:r w:rsidRPr="00053C90">
        <w:rPr>
          <w:sz w:val="24"/>
          <w:szCs w:val="24"/>
          <w:lang w:val="en-US"/>
        </w:rPr>
        <w:t xml:space="preserve">1967. </w:t>
      </w:r>
      <w:r w:rsidR="00C6574F" w:rsidRPr="00053C90">
        <w:rPr>
          <w:i/>
          <w:sz w:val="24"/>
          <w:szCs w:val="24"/>
          <w:lang w:val="en-US"/>
        </w:rPr>
        <w:t>Competitive Bidding with Asymmetric Information</w:t>
      </w:r>
      <w:r w:rsidRPr="00053C90">
        <w:rPr>
          <w:sz w:val="24"/>
          <w:szCs w:val="24"/>
          <w:lang w:val="en-US"/>
        </w:rPr>
        <w:t>.</w:t>
      </w:r>
      <w:r w:rsidR="00C6574F" w:rsidRPr="00053C90">
        <w:rPr>
          <w:sz w:val="24"/>
          <w:szCs w:val="24"/>
          <w:lang w:val="en-US"/>
        </w:rPr>
        <w:t xml:space="preserve"> Management Scie</w:t>
      </w:r>
      <w:r w:rsidR="001E7BB5" w:rsidRPr="00053C90">
        <w:rPr>
          <w:sz w:val="24"/>
          <w:szCs w:val="24"/>
          <w:lang w:val="en-US"/>
        </w:rPr>
        <w:t xml:space="preserve">nce, Vol. 13, No. 11, </w:t>
      </w:r>
      <w:r w:rsidR="00C6574F" w:rsidRPr="00053C90">
        <w:rPr>
          <w:sz w:val="24"/>
          <w:szCs w:val="24"/>
          <w:lang w:val="en-US"/>
        </w:rPr>
        <w:t>816-820.</w:t>
      </w:r>
    </w:p>
    <w:p w:rsidR="002E25BA" w:rsidRPr="00053C90" w:rsidRDefault="002E25BA" w:rsidP="007C19A7">
      <w:pPr>
        <w:spacing w:after="0"/>
        <w:rPr>
          <w:szCs w:val="24"/>
          <w:lang w:val="en-US"/>
        </w:rPr>
      </w:pPr>
    </w:p>
    <w:p w:rsidR="007C19A7" w:rsidRPr="00053C90" w:rsidRDefault="0021036A" w:rsidP="0021036A">
      <w:pPr>
        <w:pStyle w:val="NormalWeb"/>
        <w:spacing w:before="0" w:beforeAutospacing="0" w:after="0" w:afterAutospacing="0"/>
      </w:pPr>
      <w:r w:rsidRPr="00053C90">
        <w:tab/>
      </w:r>
    </w:p>
    <w:p w:rsidR="0034126A" w:rsidRPr="00053C90" w:rsidRDefault="0034126A" w:rsidP="007C19A7">
      <w:pPr>
        <w:spacing w:after="0"/>
        <w:rPr>
          <w:szCs w:val="24"/>
          <w:lang w:val="en-US"/>
        </w:rPr>
      </w:pPr>
    </w:p>
    <w:p w:rsidR="00F50234" w:rsidRPr="00053C90" w:rsidRDefault="00F50234" w:rsidP="007C19A7">
      <w:pPr>
        <w:spacing w:after="0" w:line="360" w:lineRule="auto"/>
        <w:rPr>
          <w:szCs w:val="24"/>
          <w:lang w:val="en-US"/>
        </w:rPr>
      </w:pPr>
      <w:r w:rsidRPr="00053C90">
        <w:rPr>
          <w:b/>
          <w:szCs w:val="24"/>
          <w:u w:val="single"/>
          <w:lang w:val="en-US"/>
        </w:rPr>
        <w:t>Internet references</w:t>
      </w:r>
      <w:r w:rsidRPr="00053C90">
        <w:rPr>
          <w:szCs w:val="24"/>
          <w:lang w:val="en-US"/>
        </w:rPr>
        <w:t>:</w:t>
      </w:r>
    </w:p>
    <w:p w:rsidR="007C19A7" w:rsidRPr="00053C90" w:rsidRDefault="007C19A7" w:rsidP="007C19A7">
      <w:pPr>
        <w:spacing w:after="0" w:line="360" w:lineRule="auto"/>
        <w:rPr>
          <w:szCs w:val="24"/>
          <w:lang w:val="en-US"/>
        </w:rPr>
      </w:pPr>
    </w:p>
    <w:p w:rsidR="004159FB" w:rsidRPr="00286008" w:rsidRDefault="007C19A7" w:rsidP="007C19A7">
      <w:pPr>
        <w:spacing w:after="0" w:line="360" w:lineRule="auto"/>
        <w:rPr>
          <w:rFonts w:eastAsia="Times New Roman"/>
          <w:szCs w:val="24"/>
          <w:lang w:val="en-US" w:eastAsia="sv-SE"/>
        </w:rPr>
      </w:pPr>
      <w:r w:rsidRPr="00053C90">
        <w:rPr>
          <w:szCs w:val="24"/>
          <w:lang w:val="en-US"/>
        </w:rPr>
        <w:t xml:space="preserve">Stockholm TT. 2014. </w:t>
      </w:r>
      <w:r w:rsidRPr="00053C90">
        <w:rPr>
          <w:i/>
          <w:szCs w:val="24"/>
          <w:lang w:val="en-US"/>
        </w:rPr>
        <w:t>SSAB tar över Rautaruukki</w:t>
      </w:r>
      <w:r w:rsidRPr="00053C90">
        <w:rPr>
          <w:szCs w:val="24"/>
          <w:lang w:val="en-US"/>
        </w:rPr>
        <w:t xml:space="preserve">. </w:t>
      </w:r>
      <w:r w:rsidRPr="007E4847">
        <w:rPr>
          <w:szCs w:val="24"/>
        </w:rPr>
        <w:t xml:space="preserve">Svenska Dagbladet. 22nd January. </w:t>
      </w:r>
      <w:hyperlink r:id="rId16" w:history="1">
        <w:r w:rsidRPr="00286008">
          <w:rPr>
            <w:rStyle w:val="Hyperlink"/>
            <w:rFonts w:eastAsia="Times New Roman"/>
            <w:szCs w:val="24"/>
            <w:lang w:val="en-US" w:eastAsia="sv-SE"/>
          </w:rPr>
          <w:t>http://www.svd.se/naringsliv/branscher/industri-och-fordon/ssab-tar-over-rautaruukki_8917712.svd</w:t>
        </w:r>
      </w:hyperlink>
      <w:r w:rsidRPr="00286008">
        <w:rPr>
          <w:rFonts w:eastAsia="Times New Roman"/>
          <w:szCs w:val="24"/>
          <w:lang w:val="en-US" w:eastAsia="sv-SE"/>
        </w:rPr>
        <w:t xml:space="preserve"> (Retrieved 2015-05-16).</w:t>
      </w:r>
    </w:p>
    <w:p w:rsidR="007C19A7" w:rsidRPr="00286008" w:rsidRDefault="007C19A7" w:rsidP="007C19A7">
      <w:pPr>
        <w:spacing w:after="0" w:line="360" w:lineRule="auto"/>
        <w:rPr>
          <w:rStyle w:val="Hyperlink"/>
          <w:color w:val="auto"/>
          <w:szCs w:val="24"/>
          <w:u w:val="none"/>
          <w:lang w:val="en-US"/>
        </w:rPr>
      </w:pPr>
    </w:p>
    <w:p w:rsidR="007C19A7" w:rsidRPr="00053C90" w:rsidRDefault="007C19A7" w:rsidP="007C19A7">
      <w:pPr>
        <w:spacing w:after="0" w:line="360" w:lineRule="auto"/>
        <w:rPr>
          <w:rFonts w:eastAsia="Times New Roman"/>
          <w:color w:val="000000"/>
          <w:szCs w:val="24"/>
          <w:lang w:val="en-US" w:eastAsia="sv-SE"/>
        </w:rPr>
      </w:pPr>
      <w:r w:rsidRPr="00053C90">
        <w:rPr>
          <w:rStyle w:val="Hyperlink"/>
          <w:rFonts w:eastAsia="Times New Roman"/>
          <w:color w:val="000000"/>
          <w:szCs w:val="24"/>
          <w:u w:val="none"/>
          <w:lang w:val="en-US" w:eastAsia="sv-SE"/>
        </w:rPr>
        <w:t xml:space="preserve">Kyllönen, Taina. 2014. </w:t>
      </w:r>
      <w:r w:rsidRPr="00053C90">
        <w:rPr>
          <w:rStyle w:val="Hyperlink"/>
          <w:rFonts w:eastAsia="Times New Roman"/>
          <w:i/>
          <w:color w:val="000000"/>
          <w:szCs w:val="24"/>
          <w:u w:val="none"/>
          <w:lang w:val="en-US" w:eastAsia="sv-SE"/>
        </w:rPr>
        <w:t xml:space="preserve">SSAB and Rautaruukki to combine through SSAB making a recommended share exchange offer to Rautaruukki's shareholders . </w:t>
      </w:r>
      <w:r w:rsidRPr="00053C90">
        <w:rPr>
          <w:rStyle w:val="Hyperlink"/>
          <w:rFonts w:eastAsia="Times New Roman"/>
          <w:color w:val="000000"/>
          <w:szCs w:val="24"/>
          <w:u w:val="none"/>
          <w:lang w:val="en-US" w:eastAsia="sv-SE"/>
        </w:rPr>
        <w:t>Globenewswire. 22</w:t>
      </w:r>
      <w:r w:rsidRPr="00053C90">
        <w:rPr>
          <w:rStyle w:val="Hyperlink"/>
          <w:rFonts w:eastAsia="Times New Roman"/>
          <w:color w:val="000000"/>
          <w:szCs w:val="24"/>
          <w:u w:val="none"/>
          <w:vertAlign w:val="superscript"/>
          <w:lang w:val="en-US" w:eastAsia="sv-SE"/>
        </w:rPr>
        <w:t>nd</w:t>
      </w:r>
      <w:r w:rsidRPr="00053C90">
        <w:rPr>
          <w:rStyle w:val="Hyperlink"/>
          <w:rFonts w:eastAsia="Times New Roman"/>
          <w:color w:val="000000"/>
          <w:szCs w:val="24"/>
          <w:u w:val="none"/>
          <w:lang w:val="en-US" w:eastAsia="sv-SE"/>
        </w:rPr>
        <w:t xml:space="preserve"> January. </w:t>
      </w:r>
      <w:hyperlink r:id="rId17" w:anchor="sthash.YiHryulS.dpuf" w:history="1">
        <w:r w:rsidR="00F50234" w:rsidRPr="00053C90">
          <w:rPr>
            <w:rFonts w:eastAsia="Times New Roman"/>
            <w:color w:val="1155CC"/>
            <w:szCs w:val="24"/>
            <w:u w:val="single"/>
            <w:shd w:val="clear" w:color="auto" w:fill="FEFEFE"/>
            <w:lang w:val="en-US" w:eastAsia="sv-SE"/>
          </w:rPr>
          <w:t>http://globenewswire.com/news-release/2014/01/22/603801/0/en/SSAB-and-Rautaruukki-to-combine-through-SSAB-making-a-recommended-share-exchange-offer-to-Rautaruukki-s-shareholders.html#sthash.YiHryulS.dpuf</w:t>
        </w:r>
      </w:hyperlink>
      <w:r w:rsidRPr="00053C90">
        <w:rPr>
          <w:rFonts w:eastAsia="Times New Roman"/>
          <w:color w:val="1155CC"/>
          <w:szCs w:val="24"/>
          <w:u w:val="single"/>
          <w:shd w:val="clear" w:color="auto" w:fill="FEFEFE"/>
          <w:lang w:val="en-US" w:eastAsia="sv-SE"/>
        </w:rPr>
        <w:t xml:space="preserve"> </w:t>
      </w:r>
      <w:r w:rsidRPr="00053C90">
        <w:rPr>
          <w:rFonts w:eastAsia="Times New Roman"/>
          <w:color w:val="000000"/>
          <w:szCs w:val="24"/>
          <w:shd w:val="clear" w:color="auto" w:fill="FEFEFE"/>
          <w:lang w:val="en-US" w:eastAsia="sv-SE"/>
        </w:rPr>
        <w:t>(Retrieved 2015-05-16).</w:t>
      </w:r>
    </w:p>
    <w:p w:rsidR="007C19A7" w:rsidRPr="00053C90" w:rsidRDefault="007C19A7" w:rsidP="007C19A7">
      <w:pPr>
        <w:spacing w:after="0" w:line="360" w:lineRule="auto"/>
        <w:rPr>
          <w:rFonts w:eastAsia="Times New Roman"/>
          <w:color w:val="000000"/>
          <w:szCs w:val="24"/>
          <w:shd w:val="clear" w:color="auto" w:fill="FEFEFE"/>
          <w:lang w:val="en-US" w:eastAsia="sv-SE"/>
        </w:rPr>
      </w:pPr>
    </w:p>
    <w:p w:rsidR="003D6966" w:rsidRPr="00053C90" w:rsidRDefault="007C19A7" w:rsidP="007C19A7">
      <w:pPr>
        <w:spacing w:after="0" w:line="360" w:lineRule="auto"/>
        <w:rPr>
          <w:rStyle w:val="Hyperlink"/>
          <w:rFonts w:eastAsia="Times New Roman"/>
          <w:color w:val="1155CC"/>
          <w:szCs w:val="24"/>
          <w:u w:val="none"/>
          <w:shd w:val="clear" w:color="auto" w:fill="FEFEFE"/>
          <w:lang w:val="en-US" w:eastAsia="sv-SE"/>
        </w:rPr>
      </w:pPr>
      <w:r w:rsidRPr="00286008">
        <w:rPr>
          <w:rFonts w:eastAsia="Times New Roman"/>
          <w:color w:val="000000"/>
          <w:szCs w:val="24"/>
          <w:shd w:val="clear" w:color="auto" w:fill="FEFEFE"/>
          <w:lang w:val="da-DK" w:eastAsia="sv-SE"/>
        </w:rPr>
        <w:t xml:space="preserve">Hagel III, J., Brown, J., &amp; Davision, L. 2010. </w:t>
      </w:r>
      <w:r w:rsidRPr="00053C90">
        <w:rPr>
          <w:rFonts w:eastAsia="Times New Roman"/>
          <w:i/>
          <w:color w:val="000000"/>
          <w:szCs w:val="24"/>
          <w:shd w:val="clear" w:color="auto" w:fill="FEFEFE"/>
          <w:lang w:val="en-US" w:eastAsia="sv-SE"/>
        </w:rPr>
        <w:t xml:space="preserve">The best way to measure company performance. </w:t>
      </w:r>
      <w:r w:rsidRPr="00053C90">
        <w:rPr>
          <w:rFonts w:eastAsia="Times New Roman"/>
          <w:color w:val="000000"/>
          <w:szCs w:val="24"/>
          <w:shd w:val="clear" w:color="auto" w:fill="FEFEFE"/>
          <w:lang w:val="en-US" w:eastAsia="sv-SE"/>
        </w:rPr>
        <w:t>Harvard Business Review. 4</w:t>
      </w:r>
      <w:r w:rsidRPr="00053C90">
        <w:rPr>
          <w:rFonts w:eastAsia="Times New Roman"/>
          <w:color w:val="000000"/>
          <w:szCs w:val="24"/>
          <w:shd w:val="clear" w:color="auto" w:fill="FEFEFE"/>
          <w:vertAlign w:val="superscript"/>
          <w:lang w:val="en-US" w:eastAsia="sv-SE"/>
        </w:rPr>
        <w:t>th</w:t>
      </w:r>
      <w:r w:rsidRPr="00053C90">
        <w:rPr>
          <w:rFonts w:eastAsia="Times New Roman"/>
          <w:color w:val="000000"/>
          <w:szCs w:val="24"/>
          <w:shd w:val="clear" w:color="auto" w:fill="FEFEFE"/>
          <w:lang w:val="en-US" w:eastAsia="sv-SE"/>
        </w:rPr>
        <w:t xml:space="preserve"> March. </w:t>
      </w:r>
      <w:hyperlink r:id="rId18" w:history="1">
        <w:r w:rsidR="003D6966" w:rsidRPr="00053C90">
          <w:rPr>
            <w:rStyle w:val="Hyperlink"/>
            <w:szCs w:val="24"/>
            <w:lang w:val="en-US"/>
          </w:rPr>
          <w:t>https://hbr.org/2010/03/the-best-way-to-measure-compan.html</w:t>
        </w:r>
      </w:hyperlink>
      <w:r w:rsidRPr="00053C90">
        <w:rPr>
          <w:rStyle w:val="Hyperlink"/>
          <w:szCs w:val="24"/>
          <w:lang w:val="en-US"/>
        </w:rPr>
        <w:t xml:space="preserve"> </w:t>
      </w:r>
      <w:r w:rsidRPr="00053C90">
        <w:rPr>
          <w:rStyle w:val="Hyperlink"/>
          <w:color w:val="auto"/>
          <w:szCs w:val="24"/>
          <w:u w:val="none"/>
          <w:lang w:val="en-US"/>
        </w:rPr>
        <w:t>(Retrieved 2015-05-16).</w:t>
      </w:r>
    </w:p>
    <w:p w:rsidR="007C19A7" w:rsidRPr="00053C90" w:rsidRDefault="007C19A7" w:rsidP="007C19A7">
      <w:pPr>
        <w:spacing w:after="0" w:line="360" w:lineRule="auto"/>
        <w:rPr>
          <w:rStyle w:val="Hyperlink"/>
          <w:szCs w:val="24"/>
          <w:lang w:val="en-US"/>
        </w:rPr>
      </w:pPr>
    </w:p>
    <w:p w:rsidR="00D0562B" w:rsidRPr="00053C90" w:rsidRDefault="00D0562B" w:rsidP="007C19A7">
      <w:pPr>
        <w:spacing w:after="0" w:line="360" w:lineRule="auto"/>
        <w:rPr>
          <w:rStyle w:val="Hyperlink"/>
          <w:i/>
          <w:color w:val="auto"/>
          <w:szCs w:val="24"/>
          <w:u w:val="none"/>
          <w:lang w:val="en-US"/>
        </w:rPr>
      </w:pPr>
      <w:r w:rsidRPr="00053C90">
        <w:rPr>
          <w:rStyle w:val="Hyperlink"/>
          <w:color w:val="auto"/>
          <w:szCs w:val="24"/>
          <w:u w:val="none"/>
          <w:lang w:val="en-US"/>
        </w:rPr>
        <w:t>IFRS</w:t>
      </w:r>
      <w:r w:rsidR="004417BA" w:rsidRPr="00053C90">
        <w:rPr>
          <w:rStyle w:val="Hyperlink"/>
          <w:color w:val="auto"/>
          <w:szCs w:val="24"/>
          <w:u w:val="none"/>
          <w:lang w:val="en-US"/>
        </w:rPr>
        <w:t xml:space="preserve">. </w:t>
      </w:r>
      <w:r w:rsidR="004417BA" w:rsidRPr="00053C90">
        <w:rPr>
          <w:rStyle w:val="Hyperlink"/>
          <w:i/>
          <w:color w:val="auto"/>
          <w:szCs w:val="24"/>
          <w:u w:val="none"/>
          <w:lang w:val="en-US"/>
        </w:rPr>
        <w:t>IFRS</w:t>
      </w:r>
      <w:r w:rsidRPr="00053C90">
        <w:rPr>
          <w:rStyle w:val="Hyperlink"/>
          <w:i/>
          <w:color w:val="auto"/>
          <w:szCs w:val="24"/>
          <w:u w:val="none"/>
          <w:lang w:val="en-US"/>
        </w:rPr>
        <w:t xml:space="preserve"> Application Around the W</w:t>
      </w:r>
      <w:r w:rsidR="001A5349" w:rsidRPr="00053C90">
        <w:rPr>
          <w:rStyle w:val="Hyperlink"/>
          <w:i/>
          <w:color w:val="auto"/>
          <w:szCs w:val="24"/>
          <w:u w:val="none"/>
          <w:lang w:val="en-US"/>
        </w:rPr>
        <w:t>orld</w:t>
      </w:r>
      <w:r w:rsidR="004417BA" w:rsidRPr="00053C90">
        <w:rPr>
          <w:rStyle w:val="Hyperlink"/>
          <w:color w:val="auto"/>
          <w:szCs w:val="24"/>
          <w:u w:val="none"/>
          <w:lang w:val="en-US"/>
        </w:rPr>
        <w:t xml:space="preserve">, </w:t>
      </w:r>
      <w:r w:rsidRPr="00053C90">
        <w:rPr>
          <w:rStyle w:val="Hyperlink"/>
          <w:i/>
          <w:color w:val="auto"/>
          <w:szCs w:val="24"/>
          <w:u w:val="none"/>
          <w:lang w:val="en-US"/>
        </w:rPr>
        <w:t>Jurisdiction Profile: Sweden</w:t>
      </w:r>
      <w:r w:rsidR="004417BA" w:rsidRPr="00053C90">
        <w:rPr>
          <w:rStyle w:val="Hyperlink"/>
          <w:i/>
          <w:color w:val="auto"/>
          <w:szCs w:val="24"/>
          <w:u w:val="none"/>
          <w:lang w:val="en-US"/>
        </w:rPr>
        <w:t>.</w:t>
      </w:r>
      <w:r w:rsidR="004417BA" w:rsidRPr="00053C90">
        <w:rPr>
          <w:rStyle w:val="Hyperlink"/>
          <w:color w:val="auto"/>
          <w:szCs w:val="24"/>
          <w:u w:val="none"/>
          <w:lang w:val="en-US"/>
        </w:rPr>
        <w:t xml:space="preserve"> 2013.</w:t>
      </w:r>
    </w:p>
    <w:p w:rsidR="00D0562B" w:rsidRPr="00053C90" w:rsidRDefault="00E85166" w:rsidP="007C19A7">
      <w:pPr>
        <w:spacing w:after="0" w:line="360" w:lineRule="auto"/>
        <w:rPr>
          <w:rStyle w:val="Hyperlink"/>
          <w:rFonts w:eastAsia="Times New Roman"/>
          <w:szCs w:val="24"/>
          <w:u w:val="none"/>
          <w:lang w:val="en-US" w:eastAsia="sv-SE"/>
        </w:rPr>
      </w:pPr>
      <w:hyperlink r:id="rId19" w:history="1">
        <w:r w:rsidR="001A5349" w:rsidRPr="00053C90">
          <w:rPr>
            <w:rStyle w:val="Hyperlink"/>
            <w:rFonts w:eastAsia="Times New Roman"/>
            <w:szCs w:val="24"/>
            <w:lang w:val="en-US" w:eastAsia="sv-SE"/>
          </w:rPr>
          <w:t>http://www.ifrs.org/Use-around-the-world/Documents/Jurisdiction-profiles/Sweden-IFRS-Profile.pdf</w:t>
        </w:r>
      </w:hyperlink>
      <w:r w:rsidR="004417BA" w:rsidRPr="00053C90">
        <w:rPr>
          <w:rStyle w:val="Hyperlink"/>
          <w:rFonts w:eastAsia="Times New Roman"/>
          <w:szCs w:val="24"/>
          <w:lang w:val="en-US" w:eastAsia="sv-SE"/>
        </w:rPr>
        <w:t xml:space="preserve"> </w:t>
      </w:r>
      <w:r w:rsidR="004417BA" w:rsidRPr="00053C90">
        <w:rPr>
          <w:rStyle w:val="Hyperlink"/>
          <w:rFonts w:eastAsia="Times New Roman"/>
          <w:color w:val="auto"/>
          <w:szCs w:val="24"/>
          <w:lang w:val="en-US" w:eastAsia="sv-SE"/>
        </w:rPr>
        <w:t>(Retrieved 2015-05-18)</w:t>
      </w:r>
    </w:p>
    <w:p w:rsidR="001A5349" w:rsidRPr="00053C90" w:rsidRDefault="001A5349" w:rsidP="007C19A7">
      <w:pPr>
        <w:spacing w:after="0" w:line="360" w:lineRule="auto"/>
        <w:rPr>
          <w:rStyle w:val="Hyperlink"/>
          <w:rFonts w:eastAsia="Times New Roman"/>
          <w:b/>
          <w:szCs w:val="24"/>
          <w:u w:val="none"/>
          <w:lang w:val="en-US" w:eastAsia="sv-SE"/>
        </w:rPr>
      </w:pPr>
    </w:p>
    <w:p w:rsidR="001A5349" w:rsidRPr="00053C90" w:rsidRDefault="004417BA" w:rsidP="007C19A7">
      <w:pPr>
        <w:spacing w:after="0" w:line="360" w:lineRule="auto"/>
        <w:rPr>
          <w:rStyle w:val="Hyperlink"/>
          <w:rFonts w:eastAsia="Times New Roman"/>
          <w:color w:val="auto"/>
          <w:szCs w:val="24"/>
          <w:u w:val="none"/>
          <w:lang w:val="en-US" w:eastAsia="sv-SE"/>
        </w:rPr>
      </w:pPr>
      <w:r w:rsidRPr="00053C90">
        <w:rPr>
          <w:rStyle w:val="Hyperlink"/>
          <w:rFonts w:eastAsia="Times New Roman"/>
          <w:color w:val="auto"/>
          <w:szCs w:val="24"/>
          <w:u w:val="none"/>
          <w:lang w:val="en-US" w:eastAsia="sv-SE"/>
        </w:rPr>
        <w:t xml:space="preserve">U.S. Securities &amp; Exchange Commision. 2013. </w:t>
      </w:r>
      <w:r w:rsidRPr="00053C90">
        <w:rPr>
          <w:rStyle w:val="Hyperlink"/>
          <w:rFonts w:eastAsia="Times New Roman"/>
          <w:i/>
          <w:color w:val="auto"/>
          <w:szCs w:val="24"/>
          <w:u w:val="none"/>
          <w:lang w:val="en-US" w:eastAsia="sv-SE"/>
        </w:rPr>
        <w:t xml:space="preserve">Tender Offer. </w:t>
      </w:r>
      <w:r w:rsidRPr="00053C90">
        <w:rPr>
          <w:rStyle w:val="Hyperlink"/>
          <w:rFonts w:eastAsia="Times New Roman"/>
          <w:color w:val="auto"/>
          <w:szCs w:val="24"/>
          <w:u w:val="none"/>
          <w:lang w:val="en-US" w:eastAsia="sv-SE"/>
        </w:rPr>
        <w:t xml:space="preserve">SEC.  </w:t>
      </w:r>
      <w:hyperlink r:id="rId20" w:history="1">
        <w:r w:rsidR="0047135E" w:rsidRPr="00053C90">
          <w:rPr>
            <w:rStyle w:val="Hyperlink"/>
            <w:rFonts w:eastAsia="Times New Roman"/>
            <w:szCs w:val="24"/>
            <w:lang w:val="en-US" w:eastAsia="sv-SE"/>
          </w:rPr>
          <w:t>http://www.sec.gov/answers/tender.htm</w:t>
        </w:r>
      </w:hyperlink>
      <w:r w:rsidR="0047135E" w:rsidRPr="00053C90">
        <w:rPr>
          <w:rStyle w:val="Hyperlink"/>
          <w:rFonts w:eastAsia="Times New Roman"/>
          <w:szCs w:val="24"/>
          <w:u w:val="none"/>
          <w:lang w:val="en-US" w:eastAsia="sv-SE"/>
        </w:rPr>
        <w:t xml:space="preserve"> </w:t>
      </w:r>
      <w:r w:rsidRPr="00053C90">
        <w:rPr>
          <w:rStyle w:val="Hyperlink"/>
          <w:rFonts w:eastAsia="Times New Roman"/>
          <w:color w:val="auto"/>
          <w:szCs w:val="24"/>
          <w:u w:val="none"/>
          <w:lang w:val="en-US" w:eastAsia="sv-SE"/>
        </w:rPr>
        <w:t xml:space="preserve">(Retrieved 2015-05-18). </w:t>
      </w:r>
    </w:p>
    <w:p w:rsidR="004912E4" w:rsidRDefault="004912E4"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7C19A7">
      <w:pPr>
        <w:spacing w:after="0" w:line="360" w:lineRule="auto"/>
        <w:rPr>
          <w:lang w:val="en-US"/>
        </w:rPr>
      </w:pPr>
    </w:p>
    <w:p w:rsidR="0009090C" w:rsidRDefault="0009090C" w:rsidP="0009090C">
      <w:pPr>
        <w:pStyle w:val="Heading1"/>
        <w:spacing w:before="0" w:line="360" w:lineRule="auto"/>
        <w:jc w:val="both"/>
        <w:rPr>
          <w:rFonts w:ascii="Times New Roman" w:hAnsi="Times New Roman"/>
          <w:lang w:val="en-US"/>
        </w:rPr>
      </w:pPr>
      <w:bookmarkStart w:id="58" w:name="_Toc428399257"/>
      <w:bookmarkStart w:id="59" w:name="_Toc413778061"/>
      <w:r>
        <w:rPr>
          <w:rFonts w:ascii="Times New Roman" w:hAnsi="Times New Roman"/>
          <w:lang w:val="en-US"/>
        </w:rPr>
        <w:t>Appendices</w:t>
      </w:r>
      <w:bookmarkEnd w:id="58"/>
    </w:p>
    <w:p w:rsidR="006A5B21" w:rsidRPr="00053C90" w:rsidRDefault="006A5B21" w:rsidP="0009090C">
      <w:pPr>
        <w:pStyle w:val="Heading2"/>
        <w:rPr>
          <w:lang w:val="en-US"/>
        </w:rPr>
      </w:pPr>
      <w:bookmarkStart w:id="60" w:name="_Toc428399258"/>
      <w:bookmarkEnd w:id="59"/>
      <w:r w:rsidRPr="00053C90">
        <w:rPr>
          <w:lang w:val="en-US"/>
        </w:rPr>
        <w:t>A</w:t>
      </w:r>
      <w:r w:rsidR="007C19A7" w:rsidRPr="00053C90">
        <w:rPr>
          <w:lang w:val="en-US"/>
        </w:rPr>
        <w:t>ppendix</w:t>
      </w:r>
      <w:r w:rsidR="00AF1D23">
        <w:rPr>
          <w:lang w:val="en-US"/>
        </w:rPr>
        <w:t xml:space="preserve"> 1</w:t>
      </w:r>
      <w:r w:rsidR="0009090C">
        <w:rPr>
          <w:lang w:val="en-US"/>
        </w:rPr>
        <w:t xml:space="preserve"> - Tables</w:t>
      </w:r>
      <w:bookmarkEnd w:id="60"/>
    </w:p>
    <w:p w:rsidR="002A2F38" w:rsidRPr="00053C90" w:rsidRDefault="002A2F38" w:rsidP="002A2F38">
      <w:pPr>
        <w:rPr>
          <w:lang w:val="en-US"/>
        </w:rPr>
      </w:pPr>
    </w:p>
    <w:p w:rsidR="00DB23D7" w:rsidRPr="00053C90" w:rsidRDefault="00A74F12" w:rsidP="002A2F38">
      <w:pPr>
        <w:rPr>
          <w:b/>
          <w:lang w:val="en-US"/>
        </w:rPr>
      </w:pPr>
      <w:r w:rsidRPr="00053C90">
        <w:rPr>
          <w:b/>
          <w:lang w:val="en-US"/>
        </w:rPr>
        <w:t xml:space="preserve">A1.1 </w:t>
      </w:r>
      <w:r w:rsidR="00DB23D7" w:rsidRPr="00053C90">
        <w:rPr>
          <w:b/>
          <w:lang w:val="en-US"/>
        </w:rPr>
        <w:t>BHAR A</w:t>
      </w:r>
    </w:p>
    <w:tbl>
      <w:tblPr>
        <w:tblW w:w="8160" w:type="dxa"/>
        <w:tblInd w:w="113" w:type="dxa"/>
        <w:tblLook w:val="04A0" w:firstRow="1" w:lastRow="0" w:firstColumn="1" w:lastColumn="0" w:noHBand="0" w:noVBand="1"/>
      </w:tblPr>
      <w:tblGrid>
        <w:gridCol w:w="1951"/>
        <w:gridCol w:w="2328"/>
        <w:gridCol w:w="1598"/>
        <w:gridCol w:w="761"/>
        <w:gridCol w:w="761"/>
        <w:gridCol w:w="761"/>
      </w:tblGrid>
      <w:tr w:rsidR="00DB23D7" w:rsidRPr="00053C90" w:rsidTr="005A3F8C">
        <w:trPr>
          <w:trHeight w:val="768"/>
        </w:trPr>
        <w:tc>
          <w:tcPr>
            <w:tcW w:w="2020" w:type="dxa"/>
            <w:tcBorders>
              <w:top w:val="single" w:sz="4" w:space="0" w:color="4F81BD"/>
              <w:left w:val="single" w:sz="4" w:space="0" w:color="4F81BD"/>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244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66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68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BHAR12</w:t>
            </w:r>
          </w:p>
        </w:tc>
        <w:tc>
          <w:tcPr>
            <w:tcW w:w="68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BHAR24</w:t>
            </w:r>
          </w:p>
        </w:tc>
        <w:tc>
          <w:tcPr>
            <w:tcW w:w="680" w:type="dxa"/>
            <w:tcBorders>
              <w:top w:val="single" w:sz="4" w:space="0" w:color="4F81BD"/>
              <w:left w:val="nil"/>
              <w:bottom w:val="single" w:sz="4" w:space="0" w:color="9BC2E6"/>
              <w:right w:val="single" w:sz="4" w:space="0" w:color="4F81BD"/>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BHAR36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SECURITAS AB</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Bell Group PLC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NCC</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-99.88%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-212.6%</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-194.5%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Song Networks Holding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-69%</w:t>
            </w:r>
          </w:p>
        </w:tc>
        <w:tc>
          <w:tcPr>
            <w:tcW w:w="680"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Chips Abp</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13.47%</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12.07%</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84.84%</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TV4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Meda</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6.40%</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-15.05%</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68.09%</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Elkem ASA</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32.44%</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62.98%</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143.06%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 ON Finland Oyj</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Etrion</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-30%</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-102%</w:t>
            </w:r>
          </w:p>
        </w:tc>
        <w:tc>
          <w:tcPr>
            <w:tcW w:w="680"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ELEKTA PUBL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Impac Medical Systems Inc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Meda</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-105.8%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-212.6%</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-194.5%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 AB</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Turkcell Iletisim Hizmetleri AS</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Stora enso</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0.00%</w:t>
            </w:r>
          </w:p>
        </w:tc>
        <w:tc>
          <w:tcPr>
            <w:tcW w:w="680" w:type="dxa"/>
            <w:tcBorders>
              <w:top w:val="single" w:sz="4" w:space="0" w:color="9BC2E6"/>
              <w:left w:val="single" w:sz="4" w:space="0" w:color="D1E1E5"/>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35.72%</w:t>
            </w:r>
          </w:p>
        </w:tc>
        <w:tc>
          <w:tcPr>
            <w:tcW w:w="680"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47.70%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Leica Geosystems AG</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111.8%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148.18%</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185.4%</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Versatel Telecom International NV</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-105.8%</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-284.0%</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-194.5%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NORSK HYDRO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Spinnaker Exploration Co</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Outokompo</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-42.1%</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-26.8%</w:t>
            </w:r>
          </w:p>
        </w:tc>
        <w:tc>
          <w:tcPr>
            <w:tcW w:w="680"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-3.9%</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Fortum Wroclaw 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Metso</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-11.66%</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-74.67%</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60.34%</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DSV A/S </w:t>
            </w:r>
          </w:p>
        </w:tc>
        <w:tc>
          <w:tcPr>
            <w:tcW w:w="244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7E4847" w:rsidRDefault="00DB23D7" w:rsidP="00DB23D7">
            <w:pPr>
              <w:spacing w:after="0" w:line="240" w:lineRule="auto"/>
              <w:jc w:val="center"/>
              <w:rPr>
                <w:rFonts w:eastAsia="Times New Roman"/>
                <w:color w:val="000000"/>
                <w:sz w:val="14"/>
                <w:szCs w:val="14"/>
              </w:rPr>
            </w:pPr>
            <w:r w:rsidRPr="007E4847">
              <w:rPr>
                <w:rFonts w:eastAsia="Times New Roman"/>
                <w:color w:val="000000"/>
                <w:sz w:val="14"/>
                <w:szCs w:val="14"/>
              </w:rPr>
              <w:t>Koninklijke Frans Maas Groep NV</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-12.08%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-73.10%</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-59.60%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FABEGE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Tornet Fastighets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Latour</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-5.38%</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-53.71%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TELENOR GROUP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Glocalnet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39.2%</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59.4%</w:t>
            </w:r>
          </w:p>
        </w:tc>
        <w:tc>
          <w:tcPr>
            <w:tcW w:w="680"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WARTSILA OYJ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Total Automation Ltd</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Hexagon</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28.46%</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21.06%</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29.05%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MARINE HARVEST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Fjord Seafood ASA</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Kabe Husvagnar AB</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-105.8%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66.09%</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44.31%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FLSMIDTH &amp; CO A/S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Potagua A/S</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B&amp;B tools AB</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13.84%</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111.25%</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41.08%</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Nissan Diesel Motor Co 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26.89%</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12.84%</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Fargo Electronics Inc</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Yit</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-6.64%</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-7.05%</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20.73%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LUNDIN PETROLEUM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Valkyries Petroleum Corp</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Norweigan Energy</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-87.97%</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-53.02%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20.87%</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NOKIA CORP</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Loudeye Corp</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Comptel</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9.80%</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21.17%</w:t>
            </w:r>
          </w:p>
        </w:tc>
        <w:tc>
          <w:tcPr>
            <w:tcW w:w="680" w:type="dxa"/>
            <w:tcBorders>
              <w:top w:val="single" w:sz="4" w:space="0" w:color="9BC2E6"/>
              <w:left w:val="single" w:sz="4" w:space="0" w:color="D1E1E5"/>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25.41%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NOVOZYMES A/S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GroPep 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Revenio Group</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-55.7%</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-61.1%</w:t>
            </w:r>
          </w:p>
        </w:tc>
        <w:tc>
          <w:tcPr>
            <w:tcW w:w="680"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COMPONENTA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Doktas Docum Sanayi ve </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38.64%</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34.58%</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-25.56%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ATRIA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Sardus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Mekonomen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-32.35%</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-20.17%</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-77.88%</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ERICSSON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TANDBERG Television ASA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Novotek</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-25.27%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-5.96%</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 AB</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Laval(India)Ltd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Stolt Nielsen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34.08%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34.65%</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78.66%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Stavanger Aftenblad ASA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MTG</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-26.23%</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-18.74%</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-19.43%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NEW WAVE GROUP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Cutter &amp; Buck Inc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Bang &amp; Olufsen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18.53%</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-2.06%</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23.49%</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SSAB SVENSKT STAL AB</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IPSCO Inc</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Norske Skogindust</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65.18%</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23.56%</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54.93%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OAO Territorial Generating </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Hafslund</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41.78%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26.77%</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34.00%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NAVTEQ Corp</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HIQ international</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0.02%</w:t>
            </w:r>
          </w:p>
        </w:tc>
        <w:tc>
          <w:tcPr>
            <w:tcW w:w="680"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-34.31%</w:t>
            </w:r>
          </w:p>
        </w:tc>
        <w:tc>
          <w:tcPr>
            <w:tcW w:w="680"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-52.80%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STOCKMANN OYJ</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Lindex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Finnair</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16.45%</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24.41%</w:t>
            </w:r>
          </w:p>
        </w:tc>
        <w:tc>
          <w:tcPr>
            <w:tcW w:w="680"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42.60%</w:t>
            </w:r>
          </w:p>
        </w:tc>
      </w:tr>
      <w:tr w:rsidR="00DB23D7" w:rsidRPr="00053C90" w:rsidTr="005A3F8C">
        <w:trPr>
          <w:trHeight w:val="276"/>
        </w:trPr>
        <w:tc>
          <w:tcPr>
            <w:tcW w:w="2020" w:type="dxa"/>
            <w:tcBorders>
              <w:top w:val="single" w:sz="4" w:space="0" w:color="9BC2E6"/>
              <w:left w:val="single" w:sz="4" w:space="0" w:color="4F81BD"/>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244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NovAtel Inc</w:t>
            </w:r>
          </w:p>
        </w:tc>
        <w:tc>
          <w:tcPr>
            <w:tcW w:w="166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Nibe</w:t>
            </w:r>
          </w:p>
        </w:tc>
        <w:tc>
          <w:tcPr>
            <w:tcW w:w="680" w:type="dxa"/>
            <w:tcBorders>
              <w:top w:val="single" w:sz="4" w:space="0" w:color="D1E1E5"/>
              <w:left w:val="single" w:sz="4" w:space="0" w:color="D1E1E5"/>
              <w:bottom w:val="single" w:sz="4" w:space="0" w:color="4F81BD"/>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33.96%</w:t>
            </w:r>
          </w:p>
        </w:tc>
        <w:tc>
          <w:tcPr>
            <w:tcW w:w="680" w:type="dxa"/>
            <w:tcBorders>
              <w:top w:val="single" w:sz="4" w:space="0" w:color="D1E1E5"/>
              <w:left w:val="single" w:sz="4" w:space="0" w:color="D1E1E5"/>
              <w:bottom w:val="single" w:sz="4" w:space="0" w:color="4F81BD"/>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-12.80%</w:t>
            </w:r>
          </w:p>
        </w:tc>
        <w:tc>
          <w:tcPr>
            <w:tcW w:w="680" w:type="dxa"/>
            <w:tcBorders>
              <w:top w:val="single" w:sz="4" w:space="0" w:color="D1E1E5"/>
              <w:left w:val="single" w:sz="4" w:space="0" w:color="D1E1E5"/>
              <w:bottom w:val="single" w:sz="4" w:space="0" w:color="4F81BD"/>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23.23%</w:t>
            </w:r>
          </w:p>
        </w:tc>
      </w:tr>
    </w:tbl>
    <w:p w:rsidR="00DB23D7" w:rsidRPr="00053C90" w:rsidRDefault="00DB23D7" w:rsidP="002A2F38">
      <w:pPr>
        <w:rPr>
          <w:lang w:val="en-US"/>
        </w:rPr>
      </w:pPr>
    </w:p>
    <w:p w:rsidR="001349BA" w:rsidRPr="00053C90" w:rsidRDefault="001349BA" w:rsidP="001349BA">
      <w:pPr>
        <w:rPr>
          <w:lang w:val="en-US"/>
        </w:rPr>
      </w:pPr>
    </w:p>
    <w:p w:rsidR="001349BA" w:rsidRPr="00053C90" w:rsidRDefault="001349BA" w:rsidP="001349BA">
      <w:pPr>
        <w:rPr>
          <w:lang w:val="en-US"/>
        </w:rPr>
      </w:pPr>
    </w:p>
    <w:p w:rsidR="001349BA" w:rsidRPr="00053C90" w:rsidRDefault="001349BA" w:rsidP="001349BA">
      <w:pPr>
        <w:rPr>
          <w:lang w:val="en-US"/>
        </w:rPr>
      </w:pPr>
    </w:p>
    <w:p w:rsidR="00983C72" w:rsidRPr="00053C90" w:rsidRDefault="00A74F12" w:rsidP="00983C72">
      <w:pPr>
        <w:rPr>
          <w:b/>
          <w:lang w:val="en-US"/>
        </w:rPr>
      </w:pPr>
      <w:r w:rsidRPr="00053C90">
        <w:rPr>
          <w:b/>
          <w:lang w:val="en-US"/>
        </w:rPr>
        <w:t xml:space="preserve">A1.2. </w:t>
      </w:r>
      <w:r w:rsidR="00DB23D7" w:rsidRPr="00053C90">
        <w:rPr>
          <w:b/>
          <w:lang w:val="en-US"/>
        </w:rPr>
        <w:t>ROA A</w:t>
      </w:r>
    </w:p>
    <w:tbl>
      <w:tblPr>
        <w:tblW w:w="8160" w:type="dxa"/>
        <w:tblInd w:w="113" w:type="dxa"/>
        <w:tblLook w:val="04A0" w:firstRow="1" w:lastRow="0" w:firstColumn="1" w:lastColumn="0" w:noHBand="0" w:noVBand="1"/>
      </w:tblPr>
      <w:tblGrid>
        <w:gridCol w:w="2020"/>
        <w:gridCol w:w="2440"/>
        <w:gridCol w:w="1660"/>
        <w:gridCol w:w="680"/>
        <w:gridCol w:w="680"/>
        <w:gridCol w:w="680"/>
      </w:tblGrid>
      <w:tr w:rsidR="00DB23D7" w:rsidRPr="00053C90" w:rsidTr="005A3F8C">
        <w:trPr>
          <w:trHeight w:val="768"/>
        </w:trPr>
        <w:tc>
          <w:tcPr>
            <w:tcW w:w="2020" w:type="dxa"/>
            <w:tcBorders>
              <w:top w:val="single" w:sz="4" w:space="0" w:color="4F81BD"/>
              <w:left w:val="single" w:sz="4" w:space="0" w:color="4F81BD"/>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244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66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68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ROA12</w:t>
            </w:r>
          </w:p>
        </w:tc>
        <w:tc>
          <w:tcPr>
            <w:tcW w:w="680"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ROA24</w:t>
            </w:r>
          </w:p>
        </w:tc>
        <w:tc>
          <w:tcPr>
            <w:tcW w:w="680" w:type="dxa"/>
            <w:tcBorders>
              <w:top w:val="single" w:sz="4" w:space="0" w:color="4F81BD"/>
              <w:left w:val="nil"/>
              <w:bottom w:val="single" w:sz="4" w:space="0" w:color="9BC2E6"/>
              <w:right w:val="single" w:sz="4" w:space="0" w:color="4F81BD"/>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ROA36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SECURITAS AB</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Bell Group PLC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NCC</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-17.6%</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Song Networks Holding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-7.9%</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Chips Abp</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TV4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Meda</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0.8%</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2.7%</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Elkem ASA</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 ON Finland Oyj</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Etrion</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-12.9%</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ELEKTA PUBL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Impac Medical Systems Inc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Meda</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-0.4%</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 AB</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Turkcell Iletisim Hizmetleri AS</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Stora enso</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0.2%</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Leica Geosystems AG</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-4.5%</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Versatel Telecom International NV</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-0.6%</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NORSK HYDRO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Spinnaker Exploration Co</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Outokompo</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-10.4%</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Fortum Wroclaw 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Metso</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-4.6%</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DSV A/S </w:t>
            </w:r>
          </w:p>
        </w:tc>
        <w:tc>
          <w:tcPr>
            <w:tcW w:w="2440" w:type="dxa"/>
            <w:tcBorders>
              <w:top w:val="single" w:sz="4" w:space="0" w:color="9BC2E6"/>
              <w:left w:val="single" w:sz="4" w:space="0" w:color="D1E1E5"/>
              <w:bottom w:val="single" w:sz="4" w:space="0" w:color="9BC2E6"/>
              <w:right w:val="single" w:sz="4" w:space="0" w:color="D1E1E5"/>
            </w:tcBorders>
            <w:shd w:val="clear" w:color="DDEBF7" w:fill="DDEBF7"/>
            <w:vAlign w:val="center"/>
            <w:hideMark/>
          </w:tcPr>
          <w:p w:rsidR="00DB23D7" w:rsidRPr="007E4847" w:rsidRDefault="00DB23D7" w:rsidP="00DB23D7">
            <w:pPr>
              <w:spacing w:after="0" w:line="240" w:lineRule="auto"/>
              <w:jc w:val="center"/>
              <w:rPr>
                <w:rFonts w:eastAsia="Times New Roman"/>
                <w:color w:val="000000"/>
                <w:sz w:val="14"/>
                <w:szCs w:val="14"/>
              </w:rPr>
            </w:pPr>
            <w:r w:rsidRPr="007E4847">
              <w:rPr>
                <w:rFonts w:eastAsia="Times New Roman"/>
                <w:color w:val="000000"/>
                <w:sz w:val="14"/>
                <w:szCs w:val="14"/>
              </w:rPr>
              <w:t>Koninklijke Frans Maas Groep NV</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FABEGE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Tornet Fastighets AB</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Latour</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-9.3%</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7.5%</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TELENOR GROUP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Glocalnet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WARTSILA OYJ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Total Automation Ltd</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Hexagon</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-0.8%</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MARINE HARVEST ASA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Fjord Seafood ASA</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Kabe Husvagnar AB</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7.3%</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FLSMIDTH &amp; CO A/S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Potagua A/S</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B&amp;B tools AB</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11.2%</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9.8%</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Nissan Diesel Motor Co 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-13.2%</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Fargo Electronics Inc</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Yit</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LUNDIN PETROLEUM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Valkyries Petroleum Corp</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Norweigan Energy</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-9.2%</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NOKIA CORP</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Loudeye Corp</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Comptel</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-4.4%</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NOVOZYMES A/S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GroPep 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Revenio Group</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-8.3%</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-11.6%</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-16.4%</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COMPONENTA OYJ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Doktas Docum Sanayi ve </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9.8%</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ATRIA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Sardus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Mekonomen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ERICSSON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TANDBERG Television ASA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Novotek</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3.0%</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 AB</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Laval(India)Ltd</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Stolt Nielsen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4.5%</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Stavanger Aftenblad ASA</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MTG</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-8.6%</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-2.9%</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NEW WAVE GROUP AB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Cutter &amp; Buck Inc</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Bang &amp; Olufsen</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-11.0%</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23.5%</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SSAB SVENSKT STAL AB</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IPSCO Inc</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Norske Skogindust</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9.9%</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OAO Territorial Generating </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Hafslund</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-0.2%</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244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NAVTEQ Corp</w:t>
            </w:r>
          </w:p>
        </w:tc>
        <w:tc>
          <w:tcPr>
            <w:tcW w:w="166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HIQ international</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c>
          <w:tcPr>
            <w:tcW w:w="680"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-12.7%</w:t>
            </w:r>
          </w:p>
        </w:tc>
        <w:tc>
          <w:tcPr>
            <w:tcW w:w="680"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-4.8%</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STOCKMANN OYJ</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Lindex AB</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Finnair</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-9.4%</w:t>
            </w:r>
          </w:p>
        </w:tc>
        <w:tc>
          <w:tcPr>
            <w:tcW w:w="68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7.7%</w:t>
            </w:r>
          </w:p>
        </w:tc>
        <w:tc>
          <w:tcPr>
            <w:tcW w:w="680"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23.6%</w:t>
            </w:r>
          </w:p>
        </w:tc>
      </w:tr>
      <w:tr w:rsidR="00DB23D7" w:rsidRPr="00053C90" w:rsidTr="005A3F8C">
        <w:trPr>
          <w:trHeight w:val="276"/>
        </w:trPr>
        <w:tc>
          <w:tcPr>
            <w:tcW w:w="2020" w:type="dxa"/>
            <w:tcBorders>
              <w:top w:val="single" w:sz="4" w:space="0" w:color="9BC2E6"/>
              <w:left w:val="single" w:sz="4" w:space="0" w:color="4F81BD"/>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244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NovAtel Inc</w:t>
            </w:r>
          </w:p>
        </w:tc>
        <w:tc>
          <w:tcPr>
            <w:tcW w:w="166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Nibe</w:t>
            </w:r>
          </w:p>
        </w:tc>
        <w:tc>
          <w:tcPr>
            <w:tcW w:w="68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w:t>
            </w:r>
          </w:p>
        </w:tc>
        <w:tc>
          <w:tcPr>
            <w:tcW w:w="680"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w:t>
            </w:r>
          </w:p>
        </w:tc>
        <w:tc>
          <w:tcPr>
            <w:tcW w:w="680" w:type="dxa"/>
            <w:tcBorders>
              <w:top w:val="single" w:sz="4" w:space="0" w:color="9BC2E6"/>
              <w:left w:val="nil"/>
              <w:bottom w:val="single" w:sz="4" w:space="0" w:color="4F81BD"/>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w:t>
            </w:r>
          </w:p>
        </w:tc>
      </w:tr>
    </w:tbl>
    <w:p w:rsidR="00DB23D7" w:rsidRPr="00053C90" w:rsidRDefault="00DB23D7"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DB23D7" w:rsidRPr="00053C90" w:rsidRDefault="00A74F12" w:rsidP="00983C72">
      <w:pPr>
        <w:rPr>
          <w:b/>
          <w:lang w:val="en-US"/>
        </w:rPr>
      </w:pPr>
      <w:r w:rsidRPr="00053C90">
        <w:rPr>
          <w:b/>
          <w:lang w:val="en-US"/>
        </w:rPr>
        <w:t xml:space="preserve">A1.3. </w:t>
      </w:r>
      <w:r w:rsidR="00DB23D7" w:rsidRPr="00053C90">
        <w:rPr>
          <w:b/>
          <w:lang w:val="en-US"/>
        </w:rPr>
        <w:t>Explanatory Variables A</w:t>
      </w:r>
    </w:p>
    <w:tbl>
      <w:tblPr>
        <w:tblW w:w="9380" w:type="dxa"/>
        <w:tblInd w:w="113" w:type="dxa"/>
        <w:tblLook w:val="04A0" w:firstRow="1" w:lastRow="0" w:firstColumn="1" w:lastColumn="0" w:noHBand="0" w:noVBand="1"/>
      </w:tblPr>
      <w:tblGrid>
        <w:gridCol w:w="1504"/>
        <w:gridCol w:w="1642"/>
        <w:gridCol w:w="1198"/>
        <w:gridCol w:w="523"/>
        <w:gridCol w:w="1593"/>
        <w:gridCol w:w="741"/>
        <w:gridCol w:w="718"/>
        <w:gridCol w:w="1461"/>
      </w:tblGrid>
      <w:tr w:rsidR="00DB23D7" w:rsidRPr="00053C90" w:rsidTr="005A3F8C">
        <w:trPr>
          <w:trHeight w:val="768"/>
        </w:trPr>
        <w:tc>
          <w:tcPr>
            <w:tcW w:w="1659" w:type="dxa"/>
            <w:tcBorders>
              <w:top w:val="single" w:sz="4" w:space="0" w:color="4F81BD"/>
              <w:left w:val="single" w:sz="4" w:space="0" w:color="4F81BD"/>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1901"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332"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543"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M/B t-1</w:t>
            </w:r>
          </w:p>
        </w:tc>
        <w:tc>
          <w:tcPr>
            <w:tcW w:w="1407"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domestic_international</w:t>
            </w:r>
          </w:p>
        </w:tc>
        <w:tc>
          <w:tcPr>
            <w:tcW w:w="636"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Log Size</w:t>
            </w:r>
          </w:p>
        </w:tc>
        <w:tc>
          <w:tcPr>
            <w:tcW w:w="627"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relative deal size</w:t>
            </w:r>
          </w:p>
        </w:tc>
        <w:tc>
          <w:tcPr>
            <w:tcW w:w="1275" w:type="dxa"/>
            <w:tcBorders>
              <w:top w:val="single" w:sz="4" w:space="0" w:color="4F81BD"/>
              <w:left w:val="nil"/>
              <w:bottom w:val="single" w:sz="4" w:space="0" w:color="9BC2E6"/>
              <w:right w:val="single" w:sz="4" w:space="0" w:color="4F81BD"/>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industry_relatedness</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SECURITAS AB</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Bell Group PLC</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NCC</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3.36</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6.588037</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4.42%</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Song Networks Holding AB</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1.11</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6.78651</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11.28%</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Chips Abp</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1.91</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6.625946</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11.31%</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TV4 AB</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Meda</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2.13</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6.028269</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6.28%</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Elkem ASA</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1.22</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6.690539</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17.64%</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 ON Finland Oyj</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Etrion</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0.94</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7.072238</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3.66%</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ELEKTA PUBL AB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Impac Medical Systems Inc</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Meda</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3.16</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5.669543</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41.95%</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 AB</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Turkcell Iletisim Hizmetleri AS</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Stora enso</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1.44</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7.311808</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15.12%</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Leica Geosystems AG</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1.55</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5.809705</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173.28%</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Versatel Telecom International NV</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Millicom</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1.72</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6.627731</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23.82%</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NORSK HYDRO ASA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Spinnaker Exploration Co</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Outokompo</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1.27</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7.154078</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17.85%</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Fortum Wroclaw SA</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Metso</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0.94</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7.072238</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1.52%</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DSV A/S </w:t>
            </w:r>
          </w:p>
        </w:tc>
        <w:tc>
          <w:tcPr>
            <w:tcW w:w="1901" w:type="dxa"/>
            <w:tcBorders>
              <w:top w:val="single" w:sz="4" w:space="0" w:color="9BC2E6"/>
              <w:left w:val="single" w:sz="4" w:space="0" w:color="D1E1E5"/>
              <w:bottom w:val="single" w:sz="4" w:space="0" w:color="9BC2E6"/>
              <w:right w:val="single" w:sz="4" w:space="0" w:color="D1E1E5"/>
            </w:tcBorders>
            <w:shd w:val="clear" w:color="DDEBF7" w:fill="DDEBF7"/>
            <w:vAlign w:val="center"/>
            <w:hideMark/>
          </w:tcPr>
          <w:p w:rsidR="00DB23D7" w:rsidRPr="007E4847" w:rsidRDefault="00DB23D7" w:rsidP="00DB23D7">
            <w:pPr>
              <w:spacing w:after="0" w:line="240" w:lineRule="auto"/>
              <w:jc w:val="center"/>
              <w:rPr>
                <w:rFonts w:eastAsia="Times New Roman"/>
                <w:color w:val="000000"/>
                <w:sz w:val="14"/>
                <w:szCs w:val="14"/>
              </w:rPr>
            </w:pPr>
            <w:r w:rsidRPr="007E4847">
              <w:rPr>
                <w:rFonts w:eastAsia="Times New Roman"/>
                <w:color w:val="000000"/>
                <w:sz w:val="14"/>
                <w:szCs w:val="14"/>
              </w:rPr>
              <w:t>Koninklijke Frans Maas Groep NV</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1.75</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5.990535</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39.96%</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FABEGE AB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Tornet Fastighets AB</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Latour</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0.52</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6.158941</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27.12%</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TELENOR GROUP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Glocalnet AB</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Teliasonera</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2.12</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7.134946</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0.40%</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WARTSILA OYJ AB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Total Automation Ltd</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Hexagon</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1.26</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6.371562</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2.81%</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MARINE HARVEST ASA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Fjord Seafood ASA</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Kabe Husvagnar AB</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0.54</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5.546029</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52.33%</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FLSMIDTH &amp; CO A/S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Potagua A/S</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B&amp;B tools AB</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2.08</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6.115925</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67.77%</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Nissan Diesel Motor Co Ltd</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1.51</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7.226136</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1.15%</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Fargo Electronics Inc</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Yit</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2.91</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6.706099</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5.90%</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LUNDIN PETROLEUM AB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Valkyries Petroleum Corp</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Norweigan Energy</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2.64</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6.380254</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28.08%</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NOKIA CORP</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Loudeye Corp</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Comptel</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4.47</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7.809312</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0.16%</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NOVOZYMES A/S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GroPep Ltd</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Revenio Group</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5.6</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6.472133</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2.16%</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COMPONENTA OYJ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Doktas Docum Sanayi ve </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1.09</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4.758086</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195.49%</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ATRIA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Sardus AB</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Mekonomen</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0.86</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5.625694</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17.28%</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ERICSSON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TANDBERG Television ASA</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Novotek</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3.7</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7.670017</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2.34%</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 AB</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Alfa Laval(India)Ltd</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Stolt Nielsen</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2.82</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6.56534</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2.01%</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SCHIBSTED ASA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Stavanger Aftenblad ASA</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MTG</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2.87</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6.271183</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3.16%</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NEW WAVE GROUP AB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Cutter &amp; Buck Inc</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Bang &amp; Olufsen</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4.05</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5.737135</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24.36%</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SSAB SVENSKT STAL AB</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IPSCO Inc</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Norske Skogindust</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1.63</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6.651838</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183.05%</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OAO Territorial Generating </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Hafslund</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1.77</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7.281765</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1.78%</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1901"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NAVTEQ Corp</w:t>
            </w:r>
          </w:p>
        </w:tc>
        <w:tc>
          <w:tcPr>
            <w:tcW w:w="1332"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HIQ international</w:t>
            </w:r>
          </w:p>
        </w:tc>
        <w:tc>
          <w:tcPr>
            <w:tcW w:w="543"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5.75</w:t>
            </w:r>
          </w:p>
        </w:tc>
        <w:tc>
          <w:tcPr>
            <w:tcW w:w="140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7.788094</w:t>
            </w:r>
          </w:p>
        </w:tc>
        <w:tc>
          <w:tcPr>
            <w:tcW w:w="62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12.32%</w:t>
            </w:r>
          </w:p>
        </w:tc>
        <w:tc>
          <w:tcPr>
            <w:tcW w:w="1275" w:type="dxa"/>
            <w:tcBorders>
              <w:top w:val="single" w:sz="4" w:space="0" w:color="9BC2E6"/>
              <w:left w:val="nil"/>
              <w:bottom w:val="single" w:sz="4" w:space="0" w:color="9BC2E6"/>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659"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STOCKMANN OYJ</w:t>
            </w:r>
          </w:p>
        </w:tc>
        <w:tc>
          <w:tcPr>
            <w:tcW w:w="190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Lindex AB</w:t>
            </w:r>
          </w:p>
        </w:tc>
        <w:tc>
          <w:tcPr>
            <w:tcW w:w="1332"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Finnair</w:t>
            </w:r>
          </w:p>
        </w:tc>
        <w:tc>
          <w:tcPr>
            <w:tcW w:w="543"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3.09</w:t>
            </w:r>
          </w:p>
        </w:tc>
        <w:tc>
          <w:tcPr>
            <w:tcW w:w="140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6.304616</w:t>
            </w:r>
          </w:p>
        </w:tc>
        <w:tc>
          <w:tcPr>
            <w:tcW w:w="62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62.58%</w:t>
            </w:r>
          </w:p>
        </w:tc>
        <w:tc>
          <w:tcPr>
            <w:tcW w:w="1275" w:type="dxa"/>
            <w:tcBorders>
              <w:top w:val="single" w:sz="4" w:space="0" w:color="9BC2E6"/>
              <w:left w:val="nil"/>
              <w:bottom w:val="single" w:sz="4" w:space="0" w:color="9BC2E6"/>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659" w:type="dxa"/>
            <w:tcBorders>
              <w:top w:val="single" w:sz="4" w:space="0" w:color="9BC2E6"/>
              <w:left w:val="single" w:sz="4" w:space="0" w:color="4F81BD"/>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HEXAGON AB </w:t>
            </w:r>
          </w:p>
        </w:tc>
        <w:tc>
          <w:tcPr>
            <w:tcW w:w="1901"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NovAtel Inc</w:t>
            </w:r>
          </w:p>
        </w:tc>
        <w:tc>
          <w:tcPr>
            <w:tcW w:w="1332"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Nibe</w:t>
            </w:r>
          </w:p>
        </w:tc>
        <w:tc>
          <w:tcPr>
            <w:tcW w:w="543"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w:t>
            </w:r>
          </w:p>
        </w:tc>
        <w:tc>
          <w:tcPr>
            <w:tcW w:w="1407"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636"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6.439975</w:t>
            </w:r>
          </w:p>
        </w:tc>
        <w:tc>
          <w:tcPr>
            <w:tcW w:w="627"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13.73%</w:t>
            </w:r>
          </w:p>
        </w:tc>
        <w:tc>
          <w:tcPr>
            <w:tcW w:w="1275" w:type="dxa"/>
            <w:tcBorders>
              <w:top w:val="single" w:sz="4" w:space="0" w:color="9BC2E6"/>
              <w:left w:val="nil"/>
              <w:bottom w:val="single" w:sz="4" w:space="0" w:color="4F81BD"/>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bl>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DB23D7" w:rsidRPr="00053C90" w:rsidRDefault="00DB23D7" w:rsidP="00983C72">
      <w:pPr>
        <w:rPr>
          <w:lang w:val="en-US"/>
        </w:rPr>
      </w:pPr>
    </w:p>
    <w:p w:rsidR="001349BA" w:rsidRPr="00053C90" w:rsidRDefault="00A74F12" w:rsidP="00983C72">
      <w:pPr>
        <w:rPr>
          <w:b/>
          <w:lang w:val="en-US"/>
        </w:rPr>
      </w:pPr>
      <w:r w:rsidRPr="00053C90">
        <w:rPr>
          <w:b/>
          <w:lang w:val="en-US"/>
        </w:rPr>
        <w:t xml:space="preserve">A1.4. </w:t>
      </w:r>
      <w:r w:rsidR="00DB23D7" w:rsidRPr="00053C90">
        <w:rPr>
          <w:b/>
          <w:lang w:val="en-US"/>
        </w:rPr>
        <w:t>BHAR B</w:t>
      </w:r>
    </w:p>
    <w:tbl>
      <w:tblPr>
        <w:tblW w:w="8160" w:type="dxa"/>
        <w:tblInd w:w="113" w:type="dxa"/>
        <w:tblLook w:val="04A0" w:firstRow="1" w:lastRow="0" w:firstColumn="1" w:lastColumn="0" w:noHBand="0" w:noVBand="1"/>
      </w:tblPr>
      <w:tblGrid>
        <w:gridCol w:w="1947"/>
        <w:gridCol w:w="2311"/>
        <w:gridCol w:w="1619"/>
        <w:gridCol w:w="761"/>
        <w:gridCol w:w="761"/>
        <w:gridCol w:w="761"/>
      </w:tblGrid>
      <w:tr w:rsidR="00DB23D7" w:rsidRPr="00053C90" w:rsidTr="005A3F8C">
        <w:trPr>
          <w:trHeight w:val="768"/>
        </w:trPr>
        <w:tc>
          <w:tcPr>
            <w:tcW w:w="1943" w:type="dxa"/>
            <w:tcBorders>
              <w:top w:val="single" w:sz="4" w:space="0" w:color="4F81BD"/>
              <w:left w:val="single" w:sz="4" w:space="0" w:color="4F81BD"/>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2317"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617"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761"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BHAR12</w:t>
            </w:r>
          </w:p>
        </w:tc>
        <w:tc>
          <w:tcPr>
            <w:tcW w:w="761" w:type="dxa"/>
            <w:tcBorders>
              <w:top w:val="single" w:sz="4" w:space="0" w:color="4F81BD"/>
              <w:left w:val="nil"/>
              <w:bottom w:val="single" w:sz="4" w:space="0" w:color="9BC2E6"/>
              <w:right w:val="nil"/>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BHAR24</w:t>
            </w:r>
          </w:p>
        </w:tc>
        <w:tc>
          <w:tcPr>
            <w:tcW w:w="761" w:type="dxa"/>
            <w:tcBorders>
              <w:top w:val="single" w:sz="4" w:space="0" w:color="4F81BD"/>
              <w:left w:val="nil"/>
              <w:bottom w:val="single" w:sz="4" w:space="0" w:color="9BC2E6"/>
              <w:right w:val="single" w:sz="4" w:space="0" w:color="4F81BD"/>
            </w:tcBorders>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BHAR36</w:t>
            </w:r>
          </w:p>
        </w:tc>
      </w:tr>
      <w:tr w:rsidR="00DB23D7" w:rsidRPr="00053C90" w:rsidTr="005A3F8C">
        <w:trPr>
          <w:trHeight w:val="276"/>
        </w:trPr>
        <w:tc>
          <w:tcPr>
            <w:tcW w:w="2020"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PETROLEUM GEO-SVCS</w:t>
            </w:r>
          </w:p>
        </w:tc>
        <w:tc>
          <w:tcPr>
            <w:tcW w:w="244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Arrow Seismic ASA</w:t>
            </w:r>
          </w:p>
        </w:tc>
        <w:tc>
          <w:tcPr>
            <w:tcW w:w="1660"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Tgs</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7.04%</w:t>
            </w:r>
          </w:p>
        </w:tc>
        <w:tc>
          <w:tcPr>
            <w:tcW w:w="680"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-42.04%</w:t>
            </w:r>
          </w:p>
        </w:tc>
        <w:tc>
          <w:tcPr>
            <w:tcW w:w="680"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-33.40%</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ASA</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DeepOcean ASA</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Fred Olsen Energy</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-22.56%</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-25.10%</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-4.33%</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Tele2 Netherlands Holding NV</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Tieto</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-15.56%</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-31.81%</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5.35%</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TrollTech ASA</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Ericson</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-35.36%</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-51.00%</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-67.17%</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Territorial Generation </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Arendals Fossekomp</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-43.14%</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-21.06%</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-6.40%</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Unibet </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15.14%</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-31.14%</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38.84%</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PSI GROUP ASA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CashGuard AB</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Nordic Semiconductor</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32.33%</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3.28%</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6.85%</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SEADRILL LTD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Scorpion Offshore Ltd</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Prosafe</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-2.81%</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37.39%</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64.30%</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DOF ASA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Subsea ASA</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Ganger Rolf</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-8.15%</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16.16%</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14.99%</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GETINGE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Datascope Corp</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Vitrolife</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-3.41%</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0.53%</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-15.91%</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AUSTEVOLL SEAFOOD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Leroy Seafood Group ASA</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G5 Entertainment</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45.69%</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9.70%</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-6.26%</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PEAB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Annehem Fastigheter AB</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Kongsberg</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-67.24%</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0.37%</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28.02%</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ICA GRUPPEN AB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Hemtex AB</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Parken Sport &amp; Entertainment</w:t>
            </w:r>
          </w:p>
        </w:tc>
        <w:tc>
          <w:tcPr>
            <w:tcW w:w="76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111.8%</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109.19%</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127.32%</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FASTIGHETS AB BALDER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Din Bostad Sverige AB</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JM Ab</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-13.72%</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95.64%</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139.39%</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Renewable Energy Corp ASA</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-38.60%</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-73.92%</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-147.98%</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Axfood AB</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15.02%</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-9.07%</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-15.11%</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ALMA MEDIA OYJ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Talentum Oyj</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Axfood AB </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8.93%</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5.57%</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-25.65%</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TELIASONERA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Eesti Telekom AS</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-5.73%</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-26.39%</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-13.82%</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OUTOTEC OYJ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Larox Oyj</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Rederi ab trans</w:t>
            </w:r>
          </w:p>
        </w:tc>
        <w:tc>
          <w:tcPr>
            <w:tcW w:w="761"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50.00%</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65.16%</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144.04%</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Tamfelt Oyj Abp</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70.02%</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17.40%</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48.16%</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RATOS AB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HL Display AB</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Kinnevik</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-8.50%</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-32.79%</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-61.81%</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Deutz AG</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36.40%</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-10.57%</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23.90%</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WILH. WILHELMSEN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Otix Global Inc</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Torm a/s</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67.44%</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127.89%</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114.84%</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ELECTROLUX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Olympic Group </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-5.14%</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-9.32%</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-43.06%</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ActivIdentity Inc</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Koebenhavns</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-16.33%</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-7.41%</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0.50%</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MEDIVIR AB </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BioPhausia AB</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Oasmia</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-28.74%</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-44.37%</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-145.27%</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STATOIL ASA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Brigham Exploration Co</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Lundin Petrolium</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-19.68%</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-10.38%</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34.13%</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 AB</w:t>
            </w:r>
          </w:p>
        </w:tc>
        <w:tc>
          <w:tcPr>
            <w:tcW w:w="23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Seco Tools AB</w:t>
            </w:r>
          </w:p>
        </w:tc>
        <w:tc>
          <w:tcPr>
            <w:tcW w:w="1617" w:type="dxa"/>
            <w:tcBorders>
              <w:top w:val="single" w:sz="4" w:space="0" w:color="9BC2E6"/>
              <w:left w:val="nil"/>
              <w:bottom w:val="single" w:sz="4" w:space="0" w:color="9BC2E6"/>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-14.46%</w:t>
            </w:r>
          </w:p>
        </w:tc>
        <w:tc>
          <w:tcPr>
            <w:tcW w:w="761" w:type="dxa"/>
            <w:tcBorders>
              <w:top w:val="single" w:sz="4" w:space="0" w:color="D1E1E5"/>
              <w:left w:val="single" w:sz="4" w:space="0" w:color="D1E1E5"/>
              <w:bottom w:val="single" w:sz="4" w:space="0" w:color="D1E1E5"/>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-20.46%</w:t>
            </w:r>
          </w:p>
        </w:tc>
        <w:tc>
          <w:tcPr>
            <w:tcW w:w="761" w:type="dxa"/>
            <w:tcBorders>
              <w:top w:val="single" w:sz="4" w:space="0" w:color="D1E1E5"/>
              <w:left w:val="single" w:sz="4" w:space="0" w:color="D1E1E5"/>
              <w:bottom w:val="single" w:sz="4" w:space="0" w:color="D1E1E5"/>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-60.74%</w:t>
            </w:r>
          </w:p>
        </w:tc>
      </w:tr>
      <w:tr w:rsidR="00DB23D7" w:rsidRPr="00053C90" w:rsidTr="005A3F8C">
        <w:trPr>
          <w:trHeight w:val="276"/>
        </w:trPr>
        <w:tc>
          <w:tcPr>
            <w:tcW w:w="1943" w:type="dxa"/>
            <w:tcBorders>
              <w:top w:val="single" w:sz="4" w:space="0" w:color="9BC2E6"/>
              <w:left w:val="single" w:sz="4" w:space="0" w:color="4F81BD"/>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LATOUR </w:t>
            </w:r>
          </w:p>
        </w:tc>
        <w:tc>
          <w:tcPr>
            <w:tcW w:w="23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Tomra Systems ASA</w:t>
            </w:r>
          </w:p>
        </w:tc>
        <w:tc>
          <w:tcPr>
            <w:tcW w:w="1617" w:type="dxa"/>
            <w:tcBorders>
              <w:top w:val="single" w:sz="4" w:space="0" w:color="9BC2E6"/>
              <w:left w:val="nil"/>
              <w:bottom w:val="single" w:sz="4" w:space="0" w:color="9BC2E6"/>
              <w:right w:val="nil"/>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RINGKJ. LANDBOBANK </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-25.53%</w:t>
            </w:r>
          </w:p>
        </w:tc>
        <w:tc>
          <w:tcPr>
            <w:tcW w:w="761" w:type="dxa"/>
            <w:tcBorders>
              <w:top w:val="single" w:sz="4" w:space="0" w:color="D1E1E5"/>
              <w:left w:val="single" w:sz="4" w:space="0" w:color="D1E1E5"/>
              <w:bottom w:val="single" w:sz="4" w:space="0" w:color="D1E1E5"/>
              <w:right w:val="single" w:sz="4" w:space="0" w:color="D1E1E5"/>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-36.42%</w:t>
            </w:r>
          </w:p>
        </w:tc>
        <w:tc>
          <w:tcPr>
            <w:tcW w:w="761" w:type="dxa"/>
            <w:tcBorders>
              <w:top w:val="single" w:sz="4" w:space="0" w:color="D1E1E5"/>
              <w:left w:val="single" w:sz="4" w:space="0" w:color="D1E1E5"/>
              <w:bottom w:val="single" w:sz="4" w:space="0" w:color="D1E1E5"/>
              <w:right w:val="single" w:sz="4" w:space="0" w:color="4F81BD"/>
            </w:tcBorders>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-11.94%</w:t>
            </w:r>
          </w:p>
        </w:tc>
      </w:tr>
      <w:tr w:rsidR="00DB23D7" w:rsidRPr="00053C90" w:rsidTr="005A3F8C">
        <w:trPr>
          <w:trHeight w:val="276"/>
        </w:trPr>
        <w:tc>
          <w:tcPr>
            <w:tcW w:w="1943" w:type="dxa"/>
            <w:tcBorders>
              <w:top w:val="single" w:sz="4" w:space="0" w:color="9BC2E6"/>
              <w:left w:val="single" w:sz="4" w:space="0" w:color="4F81BD"/>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KLOVERN AB </w:t>
            </w:r>
          </w:p>
        </w:tc>
        <w:tc>
          <w:tcPr>
            <w:tcW w:w="2317"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Dagon AB</w:t>
            </w:r>
          </w:p>
        </w:tc>
        <w:tc>
          <w:tcPr>
            <w:tcW w:w="1617" w:type="dxa"/>
            <w:tcBorders>
              <w:top w:val="single" w:sz="4" w:space="0" w:color="9BC2E6"/>
              <w:left w:val="nil"/>
              <w:bottom w:val="single" w:sz="4" w:space="0" w:color="4F81BD"/>
              <w:right w:val="nil"/>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Sponda</w:t>
            </w:r>
          </w:p>
        </w:tc>
        <w:tc>
          <w:tcPr>
            <w:tcW w:w="761" w:type="dxa"/>
            <w:tcBorders>
              <w:top w:val="single" w:sz="4" w:space="0" w:color="D1E1E5"/>
              <w:left w:val="single" w:sz="4" w:space="0" w:color="D1E1E5"/>
              <w:bottom w:val="single" w:sz="4" w:space="0" w:color="4F81BD"/>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-14.56%</w:t>
            </w:r>
          </w:p>
        </w:tc>
        <w:tc>
          <w:tcPr>
            <w:tcW w:w="761" w:type="dxa"/>
            <w:tcBorders>
              <w:top w:val="single" w:sz="4" w:space="0" w:color="D1E1E5"/>
              <w:left w:val="single" w:sz="4" w:space="0" w:color="D1E1E5"/>
              <w:bottom w:val="single" w:sz="4" w:space="0" w:color="4F81BD"/>
              <w:right w:val="single" w:sz="4" w:space="0" w:color="D1E1E5"/>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-15.86%</w:t>
            </w:r>
          </w:p>
        </w:tc>
        <w:tc>
          <w:tcPr>
            <w:tcW w:w="761" w:type="dxa"/>
            <w:tcBorders>
              <w:top w:val="single" w:sz="4" w:space="0" w:color="9BC2E6"/>
              <w:left w:val="nil"/>
              <w:bottom w:val="single" w:sz="4" w:space="0" w:color="4F81BD"/>
              <w:right w:val="single" w:sz="4" w:space="0" w:color="4F81BD"/>
            </w:tcBorders>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21.39%</w:t>
            </w:r>
          </w:p>
        </w:tc>
      </w:tr>
    </w:tbl>
    <w:p w:rsidR="001349BA" w:rsidRPr="00053C90" w:rsidRDefault="001349BA" w:rsidP="00983C72">
      <w:pPr>
        <w:rPr>
          <w:lang w:val="en-US"/>
        </w:rPr>
      </w:pPr>
    </w:p>
    <w:p w:rsidR="001349BA" w:rsidRPr="00053C90" w:rsidRDefault="001349BA"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Default="00DB23D7" w:rsidP="00983C72">
      <w:pPr>
        <w:rPr>
          <w:lang w:val="en-US"/>
        </w:rPr>
      </w:pPr>
    </w:p>
    <w:p w:rsidR="00AF1D23" w:rsidRPr="00053C90" w:rsidRDefault="00AF1D23" w:rsidP="00983C72">
      <w:pPr>
        <w:rPr>
          <w:lang w:val="en-US"/>
        </w:rPr>
      </w:pPr>
    </w:p>
    <w:p w:rsidR="00DB23D7" w:rsidRPr="00053C90" w:rsidRDefault="00DB23D7" w:rsidP="00983C72">
      <w:pPr>
        <w:rPr>
          <w:lang w:val="en-US"/>
        </w:rPr>
      </w:pPr>
    </w:p>
    <w:p w:rsidR="00DB23D7" w:rsidRPr="00053C90" w:rsidRDefault="00A74F12" w:rsidP="00983C72">
      <w:pPr>
        <w:rPr>
          <w:b/>
          <w:lang w:val="en-US"/>
        </w:rPr>
      </w:pPr>
      <w:r w:rsidRPr="00053C90">
        <w:rPr>
          <w:b/>
          <w:lang w:val="en-US"/>
        </w:rPr>
        <w:t xml:space="preserve">A1.5. </w:t>
      </w:r>
      <w:r w:rsidR="00DB23D7" w:rsidRPr="00053C90">
        <w:rPr>
          <w:b/>
          <w:lang w:val="en-US"/>
        </w:rPr>
        <w:t>ROA B</w:t>
      </w:r>
    </w:p>
    <w:tbl>
      <w:tblPr>
        <w:tblW w:w="8160" w:type="dxa"/>
        <w:tblInd w:w="113" w:type="dxa"/>
        <w:tblBorders>
          <w:top w:val="single" w:sz="4" w:space="0" w:color="4F81BD"/>
          <w:left w:val="single" w:sz="4" w:space="0" w:color="4F81BD"/>
          <w:bottom w:val="single" w:sz="4" w:space="0" w:color="4F81BD"/>
          <w:right w:val="single" w:sz="4" w:space="0" w:color="4F81BD"/>
          <w:insideH w:val="single" w:sz="4" w:space="0" w:color="9BC2E6"/>
        </w:tblBorders>
        <w:tblLook w:val="04A0" w:firstRow="1" w:lastRow="0" w:firstColumn="1" w:lastColumn="0" w:noHBand="0" w:noVBand="1"/>
      </w:tblPr>
      <w:tblGrid>
        <w:gridCol w:w="2020"/>
        <w:gridCol w:w="2440"/>
        <w:gridCol w:w="1660"/>
        <w:gridCol w:w="680"/>
        <w:gridCol w:w="680"/>
        <w:gridCol w:w="680"/>
      </w:tblGrid>
      <w:tr w:rsidR="00DB23D7" w:rsidRPr="00053C90" w:rsidTr="005A3F8C">
        <w:trPr>
          <w:trHeight w:val="768"/>
        </w:trPr>
        <w:tc>
          <w:tcPr>
            <w:tcW w:w="202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244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66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68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ROA12</w:t>
            </w:r>
          </w:p>
        </w:tc>
        <w:tc>
          <w:tcPr>
            <w:tcW w:w="68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ROA24</w:t>
            </w:r>
          </w:p>
        </w:tc>
        <w:tc>
          <w:tcPr>
            <w:tcW w:w="680"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ROA36</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PETROLEUM GEO-SVCS</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Arrow Seismic ASA</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Tgs</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4.0%</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22.4%</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ASA</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DeepOcean ASA</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Fred Olsen Energy</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-17.1%</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Tele2 Netherlands Holding NV</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Tieto</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-9.1%</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2.7%</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TrollTech ASA</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Ericson</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-7.1%</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-4.8%</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Territorial Generation </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Arendals Fossekomp</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Unibet </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-2.7%</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PSI GROUP ASA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CashGuard AB</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Nordic Semiconductor</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4.0%</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4.9%</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SEADRILL LTD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Scorpion Offshore Ltd</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Prosafe</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0.8%</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2.7%</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-4.1%</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DOF ASA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Subsea ASA</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Ganger Rolf</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-11.6%</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GETINGE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Datascope Corp</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Vitrolife</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AUSTEVOLL SEAFOOD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Leroy Seafood Group ASA</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G5 Entertainment</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6.3%</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-0.8%</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PEAB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Annehem Fastigheter AB</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Kongsberg</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8.1%</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0.0%</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ICA GRUPPEN AB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Hemtex AB</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Parken Sport &amp; Entertainment</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-18.5%</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FASTIGHETS AB BALDER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Din Bostad Sverige AB</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JM Ab</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4.5%</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Renewable Energy Corp ASA</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0.4%</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Axfood AB</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-4.0%</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4.6%</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ALMA MEDIA OYJ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Talentum Oyj</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Axfood AB </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TELIASONERA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Eesti Telekom AS</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OUTOTEC OYJ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Larox Oyj</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Rederi ab trans</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5.6%</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15.5%</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Tamfelt Oyj Abp</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30.5%</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10.1%</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11.8%</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RATOS AB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HL Display AB</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Kinnevik</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-15.5%</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Deutz AG</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3.2%</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WILH. WILHELMSEN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Otix Global Inc</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Torm a/s</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3.1%</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11.4%</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ELECTROLUX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Olympic Group </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ActivIdentity Inc</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Koebenhavns</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-5.4%</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MEDIVIR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BioPhausia AB</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Oasmia</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2.9%</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13.6%</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STATOIL ASA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Brigham Exploration Co</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Lundin Petrolium</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10.0%</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14.2%</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 AB</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Seco Tools AB</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-4.8%</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-4.0%</w:t>
            </w:r>
          </w:p>
        </w:tc>
      </w:tr>
      <w:tr w:rsidR="00DB23D7" w:rsidRPr="00053C90" w:rsidTr="005A3F8C">
        <w:trPr>
          <w:trHeight w:val="276"/>
        </w:trPr>
        <w:tc>
          <w:tcPr>
            <w:tcW w:w="202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LATOUR </w:t>
            </w:r>
          </w:p>
        </w:tc>
        <w:tc>
          <w:tcPr>
            <w:tcW w:w="244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Tomra Systems ASA</w:t>
            </w:r>
          </w:p>
        </w:tc>
        <w:tc>
          <w:tcPr>
            <w:tcW w:w="166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RINGKJ. LANDBOBANK </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-4.3%</w:t>
            </w:r>
          </w:p>
        </w:tc>
        <w:tc>
          <w:tcPr>
            <w:tcW w:w="680"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-3.4%</w:t>
            </w:r>
          </w:p>
        </w:tc>
      </w:tr>
      <w:tr w:rsidR="00DB23D7" w:rsidRPr="00053C90" w:rsidTr="005A3F8C">
        <w:trPr>
          <w:trHeight w:val="276"/>
        </w:trPr>
        <w:tc>
          <w:tcPr>
            <w:tcW w:w="202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KLOVERN AB </w:t>
            </w:r>
          </w:p>
        </w:tc>
        <w:tc>
          <w:tcPr>
            <w:tcW w:w="244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Dagon AB</w:t>
            </w:r>
          </w:p>
        </w:tc>
        <w:tc>
          <w:tcPr>
            <w:tcW w:w="166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Sponda</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-0.6%</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0.2%</w:t>
            </w:r>
          </w:p>
        </w:tc>
        <w:tc>
          <w:tcPr>
            <w:tcW w:w="680"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w:t>
            </w:r>
          </w:p>
        </w:tc>
      </w:tr>
    </w:tbl>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DB23D7" w:rsidRPr="00053C90" w:rsidRDefault="00DB23D7" w:rsidP="00983C72">
      <w:pPr>
        <w:rPr>
          <w:lang w:val="en-US"/>
        </w:rPr>
      </w:pPr>
    </w:p>
    <w:p w:rsidR="001349BA" w:rsidRDefault="001349BA" w:rsidP="00983C72">
      <w:pPr>
        <w:rPr>
          <w:lang w:val="en-US"/>
        </w:rPr>
      </w:pPr>
    </w:p>
    <w:p w:rsidR="00D018FF" w:rsidRPr="00053C90" w:rsidRDefault="00D018FF" w:rsidP="00983C72">
      <w:pPr>
        <w:rPr>
          <w:lang w:val="en-US"/>
        </w:rPr>
      </w:pPr>
    </w:p>
    <w:p w:rsidR="001349BA" w:rsidRPr="00053C90" w:rsidRDefault="00A74F12" w:rsidP="00983C72">
      <w:pPr>
        <w:rPr>
          <w:b/>
          <w:lang w:val="en-US"/>
        </w:rPr>
      </w:pPr>
      <w:r w:rsidRPr="00053C90">
        <w:rPr>
          <w:b/>
          <w:lang w:val="en-US"/>
        </w:rPr>
        <w:t xml:space="preserve">A1.6. </w:t>
      </w:r>
      <w:r w:rsidR="00DB23D7" w:rsidRPr="00053C90">
        <w:rPr>
          <w:b/>
          <w:lang w:val="en-US"/>
        </w:rPr>
        <w:t>Explanatory Variables B</w:t>
      </w:r>
    </w:p>
    <w:tbl>
      <w:tblPr>
        <w:tblW w:w="9380" w:type="dxa"/>
        <w:tblInd w:w="113" w:type="dxa"/>
        <w:tblBorders>
          <w:top w:val="single" w:sz="4" w:space="0" w:color="4F81BD"/>
          <w:left w:val="single" w:sz="4" w:space="0" w:color="4F81BD"/>
          <w:bottom w:val="single" w:sz="4" w:space="0" w:color="4F81BD"/>
          <w:right w:val="single" w:sz="4" w:space="0" w:color="4F81BD"/>
          <w:insideH w:val="single" w:sz="4" w:space="0" w:color="9BC2E6"/>
        </w:tblBorders>
        <w:tblLook w:val="04A0" w:firstRow="1" w:lastRow="0" w:firstColumn="1" w:lastColumn="0" w:noHBand="0" w:noVBand="1"/>
      </w:tblPr>
      <w:tblGrid>
        <w:gridCol w:w="1472"/>
        <w:gridCol w:w="1544"/>
        <w:gridCol w:w="1336"/>
        <w:gridCol w:w="515"/>
        <w:gridCol w:w="1593"/>
        <w:gridCol w:w="741"/>
        <w:gridCol w:w="718"/>
        <w:gridCol w:w="1461"/>
      </w:tblGrid>
      <w:tr w:rsidR="00DB23D7" w:rsidRPr="00053C90" w:rsidTr="005A3F8C">
        <w:trPr>
          <w:trHeight w:val="768"/>
        </w:trPr>
        <w:tc>
          <w:tcPr>
            <w:tcW w:w="1458"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Acquirer</w:t>
            </w:r>
          </w:p>
        </w:tc>
        <w:tc>
          <w:tcPr>
            <w:tcW w:w="1568"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Target</w:t>
            </w:r>
          </w:p>
        </w:tc>
        <w:tc>
          <w:tcPr>
            <w:tcW w:w="1328"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Matching firm</w:t>
            </w:r>
          </w:p>
        </w:tc>
        <w:tc>
          <w:tcPr>
            <w:tcW w:w="513"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M/B t-1</w:t>
            </w:r>
          </w:p>
        </w:tc>
        <w:tc>
          <w:tcPr>
            <w:tcW w:w="1593"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domestic_international</w:t>
            </w:r>
          </w:p>
        </w:tc>
        <w:tc>
          <w:tcPr>
            <w:tcW w:w="741"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Log Size</w:t>
            </w:r>
          </w:p>
        </w:tc>
        <w:tc>
          <w:tcPr>
            <w:tcW w:w="718"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relative deal size</w:t>
            </w:r>
          </w:p>
        </w:tc>
        <w:tc>
          <w:tcPr>
            <w:tcW w:w="1461" w:type="dxa"/>
            <w:shd w:val="clear" w:color="5B9BD5" w:fill="5B9BD5"/>
            <w:vAlign w:val="center"/>
            <w:hideMark/>
          </w:tcPr>
          <w:p w:rsidR="00DB23D7" w:rsidRPr="00053C90" w:rsidRDefault="00DB23D7" w:rsidP="00DB23D7">
            <w:pPr>
              <w:spacing w:after="0" w:line="240" w:lineRule="auto"/>
              <w:jc w:val="center"/>
              <w:rPr>
                <w:rFonts w:eastAsia="Times New Roman"/>
                <w:b/>
                <w:bCs/>
                <w:color w:val="FFFFFF"/>
                <w:sz w:val="14"/>
                <w:szCs w:val="14"/>
                <w:lang w:val="en-US"/>
              </w:rPr>
            </w:pPr>
            <w:r w:rsidRPr="00053C90">
              <w:rPr>
                <w:rFonts w:eastAsia="Times New Roman"/>
                <w:b/>
                <w:bCs/>
                <w:color w:val="FFFFFF"/>
                <w:sz w:val="14"/>
                <w:szCs w:val="14"/>
                <w:lang w:val="en-US"/>
              </w:rPr>
              <w:t>industry_relatedness</w:t>
            </w:r>
          </w:p>
        </w:tc>
      </w:tr>
      <w:tr w:rsidR="00DB23D7" w:rsidRPr="00053C90" w:rsidTr="005A3F8C">
        <w:trPr>
          <w:trHeight w:val="276"/>
        </w:trPr>
        <w:tc>
          <w:tcPr>
            <w:tcW w:w="163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PETROLEUM GEO-SVCS</w:t>
            </w:r>
          </w:p>
        </w:tc>
        <w:tc>
          <w:tcPr>
            <w:tcW w:w="186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Arrow Seismic ASA</w:t>
            </w:r>
          </w:p>
        </w:tc>
        <w:tc>
          <w:tcPr>
            <w:tcW w:w="14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Tgs</w:t>
            </w:r>
          </w:p>
        </w:tc>
        <w:tc>
          <w:tcPr>
            <w:tcW w:w="53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4.64</w:t>
            </w:r>
          </w:p>
        </w:tc>
        <w:tc>
          <w:tcPr>
            <w:tcW w:w="1407"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632"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6.518716</w:t>
            </w:r>
          </w:p>
        </w:tc>
        <w:tc>
          <w:tcPr>
            <w:tcW w:w="624"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11.42%</w:t>
            </w:r>
          </w:p>
        </w:tc>
        <w:tc>
          <w:tcPr>
            <w:tcW w:w="1275"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ASA</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DeepOcean ASA</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Fred Olsen Energy</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1.14</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5.847977</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21.15%</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TELE2 AB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Tele2 Netherlands Holding NV</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Tieto</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1.27</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6.675299</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3.70%</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NOKIA CORP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TrollTech ASA</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Ericson</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4.29</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8.008577</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0.13%</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FORTUM OYJ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Territorial Generation </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Arendals Fossekomp</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2.29</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7.43646</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14.25%</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Unibet </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2.58</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5.201736</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50.90%</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PSI GROUP ASA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CashGuard AB</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Nordic Semiconductor</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2.63</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4.720548</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125.60%</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SEADRILL LTD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Scorpion Offshore Ltd</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Prosafe</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1.94</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6.869271</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1.72%</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DOF ASA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DOF Subsea ASA</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Ganger Rolf</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1.83</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5.797646</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42.39%</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GETINGE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Datascope Corp</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Vitrolife</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6.589011</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15.79%</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AUSTEVOLL SEAFOOD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Leroy Seafood Group ASA</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G5 Entertainment</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1.79</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5.947806</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61.23%</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PEAB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Annehem Fastigheter AB</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Kongsberg</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1.85</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5.804126</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9.26%</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ICA GRUPPEN AB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Hemtex AB</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Parken Sport &amp; Entertainment</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2.24</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6.181211</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3.56%</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FASTIGHETS AB BALDER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Din Bostad Sverige AB</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JM Ab</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4.857899</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50.20%</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ORKLA ASA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Renewable Energy Corp ASA</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Swedish Match</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2.31</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6.765125</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1.98%</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ILKKA-YHTYMA OYJ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Alma Media Oyj</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Axfood AB</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6.89</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5.024243</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47.29%</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ALMA MEDIA OYJ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Talentum Oyj</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Axfood AB </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9.91</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5.567419</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21.39%</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TELIASONERA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Eesti Telekom AS</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TDC AS </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2.08</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7.266848</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3.87%</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OUTOTEC OYJ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Larox Oyj</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Rederi ab trans</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6.98</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5.653924</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21.96%</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Tamfelt Oyj Abp</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Finnlines</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3.66</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6.081586</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24.94%</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RATOS AB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HL Display AB</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Kinnevik</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1.81</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6.42641</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5.09%</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VOLVO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Deutz AG</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G4S PLC</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1.39</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7.054359</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1.44%</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WILH. WILHELMSEN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Otix Global Inc</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Torm a/s</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9.89</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6.488106</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2.02%</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ELECTROLUX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Olympic Group </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SCA</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1.1</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6.636869</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10.84%</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ASSA ABLOY AB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ActivIdentity Inc</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Koebenhavns</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1.69</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6.661525</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35.82%</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MEDIVIR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BioPhausia AB</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Oasmia</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6.35</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5.591147</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25.89%</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STATOIL ASA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Brigham Exploration Co</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Lundin Petrolium</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1.83</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7.725948</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8.99%</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SANDVIK AB</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Seco Tools AB</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METSO OYJ </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2.01</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7.181325</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6.22%</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r w:rsidR="00DB23D7" w:rsidRPr="00053C90" w:rsidTr="005A3F8C">
        <w:trPr>
          <w:trHeight w:val="276"/>
        </w:trPr>
        <w:tc>
          <w:tcPr>
            <w:tcW w:w="145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LATOUR </w:t>
            </w:r>
          </w:p>
        </w:tc>
        <w:tc>
          <w:tcPr>
            <w:tcW w:w="156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Tomra Systems ASA</w:t>
            </w:r>
          </w:p>
        </w:tc>
        <w:tc>
          <w:tcPr>
            <w:tcW w:w="132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RINGKJ. LANDBOBANK </w:t>
            </w:r>
          </w:p>
        </w:tc>
        <w:tc>
          <w:tcPr>
            <w:tcW w:w="51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0.77</w:t>
            </w:r>
          </w:p>
        </w:tc>
        <w:tc>
          <w:tcPr>
            <w:tcW w:w="1593"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c>
          <w:tcPr>
            <w:tcW w:w="74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6.202322</w:t>
            </w:r>
          </w:p>
        </w:tc>
        <w:tc>
          <w:tcPr>
            <w:tcW w:w="718"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9.60%</w:t>
            </w:r>
          </w:p>
        </w:tc>
        <w:tc>
          <w:tcPr>
            <w:tcW w:w="1461" w:type="dxa"/>
            <w:shd w:val="clear" w:color="DDEBF7" w:fill="DDEBF7"/>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r>
      <w:tr w:rsidR="00DB23D7" w:rsidRPr="00053C90" w:rsidTr="005A3F8C">
        <w:trPr>
          <w:trHeight w:val="276"/>
        </w:trPr>
        <w:tc>
          <w:tcPr>
            <w:tcW w:w="145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 xml:space="preserve">KLOVERN AB </w:t>
            </w:r>
          </w:p>
        </w:tc>
        <w:tc>
          <w:tcPr>
            <w:tcW w:w="156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Dagon AB</w:t>
            </w:r>
          </w:p>
        </w:tc>
        <w:tc>
          <w:tcPr>
            <w:tcW w:w="132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Sponda</w:t>
            </w:r>
          </w:p>
        </w:tc>
        <w:tc>
          <w:tcPr>
            <w:tcW w:w="51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0.55</w:t>
            </w:r>
          </w:p>
        </w:tc>
        <w:tc>
          <w:tcPr>
            <w:tcW w:w="1593"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0</w:t>
            </w:r>
          </w:p>
        </w:tc>
        <w:tc>
          <w:tcPr>
            <w:tcW w:w="74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5.727305</w:t>
            </w:r>
          </w:p>
        </w:tc>
        <w:tc>
          <w:tcPr>
            <w:tcW w:w="718"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145.58%</w:t>
            </w:r>
          </w:p>
        </w:tc>
        <w:tc>
          <w:tcPr>
            <w:tcW w:w="1461" w:type="dxa"/>
            <w:shd w:val="clear" w:color="auto" w:fill="auto"/>
            <w:vAlign w:val="center"/>
            <w:hideMark/>
          </w:tcPr>
          <w:p w:rsidR="00DB23D7" w:rsidRPr="00053C90" w:rsidRDefault="00DB23D7" w:rsidP="00DB23D7">
            <w:pPr>
              <w:spacing w:after="0" w:line="240" w:lineRule="auto"/>
              <w:jc w:val="center"/>
              <w:rPr>
                <w:rFonts w:eastAsia="Times New Roman"/>
                <w:color w:val="000000"/>
                <w:sz w:val="14"/>
                <w:szCs w:val="14"/>
                <w:lang w:val="en-US"/>
              </w:rPr>
            </w:pPr>
            <w:r w:rsidRPr="00053C90">
              <w:rPr>
                <w:rFonts w:eastAsia="Times New Roman"/>
                <w:color w:val="000000"/>
                <w:sz w:val="14"/>
                <w:szCs w:val="14"/>
                <w:lang w:val="en-US"/>
              </w:rPr>
              <w:t>1</w:t>
            </w:r>
          </w:p>
        </w:tc>
      </w:tr>
    </w:tbl>
    <w:p w:rsidR="00DB23D7" w:rsidRPr="00053C90" w:rsidRDefault="00DB23D7"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1349BA" w:rsidP="00983C72">
      <w:pPr>
        <w:rPr>
          <w:lang w:val="en-US"/>
        </w:rPr>
      </w:pPr>
    </w:p>
    <w:p w:rsidR="001349BA" w:rsidRPr="00053C90" w:rsidRDefault="00D55E87" w:rsidP="00983C72">
      <w:pPr>
        <w:rPr>
          <w:lang w:val="en-US"/>
        </w:rPr>
      </w:pPr>
      <w:r w:rsidRPr="00053C90">
        <w:rPr>
          <w:b/>
          <w:szCs w:val="24"/>
          <w:lang w:val="en-US"/>
        </w:rPr>
        <w:t xml:space="preserve">A2.1. </w:t>
      </w:r>
      <w:r w:rsidR="00631283" w:rsidRPr="00053C90">
        <w:rPr>
          <w:lang w:val="en-US"/>
        </w:rPr>
        <w:t xml:space="preserve"> </w:t>
      </w:r>
      <w:r w:rsidR="00631283" w:rsidRPr="00053C90">
        <w:rPr>
          <w:b/>
          <w:szCs w:val="24"/>
          <w:lang w:val="en-US"/>
        </w:rPr>
        <w:t>Normality tests on BHAR observations</w:t>
      </w:r>
    </w:p>
    <w:p w:rsidR="00D55E87" w:rsidRPr="00053C90" w:rsidRDefault="00D55E87" w:rsidP="00983C72">
      <w:pPr>
        <w:rPr>
          <w:lang w:val="en-US"/>
        </w:rPr>
      </w:pPr>
    </w:p>
    <w:p w:rsidR="00983C72" w:rsidRPr="00053C90" w:rsidRDefault="00983C72" w:rsidP="00983C72">
      <w:pPr>
        <w:rPr>
          <w:b/>
          <w:szCs w:val="24"/>
          <w:lang w:val="en-US"/>
        </w:rPr>
      </w:pPr>
      <w:r w:rsidRPr="00053C90">
        <w:rPr>
          <w:b/>
          <w:szCs w:val="24"/>
          <w:lang w:val="en-US"/>
        </w:rPr>
        <w:t>BHAR 12</w:t>
      </w:r>
    </w:p>
    <w:p w:rsidR="00983C72" w:rsidRPr="00053C90" w:rsidRDefault="00983C72" w:rsidP="00983C72">
      <w:pPr>
        <w:rPr>
          <w:lang w:val="en-US"/>
        </w:rPr>
      </w:pPr>
      <w:r w:rsidRPr="00053C90">
        <w:rPr>
          <w:lang w:val="en-US"/>
        </w:rPr>
        <w:object w:dxaOrig="9630"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176.25pt" o:ole="">
            <v:imagedata r:id="rId21" o:title=""/>
          </v:shape>
          <o:OLEObject Type="Embed" ProgID="EViews.Workfile.2" ShapeID="_x0000_i1025" DrawAspect="Content" ObjectID="_1502274325" r:id="rId22"/>
        </w:object>
      </w:r>
    </w:p>
    <w:p w:rsidR="00983C72" w:rsidRPr="00053C90" w:rsidRDefault="00983C72" w:rsidP="00983C72">
      <w:pPr>
        <w:rPr>
          <w:b/>
          <w:szCs w:val="24"/>
          <w:lang w:val="en-US"/>
        </w:rPr>
      </w:pPr>
      <w:r w:rsidRPr="00053C90">
        <w:rPr>
          <w:b/>
          <w:szCs w:val="24"/>
          <w:lang w:val="en-US"/>
        </w:rPr>
        <w:t>BHAR 24</w:t>
      </w:r>
    </w:p>
    <w:p w:rsidR="00983C72" w:rsidRPr="00053C90" w:rsidRDefault="00983C72" w:rsidP="00983C72">
      <w:pPr>
        <w:rPr>
          <w:lang w:val="en-US"/>
        </w:rPr>
      </w:pPr>
      <w:r w:rsidRPr="00053C90">
        <w:rPr>
          <w:lang w:val="en-US"/>
        </w:rPr>
        <w:object w:dxaOrig="9660" w:dyaOrig="4275">
          <v:shape id="_x0000_i1026" type="#_x0000_t75" style="width:394.5pt;height:174.75pt" o:ole="">
            <v:imagedata r:id="rId23" o:title=""/>
          </v:shape>
          <o:OLEObject Type="Embed" ProgID="EViews.Workfile.2" ShapeID="_x0000_i1026" DrawAspect="Content" ObjectID="_1502274326" r:id="rId24"/>
        </w:object>
      </w:r>
    </w:p>
    <w:p w:rsidR="00983C72" w:rsidRPr="00053C90" w:rsidRDefault="00983C72" w:rsidP="00983C72">
      <w:pPr>
        <w:rPr>
          <w:b/>
          <w:szCs w:val="24"/>
          <w:lang w:val="en-US"/>
        </w:rPr>
      </w:pPr>
      <w:r w:rsidRPr="00053C90">
        <w:rPr>
          <w:b/>
          <w:szCs w:val="24"/>
          <w:lang w:val="en-US"/>
        </w:rPr>
        <w:t>BHAR 36</w:t>
      </w:r>
    </w:p>
    <w:p w:rsidR="00983C72" w:rsidRPr="00053C90" w:rsidRDefault="00983C72" w:rsidP="00983C72">
      <w:pPr>
        <w:rPr>
          <w:lang w:val="en-US"/>
        </w:rPr>
      </w:pPr>
      <w:r w:rsidRPr="00053C90">
        <w:rPr>
          <w:lang w:val="en-US"/>
        </w:rPr>
        <w:object w:dxaOrig="9660" w:dyaOrig="4275">
          <v:shape id="_x0000_i1027" type="#_x0000_t75" style="width:394.5pt;height:174.75pt" o:ole="">
            <v:imagedata r:id="rId25" o:title=""/>
          </v:shape>
          <o:OLEObject Type="Embed" ProgID="EViews.Workfile.2" ShapeID="_x0000_i1027" DrawAspect="Content" ObjectID="_1502274327" r:id="rId26"/>
        </w:object>
      </w:r>
    </w:p>
    <w:p w:rsidR="00983C72" w:rsidRPr="00053C90" w:rsidRDefault="00983C72" w:rsidP="00983C72">
      <w:pPr>
        <w:rPr>
          <w:b/>
          <w:szCs w:val="24"/>
          <w:lang w:val="en-US"/>
        </w:rPr>
      </w:pPr>
    </w:p>
    <w:p w:rsidR="00983C72" w:rsidRPr="00053C90" w:rsidRDefault="00631283" w:rsidP="00983C72">
      <w:pPr>
        <w:rPr>
          <w:b/>
          <w:szCs w:val="24"/>
          <w:lang w:val="en-US"/>
        </w:rPr>
      </w:pPr>
      <w:r w:rsidRPr="00053C90">
        <w:rPr>
          <w:b/>
          <w:szCs w:val="24"/>
          <w:lang w:val="en-US"/>
        </w:rPr>
        <w:t xml:space="preserve">A2.2.  </w:t>
      </w:r>
      <w:r w:rsidR="00983C72" w:rsidRPr="00053C90">
        <w:rPr>
          <w:b/>
          <w:szCs w:val="24"/>
          <w:lang w:val="en-US"/>
        </w:rPr>
        <w:t>Normality tests on ROA observations</w:t>
      </w:r>
    </w:p>
    <w:p w:rsidR="00983C72" w:rsidRPr="00053C90" w:rsidRDefault="00983C72" w:rsidP="00983C72">
      <w:pPr>
        <w:rPr>
          <w:b/>
          <w:szCs w:val="24"/>
          <w:lang w:val="en-US"/>
        </w:rPr>
      </w:pPr>
      <w:r w:rsidRPr="00053C90">
        <w:rPr>
          <w:b/>
          <w:szCs w:val="24"/>
          <w:lang w:val="en-US"/>
        </w:rPr>
        <w:t>ROA 12</w:t>
      </w:r>
    </w:p>
    <w:p w:rsidR="00983C72" w:rsidRPr="00053C90" w:rsidRDefault="00983C72" w:rsidP="00983C72">
      <w:pPr>
        <w:rPr>
          <w:lang w:val="en-US"/>
        </w:rPr>
      </w:pPr>
      <w:r w:rsidRPr="00053C90">
        <w:rPr>
          <w:lang w:val="en-US"/>
        </w:rPr>
        <w:object w:dxaOrig="9660" w:dyaOrig="4275">
          <v:shape id="_x0000_i1028" type="#_x0000_t75" style="width:390pt;height:173.25pt" o:ole="">
            <v:imagedata r:id="rId27" o:title=""/>
          </v:shape>
          <o:OLEObject Type="Embed" ProgID="EViews.Workfile.2" ShapeID="_x0000_i1028" DrawAspect="Content" ObjectID="_1502274328" r:id="rId28"/>
        </w:object>
      </w:r>
    </w:p>
    <w:p w:rsidR="00983C72" w:rsidRPr="00053C90" w:rsidRDefault="00983C72" w:rsidP="00983C72">
      <w:pPr>
        <w:rPr>
          <w:b/>
          <w:szCs w:val="24"/>
          <w:lang w:val="en-US"/>
        </w:rPr>
      </w:pPr>
      <w:r w:rsidRPr="00053C90">
        <w:rPr>
          <w:b/>
          <w:szCs w:val="24"/>
          <w:lang w:val="en-US"/>
        </w:rPr>
        <w:t>ROA 24</w:t>
      </w:r>
    </w:p>
    <w:p w:rsidR="00983C72" w:rsidRPr="00053C90" w:rsidRDefault="00983C72" w:rsidP="00983C72">
      <w:pPr>
        <w:rPr>
          <w:lang w:val="en-US"/>
        </w:rPr>
      </w:pPr>
      <w:r w:rsidRPr="00053C90">
        <w:rPr>
          <w:lang w:val="en-US"/>
        </w:rPr>
        <w:object w:dxaOrig="9660" w:dyaOrig="4275">
          <v:shape id="_x0000_i1029" type="#_x0000_t75" style="width:381pt;height:168.75pt" o:ole="">
            <v:imagedata r:id="rId29" o:title=""/>
          </v:shape>
          <o:OLEObject Type="Embed" ProgID="EViews.Workfile.2" ShapeID="_x0000_i1029" DrawAspect="Content" ObjectID="_1502274329" r:id="rId30"/>
        </w:object>
      </w:r>
    </w:p>
    <w:p w:rsidR="00983C72" w:rsidRPr="00053C90" w:rsidRDefault="00983C72" w:rsidP="00983C72">
      <w:pPr>
        <w:rPr>
          <w:b/>
          <w:szCs w:val="24"/>
          <w:lang w:val="en-US"/>
        </w:rPr>
      </w:pPr>
      <w:r w:rsidRPr="00053C90">
        <w:rPr>
          <w:b/>
          <w:szCs w:val="24"/>
          <w:lang w:val="en-US"/>
        </w:rPr>
        <w:t>ROA 36</w:t>
      </w:r>
    </w:p>
    <w:p w:rsidR="00983C72" w:rsidRPr="00053C90" w:rsidRDefault="00983C72" w:rsidP="00983C72">
      <w:pPr>
        <w:rPr>
          <w:lang w:val="en-US"/>
        </w:rPr>
      </w:pPr>
      <w:r w:rsidRPr="00053C90">
        <w:rPr>
          <w:lang w:val="en-US"/>
        </w:rPr>
        <w:object w:dxaOrig="9660" w:dyaOrig="4275">
          <v:shape id="_x0000_i1030" type="#_x0000_t75" style="width:394.5pt;height:174.75pt" o:ole="">
            <v:imagedata r:id="rId31" o:title=""/>
          </v:shape>
          <o:OLEObject Type="Embed" ProgID="EViews.Workfile.2" ShapeID="_x0000_i1030" DrawAspect="Content" ObjectID="_1502274330" r:id="rId32"/>
        </w:object>
      </w:r>
    </w:p>
    <w:p w:rsidR="00983C72" w:rsidRPr="00053C90" w:rsidRDefault="00983C72" w:rsidP="00983C72">
      <w:pPr>
        <w:rPr>
          <w:lang w:val="en-US"/>
        </w:rPr>
      </w:pPr>
    </w:p>
    <w:p w:rsidR="00983C72" w:rsidRPr="00053C90" w:rsidRDefault="00983C72" w:rsidP="00983C72">
      <w:pPr>
        <w:rPr>
          <w:b/>
          <w:szCs w:val="24"/>
          <w:lang w:val="en-US"/>
        </w:rPr>
      </w:pPr>
    </w:p>
    <w:p w:rsidR="00983C72" w:rsidRPr="00053C90" w:rsidRDefault="00983C72" w:rsidP="00983C72">
      <w:pPr>
        <w:rPr>
          <w:b/>
          <w:szCs w:val="24"/>
          <w:lang w:val="en-US"/>
        </w:rPr>
      </w:pPr>
    </w:p>
    <w:p w:rsidR="00983C72" w:rsidRPr="00053C90" w:rsidRDefault="00631283" w:rsidP="00983C72">
      <w:pPr>
        <w:rPr>
          <w:b/>
          <w:szCs w:val="24"/>
          <w:lang w:val="en-US"/>
        </w:rPr>
      </w:pPr>
      <w:r w:rsidRPr="00053C90">
        <w:rPr>
          <w:b/>
          <w:szCs w:val="24"/>
          <w:lang w:val="en-US"/>
        </w:rPr>
        <w:t>A2.3</w:t>
      </w:r>
      <w:r w:rsidR="00983C72" w:rsidRPr="00053C90">
        <w:rPr>
          <w:b/>
          <w:szCs w:val="24"/>
          <w:lang w:val="en-US"/>
        </w:rPr>
        <w:t>. T-tests</w:t>
      </w:r>
    </w:p>
    <w:tbl>
      <w:tblPr>
        <w:tblW w:w="6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07"/>
        <w:gridCol w:w="1446"/>
        <w:gridCol w:w="1476"/>
      </w:tblGrid>
      <w:tr w:rsidR="00983C72" w:rsidRPr="00053C90" w:rsidTr="00983C72">
        <w:trPr>
          <w:cantSplit/>
        </w:trPr>
        <w:tc>
          <w:tcPr>
            <w:tcW w:w="6023" w:type="dxa"/>
            <w:gridSpan w:val="5"/>
            <w:tcBorders>
              <w:top w:val="nil"/>
              <w:left w:val="nil"/>
              <w:bottom w:val="nil"/>
              <w:right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b/>
                <w:bCs/>
                <w:color w:val="000000"/>
                <w:sz w:val="18"/>
                <w:szCs w:val="18"/>
                <w:lang w:val="en-US"/>
              </w:rPr>
              <w:t>One-Sample Statistics</w:t>
            </w:r>
          </w:p>
        </w:tc>
      </w:tr>
      <w:tr w:rsidR="00983C72" w:rsidRPr="00053C90" w:rsidTr="00983C72">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83C72" w:rsidRPr="00053C90" w:rsidRDefault="00983C72" w:rsidP="00983C72">
            <w:pPr>
              <w:autoSpaceDE w:val="0"/>
              <w:autoSpaceDN w:val="0"/>
              <w:adjustRightInd w:val="0"/>
              <w:spacing w:after="0" w:line="240" w:lineRule="auto"/>
              <w:rPr>
                <w:szCs w:val="24"/>
                <w:lang w:val="en-US"/>
              </w:rPr>
            </w:pPr>
          </w:p>
        </w:tc>
        <w:tc>
          <w:tcPr>
            <w:tcW w:w="1029" w:type="dxa"/>
            <w:tcBorders>
              <w:top w:val="single" w:sz="16" w:space="0" w:color="000000"/>
              <w:left w:val="single" w:sz="16" w:space="0" w:color="000000"/>
              <w:bottom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N</w:t>
            </w:r>
          </w:p>
        </w:tc>
        <w:tc>
          <w:tcPr>
            <w:tcW w:w="1106" w:type="dxa"/>
            <w:tcBorders>
              <w:top w:val="single" w:sz="16" w:space="0" w:color="000000"/>
              <w:bottom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Mean</w:t>
            </w:r>
          </w:p>
        </w:tc>
        <w:tc>
          <w:tcPr>
            <w:tcW w:w="1445" w:type="dxa"/>
            <w:tcBorders>
              <w:top w:val="single" w:sz="16" w:space="0" w:color="000000"/>
              <w:bottom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Std. Deviation</w:t>
            </w:r>
          </w:p>
        </w:tc>
        <w:tc>
          <w:tcPr>
            <w:tcW w:w="1475" w:type="dxa"/>
            <w:tcBorders>
              <w:top w:val="single" w:sz="16" w:space="0" w:color="000000"/>
              <w:bottom w:val="single" w:sz="16" w:space="0" w:color="000000"/>
              <w:right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Std. Error Mean</w:t>
            </w:r>
          </w:p>
        </w:tc>
      </w:tr>
      <w:tr w:rsidR="00983C72" w:rsidRPr="00053C90" w:rsidTr="00983C72">
        <w:trPr>
          <w:cantSplit/>
        </w:trPr>
        <w:tc>
          <w:tcPr>
            <w:tcW w:w="968" w:type="dxa"/>
            <w:tcBorders>
              <w:top w:val="single" w:sz="16" w:space="0" w:color="000000"/>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BHAR12</w:t>
            </w:r>
          </w:p>
        </w:tc>
        <w:tc>
          <w:tcPr>
            <w:tcW w:w="1029" w:type="dxa"/>
            <w:tcBorders>
              <w:top w:val="single" w:sz="16" w:space="0" w:color="000000"/>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-1,9381%</w:t>
            </w:r>
          </w:p>
        </w:tc>
        <w:tc>
          <w:tcPr>
            <w:tcW w:w="1445"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45,38367%</w:t>
            </w:r>
          </w:p>
        </w:tc>
        <w:tc>
          <w:tcPr>
            <w:tcW w:w="1475" w:type="dxa"/>
            <w:tcBorders>
              <w:top w:val="single" w:sz="16" w:space="0" w:color="000000"/>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5,67296%</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BHAR24</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-9,4699%</w:t>
            </w:r>
          </w:p>
        </w:tc>
        <w:tc>
          <w:tcPr>
            <w:tcW w:w="144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70,91430%</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8,86429%</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BHAR36</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-0,4605%</w:t>
            </w:r>
          </w:p>
        </w:tc>
        <w:tc>
          <w:tcPr>
            <w:tcW w:w="144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83,53025%</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10,44128%</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ROA12</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-0,624%</w:t>
            </w:r>
          </w:p>
        </w:tc>
        <w:tc>
          <w:tcPr>
            <w:tcW w:w="144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7,1538%</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0,8942%</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ROA24</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-0,575%</w:t>
            </w:r>
          </w:p>
        </w:tc>
        <w:tc>
          <w:tcPr>
            <w:tcW w:w="144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6,7360%</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0,8420%</w:t>
            </w:r>
          </w:p>
        </w:tc>
      </w:tr>
      <w:tr w:rsidR="00983C72" w:rsidRPr="00053C90" w:rsidTr="00983C72">
        <w:trPr>
          <w:cantSplit/>
        </w:trPr>
        <w:tc>
          <w:tcPr>
            <w:tcW w:w="968" w:type="dxa"/>
            <w:tcBorders>
              <w:top w:val="nil"/>
              <w:left w:val="single" w:sz="16" w:space="0" w:color="000000"/>
              <w:bottom w:val="single" w:sz="16" w:space="0" w:color="000000"/>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ROA36</w:t>
            </w:r>
          </w:p>
        </w:tc>
        <w:tc>
          <w:tcPr>
            <w:tcW w:w="1029" w:type="dxa"/>
            <w:tcBorders>
              <w:top w:val="nil"/>
              <w:left w:val="single" w:sz="16" w:space="0" w:color="000000"/>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64</w:t>
            </w:r>
          </w:p>
        </w:tc>
        <w:tc>
          <w:tcPr>
            <w:tcW w:w="1106"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0,342%</w:t>
            </w:r>
          </w:p>
        </w:tc>
        <w:tc>
          <w:tcPr>
            <w:tcW w:w="1445"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8,8224%</w:t>
            </w:r>
          </w:p>
        </w:tc>
        <w:tc>
          <w:tcPr>
            <w:tcW w:w="1475" w:type="dxa"/>
            <w:tcBorders>
              <w:top w:val="nil"/>
              <w:bottom w:val="single" w:sz="16" w:space="0" w:color="000000"/>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1,1028%</w:t>
            </w:r>
          </w:p>
        </w:tc>
      </w:tr>
    </w:tbl>
    <w:p w:rsidR="00983C72" w:rsidRPr="00053C90" w:rsidRDefault="00983C72" w:rsidP="00983C72">
      <w:pPr>
        <w:autoSpaceDE w:val="0"/>
        <w:autoSpaceDN w:val="0"/>
        <w:adjustRightInd w:val="0"/>
        <w:spacing w:after="0" w:line="400" w:lineRule="atLeast"/>
        <w:rPr>
          <w:szCs w:val="24"/>
          <w:lang w:val="en-US"/>
        </w:rPr>
      </w:pPr>
    </w:p>
    <w:p w:rsidR="00983C72" w:rsidRPr="00053C90" w:rsidRDefault="00983C72" w:rsidP="00983C72">
      <w:pPr>
        <w:autoSpaceDE w:val="0"/>
        <w:autoSpaceDN w:val="0"/>
        <w:adjustRightInd w:val="0"/>
        <w:spacing w:after="0" w:line="240" w:lineRule="auto"/>
        <w:rPr>
          <w:szCs w:val="24"/>
          <w:lang w:val="en-US"/>
        </w:rPr>
      </w:pPr>
    </w:p>
    <w:tbl>
      <w:tblPr>
        <w:tblW w:w="8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029"/>
        <w:gridCol w:w="1415"/>
        <w:gridCol w:w="1476"/>
        <w:gridCol w:w="1476"/>
        <w:gridCol w:w="1476"/>
      </w:tblGrid>
      <w:tr w:rsidR="00983C72" w:rsidRPr="00053C90" w:rsidTr="00983C72">
        <w:trPr>
          <w:cantSplit/>
        </w:trPr>
        <w:tc>
          <w:tcPr>
            <w:tcW w:w="8865" w:type="dxa"/>
            <w:gridSpan w:val="7"/>
            <w:tcBorders>
              <w:top w:val="nil"/>
              <w:left w:val="nil"/>
              <w:bottom w:val="nil"/>
              <w:right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b/>
                <w:bCs/>
                <w:color w:val="000000"/>
                <w:sz w:val="18"/>
                <w:szCs w:val="18"/>
                <w:lang w:val="en-US"/>
              </w:rPr>
              <w:t>One-Sample Test</w:t>
            </w:r>
          </w:p>
        </w:tc>
      </w:tr>
      <w:tr w:rsidR="00983C72" w:rsidRPr="00053C90" w:rsidTr="00983C72">
        <w:trPr>
          <w:cantSplit/>
        </w:trPr>
        <w:tc>
          <w:tcPr>
            <w:tcW w:w="968" w:type="dxa"/>
            <w:vMerge w:val="restart"/>
            <w:tcBorders>
              <w:top w:val="single" w:sz="16" w:space="0" w:color="000000"/>
              <w:left w:val="single" w:sz="16" w:space="0" w:color="000000"/>
              <w:bottom w:val="nil"/>
              <w:right w:val="single" w:sz="16" w:space="0" w:color="000000"/>
            </w:tcBorders>
            <w:shd w:val="clear" w:color="auto" w:fill="FFFFFF"/>
            <w:vAlign w:val="bottom"/>
          </w:tcPr>
          <w:p w:rsidR="00983C72" w:rsidRPr="00053C90" w:rsidRDefault="00983C72" w:rsidP="00983C72">
            <w:pPr>
              <w:autoSpaceDE w:val="0"/>
              <w:autoSpaceDN w:val="0"/>
              <w:adjustRightInd w:val="0"/>
              <w:spacing w:after="0" w:line="240" w:lineRule="auto"/>
              <w:rPr>
                <w:szCs w:val="24"/>
                <w:lang w:val="en-US"/>
              </w:rPr>
            </w:pPr>
          </w:p>
        </w:tc>
        <w:tc>
          <w:tcPr>
            <w:tcW w:w="7897" w:type="dxa"/>
            <w:gridSpan w:val="6"/>
            <w:tcBorders>
              <w:top w:val="single" w:sz="16" w:space="0" w:color="000000"/>
              <w:left w:val="single" w:sz="16" w:space="0" w:color="000000"/>
              <w:right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Test Value = 0</w:t>
            </w:r>
          </w:p>
        </w:tc>
      </w:tr>
      <w:tr w:rsidR="00983C72" w:rsidRPr="00053C90" w:rsidTr="00983C72">
        <w:trPr>
          <w:cantSplit/>
        </w:trPr>
        <w:tc>
          <w:tcPr>
            <w:tcW w:w="968" w:type="dxa"/>
            <w:vMerge/>
            <w:tcBorders>
              <w:top w:val="single" w:sz="16" w:space="0" w:color="000000"/>
              <w:left w:val="single" w:sz="16" w:space="0" w:color="000000"/>
              <w:bottom w:val="nil"/>
              <w:right w:val="single" w:sz="16" w:space="0" w:color="000000"/>
            </w:tcBorders>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029" w:type="dxa"/>
            <w:vMerge w:val="restart"/>
            <w:tcBorders>
              <w:left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t</w:t>
            </w:r>
          </w:p>
        </w:tc>
        <w:tc>
          <w:tcPr>
            <w:tcW w:w="1029" w:type="dxa"/>
            <w:vMerge w:val="restart"/>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414" w:type="dxa"/>
            <w:vMerge w:val="restart"/>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Sig. (2-tailed)</w:t>
            </w:r>
          </w:p>
        </w:tc>
        <w:tc>
          <w:tcPr>
            <w:tcW w:w="1475" w:type="dxa"/>
            <w:vMerge w:val="restart"/>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Mean Difference</w:t>
            </w:r>
          </w:p>
        </w:tc>
        <w:tc>
          <w:tcPr>
            <w:tcW w:w="2950" w:type="dxa"/>
            <w:gridSpan w:val="2"/>
            <w:tcBorders>
              <w:right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 xml:space="preserve">95% Confidence Interval </w:t>
            </w:r>
          </w:p>
        </w:tc>
      </w:tr>
      <w:tr w:rsidR="00983C72" w:rsidRPr="00053C90" w:rsidTr="00983C72">
        <w:trPr>
          <w:cantSplit/>
        </w:trPr>
        <w:tc>
          <w:tcPr>
            <w:tcW w:w="968" w:type="dxa"/>
            <w:vMerge/>
            <w:tcBorders>
              <w:top w:val="single" w:sz="16" w:space="0" w:color="000000"/>
              <w:left w:val="single" w:sz="16" w:space="0" w:color="000000"/>
              <w:bottom w:val="nil"/>
              <w:right w:val="single" w:sz="16" w:space="0" w:color="000000"/>
            </w:tcBorders>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029" w:type="dxa"/>
            <w:vMerge/>
            <w:tcBorders>
              <w:left w:val="single" w:sz="16" w:space="0" w:color="000000"/>
            </w:tcBorders>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029" w:type="dxa"/>
            <w:vMerge/>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414" w:type="dxa"/>
            <w:vMerge/>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475" w:type="dxa"/>
            <w:vMerge/>
            <w:shd w:val="clear" w:color="auto" w:fill="FFFFFF"/>
            <w:vAlign w:val="bottom"/>
          </w:tcPr>
          <w:p w:rsidR="00983C72" w:rsidRPr="00053C90" w:rsidRDefault="00983C72" w:rsidP="00983C72">
            <w:pPr>
              <w:autoSpaceDE w:val="0"/>
              <w:autoSpaceDN w:val="0"/>
              <w:adjustRightInd w:val="0"/>
              <w:spacing w:after="0" w:line="240" w:lineRule="auto"/>
              <w:rPr>
                <w:rFonts w:ascii="Arial" w:hAnsi="Arial" w:cs="Arial"/>
                <w:color w:val="000000"/>
                <w:sz w:val="18"/>
                <w:szCs w:val="18"/>
                <w:lang w:val="en-US"/>
              </w:rPr>
            </w:pPr>
          </w:p>
        </w:tc>
        <w:tc>
          <w:tcPr>
            <w:tcW w:w="1475" w:type="dxa"/>
            <w:tcBorders>
              <w:bottom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Lower</w:t>
            </w:r>
          </w:p>
        </w:tc>
        <w:tc>
          <w:tcPr>
            <w:tcW w:w="1475" w:type="dxa"/>
            <w:tcBorders>
              <w:bottom w:val="single" w:sz="16" w:space="0" w:color="000000"/>
              <w:right w:val="single" w:sz="16" w:space="0" w:color="000000"/>
            </w:tcBorders>
            <w:shd w:val="clear" w:color="auto" w:fill="FFFFFF"/>
            <w:vAlign w:val="bottom"/>
          </w:tcPr>
          <w:p w:rsidR="00983C72" w:rsidRPr="00053C90" w:rsidRDefault="00983C72" w:rsidP="00983C72">
            <w:pPr>
              <w:autoSpaceDE w:val="0"/>
              <w:autoSpaceDN w:val="0"/>
              <w:adjustRightInd w:val="0"/>
              <w:spacing w:after="0" w:line="320" w:lineRule="atLeast"/>
              <w:ind w:left="60" w:right="60"/>
              <w:jc w:val="center"/>
              <w:rPr>
                <w:rFonts w:ascii="Arial" w:hAnsi="Arial" w:cs="Arial"/>
                <w:color w:val="000000"/>
                <w:sz w:val="18"/>
                <w:szCs w:val="18"/>
                <w:lang w:val="en-US"/>
              </w:rPr>
            </w:pPr>
            <w:r w:rsidRPr="00053C90">
              <w:rPr>
                <w:rFonts w:ascii="Arial" w:hAnsi="Arial" w:cs="Arial"/>
                <w:color w:val="000000"/>
                <w:sz w:val="18"/>
                <w:szCs w:val="18"/>
                <w:lang w:val="en-US"/>
              </w:rPr>
              <w:t>Upper</w:t>
            </w:r>
          </w:p>
        </w:tc>
      </w:tr>
      <w:tr w:rsidR="00983C72" w:rsidRPr="00053C90" w:rsidTr="00983C72">
        <w:trPr>
          <w:cantSplit/>
        </w:trPr>
        <w:tc>
          <w:tcPr>
            <w:tcW w:w="968" w:type="dxa"/>
            <w:tcBorders>
              <w:top w:val="single" w:sz="16" w:space="0" w:color="000000"/>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BHAR12</w:t>
            </w:r>
          </w:p>
        </w:tc>
        <w:tc>
          <w:tcPr>
            <w:tcW w:w="1029" w:type="dxa"/>
            <w:tcBorders>
              <w:top w:val="single" w:sz="16" w:space="0" w:color="000000"/>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-,342</w:t>
            </w:r>
          </w:p>
        </w:tc>
        <w:tc>
          <w:tcPr>
            <w:tcW w:w="1029"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,734</w:t>
            </w:r>
          </w:p>
        </w:tc>
        <w:tc>
          <w:tcPr>
            <w:tcW w:w="1475"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-1,93811%</w:t>
            </w:r>
          </w:p>
        </w:tc>
        <w:tc>
          <w:tcPr>
            <w:tcW w:w="1475" w:type="dxa"/>
            <w:tcBorders>
              <w:top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-13,2746%</w:t>
            </w:r>
          </w:p>
        </w:tc>
        <w:tc>
          <w:tcPr>
            <w:tcW w:w="1475" w:type="dxa"/>
            <w:tcBorders>
              <w:top w:val="single" w:sz="16" w:space="0" w:color="000000"/>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9,3984%</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BHAR24</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-1,068</w:t>
            </w:r>
          </w:p>
        </w:tc>
        <w:tc>
          <w:tcPr>
            <w:tcW w:w="1029"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,289</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-9,46992%</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-27,1838%</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8,2439%</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BHAR36</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-,044</w:t>
            </w:r>
          </w:p>
        </w:tc>
        <w:tc>
          <w:tcPr>
            <w:tcW w:w="1029"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,965</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-0,46046%</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-21,3257%</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20,4048%</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ROA12</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-,697</w:t>
            </w:r>
          </w:p>
        </w:tc>
        <w:tc>
          <w:tcPr>
            <w:tcW w:w="1029"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,488</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-0,6237%</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-2,411%</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1,163%</w:t>
            </w:r>
          </w:p>
        </w:tc>
      </w:tr>
      <w:tr w:rsidR="00983C72" w:rsidRPr="00053C90" w:rsidTr="00983C72">
        <w:trPr>
          <w:cantSplit/>
        </w:trPr>
        <w:tc>
          <w:tcPr>
            <w:tcW w:w="968" w:type="dxa"/>
            <w:tcBorders>
              <w:top w:val="nil"/>
              <w:left w:val="single" w:sz="16" w:space="0" w:color="000000"/>
              <w:bottom w:val="nil"/>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ROA24</w:t>
            </w:r>
          </w:p>
        </w:tc>
        <w:tc>
          <w:tcPr>
            <w:tcW w:w="1029" w:type="dxa"/>
            <w:tcBorders>
              <w:top w:val="nil"/>
              <w:left w:val="single" w:sz="16" w:space="0" w:color="000000"/>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-,683</w:t>
            </w:r>
          </w:p>
        </w:tc>
        <w:tc>
          <w:tcPr>
            <w:tcW w:w="1029"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,497</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-0,5750%</w:t>
            </w:r>
          </w:p>
        </w:tc>
        <w:tc>
          <w:tcPr>
            <w:tcW w:w="1475" w:type="dxa"/>
            <w:tcBorders>
              <w:top w:val="nil"/>
              <w:bottom w:val="nil"/>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-2,258%</w:t>
            </w:r>
          </w:p>
        </w:tc>
        <w:tc>
          <w:tcPr>
            <w:tcW w:w="1475" w:type="dxa"/>
            <w:tcBorders>
              <w:top w:val="nil"/>
              <w:bottom w:val="nil"/>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1,108%</w:t>
            </w:r>
          </w:p>
        </w:tc>
      </w:tr>
      <w:tr w:rsidR="00983C72" w:rsidRPr="00053C90" w:rsidTr="00983C72">
        <w:trPr>
          <w:cantSplit/>
        </w:trPr>
        <w:tc>
          <w:tcPr>
            <w:tcW w:w="968" w:type="dxa"/>
            <w:tcBorders>
              <w:top w:val="nil"/>
              <w:left w:val="single" w:sz="16" w:space="0" w:color="000000"/>
              <w:bottom w:val="single" w:sz="16" w:space="0" w:color="000000"/>
              <w:right w:val="single" w:sz="16" w:space="0" w:color="000000"/>
            </w:tcBorders>
            <w:shd w:val="clear" w:color="auto" w:fill="FFFFFF"/>
          </w:tcPr>
          <w:p w:rsidR="00983C72" w:rsidRPr="00053C90" w:rsidRDefault="00983C72" w:rsidP="00983C72">
            <w:pPr>
              <w:autoSpaceDE w:val="0"/>
              <w:autoSpaceDN w:val="0"/>
              <w:adjustRightInd w:val="0"/>
              <w:spacing w:after="0" w:line="320" w:lineRule="atLeast"/>
              <w:ind w:left="60" w:right="60"/>
              <w:rPr>
                <w:rFonts w:ascii="Arial" w:hAnsi="Arial" w:cs="Arial"/>
                <w:color w:val="000000"/>
                <w:sz w:val="18"/>
                <w:szCs w:val="18"/>
                <w:lang w:val="en-US"/>
              </w:rPr>
            </w:pPr>
            <w:r w:rsidRPr="00053C90">
              <w:rPr>
                <w:rFonts w:ascii="Arial" w:hAnsi="Arial" w:cs="Arial"/>
                <w:color w:val="000000"/>
                <w:sz w:val="18"/>
                <w:szCs w:val="18"/>
                <w:lang w:val="en-US"/>
              </w:rPr>
              <w:t>ROA36</w:t>
            </w:r>
          </w:p>
        </w:tc>
        <w:tc>
          <w:tcPr>
            <w:tcW w:w="1029" w:type="dxa"/>
            <w:tcBorders>
              <w:top w:val="nil"/>
              <w:left w:val="single" w:sz="16" w:space="0" w:color="000000"/>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,310</w:t>
            </w:r>
          </w:p>
        </w:tc>
        <w:tc>
          <w:tcPr>
            <w:tcW w:w="1029"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63</w:t>
            </w:r>
          </w:p>
        </w:tc>
        <w:tc>
          <w:tcPr>
            <w:tcW w:w="1414"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,758</w:t>
            </w:r>
          </w:p>
        </w:tc>
        <w:tc>
          <w:tcPr>
            <w:tcW w:w="1475"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0,3417%</w:t>
            </w:r>
          </w:p>
        </w:tc>
        <w:tc>
          <w:tcPr>
            <w:tcW w:w="1475" w:type="dxa"/>
            <w:tcBorders>
              <w:top w:val="nil"/>
              <w:bottom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-1,862%</w:t>
            </w:r>
          </w:p>
        </w:tc>
        <w:tc>
          <w:tcPr>
            <w:tcW w:w="1475" w:type="dxa"/>
            <w:tcBorders>
              <w:top w:val="nil"/>
              <w:bottom w:val="single" w:sz="16" w:space="0" w:color="000000"/>
              <w:right w:val="single" w:sz="16" w:space="0" w:color="000000"/>
            </w:tcBorders>
            <w:shd w:val="clear" w:color="auto" w:fill="FFFFFF"/>
            <w:vAlign w:val="center"/>
          </w:tcPr>
          <w:p w:rsidR="00983C72" w:rsidRPr="00053C90" w:rsidRDefault="00983C72" w:rsidP="00983C72">
            <w:pPr>
              <w:autoSpaceDE w:val="0"/>
              <w:autoSpaceDN w:val="0"/>
              <w:adjustRightInd w:val="0"/>
              <w:spacing w:after="0" w:line="320" w:lineRule="atLeast"/>
              <w:ind w:left="60" w:right="60"/>
              <w:jc w:val="right"/>
              <w:rPr>
                <w:rFonts w:ascii="Arial" w:hAnsi="Arial" w:cs="Arial"/>
                <w:color w:val="000000"/>
                <w:sz w:val="18"/>
                <w:szCs w:val="18"/>
                <w:lang w:val="en-US"/>
              </w:rPr>
            </w:pPr>
            <w:r w:rsidRPr="00053C90">
              <w:rPr>
                <w:rFonts w:ascii="Arial" w:hAnsi="Arial" w:cs="Arial"/>
                <w:color w:val="000000"/>
                <w:sz w:val="18"/>
                <w:szCs w:val="18"/>
                <w:lang w:val="en-US"/>
              </w:rPr>
              <w:t>2,546%</w:t>
            </w:r>
          </w:p>
        </w:tc>
      </w:tr>
    </w:tbl>
    <w:p w:rsidR="00983C72" w:rsidRPr="00053C90" w:rsidRDefault="00983C72" w:rsidP="00983C72">
      <w:pPr>
        <w:autoSpaceDE w:val="0"/>
        <w:autoSpaceDN w:val="0"/>
        <w:adjustRightInd w:val="0"/>
        <w:spacing w:after="0" w:line="400" w:lineRule="atLeast"/>
        <w:rPr>
          <w:szCs w:val="24"/>
          <w:lang w:val="en-US"/>
        </w:rPr>
      </w:pPr>
    </w:p>
    <w:p w:rsidR="00983C72" w:rsidRPr="00053C90" w:rsidRDefault="00983C72" w:rsidP="00983C72">
      <w:pPr>
        <w:rPr>
          <w:b/>
          <w:szCs w:val="24"/>
          <w:lang w:val="en-US"/>
        </w:rPr>
      </w:pPr>
      <w:r w:rsidRPr="00053C90">
        <w:rPr>
          <w:b/>
          <w:szCs w:val="24"/>
          <w:lang w:val="en-US"/>
        </w:rPr>
        <w:t>A2.</w:t>
      </w:r>
      <w:r w:rsidR="00631283" w:rsidRPr="00053C90">
        <w:rPr>
          <w:b/>
          <w:szCs w:val="24"/>
          <w:lang w:val="en-US"/>
        </w:rPr>
        <w:t>4</w:t>
      </w:r>
      <w:r w:rsidRPr="00053C90">
        <w:rPr>
          <w:b/>
          <w:szCs w:val="24"/>
          <w:lang w:val="en-US"/>
        </w:rPr>
        <w:t xml:space="preserve">. Wilcoxon’s signed rank test </w:t>
      </w:r>
    </w:p>
    <w:p w:rsidR="00983C72" w:rsidRPr="00053C90" w:rsidRDefault="00910076" w:rsidP="00983C72">
      <w:pPr>
        <w:rPr>
          <w:b/>
          <w:lang w:val="en-US"/>
        </w:rPr>
      </w:pPr>
      <w:r w:rsidRPr="00053C90">
        <w:rPr>
          <w:noProof/>
          <w:szCs w:val="24"/>
          <w:lang w:eastAsia="sv-SE"/>
        </w:rPr>
        <w:drawing>
          <wp:inline distT="0" distB="0" distL="0" distR="0">
            <wp:extent cx="4174490" cy="347472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t="5109" r="-1248" b="10223"/>
                    <a:stretch>
                      <a:fillRect/>
                    </a:stretch>
                  </pic:blipFill>
                  <pic:spPr bwMode="auto">
                    <a:xfrm>
                      <a:off x="0" y="0"/>
                      <a:ext cx="4174490" cy="3474720"/>
                    </a:xfrm>
                    <a:prstGeom prst="rect">
                      <a:avLst/>
                    </a:prstGeom>
                    <a:noFill/>
                    <a:ln>
                      <a:noFill/>
                    </a:ln>
                  </pic:spPr>
                </pic:pic>
              </a:graphicData>
            </a:graphic>
          </wp:inline>
        </w:drawing>
      </w: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631283" w:rsidP="006A5B21">
      <w:pPr>
        <w:autoSpaceDE w:val="0"/>
        <w:autoSpaceDN w:val="0"/>
        <w:adjustRightInd w:val="0"/>
        <w:spacing w:after="0" w:line="240" w:lineRule="auto"/>
        <w:rPr>
          <w:b/>
          <w:szCs w:val="24"/>
          <w:lang w:val="en-US"/>
        </w:rPr>
      </w:pPr>
      <w:r w:rsidRPr="00053C90">
        <w:rPr>
          <w:b/>
          <w:szCs w:val="24"/>
          <w:lang w:val="en-US"/>
        </w:rPr>
        <w:t>A2.5</w:t>
      </w:r>
      <w:r w:rsidR="00983C72" w:rsidRPr="00053C90">
        <w:rPr>
          <w:b/>
          <w:szCs w:val="24"/>
          <w:lang w:val="en-US"/>
        </w:rPr>
        <w:t>. Multiple Linear Regresssion</w:t>
      </w:r>
      <w:r w:rsidR="00F0273C" w:rsidRPr="00053C90">
        <w:rPr>
          <w:b/>
          <w:szCs w:val="24"/>
          <w:lang w:val="en-US"/>
        </w:rPr>
        <w:t>s</w:t>
      </w: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S12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18:59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0.049480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0.136179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0.363345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0.7177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-0.025711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0.141501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-0.181701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0.8565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-0.031903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0.095931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-0.332564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0.7407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0.029785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0.029936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0.994955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0.3239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0.033961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0.059208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0.573589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0.5685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0.080706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0.605793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0.133223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0.8945</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0.027164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-0.019381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-0.056702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0.453837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0.466526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1.402054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12.62349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1.604449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-38.86572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1.481787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0.323895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2.209546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0.896605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autoSpaceDE w:val="0"/>
        <w:autoSpaceDN w:val="0"/>
        <w:adjustRightInd w:val="0"/>
        <w:spacing w:after="0" w:line="240" w:lineRule="auto"/>
        <w:rPr>
          <w:rFonts w:ascii="Arial" w:hAnsi="Arial" w:cs="Arial"/>
          <w:sz w:val="18"/>
          <w:szCs w:val="18"/>
          <w:lang w:val="en-US"/>
        </w:rPr>
      </w:pPr>
      <w:r w:rsidRPr="00053C90">
        <w:rPr>
          <w:rFonts w:ascii="Arial" w:hAnsi="Arial" w:cs="Arial"/>
          <w:sz w:val="18"/>
          <w:szCs w:val="18"/>
          <w:lang w:val="en-US"/>
        </w:rPr>
        <w:br/>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S24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18:59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-0.125345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0.206324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-0.607513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0.5459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-0.012776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0.214387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-0.059595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0.9527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0.016993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0.145345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0.116914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0.9073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0.036775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0.045356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0.810801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0.4208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0.168691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0.089705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1.880500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0.0651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-0.281264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0.917834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-0.306443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0.7604</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0.085358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-0.094699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0.006509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0.709143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0.706831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2.233011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28.97741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2.435406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-65.45634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2.312744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1.082552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1.848412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0.379641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lang w:val="en-US"/>
        </w:rPr>
      </w:pPr>
      <w:r w:rsidRPr="00053C90">
        <w:rPr>
          <w:rFonts w:ascii="Arial" w:hAnsi="Arial" w:cs="Arial"/>
          <w:sz w:val="18"/>
          <w:szCs w:val="18"/>
          <w:lang w:val="en-US"/>
        </w:rPr>
        <w:br/>
      </w: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S36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0.127463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0.243909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0.522584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0.6033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0.120842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0.253440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0.476806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0.6353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-0.027664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0.171821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-0.161004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0.8726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0.029408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0.053618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0.548471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0.5855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0.199130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0.106046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1.877761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0.0654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-0.161979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1.085030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-0.149285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0.8818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0.078731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-0.004605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-0.000689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0.835303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0.835590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2.567703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40.49623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2.770098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-76.16649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2.647437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0.991328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1.783742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0.431057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b/>
          <w:lang w:val="en-US"/>
        </w:rPr>
      </w:pPr>
      <w:r w:rsidRPr="00053C90">
        <w:rPr>
          <w:rFonts w:ascii="Arial" w:hAnsi="Arial" w:cs="Arial"/>
          <w:sz w:val="18"/>
          <w:szCs w:val="18"/>
          <w:lang w:val="en-US"/>
        </w:rPr>
        <w:br/>
      </w:r>
      <w:r w:rsidRPr="00053C90">
        <w:rPr>
          <w:b/>
          <w:lang w:val="en-US"/>
        </w:rPr>
        <w:t>Accounting</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A12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-0.013435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0.021170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-0.634633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0.5282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-0.036880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0.021997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-1.676599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0.0990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0.004925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0.014913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0.330240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0.7424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0.000408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0.004654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0.087693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0.9304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-0.003423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0.009204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-0.371873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0.7113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-0.000662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0.094173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-0.007033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0.9944</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0.053842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-0.006237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-0.027724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0.071538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0.072523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-2.320761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0.305058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-2.118365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80.26434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-2.241027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0.660104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2.292228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0.655090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autoSpaceDE w:val="0"/>
        <w:autoSpaceDN w:val="0"/>
        <w:adjustRightInd w:val="0"/>
        <w:spacing w:after="0" w:line="240" w:lineRule="auto"/>
        <w:rPr>
          <w:rFonts w:ascii="Arial" w:hAnsi="Arial" w:cs="Arial"/>
          <w:sz w:val="18"/>
          <w:szCs w:val="18"/>
          <w:lang w:val="en-US"/>
        </w:rPr>
      </w:pPr>
      <w:r w:rsidRPr="00053C90">
        <w:rPr>
          <w:rFonts w:ascii="Arial" w:hAnsi="Arial" w:cs="Arial"/>
          <w:sz w:val="18"/>
          <w:szCs w:val="18"/>
          <w:lang w:val="en-US"/>
        </w:rPr>
        <w:br/>
      </w: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A24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0.003231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0.019959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0.161899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0.8719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-0.011580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0.020738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-0.558381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0.5787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-0.000772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0.014060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-0.054893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0.9564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0.004134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0.004387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0.942345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0.3499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0.011852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0.008678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1.365838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0.1773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-0.009859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0.088785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-0.111039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0.9120</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0.051420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-0.005750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-0.030354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0.067360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0.068374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-2.438576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0.271154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-2.236181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84.03444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-2.358842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0.628811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2.272373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0.678434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983C72">
      <w:pPr>
        <w:rPr>
          <w:b/>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A36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0.021103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0.024774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0.851839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0.3978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0.031493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0.025742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1.223390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0.2261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-0.025974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0.017452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-1.488298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0.1421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0.013360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0.005446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2.453137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-0.000576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0.010771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-0.053441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0.9576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0.097574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0.110207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0.885370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0.3796</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0.148008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0.003417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0.074560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0.088224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0.084871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-2.006297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0.417784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-1.803902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70.20151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-1.926563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2.015152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2.155442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0.089867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b/>
          <w:lang w:val="en-US"/>
        </w:rPr>
      </w:pPr>
      <w:r w:rsidRPr="00053C90">
        <w:rPr>
          <w:rFonts w:ascii="Arial" w:hAnsi="Arial" w:cs="Arial"/>
          <w:sz w:val="18"/>
          <w:szCs w:val="18"/>
          <w:lang w:val="en-US"/>
        </w:rPr>
        <w:br/>
      </w:r>
    </w:p>
    <w:p w:rsidR="006A5B21" w:rsidRPr="00053C90" w:rsidRDefault="006A5B21" w:rsidP="006A5B21">
      <w:pPr>
        <w:rPr>
          <w:b/>
          <w:lang w:val="en-US"/>
        </w:rPr>
      </w:pPr>
    </w:p>
    <w:p w:rsidR="006A5B21" w:rsidRPr="00053C90" w:rsidRDefault="006A5B21" w:rsidP="006A5B21">
      <w:pPr>
        <w:rPr>
          <w:b/>
          <w:lang w:val="en-US"/>
        </w:rPr>
      </w:pPr>
    </w:p>
    <w:p w:rsidR="00983C72" w:rsidRPr="00053C90" w:rsidRDefault="00983C72" w:rsidP="006A5B21">
      <w:pPr>
        <w:rPr>
          <w:b/>
          <w:lang w:val="en-US"/>
        </w:rPr>
      </w:pPr>
    </w:p>
    <w:p w:rsidR="00983C72" w:rsidRPr="00053C90" w:rsidRDefault="00983C72" w:rsidP="006A5B21">
      <w:pPr>
        <w:rPr>
          <w:b/>
          <w:lang w:val="en-US"/>
        </w:rPr>
      </w:pPr>
    </w:p>
    <w:p w:rsidR="006A5B21" w:rsidRPr="00053C90" w:rsidRDefault="006A5B21" w:rsidP="006A5B21">
      <w:pPr>
        <w:rPr>
          <w:lang w:val="en-US"/>
        </w:rPr>
      </w:pPr>
    </w:p>
    <w:p w:rsidR="006A5B21" w:rsidRPr="00053C90" w:rsidRDefault="0058530F" w:rsidP="006A5B21">
      <w:pPr>
        <w:pStyle w:val="Title"/>
        <w:rPr>
          <w:rFonts w:ascii="Times New Roman" w:hAnsi="Times New Roman"/>
          <w:sz w:val="32"/>
          <w:lang w:val="en-US"/>
        </w:rPr>
      </w:pPr>
      <w:r>
        <w:rPr>
          <w:rFonts w:ascii="Times New Roman" w:hAnsi="Times New Roman"/>
          <w:sz w:val="32"/>
          <w:lang w:val="en-US"/>
        </w:rPr>
        <w:t>A</w:t>
      </w:r>
      <w:r w:rsidR="009F7B44" w:rsidRPr="00053C90">
        <w:rPr>
          <w:rFonts w:ascii="Times New Roman" w:hAnsi="Times New Roman"/>
          <w:sz w:val="32"/>
          <w:lang w:val="en-US"/>
        </w:rPr>
        <w:t xml:space="preserve">3.1 </w:t>
      </w:r>
      <w:r w:rsidR="006A5B21" w:rsidRPr="00053C90">
        <w:rPr>
          <w:rFonts w:ascii="Times New Roman" w:hAnsi="Times New Roman"/>
          <w:sz w:val="32"/>
          <w:lang w:val="en-US"/>
        </w:rPr>
        <w:t>Tests assumption 1</w:t>
      </w: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S12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0.104685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0.9170</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0.010959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0.9170</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0.012304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0.9117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0.002427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0.002427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12.62349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0.217646</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12.62107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0.221422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-38.86572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-38.85957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S12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0.053149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0.141757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0.374933</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0.7091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-0.024128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0.143521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-0.168114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0.8671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-0.033663</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0.098210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-0.342771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0.7330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0.027894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0.035184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0.792805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0.029345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0.074233</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0.395307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0.6941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0.089818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0.617194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0.145527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0.8848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0.942284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9.001126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0.104685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0.9170</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0.027351</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-0.019381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-0.075034</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0.453837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0.470555</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1.433111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12.62107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1.669239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-38.85957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1.526134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0.267137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2.209931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0.949998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F7B44" w:rsidRPr="00053C90" w:rsidRDefault="009F7B44" w:rsidP="006A5B21">
      <w:pPr>
        <w:autoSpaceDE w:val="0"/>
        <w:autoSpaceDN w:val="0"/>
        <w:adjustRightInd w:val="0"/>
        <w:spacing w:after="0" w:line="240" w:lineRule="auto"/>
        <w:rPr>
          <w:b/>
          <w:szCs w:val="24"/>
          <w:lang w:val="en-US"/>
        </w:rPr>
      </w:pPr>
    </w:p>
    <w:p w:rsidR="009F7B44" w:rsidRPr="00053C90" w:rsidRDefault="009F7B44" w:rsidP="006A5B21">
      <w:pPr>
        <w:autoSpaceDE w:val="0"/>
        <w:autoSpaceDN w:val="0"/>
        <w:adjustRightInd w:val="0"/>
        <w:spacing w:after="0" w:line="240" w:lineRule="auto"/>
        <w:rPr>
          <w:b/>
          <w:szCs w:val="24"/>
          <w:lang w:val="en-US"/>
        </w:rPr>
      </w:pPr>
    </w:p>
    <w:p w:rsidR="009F7B44" w:rsidRPr="00053C90" w:rsidRDefault="009F7B44" w:rsidP="006A5B21">
      <w:pPr>
        <w:autoSpaceDE w:val="0"/>
        <w:autoSpaceDN w:val="0"/>
        <w:adjustRightInd w:val="0"/>
        <w:spacing w:after="0" w:line="240" w:lineRule="auto"/>
        <w:rPr>
          <w:b/>
          <w:szCs w:val="24"/>
          <w:lang w:val="en-US"/>
        </w:rPr>
      </w:pPr>
    </w:p>
    <w:p w:rsidR="009F7B44" w:rsidRDefault="009F7B44" w:rsidP="006A5B21">
      <w:pPr>
        <w:autoSpaceDE w:val="0"/>
        <w:autoSpaceDN w:val="0"/>
        <w:adjustRightInd w:val="0"/>
        <w:spacing w:after="0" w:line="240" w:lineRule="auto"/>
        <w:rPr>
          <w:b/>
          <w:szCs w:val="24"/>
          <w:lang w:val="en-US"/>
        </w:rPr>
      </w:pPr>
    </w:p>
    <w:p w:rsidR="000703D7" w:rsidRPr="00053C90" w:rsidRDefault="000703D7" w:rsidP="006A5B21">
      <w:pPr>
        <w:autoSpaceDE w:val="0"/>
        <w:autoSpaceDN w:val="0"/>
        <w:adjustRightInd w:val="0"/>
        <w:spacing w:after="0" w:line="240" w:lineRule="auto"/>
        <w:rPr>
          <w:b/>
          <w:szCs w:val="24"/>
          <w:lang w:val="en-US"/>
        </w:rPr>
      </w:pP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24 months</w:t>
      </w:r>
      <w:r w:rsidRPr="00053C90">
        <w:rPr>
          <w:lang w:val="en-US"/>
        </w:rPr>
        <w:br/>
      </w: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S24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1.225994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0.2252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1.503061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0.2252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1.665779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0.1968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0.744488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0.744488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28.97741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0.499611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28.23292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0.495314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-65.45634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-64.62345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S24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-0.138680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0.205723</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-0.674112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0.5030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-0.011328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0.213466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-0.053068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0.9579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0.097024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0.158760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0.611138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0.5435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0.040545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0.045265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0.895722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0.408766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0.215229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1.899212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0.0626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-0.828639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1.017111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-0.814699</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-1.355342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1.105505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-1.225994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0.2252</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0.108857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-0.094699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0.015052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0.709143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0.703786</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2.238233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28.23292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2.474361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-64.62345</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2.331255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1.160462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1.783971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0.340229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autoSpaceDE w:val="0"/>
        <w:autoSpaceDN w:val="0"/>
        <w:adjustRightInd w:val="0"/>
        <w:spacing w:after="0" w:line="240" w:lineRule="auto"/>
        <w:rPr>
          <w:b/>
          <w:szCs w:val="24"/>
          <w:lang w:val="en-US"/>
        </w:rPr>
      </w:pPr>
      <w:r w:rsidRPr="00053C90">
        <w:rPr>
          <w:rFonts w:ascii="Arial" w:hAnsi="Arial" w:cs="Arial"/>
          <w:sz w:val="18"/>
          <w:szCs w:val="18"/>
          <w:lang w:val="en-US"/>
        </w:rPr>
        <w:br/>
      </w: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36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S36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0.529534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0.5985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0.280406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0.5985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0.314070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0.5752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0.198242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0.198242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40.49623</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0.698211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40.29799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0.706982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-76.16649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-76.00945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S36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0.091196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0.254813</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0.357892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0.7217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0.102765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0.257302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0.399395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0.6911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0.024900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0.199367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0.124898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0.9010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0.033592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0.054529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0.616029</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0.5403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0.363961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0.329059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1.106066</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0.2733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-0.510279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1.274642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-0.400331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0.6904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-0.593619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1.121022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-0.529534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0.5985</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0.083241</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-0.004605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-0.013260</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0.835303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0.840822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2.594045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40.29799</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2.830173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-76.00945</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2.687068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0.862592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1.773386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0.527947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lang w:val="en-US"/>
        </w:rPr>
      </w:pPr>
      <w:r w:rsidRPr="00053C90">
        <w:rPr>
          <w:rFonts w:ascii="Arial" w:hAnsi="Arial" w:cs="Arial"/>
          <w:sz w:val="18"/>
          <w:szCs w:val="18"/>
          <w:lang w:val="en-US"/>
        </w:rPr>
        <w:br/>
      </w: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6A5B21" w:rsidRPr="00053C90" w:rsidRDefault="006A5B21" w:rsidP="006A5B21">
      <w:pPr>
        <w:rPr>
          <w:b/>
          <w:szCs w:val="24"/>
          <w:lang w:val="en-US"/>
        </w:rPr>
      </w:pPr>
      <w:r w:rsidRPr="00053C90">
        <w:rPr>
          <w:b/>
          <w:szCs w:val="24"/>
          <w:lang w:val="en-US"/>
        </w:rPr>
        <w:t>Accounting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A12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0.504091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0.6161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0.254108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0.6161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0.284680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0.5937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0.001354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0.001354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0.305058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0.005260</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0.303704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0.005328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80.26434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80.40668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A12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-0.013474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0.021307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-0.632376</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0.5297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-0.031361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0.024699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-1.269747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0.2093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0.003078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0.015450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0.199227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0.8428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0.000367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0.004685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0.078255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0.9379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-0.007342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0.012094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-0.607063</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0.5462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0.002344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0.094972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0.024684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0.9804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20.63370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40.93247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0.504091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0.6161</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0.058041</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-0.006237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-0.041113</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0.071538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0.072994</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-2.293959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0.303704</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-2.057831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80.40668</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-2.200936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0.585364</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2.296587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0.740525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983C72" w:rsidP="006A5B21">
      <w:pPr>
        <w:rPr>
          <w:rFonts w:ascii="Arial" w:hAnsi="Arial" w:cs="Arial"/>
          <w:sz w:val="18"/>
          <w:szCs w:val="18"/>
          <w:lang w:val="en-US"/>
        </w:rPr>
      </w:pPr>
    </w:p>
    <w:p w:rsidR="00983C72" w:rsidRPr="00053C90" w:rsidRDefault="00983C72" w:rsidP="006A5B21">
      <w:pPr>
        <w:rPr>
          <w:rFonts w:ascii="Arial" w:hAnsi="Arial" w:cs="Arial"/>
          <w:sz w:val="18"/>
          <w:szCs w:val="18"/>
          <w:lang w:val="en-US"/>
        </w:rPr>
      </w:pPr>
    </w:p>
    <w:p w:rsidR="00983C72" w:rsidRPr="00053C90" w:rsidRDefault="00983C72" w:rsidP="006A5B21">
      <w:pPr>
        <w:rPr>
          <w:rFonts w:ascii="Arial" w:hAnsi="Arial" w:cs="Arial"/>
          <w:sz w:val="18"/>
          <w:szCs w:val="18"/>
          <w:lang w:val="en-US"/>
        </w:rPr>
      </w:pPr>
    </w:p>
    <w:p w:rsidR="00983C72" w:rsidRPr="00053C90" w:rsidRDefault="00983C72" w:rsidP="006A5B21">
      <w:pPr>
        <w:rPr>
          <w:rFonts w:ascii="Arial" w:hAnsi="Arial" w:cs="Arial"/>
          <w:sz w:val="18"/>
          <w:szCs w:val="18"/>
          <w:lang w:val="en-US"/>
        </w:rPr>
      </w:pPr>
    </w:p>
    <w:p w:rsidR="00983C72" w:rsidRPr="00053C90" w:rsidRDefault="00983C72" w:rsidP="006A5B21">
      <w:pPr>
        <w:rPr>
          <w:rFonts w:ascii="Arial" w:hAnsi="Arial" w:cs="Arial"/>
          <w:sz w:val="18"/>
          <w:szCs w:val="18"/>
          <w:lang w:val="en-US"/>
        </w:rPr>
      </w:pPr>
    </w:p>
    <w:p w:rsidR="006A5B21" w:rsidRPr="00053C90" w:rsidRDefault="006A5B21" w:rsidP="00983C72">
      <w:pPr>
        <w:rPr>
          <w:b/>
          <w:szCs w:val="24"/>
          <w:lang w:val="en-US"/>
        </w:rPr>
      </w:pPr>
      <w:r w:rsidRPr="00053C90">
        <w:rPr>
          <w:rFonts w:ascii="Arial" w:hAnsi="Arial" w:cs="Arial"/>
          <w:sz w:val="18"/>
          <w:szCs w:val="18"/>
          <w:lang w:val="en-US"/>
        </w:rPr>
        <w:br/>
      </w:r>
      <w:r w:rsidR="00983C72" w:rsidRPr="00053C90">
        <w:rPr>
          <w:b/>
          <w:szCs w:val="24"/>
          <w:lang w:val="en-US"/>
        </w:rPr>
        <w:t>Accounting 24 months</w:t>
      </w: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A24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1.339249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0.1858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1.793588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0.1858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1.982818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0.1591</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0.008272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0.008272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0.271154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0.004675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0.262882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0.004612</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84.03444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85.02585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A24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-0.001984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0.020202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-0.098205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0.9221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-0.010612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0.020611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-0.514863</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0.007812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0.015365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0.508398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0.6131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0.005040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0.004410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1.142819</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0.2579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0.036721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0.020472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1.793724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0.1082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-0.065852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0.097594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-0.674759</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0.5026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-35.43080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26.45572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-1.339249</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0.1858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0.080358</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-0.005750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-0.016446</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0.067360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0.067911</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-2.438308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0.262882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-2.202180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85.02585</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-2.345285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0.830111</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2.197057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0.551604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6A5B21" w:rsidRPr="00053C90" w:rsidRDefault="00983C72" w:rsidP="00983C72">
      <w:pPr>
        <w:rPr>
          <w:b/>
          <w:szCs w:val="24"/>
          <w:lang w:val="en-US"/>
        </w:rPr>
      </w:pPr>
      <w:r w:rsidRPr="00053C90">
        <w:rPr>
          <w:b/>
          <w:szCs w:val="24"/>
          <w:lang w:val="en-US"/>
        </w:rPr>
        <w:t>Accounting 36 months</w:t>
      </w:r>
    </w:p>
    <w:tbl>
      <w:tblPr>
        <w:tblW w:w="0" w:type="auto"/>
        <w:tblInd w:w="30" w:type="dxa"/>
        <w:tblLayout w:type="fixed"/>
        <w:tblCellMar>
          <w:left w:w="0" w:type="dxa"/>
          <w:right w:w="0" w:type="dxa"/>
        </w:tblCellMar>
        <w:tblLook w:val="0000" w:firstRow="0" w:lastRow="0" w:firstColumn="0" w:lastColumn="0" w:noHBand="0" w:noVBand="0"/>
      </w:tblPr>
      <w:tblGrid>
        <w:gridCol w:w="2542"/>
        <w:gridCol w:w="1050"/>
        <w:gridCol w:w="1155"/>
        <w:gridCol w:w="1155"/>
        <w:gridCol w:w="998"/>
      </w:tblGrid>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Ramsey RESET Test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Equation: UNTITLED</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Specification: A36 DOMESTIC_INTERNATIONAL INDUSTRY_RELATEDN</w:t>
            </w:r>
          </w:p>
        </w:tc>
      </w:tr>
      <w:tr w:rsidR="006A5B21" w:rsidRPr="00AA1ABB" w:rsidTr="004B0E00">
        <w:trPr>
          <w:trHeight w:val="225"/>
        </w:trPr>
        <w:tc>
          <w:tcPr>
            <w:tcW w:w="6900"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        ESS LOG_SIZE M_B_T_1 RELATIVE_DEAL_SIZE  C</w:t>
            </w:r>
          </w:p>
        </w:tc>
      </w:tr>
      <w:tr w:rsidR="006A5B21" w:rsidRPr="00AA1ABB" w:rsidTr="004B0E00">
        <w:trPr>
          <w:trHeight w:val="225"/>
        </w:trPr>
        <w:tc>
          <w:tcPr>
            <w:tcW w:w="5902"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Omitted Variables: Squares of fitted values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Probability</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1.306325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0.1967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1.706484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(1, 57)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0.1967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Likelihood ratio</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1.887930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0.1694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Sum of Sq.</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Mean Squares</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0.012144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0.012144</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0.417784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0.007203</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SSR</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0.405640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0.007116</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LR test summary:</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Value</w:t>
            </w:r>
          </w:p>
        </w:tc>
        <w:tc>
          <w:tcPr>
            <w:tcW w:w="1155" w:type="dxa"/>
            <w:tcBorders>
              <w:top w:val="nil"/>
              <w:left w:val="nil"/>
              <w:bottom w:val="sing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df</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70.20151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LogL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71.14547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Unrestricted Test Equation:</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A36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19:19</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592"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747"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0.015970</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0.024936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0.640425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0.5245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0.028738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0.025674</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1.119358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0.2677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-0.032351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0.018021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-1.795238</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0.0779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0.021781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0.008418</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2.587527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-0.001942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0.010757</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-0.180537</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0.8574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0.134085</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0.113052</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1.186056</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FITTED^2</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-10.29926</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7.884151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-1.306325</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0.1967</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0.172774</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0.003417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0.085697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0.088224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0.084359</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-2.004546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0.405640</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-1.768418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71.14547</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-1.911523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1.984162</w:t>
            </w:r>
          </w:p>
        </w:tc>
        <w:tc>
          <w:tcPr>
            <w:tcW w:w="2310"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2.125083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0.082951</w:t>
            </w: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050"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55"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b/>
          <w:lang w:val="en-US"/>
        </w:rPr>
      </w:pPr>
      <w:r w:rsidRPr="00053C90">
        <w:rPr>
          <w:rFonts w:ascii="Arial" w:hAnsi="Arial" w:cs="Arial"/>
          <w:sz w:val="18"/>
          <w:szCs w:val="18"/>
          <w:lang w:val="en-US"/>
        </w:rPr>
        <w:br/>
      </w:r>
    </w:p>
    <w:p w:rsidR="00983C72" w:rsidRPr="00053C90" w:rsidRDefault="00983C72" w:rsidP="00983C72">
      <w:pPr>
        <w:rPr>
          <w:rFonts w:ascii="Cambria" w:eastAsia="Times New Roman" w:hAnsi="Cambria"/>
          <w:color w:val="17365D"/>
          <w:spacing w:val="5"/>
          <w:kern w:val="28"/>
          <w:sz w:val="52"/>
          <w:szCs w:val="52"/>
          <w:lang w:val="en-US"/>
        </w:rPr>
      </w:pPr>
    </w:p>
    <w:p w:rsidR="00631283" w:rsidRDefault="00631283" w:rsidP="00983C72">
      <w:pPr>
        <w:rPr>
          <w:lang w:val="en-US"/>
        </w:rPr>
      </w:pPr>
    </w:p>
    <w:p w:rsidR="00D018FF" w:rsidRPr="00053C90" w:rsidRDefault="00D018FF" w:rsidP="00983C72">
      <w:pPr>
        <w:rPr>
          <w:lang w:val="en-US"/>
        </w:rPr>
      </w:pPr>
    </w:p>
    <w:p w:rsidR="006A5B21" w:rsidRPr="00053C90" w:rsidRDefault="0058530F" w:rsidP="006A5B21">
      <w:pPr>
        <w:pStyle w:val="Title"/>
        <w:rPr>
          <w:rFonts w:ascii="Times New Roman" w:hAnsi="Times New Roman"/>
          <w:sz w:val="32"/>
          <w:lang w:val="en-US"/>
        </w:rPr>
      </w:pPr>
      <w:r>
        <w:rPr>
          <w:rFonts w:ascii="Times New Roman" w:hAnsi="Times New Roman"/>
          <w:sz w:val="32"/>
          <w:lang w:val="en-US"/>
        </w:rPr>
        <w:t>A</w:t>
      </w:r>
      <w:r w:rsidR="009F7B44" w:rsidRPr="00053C90">
        <w:rPr>
          <w:rFonts w:ascii="Times New Roman" w:hAnsi="Times New Roman"/>
          <w:sz w:val="32"/>
          <w:lang w:val="en-US"/>
        </w:rPr>
        <w:t xml:space="preserve">3.2 </w:t>
      </w:r>
      <w:r w:rsidR="006A5B21" w:rsidRPr="00053C90">
        <w:rPr>
          <w:rFonts w:ascii="Times New Roman" w:hAnsi="Times New Roman"/>
          <w:sz w:val="32"/>
          <w:lang w:val="en-US"/>
        </w:rPr>
        <w:t>Tests assumption 3</w:t>
      </w: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0.467427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0.7989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2.479015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0.7797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2.936531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0.7098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0.814436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0.448013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1.817885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0.080071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0.100711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0.795060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0.4298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0.017654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0.104646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0.168706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0.8666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-0.101557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0.070946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-1.431472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0.1577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-0.009202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0.022139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-0.415649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0.6792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-0.013453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0.043787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-0.307242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0.7598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0.038735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0.197242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-0.044133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0.337648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0.345018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0.798620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6.904176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1.001016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-19.55585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0.878354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0.467427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1.698665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0.798932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631283" w:rsidRPr="00053C90" w:rsidRDefault="00631283" w:rsidP="006A5B21">
      <w:pPr>
        <w:autoSpaceDE w:val="0"/>
        <w:autoSpaceDN w:val="0"/>
        <w:adjustRightInd w:val="0"/>
        <w:spacing w:after="0" w:line="240" w:lineRule="auto"/>
        <w:rPr>
          <w:rFonts w:ascii="Arial" w:hAnsi="Arial" w:cs="Arial"/>
          <w:sz w:val="18"/>
          <w:szCs w:val="18"/>
          <w:lang w:val="en-US"/>
        </w:rPr>
      </w:pPr>
    </w:p>
    <w:p w:rsidR="00983C72" w:rsidRPr="00053C90" w:rsidRDefault="00983C72" w:rsidP="006A5B21">
      <w:pPr>
        <w:autoSpaceDE w:val="0"/>
        <w:autoSpaceDN w:val="0"/>
        <w:adjustRightInd w:val="0"/>
        <w:spacing w:after="0" w:line="240" w:lineRule="auto"/>
        <w:rPr>
          <w:rFonts w:ascii="Arial" w:hAnsi="Arial" w:cs="Arial"/>
          <w:sz w:val="18"/>
          <w:szCs w:val="18"/>
          <w:lang w:val="en-US"/>
        </w:rPr>
      </w:pP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24 months</w:t>
      </w:r>
    </w:p>
    <w:p w:rsidR="00983C72" w:rsidRPr="00053C90" w:rsidRDefault="00983C72" w:rsidP="006A5B21">
      <w:pPr>
        <w:autoSpaceDE w:val="0"/>
        <w:autoSpaceDN w:val="0"/>
        <w:adjustRightInd w:val="0"/>
        <w:spacing w:after="0" w:line="240" w:lineRule="auto"/>
        <w:rPr>
          <w:b/>
          <w:szCs w:val="24"/>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0.369498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0.8675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1.975676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0.8525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4.884855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0.4301</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1.319742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1.491866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0.884625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0.3800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0.437029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0.335364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1.303149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0.1977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0.064495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0.348469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0.185081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0.8538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-0.189059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0.236247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-0.800263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0.4268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0.013191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0.073723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0.178927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-0.040968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0.145809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-0.280971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0.7797</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0.030870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0.452772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-0.052676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1.119784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1.148898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3.204544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76.55810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3.406939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-96.54541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3.284278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0.369498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1.555868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0.867475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b/>
          <w:szCs w:val="24"/>
          <w:lang w:val="en-US"/>
        </w:rPr>
      </w:pPr>
    </w:p>
    <w:p w:rsidR="009F7B44" w:rsidRPr="00053C90" w:rsidRDefault="009F7B44" w:rsidP="009F7B44">
      <w:pPr>
        <w:autoSpaceDE w:val="0"/>
        <w:autoSpaceDN w:val="0"/>
        <w:adjustRightInd w:val="0"/>
        <w:spacing w:after="0" w:line="240" w:lineRule="auto"/>
        <w:rPr>
          <w:rFonts w:ascii="Arial" w:hAnsi="Arial" w:cs="Arial"/>
          <w:sz w:val="18"/>
          <w:szCs w:val="18"/>
          <w:lang w:val="en-US"/>
        </w:rPr>
      </w:pPr>
      <w:r w:rsidRPr="00053C90">
        <w:rPr>
          <w:b/>
          <w:szCs w:val="24"/>
          <w:lang w:val="en-US"/>
        </w:rPr>
        <w:t>Stock 36 months</w:t>
      </w:r>
      <w:r w:rsidRPr="00053C90">
        <w:rPr>
          <w:rFonts w:ascii="Arial" w:hAnsi="Arial" w:cs="Arial"/>
          <w:sz w:val="18"/>
          <w:szCs w:val="18"/>
          <w:lang w:val="en-US"/>
        </w:rPr>
        <w:br/>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9F7B44" w:rsidRPr="00053C90" w:rsidTr="00D55E87">
        <w:trPr>
          <w:trHeight w:val="225"/>
        </w:trPr>
        <w:tc>
          <w:tcPr>
            <w:tcW w:w="7057" w:type="dxa"/>
            <w:gridSpan w:val="5"/>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9F7B44" w:rsidRPr="00053C90" w:rsidTr="00D55E87">
        <w:trPr>
          <w:trHeight w:hRule="exact" w:val="90"/>
        </w:trPr>
        <w:tc>
          <w:tcPr>
            <w:tcW w:w="2542"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13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0.387471</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0.8554</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2.068670</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0.8396</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3.031681</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0.6951</w:t>
            </w:r>
          </w:p>
        </w:tc>
      </w:tr>
      <w:tr w:rsidR="009F7B44" w:rsidRPr="00053C90" w:rsidTr="00D55E87">
        <w:trPr>
          <w:trHeight w:hRule="exact" w:val="90"/>
        </w:trPr>
        <w:tc>
          <w:tcPr>
            <w:tcW w:w="2542"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13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364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4852" w:type="dxa"/>
            <w:gridSpan w:val="3"/>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4852" w:type="dxa"/>
            <w:gridSpan w:val="3"/>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4852" w:type="dxa"/>
            <w:gridSpan w:val="3"/>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19:13</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364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4852" w:type="dxa"/>
            <w:gridSpan w:val="3"/>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90"/>
        </w:trPr>
        <w:tc>
          <w:tcPr>
            <w:tcW w:w="2542"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13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9F7B44" w:rsidRPr="00053C90" w:rsidTr="00D55E87">
        <w:trPr>
          <w:trHeight w:hRule="exact" w:val="90"/>
        </w:trPr>
        <w:tc>
          <w:tcPr>
            <w:tcW w:w="2542"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13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1.936633</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1.603936</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1.207425</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0.2322</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0.407970</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0.360556</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1.131501</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0.2625</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0.019123</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0.374646</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0.051042</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0.9595</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-0.244350</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0.253994</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-0.962031</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0.3400</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0.012917</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0.079261</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0.162972</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0.8711</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-0.107459</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0.156762</w:t>
            </w: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-0.685490</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0.4958</w:t>
            </w:r>
          </w:p>
        </w:tc>
      </w:tr>
      <w:tr w:rsidR="009F7B44" w:rsidRPr="00053C90" w:rsidTr="00D55E87">
        <w:trPr>
          <w:trHeight w:hRule="exact" w:val="90"/>
        </w:trPr>
        <w:tc>
          <w:tcPr>
            <w:tcW w:w="2542"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hRule="exact" w:val="13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jc w:val="center"/>
              <w:rPr>
                <w:rFonts w:ascii="Arial" w:hAnsi="Arial" w:cs="Arial"/>
                <w:color w:val="000000"/>
                <w:sz w:val="18"/>
                <w:szCs w:val="18"/>
                <w:lang w:val="en-US"/>
              </w:rPr>
            </w:pP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0.032323</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0.632754</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-0.051097</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1.204807</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1.235205</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3.349410</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88.49235</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3.551805</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-101.1811</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3.429144</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0.387471</w:t>
            </w:r>
          </w:p>
        </w:tc>
        <w:tc>
          <w:tcPr>
            <w:tcW w:w="2415" w:type="dxa"/>
            <w:gridSpan w:val="2"/>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1.268955</w:t>
            </w:r>
          </w:p>
        </w:tc>
      </w:tr>
      <w:tr w:rsidR="009F7B44" w:rsidRPr="00053C90" w:rsidTr="00D55E87">
        <w:trPr>
          <w:trHeight w:val="225"/>
        </w:trPr>
        <w:tc>
          <w:tcPr>
            <w:tcW w:w="2542"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0.855422</w:t>
            </w:r>
          </w:p>
        </w:tc>
        <w:tc>
          <w:tcPr>
            <w:tcW w:w="120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9F7B44" w:rsidRPr="00053C90" w:rsidRDefault="009F7B44" w:rsidP="00D55E87">
            <w:pPr>
              <w:autoSpaceDE w:val="0"/>
              <w:autoSpaceDN w:val="0"/>
              <w:adjustRightInd w:val="0"/>
              <w:spacing w:after="0" w:line="240" w:lineRule="auto"/>
              <w:ind w:right="10"/>
              <w:jc w:val="center"/>
              <w:rPr>
                <w:rFonts w:ascii="Arial" w:hAnsi="Arial" w:cs="Arial"/>
                <w:color w:val="000000"/>
                <w:sz w:val="18"/>
                <w:szCs w:val="18"/>
                <w:lang w:val="en-US"/>
              </w:rPr>
            </w:pPr>
          </w:p>
        </w:tc>
      </w:tr>
    </w:tbl>
    <w:p w:rsidR="009F7B44" w:rsidRPr="00053C90" w:rsidRDefault="009F7B44"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F7B44" w:rsidRPr="00053C90" w:rsidRDefault="009F7B44"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Accounting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0.919000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0.4753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4.698140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0.4538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10.26923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0.0680</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0.003836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0.014439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0.265640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0.7915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-0.005744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0.003246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-1.769690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0.0820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-0.004386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0.003373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-1.300362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0.001320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0.002287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0.577302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0.5660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-7.82E-05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0.000714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-0.109664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0.9131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-0.000720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0.001411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-0.510243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0.6118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0.073408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0.004767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-0.006470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0.011084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0.011120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-6.071128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0.007172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-5.868732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200.2761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-5.991394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0.919000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1.924643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0.475271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6A5B21" w:rsidRPr="00053C90" w:rsidRDefault="006A5B21" w:rsidP="006A5B21">
      <w:pPr>
        <w:rPr>
          <w:b/>
          <w:szCs w:val="24"/>
          <w:lang w:val="en-US"/>
        </w:rPr>
      </w:pPr>
      <w:r w:rsidRPr="00053C90">
        <w:rPr>
          <w:b/>
          <w:szCs w:val="24"/>
          <w:lang w:val="en-US"/>
        </w:rPr>
        <w:t>Accounting 24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0.979149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0.4383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4.981700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0.4181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7.486388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0.1869</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-0.009546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0.010616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-0.899178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0.3723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-0.003967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0.002387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-1.662184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0.1019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0.000501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0.002480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0.202130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0.8405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0.002232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0.001681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1.327605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0.1895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0.000561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0.000525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1.070256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0.2889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0.000306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0.001038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0.294724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0.7693</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0.077839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0.004237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-0.001658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0.008169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0.008176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-6.686222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0.003877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-6.483827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219.9591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-6.606489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0.979149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2.202852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0.438291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6A5B21" w:rsidRPr="00053C90" w:rsidRDefault="006A5B21" w:rsidP="006A5B21">
      <w:pPr>
        <w:rPr>
          <w:b/>
          <w:szCs w:val="24"/>
          <w:lang w:val="en-US"/>
        </w:rPr>
      </w:pPr>
      <w:r w:rsidRPr="00053C90">
        <w:rPr>
          <w:b/>
          <w:szCs w:val="24"/>
          <w:lang w:val="en-US"/>
        </w:rPr>
        <w:t>Accounting 36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053C90"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Heteroskedasticity Test: Breusch-Pagan-Godfrey</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0.591819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F(5,58)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0.7062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3.106706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0.6835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Scaled explained 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4.993797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0.4166</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19:20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0.008975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0.017184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0.522277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0.6035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-0.001124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0.003863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-0.290876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0.7722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0.004469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0.004014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1.113377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0.2701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-0.001098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0.002721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-0.403606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0.6880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0.000832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0.000849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0.979724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0.3313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-0.000695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0.001679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-0.413567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0.6807</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0.048542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0.006528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-0.033480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0.013017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0.013234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-5.723070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0.010157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-5.520675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189.1383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-5.643337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0.591819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1.976830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0.706202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lang w:val="en-US"/>
        </w:rPr>
      </w:pPr>
    </w:p>
    <w:p w:rsidR="006A5B21" w:rsidRPr="00053C90" w:rsidRDefault="006A5B21" w:rsidP="006A5B21">
      <w:pPr>
        <w:rPr>
          <w:lang w:val="en-US"/>
        </w:rPr>
      </w:pPr>
    </w:p>
    <w:p w:rsidR="006A5B21" w:rsidRPr="00053C90" w:rsidRDefault="006A5B21"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983C72" w:rsidRPr="00053C90" w:rsidRDefault="00983C72" w:rsidP="006A5B21">
      <w:pPr>
        <w:rPr>
          <w:lang w:val="en-US"/>
        </w:rPr>
      </w:pPr>
    </w:p>
    <w:p w:rsidR="006A5B21" w:rsidRPr="00053C90" w:rsidRDefault="0058530F" w:rsidP="006A5B21">
      <w:pPr>
        <w:pStyle w:val="Title"/>
        <w:rPr>
          <w:rFonts w:ascii="Times New Roman" w:hAnsi="Times New Roman"/>
          <w:sz w:val="32"/>
          <w:lang w:val="en-US"/>
        </w:rPr>
      </w:pPr>
      <w:r>
        <w:rPr>
          <w:rFonts w:ascii="Times New Roman" w:hAnsi="Times New Roman"/>
          <w:sz w:val="32"/>
          <w:lang w:val="en-US"/>
        </w:rPr>
        <w:t>A</w:t>
      </w:r>
      <w:r w:rsidR="009F7B44" w:rsidRPr="00053C90">
        <w:rPr>
          <w:rFonts w:ascii="Times New Roman" w:hAnsi="Times New Roman"/>
          <w:sz w:val="32"/>
          <w:lang w:val="en-US"/>
        </w:rPr>
        <w:t xml:space="preserve">3.3 </w:t>
      </w:r>
      <w:r w:rsidR="006A5B21" w:rsidRPr="00053C90">
        <w:rPr>
          <w:rFonts w:ascii="Times New Roman" w:hAnsi="Times New Roman"/>
          <w:sz w:val="32"/>
          <w:lang w:val="en-US"/>
        </w:rPr>
        <w:t>Tests assumption 4</w:t>
      </w: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1.898352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0.1593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4.063587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0.1311</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19:05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-0.073140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0.140767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-0.519581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0.6054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-0.124724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0.154675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-0.806364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0.4234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0.035425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0.097000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0.365201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0.7163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-0.001443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0.029671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-0.048633</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0.9614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0.006577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0.060691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0.108372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0.9141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-0.082721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0.599149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-0.138064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0.8907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-0.196513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0.138375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-1.420146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0.1611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-0.233721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0.150480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-1.553168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0.1260</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0.063494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5.12E-17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-0.053570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0.447630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0.459464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1.398955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11.82198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1.668815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-36.76656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1.505266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0.542386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1.902737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0.798627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autoSpaceDE w:val="0"/>
        <w:autoSpaceDN w:val="0"/>
        <w:adjustRightInd w:val="0"/>
        <w:spacing w:after="0" w:line="240" w:lineRule="auto"/>
        <w:rPr>
          <w:b/>
          <w:szCs w:val="24"/>
          <w:lang w:val="en-US"/>
        </w:rPr>
      </w:pPr>
      <w:r w:rsidRPr="00053C90">
        <w:rPr>
          <w:lang w:val="en-US"/>
        </w:rPr>
        <w:br/>
      </w: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631283" w:rsidRPr="00053C90" w:rsidRDefault="00631283"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983C72" w:rsidRPr="00053C90" w:rsidRDefault="00983C72" w:rsidP="006A5B21">
      <w:pPr>
        <w:autoSpaceDE w:val="0"/>
        <w:autoSpaceDN w:val="0"/>
        <w:adjustRightInd w:val="0"/>
        <w:spacing w:after="0" w:line="240" w:lineRule="auto"/>
        <w:rPr>
          <w:b/>
          <w:szCs w:val="24"/>
          <w:lang w:val="en-US"/>
        </w:rPr>
      </w:pPr>
    </w:p>
    <w:p w:rsidR="006A5B21" w:rsidRPr="00053C90" w:rsidRDefault="006A5B21" w:rsidP="006A5B21">
      <w:pPr>
        <w:autoSpaceDE w:val="0"/>
        <w:autoSpaceDN w:val="0"/>
        <w:adjustRightInd w:val="0"/>
        <w:spacing w:after="0" w:line="240" w:lineRule="auto"/>
        <w:rPr>
          <w:b/>
          <w:szCs w:val="24"/>
          <w:lang w:val="en-US"/>
        </w:rPr>
      </w:pPr>
      <w:r w:rsidRPr="00053C90">
        <w:rPr>
          <w:b/>
          <w:szCs w:val="24"/>
          <w:lang w:val="en-US"/>
        </w:rPr>
        <w:t>Stock 24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1.130926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0.3300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2.484619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0.2887</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-0.062984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0.212020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-0.297066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0.7675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-0.097787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0.223573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-0.437385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0.6635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0.025877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0.146123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0.177089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0.8601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-0.001441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0.045267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-0.031822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0.9747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0.001146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0.090791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0.012628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0.9900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-0.046563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0.916568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-0.050802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0.9597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0.009470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0.135029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0.070135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0.9443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-0.208325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0.138685</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-1.502146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0.1387</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0.038822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-2.04E-17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-0.081325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0.678203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0.705241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2.255915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27.85244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2.525775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-64.18927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2.362226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0.323122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1.803712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0.940388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6A5B21" w:rsidRPr="00053C90" w:rsidRDefault="006A5B21"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F7B44" w:rsidRPr="00053C90" w:rsidRDefault="009F7B44" w:rsidP="006A5B21">
      <w:pPr>
        <w:rPr>
          <w:b/>
          <w:szCs w:val="24"/>
          <w:lang w:val="en-US"/>
        </w:rPr>
      </w:pPr>
    </w:p>
    <w:p w:rsidR="006A5B21" w:rsidRPr="00053C90" w:rsidRDefault="006A5B21" w:rsidP="006A5B21">
      <w:pPr>
        <w:autoSpaceDE w:val="0"/>
        <w:autoSpaceDN w:val="0"/>
        <w:adjustRightInd w:val="0"/>
        <w:spacing w:after="0" w:line="240" w:lineRule="auto"/>
        <w:rPr>
          <w:rFonts w:ascii="Arial" w:hAnsi="Arial" w:cs="Arial"/>
          <w:sz w:val="18"/>
          <w:szCs w:val="18"/>
          <w:lang w:val="en-US"/>
        </w:rPr>
      </w:pPr>
      <w:r w:rsidRPr="00053C90">
        <w:rPr>
          <w:b/>
          <w:szCs w:val="24"/>
          <w:lang w:val="en-US"/>
        </w:rPr>
        <w:t>Stock 36 months</w:t>
      </w:r>
      <w:r w:rsidRPr="00053C90">
        <w:rPr>
          <w:rFonts w:ascii="Arial" w:hAnsi="Arial" w:cs="Arial"/>
          <w:sz w:val="18"/>
          <w:szCs w:val="18"/>
          <w:lang w:val="en-US"/>
        </w:rPr>
        <w:br/>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4.550129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0.1204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8.982659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0.1196</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-0.110695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0.238239</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-0.464639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0.6440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-0.248738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0.255828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-0.972287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0.3351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0.086229</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0.164160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0.525271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0.6015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-0.016713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0.050746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-0.329348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0.7431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0.017704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0.102056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0.173471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0.8629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-0.256511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1.024811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-0.250301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0.8033</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0.066835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0.131077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0.509887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0.6121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-0.405986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0.133641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-3.037879</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0.0036</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0.145042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6.29E-17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0.038172</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0.801746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0.786295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2.473500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34.62259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2.743361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-71.15201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2.579812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1.357180</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1.961059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0.241583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6A5B21" w:rsidRPr="00053C90" w:rsidRDefault="006A5B21" w:rsidP="006A5B21">
      <w:pPr>
        <w:rPr>
          <w:lang w:val="en-US"/>
        </w:rPr>
      </w:pPr>
      <w:r w:rsidRPr="00053C90">
        <w:rPr>
          <w:b/>
          <w:szCs w:val="24"/>
          <w:lang w:val="en-US"/>
        </w:rPr>
        <w:t>Accounting 12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1.287519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0.2840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2.813526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0.2449</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-0.006833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0.021694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-0.314956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0.7540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-0.004773</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0.022263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-0.214400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0.8310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-8.57E-06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0.014876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-0.000576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0.9995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-0.000732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0.004682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-0.156242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0.8764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-0.004967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0.009706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-0.511768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0.6108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0.012058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0.094512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0.127585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0.8989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-0.232024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0.144763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-1.602784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0.1146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-0.041472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0.136772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-0.303220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0.7628</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0.043961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1.82E-18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-0.075543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0.069586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0.072166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-2.303218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0.291647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-2.033357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81.70296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-2.196906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0.367863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1.915941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0.917145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F7B44" w:rsidRPr="00053C90" w:rsidRDefault="009F7B44" w:rsidP="006A5B21">
      <w:pPr>
        <w:rPr>
          <w:b/>
          <w:szCs w:val="24"/>
          <w:lang w:val="en-US"/>
        </w:rPr>
      </w:pPr>
    </w:p>
    <w:p w:rsidR="00983C72" w:rsidRPr="00053C90" w:rsidRDefault="00983C72" w:rsidP="006A5B21">
      <w:pPr>
        <w:rPr>
          <w:b/>
          <w:szCs w:val="24"/>
          <w:lang w:val="en-US"/>
        </w:rPr>
      </w:pPr>
    </w:p>
    <w:p w:rsidR="006A5B21" w:rsidRPr="00053C90" w:rsidRDefault="006A5B21" w:rsidP="006A5B21">
      <w:pPr>
        <w:rPr>
          <w:b/>
          <w:szCs w:val="24"/>
          <w:lang w:val="en-US"/>
        </w:rPr>
      </w:pPr>
      <w:r w:rsidRPr="00053C90">
        <w:rPr>
          <w:b/>
          <w:szCs w:val="24"/>
          <w:lang w:val="en-US"/>
        </w:rPr>
        <w:t>Accounting 24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1.647093</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3.555625</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0.1690</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19:18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-0.006135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0.020333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-0.301734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0.7640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-0.002434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0.020556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-0.118407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0.9062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0.004132</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0.014117</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0.292667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0.7709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-0.000891</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0.004393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-0.202702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0.8401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-0.001958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0.008706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-0.224860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0.8229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-0.017508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0.088358</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-0.198147</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0.8436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-0.186196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0.139593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-1.333855</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0.1877</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-0.188588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0.132464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-1.423688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0.1601</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0.055557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-1.57E-18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-0.062499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0.065605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0.067624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-2.433236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0.256089</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-2.163375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85.86354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-2.326924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0.470598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1.989871</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0.851736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6A5B21" w:rsidP="006A5B21">
      <w:pPr>
        <w:rPr>
          <w:b/>
          <w:szCs w:val="24"/>
          <w:lang w:val="en-US"/>
        </w:rPr>
      </w:pPr>
      <w:r w:rsidRPr="00053C90">
        <w:rPr>
          <w:rFonts w:ascii="Arial" w:hAnsi="Arial" w:cs="Arial"/>
          <w:sz w:val="18"/>
          <w:szCs w:val="18"/>
          <w:lang w:val="en-US"/>
        </w:rPr>
        <w:br/>
      </w: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983C72" w:rsidRPr="00053C90" w:rsidRDefault="00983C72" w:rsidP="006A5B21">
      <w:pPr>
        <w:rPr>
          <w:b/>
          <w:szCs w:val="24"/>
          <w:lang w:val="en-US"/>
        </w:rPr>
      </w:pPr>
    </w:p>
    <w:p w:rsidR="006A5B21" w:rsidRPr="00053C90" w:rsidRDefault="006A5B21" w:rsidP="006A5B21">
      <w:pPr>
        <w:rPr>
          <w:b/>
          <w:szCs w:val="24"/>
          <w:lang w:val="en-US"/>
        </w:rPr>
      </w:pPr>
      <w:r w:rsidRPr="00053C90">
        <w:rPr>
          <w:b/>
          <w:szCs w:val="24"/>
          <w:lang w:val="en-US"/>
        </w:rPr>
        <w:t>Accounting 36 months</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6A5B21" w:rsidRPr="00AA1ABB" w:rsidTr="004B0E00">
        <w:trPr>
          <w:trHeight w:val="225"/>
        </w:trPr>
        <w:tc>
          <w:tcPr>
            <w:tcW w:w="6060" w:type="dxa"/>
            <w:gridSpan w:val="4"/>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Breusch-Godfrey Serial Correlation LM Test: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0.401548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F(2,56)</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0.6712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Obs*R-squared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0.904847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Prob. Chi-Square(2)</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0.6361</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Test Equation:</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Dependent Variable: RESID</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Method: Least Squares</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Date: 05/13/15   Time: 19:21</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364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Sample: 1 64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4852" w:type="dxa"/>
            <w:gridSpan w:val="3"/>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Included observations: 64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val="225"/>
        </w:trPr>
        <w:tc>
          <w:tcPr>
            <w:tcW w:w="7057" w:type="dxa"/>
            <w:gridSpan w:val="5"/>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Presample missing value lagged residuals set to zero.</w:t>
            </w:r>
          </w:p>
        </w:tc>
      </w:tr>
      <w:tr w:rsidR="006A5B21" w:rsidRPr="00AA1ABB"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AA1ABB"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Variable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Coefficient</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Std. Error</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t-Statistic</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Prob.  </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0.001830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0.026410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0.069280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0.9450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-0.001935</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0.026106</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-0.074111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0.9412</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0.000186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0.018094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0.010304</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0.000134</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0.005554</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0.024071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0.9809</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0.000277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0.010983</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0.025240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0.9800</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-0.001356</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0.112792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-0.012020</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0.9905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RESID(-1)</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-0.072310</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0.138860</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-0.520738</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0.6046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RESID(-2)</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0.090097</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0.140702</w:t>
            </w: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0.640341</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0.5246</w:t>
            </w:r>
          </w:p>
        </w:tc>
      </w:tr>
      <w:tr w:rsidR="006A5B21" w:rsidRPr="00053C90" w:rsidTr="004B0E00">
        <w:trPr>
          <w:trHeight w:hRule="exact" w:val="90"/>
        </w:trPr>
        <w:tc>
          <w:tcPr>
            <w:tcW w:w="2542"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0.014138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Mean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-5.04E-18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Adjusted R-squared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-0.109094</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S.D. dependent var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0.081434</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S.E. of regression</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0.085761</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Akaike info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-1.958036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Sum squared resid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0.411877</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Schwarz criterion</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-1.688176</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Log likelihood</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70.65716</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Hannan-Quinn criter.</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-1.851725</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0.114728</w:t>
            </w:r>
          </w:p>
        </w:tc>
        <w:tc>
          <w:tcPr>
            <w:tcW w:w="2415" w:type="dxa"/>
            <w:gridSpan w:val="2"/>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rPr>
                <w:rFonts w:ascii="Arial" w:hAnsi="Arial" w:cs="Arial"/>
                <w:color w:val="000000"/>
                <w:sz w:val="18"/>
                <w:szCs w:val="18"/>
                <w:lang w:val="en-US"/>
              </w:rPr>
            </w:pPr>
            <w:r w:rsidRPr="00053C90">
              <w:rPr>
                <w:rFonts w:ascii="Arial" w:hAnsi="Arial" w:cs="Arial"/>
                <w:color w:val="000000"/>
                <w:sz w:val="18"/>
                <w:szCs w:val="18"/>
                <w:lang w:val="en-US"/>
              </w:rPr>
              <w:t>    Durbin-Watson stat</w:t>
            </w: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1.972338</w:t>
            </w:r>
          </w:p>
        </w:tc>
      </w:tr>
      <w:tr w:rsidR="006A5B21" w:rsidRPr="00053C90" w:rsidTr="004B0E00">
        <w:trPr>
          <w:trHeight w:val="22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rPr>
                <w:rFonts w:ascii="Arial" w:hAnsi="Arial" w:cs="Arial"/>
                <w:color w:val="000000"/>
                <w:sz w:val="18"/>
                <w:szCs w:val="18"/>
                <w:lang w:val="en-US"/>
              </w:rPr>
            </w:pPr>
            <w:r w:rsidRPr="00053C90">
              <w:rPr>
                <w:rFonts w:ascii="Arial" w:hAnsi="Arial" w:cs="Arial"/>
                <w:color w:val="000000"/>
                <w:sz w:val="18"/>
                <w:szCs w:val="18"/>
                <w:lang w:val="en-US"/>
              </w:rPr>
              <w:t>Prob(F-statistic)</w:t>
            </w: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right"/>
              <w:rPr>
                <w:rFonts w:ascii="Arial" w:hAnsi="Arial" w:cs="Arial"/>
                <w:color w:val="000000"/>
                <w:sz w:val="18"/>
                <w:szCs w:val="18"/>
                <w:lang w:val="en-US"/>
              </w:rPr>
            </w:pPr>
            <w:r w:rsidRPr="00053C90">
              <w:rPr>
                <w:rFonts w:ascii="Arial" w:hAnsi="Arial" w:cs="Arial"/>
                <w:color w:val="000000"/>
                <w:sz w:val="18"/>
                <w:szCs w:val="18"/>
                <w:lang w:val="en-US"/>
              </w:rPr>
              <w:t>0.997098</w:t>
            </w: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ind w:right="10"/>
              <w:jc w:val="center"/>
              <w:rPr>
                <w:rFonts w:ascii="Arial" w:hAnsi="Arial" w:cs="Arial"/>
                <w:color w:val="000000"/>
                <w:sz w:val="18"/>
                <w:szCs w:val="18"/>
                <w:lang w:val="en-US"/>
              </w:rPr>
            </w:pPr>
          </w:p>
        </w:tc>
      </w:tr>
      <w:tr w:rsidR="006A5B21" w:rsidRPr="00053C90" w:rsidTr="004B0E00">
        <w:trPr>
          <w:trHeight w:hRule="exact" w:val="90"/>
        </w:trPr>
        <w:tc>
          <w:tcPr>
            <w:tcW w:w="2542"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0" w:color="auto"/>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r w:rsidR="006A5B21" w:rsidRPr="00053C90" w:rsidTr="004B0E00">
        <w:trPr>
          <w:trHeight w:hRule="exact" w:val="135"/>
        </w:trPr>
        <w:tc>
          <w:tcPr>
            <w:tcW w:w="254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r>
    </w:tbl>
    <w:p w:rsidR="00983C72" w:rsidRPr="00053C90" w:rsidRDefault="00983C72" w:rsidP="00983C72">
      <w:pPr>
        <w:rPr>
          <w:lang w:val="en-US"/>
        </w:rPr>
      </w:pPr>
    </w:p>
    <w:p w:rsidR="00983C72" w:rsidRPr="00053C90" w:rsidRDefault="00983C72" w:rsidP="00983C72">
      <w:pPr>
        <w:rPr>
          <w:lang w:val="en-US"/>
        </w:rPr>
      </w:pPr>
    </w:p>
    <w:p w:rsidR="00983C72" w:rsidRPr="00053C90" w:rsidRDefault="00983C72" w:rsidP="00983C72">
      <w:pPr>
        <w:rPr>
          <w:lang w:val="en-US"/>
        </w:rPr>
      </w:pPr>
    </w:p>
    <w:p w:rsidR="00D8452E" w:rsidRPr="00053C90" w:rsidRDefault="00D8452E" w:rsidP="00983C72">
      <w:pPr>
        <w:rPr>
          <w:lang w:val="en-US"/>
        </w:rPr>
      </w:pPr>
    </w:p>
    <w:p w:rsidR="00D8452E" w:rsidRPr="00053C90" w:rsidRDefault="00D8452E" w:rsidP="00983C72">
      <w:pPr>
        <w:rPr>
          <w:lang w:val="en-US"/>
        </w:rPr>
      </w:pPr>
    </w:p>
    <w:p w:rsidR="00D8452E" w:rsidRPr="00053C90" w:rsidRDefault="00D8452E" w:rsidP="00983C72">
      <w:pPr>
        <w:rPr>
          <w:lang w:val="en-US"/>
        </w:rPr>
      </w:pPr>
    </w:p>
    <w:p w:rsidR="00D8452E" w:rsidRPr="00053C90" w:rsidRDefault="00D8452E" w:rsidP="00983C72">
      <w:pPr>
        <w:rPr>
          <w:lang w:val="en-US"/>
        </w:rPr>
      </w:pPr>
    </w:p>
    <w:p w:rsidR="00983C72" w:rsidRPr="00053C90" w:rsidRDefault="00983C72" w:rsidP="00983C72">
      <w:pPr>
        <w:rPr>
          <w:lang w:val="en-US"/>
        </w:rPr>
      </w:pPr>
    </w:p>
    <w:p w:rsidR="00983C72" w:rsidRPr="00053C90" w:rsidRDefault="00983C72" w:rsidP="00983C72">
      <w:pPr>
        <w:rPr>
          <w:lang w:val="en-US"/>
        </w:rPr>
      </w:pPr>
    </w:p>
    <w:p w:rsidR="00D8452E" w:rsidRPr="00053C90" w:rsidRDefault="00D8452E" w:rsidP="00983C72">
      <w:pPr>
        <w:rPr>
          <w:lang w:val="en-US"/>
        </w:rPr>
      </w:pPr>
    </w:p>
    <w:p w:rsidR="00983C72" w:rsidRPr="00053C90" w:rsidRDefault="00983C72" w:rsidP="00983C72">
      <w:pPr>
        <w:rPr>
          <w:lang w:val="en-US"/>
        </w:rPr>
      </w:pPr>
    </w:p>
    <w:p w:rsidR="00983C72" w:rsidRPr="00053C90" w:rsidRDefault="00983C72" w:rsidP="00983C72">
      <w:pPr>
        <w:rPr>
          <w:lang w:val="en-US"/>
        </w:rPr>
      </w:pPr>
    </w:p>
    <w:p w:rsidR="006A5B21" w:rsidRPr="00053C90" w:rsidRDefault="0058530F" w:rsidP="006A5B21">
      <w:pPr>
        <w:pStyle w:val="Title"/>
        <w:rPr>
          <w:rFonts w:ascii="Times New Roman" w:hAnsi="Times New Roman"/>
          <w:sz w:val="32"/>
          <w:szCs w:val="32"/>
          <w:lang w:val="en-US"/>
        </w:rPr>
      </w:pPr>
      <w:r>
        <w:rPr>
          <w:rFonts w:ascii="Times New Roman" w:hAnsi="Times New Roman"/>
          <w:sz w:val="32"/>
          <w:szCs w:val="32"/>
          <w:lang w:val="en-US"/>
        </w:rPr>
        <w:t>A</w:t>
      </w:r>
      <w:r w:rsidR="00631283" w:rsidRPr="00053C90">
        <w:rPr>
          <w:rFonts w:ascii="Times New Roman" w:hAnsi="Times New Roman"/>
          <w:sz w:val="32"/>
          <w:szCs w:val="32"/>
          <w:lang w:val="en-US"/>
        </w:rPr>
        <w:t xml:space="preserve">3.4. </w:t>
      </w:r>
      <w:r w:rsidR="006A5B21" w:rsidRPr="00053C90">
        <w:rPr>
          <w:rFonts w:ascii="Times New Roman" w:hAnsi="Times New Roman"/>
          <w:sz w:val="32"/>
          <w:szCs w:val="32"/>
          <w:lang w:val="en-US"/>
        </w:rPr>
        <w:t>Test assumption 5</w:t>
      </w:r>
    </w:p>
    <w:p w:rsidR="006A5B21" w:rsidRPr="00053C90" w:rsidRDefault="006A5B21" w:rsidP="006A5B21">
      <w:pPr>
        <w:rPr>
          <w:b/>
          <w:lang w:val="en-US"/>
        </w:rPr>
      </w:pPr>
      <w:r w:rsidRPr="00053C90">
        <w:rPr>
          <w:b/>
          <w:lang w:val="en-US"/>
        </w:rPr>
        <w:t xml:space="preserve">Test for multicollinearity </w:t>
      </w:r>
    </w:p>
    <w:p w:rsidR="006A5B21" w:rsidRPr="00053C90" w:rsidRDefault="006A5B21" w:rsidP="006A5B21">
      <w:pPr>
        <w:autoSpaceDE w:val="0"/>
        <w:autoSpaceDN w:val="0"/>
        <w:adjustRightInd w:val="0"/>
        <w:spacing w:after="0" w:line="240" w:lineRule="auto"/>
        <w:rPr>
          <w:rFonts w:ascii="Arial"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r>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DOMESTIC_INTERNATIONAL</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1.000000</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-0.106903</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0.418745</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-0.084796</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-0.172124</w:t>
            </w:r>
          </w:p>
        </w:tc>
      </w:tr>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INDUSTRY_RELATEDNESS</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-0.106903</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1.000000</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0.113628</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-0.002021</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0.044496</w:t>
            </w:r>
          </w:p>
        </w:tc>
      </w:tr>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LOG_SIZE</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0.418745</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0.113628</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1.000000</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-0.055225</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-0.435623</w:t>
            </w:r>
          </w:p>
        </w:tc>
      </w:tr>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M_B_T_1</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-0.084796</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-0.002021</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-0.055225</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1.000000</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-0.174276</w:t>
            </w:r>
          </w:p>
        </w:tc>
      </w:tr>
      <w:tr w:rsidR="006A5B21" w:rsidRPr="00053C90" w:rsidTr="004B0E00">
        <w:trPr>
          <w:trHeight w:val="225"/>
        </w:trPr>
        <w:tc>
          <w:tcPr>
            <w:tcW w:w="128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RELATIVE_DEAL_SIZE</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-0.172124</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0.044496</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-0.435623</w:t>
            </w:r>
          </w:p>
        </w:tc>
        <w:tc>
          <w:tcPr>
            <w:tcW w:w="1312"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-0.174276</w:t>
            </w:r>
          </w:p>
        </w:tc>
        <w:tc>
          <w:tcPr>
            <w:tcW w:w="1313" w:type="dxa"/>
            <w:tcBorders>
              <w:top w:val="nil"/>
              <w:left w:val="nil"/>
              <w:bottom w:val="nil"/>
              <w:right w:val="nil"/>
            </w:tcBorders>
            <w:vAlign w:val="bottom"/>
          </w:tcPr>
          <w:p w:rsidR="006A5B21" w:rsidRPr="00053C90" w:rsidRDefault="006A5B21" w:rsidP="004B0E00">
            <w:pPr>
              <w:autoSpaceDE w:val="0"/>
              <w:autoSpaceDN w:val="0"/>
              <w:adjustRightInd w:val="0"/>
              <w:spacing w:after="0" w:line="240" w:lineRule="auto"/>
              <w:jc w:val="center"/>
              <w:rPr>
                <w:rFonts w:ascii="Arial" w:hAnsi="Arial" w:cs="Arial"/>
                <w:color w:val="000000"/>
                <w:sz w:val="18"/>
                <w:szCs w:val="18"/>
                <w:lang w:val="en-US"/>
              </w:rPr>
            </w:pPr>
            <w:r w:rsidRPr="00053C90">
              <w:rPr>
                <w:rFonts w:ascii="Arial" w:hAnsi="Arial" w:cs="Arial"/>
                <w:color w:val="000000"/>
                <w:sz w:val="18"/>
                <w:szCs w:val="18"/>
                <w:lang w:val="en-US"/>
              </w:rPr>
              <w:t> 1.000000</w:t>
            </w:r>
          </w:p>
        </w:tc>
      </w:tr>
    </w:tbl>
    <w:p w:rsidR="006A5B21" w:rsidRPr="00053C90" w:rsidRDefault="006A5B21" w:rsidP="0037630B">
      <w:pPr>
        <w:pStyle w:val="TimesNewRoman"/>
        <w:rPr>
          <w:lang w:val="en-US"/>
        </w:rPr>
      </w:pPr>
    </w:p>
    <w:p w:rsidR="00983C72" w:rsidRPr="00053C90" w:rsidRDefault="00983C72" w:rsidP="0037630B">
      <w:pPr>
        <w:pStyle w:val="TimesNewRoman"/>
        <w:rPr>
          <w:lang w:val="en-US"/>
        </w:rPr>
      </w:pPr>
    </w:p>
    <w:p w:rsidR="00983C72" w:rsidRPr="00053C90" w:rsidRDefault="00983C72" w:rsidP="0037630B">
      <w:pPr>
        <w:pStyle w:val="TimesNewRoman"/>
        <w:rPr>
          <w:lang w:val="en-US"/>
        </w:rPr>
      </w:pPr>
    </w:p>
    <w:p w:rsidR="009F7B44" w:rsidRPr="00053C90" w:rsidRDefault="009F7B44" w:rsidP="006A5B21">
      <w:pPr>
        <w:pStyle w:val="Title"/>
        <w:rPr>
          <w:rFonts w:ascii="Times New Roman" w:eastAsia="Calibri" w:hAnsi="Times New Roman"/>
          <w:bCs/>
          <w:color w:val="auto"/>
          <w:spacing w:val="0"/>
          <w:kern w:val="0"/>
          <w:sz w:val="24"/>
          <w:szCs w:val="24"/>
          <w:lang w:val="en-US"/>
        </w:rPr>
      </w:pPr>
    </w:p>
    <w:p w:rsidR="009F7B44" w:rsidRPr="00053C90" w:rsidRDefault="009F7B44" w:rsidP="006A5B21">
      <w:pPr>
        <w:pStyle w:val="Title"/>
        <w:rPr>
          <w:rFonts w:ascii="Times New Roman" w:eastAsia="Calibri" w:hAnsi="Times New Roman"/>
          <w:bCs/>
          <w:color w:val="auto"/>
          <w:spacing w:val="0"/>
          <w:kern w:val="0"/>
          <w:sz w:val="24"/>
          <w:szCs w:val="24"/>
          <w:lang w:val="en-US"/>
        </w:rPr>
      </w:pPr>
    </w:p>
    <w:p w:rsidR="009F7B44" w:rsidRPr="00053C90" w:rsidRDefault="009F7B44" w:rsidP="006A5B21">
      <w:pPr>
        <w:pStyle w:val="Title"/>
        <w:rPr>
          <w:rFonts w:ascii="Times New Roman" w:hAnsi="Times New Roman"/>
          <w:sz w:val="44"/>
          <w:szCs w:val="44"/>
          <w:lang w:val="en-US"/>
        </w:rPr>
      </w:pPr>
    </w:p>
    <w:p w:rsidR="006A5B21" w:rsidRPr="00053C90" w:rsidRDefault="0058530F" w:rsidP="006A5B21">
      <w:pPr>
        <w:pStyle w:val="Title"/>
        <w:rPr>
          <w:rFonts w:ascii="Times New Roman" w:hAnsi="Times New Roman"/>
          <w:sz w:val="32"/>
          <w:szCs w:val="32"/>
          <w:lang w:val="en-US"/>
        </w:rPr>
      </w:pPr>
      <w:r>
        <w:rPr>
          <w:rFonts w:ascii="Times New Roman" w:hAnsi="Times New Roman"/>
          <w:sz w:val="32"/>
          <w:szCs w:val="32"/>
          <w:lang w:val="en-US"/>
        </w:rPr>
        <w:t>A</w:t>
      </w:r>
      <w:r w:rsidR="00631283" w:rsidRPr="00053C90">
        <w:rPr>
          <w:rFonts w:ascii="Times New Roman" w:hAnsi="Times New Roman"/>
          <w:sz w:val="32"/>
          <w:szCs w:val="32"/>
          <w:lang w:val="en-US"/>
        </w:rPr>
        <w:t xml:space="preserve">3.5 </w:t>
      </w:r>
      <w:r w:rsidR="006A5B21" w:rsidRPr="00053C90">
        <w:rPr>
          <w:rFonts w:ascii="Times New Roman" w:hAnsi="Times New Roman"/>
          <w:sz w:val="32"/>
          <w:szCs w:val="32"/>
          <w:lang w:val="en-US"/>
        </w:rPr>
        <w:t>Tests assumption 6</w:t>
      </w:r>
    </w:p>
    <w:p w:rsidR="006A5B21" w:rsidRPr="00053C90" w:rsidRDefault="006A5B21" w:rsidP="006A5B21">
      <w:pPr>
        <w:rPr>
          <w:b/>
          <w:szCs w:val="24"/>
          <w:lang w:val="en-US"/>
        </w:rPr>
      </w:pPr>
      <w:r w:rsidRPr="00053C90">
        <w:rPr>
          <w:b/>
          <w:szCs w:val="24"/>
          <w:lang w:val="en-US"/>
        </w:rPr>
        <w:t>Stock 12 months</w:t>
      </w:r>
    </w:p>
    <w:p w:rsidR="006A5B21" w:rsidRPr="00053C90" w:rsidRDefault="006A5B21" w:rsidP="006A5B21">
      <w:pPr>
        <w:rPr>
          <w:lang w:val="en-US"/>
        </w:rPr>
      </w:pPr>
      <w:r w:rsidRPr="00053C90">
        <w:rPr>
          <w:lang w:val="en-US"/>
        </w:rPr>
        <w:object w:dxaOrig="9660" w:dyaOrig="4275">
          <v:shape id="_x0000_i1031" type="#_x0000_t75" style="width:389.25pt;height:172.5pt" o:ole="">
            <v:imagedata r:id="rId34" o:title=""/>
          </v:shape>
          <o:OLEObject Type="Embed" ProgID="EViews.Workfile.2" ShapeID="_x0000_i1031" DrawAspect="Content" ObjectID="_1502274331" r:id="rId35"/>
        </w:object>
      </w:r>
    </w:p>
    <w:p w:rsidR="006A5B21" w:rsidRPr="00053C90" w:rsidRDefault="006A5B21" w:rsidP="006A5B21">
      <w:pPr>
        <w:rPr>
          <w:lang w:val="en-US"/>
        </w:rPr>
      </w:pPr>
    </w:p>
    <w:p w:rsidR="009F7B44" w:rsidRPr="00053C90" w:rsidRDefault="009F7B44" w:rsidP="006A5B21">
      <w:pPr>
        <w:rPr>
          <w:lang w:val="en-US"/>
        </w:rPr>
      </w:pPr>
    </w:p>
    <w:p w:rsidR="009F7B44" w:rsidRPr="00053C90" w:rsidRDefault="009F7B44" w:rsidP="006A5B21">
      <w:pPr>
        <w:rPr>
          <w:lang w:val="en-US"/>
        </w:rPr>
      </w:pPr>
    </w:p>
    <w:p w:rsidR="009F7B44" w:rsidRPr="00053C90" w:rsidRDefault="009F7B44" w:rsidP="006A5B21">
      <w:pPr>
        <w:rPr>
          <w:lang w:val="en-US"/>
        </w:rPr>
      </w:pPr>
    </w:p>
    <w:p w:rsidR="00631283" w:rsidRPr="00053C90" w:rsidRDefault="00631283" w:rsidP="006A5B21">
      <w:pPr>
        <w:rPr>
          <w:lang w:val="en-US"/>
        </w:rPr>
      </w:pPr>
    </w:p>
    <w:p w:rsidR="00631283" w:rsidRPr="00053C90" w:rsidRDefault="00631283" w:rsidP="006A5B21">
      <w:pPr>
        <w:rPr>
          <w:lang w:val="en-US"/>
        </w:rPr>
      </w:pPr>
    </w:p>
    <w:p w:rsidR="006A5B21" w:rsidRPr="00053C90" w:rsidRDefault="006A5B21" w:rsidP="006A5B21">
      <w:pPr>
        <w:rPr>
          <w:b/>
          <w:szCs w:val="24"/>
          <w:lang w:val="en-US"/>
        </w:rPr>
      </w:pPr>
      <w:r w:rsidRPr="00053C90">
        <w:rPr>
          <w:b/>
          <w:szCs w:val="24"/>
          <w:lang w:val="en-US"/>
        </w:rPr>
        <w:t>Stock 24 months</w:t>
      </w:r>
    </w:p>
    <w:p w:rsidR="006A5B21" w:rsidRPr="00053C90" w:rsidRDefault="006A5B21" w:rsidP="006A5B21">
      <w:pPr>
        <w:rPr>
          <w:lang w:val="en-US"/>
        </w:rPr>
      </w:pPr>
      <w:r w:rsidRPr="00053C90">
        <w:rPr>
          <w:lang w:val="en-US"/>
        </w:rPr>
        <w:object w:dxaOrig="9660" w:dyaOrig="4275">
          <v:shape id="_x0000_i1032" type="#_x0000_t75" style="width:394.5pt;height:175.5pt" o:ole="">
            <v:imagedata r:id="rId36" o:title=""/>
          </v:shape>
          <o:OLEObject Type="Embed" ProgID="EViews.Workfile.2" ShapeID="_x0000_i1032" DrawAspect="Content" ObjectID="_1502274332" r:id="rId37"/>
        </w:object>
      </w:r>
    </w:p>
    <w:p w:rsidR="006A5B21" w:rsidRPr="00053C90" w:rsidRDefault="006A5B21" w:rsidP="006A5B21">
      <w:pPr>
        <w:rPr>
          <w:lang w:val="en-US"/>
        </w:rPr>
      </w:pPr>
      <w:r w:rsidRPr="00053C90">
        <w:rPr>
          <w:b/>
          <w:szCs w:val="24"/>
          <w:lang w:val="en-US"/>
        </w:rPr>
        <w:t>Stock 36 months</w:t>
      </w:r>
    </w:p>
    <w:p w:rsidR="006A5B21" w:rsidRPr="00053C90" w:rsidRDefault="006A5B21" w:rsidP="006A5B21">
      <w:pPr>
        <w:rPr>
          <w:lang w:val="en-US"/>
        </w:rPr>
      </w:pPr>
      <w:r w:rsidRPr="00053C90">
        <w:rPr>
          <w:lang w:val="en-US"/>
        </w:rPr>
        <w:object w:dxaOrig="9660" w:dyaOrig="4275">
          <v:shape id="_x0000_i1033" type="#_x0000_t75" style="width:394.5pt;height:175.5pt" o:ole="">
            <v:imagedata r:id="rId38" o:title=""/>
          </v:shape>
          <o:OLEObject Type="Embed" ProgID="EViews.Workfile.2" ShapeID="_x0000_i1033" DrawAspect="Content" ObjectID="_1502274333" r:id="rId39"/>
        </w:object>
      </w:r>
    </w:p>
    <w:p w:rsidR="006A5B21" w:rsidRPr="00053C90" w:rsidRDefault="006A5B21" w:rsidP="006A5B21">
      <w:pPr>
        <w:rPr>
          <w:b/>
          <w:szCs w:val="24"/>
          <w:lang w:val="en-US"/>
        </w:rPr>
      </w:pPr>
    </w:p>
    <w:p w:rsidR="006A5B21" w:rsidRPr="00053C90" w:rsidRDefault="006A5B21" w:rsidP="006A5B21">
      <w:pPr>
        <w:rPr>
          <w:lang w:val="en-US"/>
        </w:rPr>
      </w:pPr>
      <w:r w:rsidRPr="00053C90">
        <w:rPr>
          <w:b/>
          <w:szCs w:val="24"/>
          <w:lang w:val="en-US"/>
        </w:rPr>
        <w:t>Accounting Measure 12 months</w:t>
      </w:r>
    </w:p>
    <w:p w:rsidR="006A5B21" w:rsidRPr="00053C90" w:rsidRDefault="006A5B21" w:rsidP="006A5B21">
      <w:pPr>
        <w:rPr>
          <w:lang w:val="en-US"/>
        </w:rPr>
      </w:pPr>
      <w:r w:rsidRPr="00053C90">
        <w:rPr>
          <w:lang w:val="en-US"/>
        </w:rPr>
        <w:t xml:space="preserve"> </w:t>
      </w:r>
      <w:r w:rsidRPr="00053C90">
        <w:rPr>
          <w:lang w:val="en-US"/>
        </w:rPr>
        <w:object w:dxaOrig="9660" w:dyaOrig="4275">
          <v:shape id="_x0000_i1034" type="#_x0000_t75" style="width:326.25pt;height:144.75pt" o:ole="">
            <v:imagedata r:id="rId40" o:title=""/>
          </v:shape>
          <o:OLEObject Type="Embed" ProgID="EViews.Workfile.2" ShapeID="_x0000_i1034" DrawAspect="Content" ObjectID="_1502274334" r:id="rId41"/>
        </w:object>
      </w:r>
    </w:p>
    <w:p w:rsidR="009F7B44" w:rsidRPr="00053C90" w:rsidRDefault="009F7B44" w:rsidP="006A5B21">
      <w:pPr>
        <w:rPr>
          <w:b/>
          <w:szCs w:val="24"/>
          <w:lang w:val="en-US"/>
        </w:rPr>
      </w:pPr>
    </w:p>
    <w:p w:rsidR="009F7B44" w:rsidRPr="00053C90" w:rsidRDefault="009F7B44" w:rsidP="006A5B21">
      <w:pPr>
        <w:rPr>
          <w:b/>
          <w:szCs w:val="24"/>
          <w:lang w:val="en-US"/>
        </w:rPr>
      </w:pPr>
    </w:p>
    <w:p w:rsidR="009F7B44" w:rsidRPr="00053C90" w:rsidRDefault="009F7B44" w:rsidP="006A5B21">
      <w:pPr>
        <w:rPr>
          <w:b/>
          <w:szCs w:val="24"/>
          <w:lang w:val="en-US"/>
        </w:rPr>
      </w:pPr>
    </w:p>
    <w:p w:rsidR="009F7B44" w:rsidRPr="00053C90" w:rsidRDefault="009F7B44" w:rsidP="006A5B21">
      <w:pPr>
        <w:rPr>
          <w:b/>
          <w:szCs w:val="24"/>
          <w:lang w:val="en-US"/>
        </w:rPr>
      </w:pPr>
    </w:p>
    <w:p w:rsidR="009F7B44" w:rsidRPr="00053C90" w:rsidRDefault="009F7B44" w:rsidP="006A5B21">
      <w:pPr>
        <w:rPr>
          <w:b/>
          <w:szCs w:val="24"/>
          <w:lang w:val="en-US"/>
        </w:rPr>
      </w:pPr>
    </w:p>
    <w:p w:rsidR="006A5B21" w:rsidRPr="00053C90" w:rsidRDefault="006A5B21" w:rsidP="006A5B21">
      <w:pPr>
        <w:rPr>
          <w:lang w:val="en-US"/>
        </w:rPr>
      </w:pPr>
      <w:r w:rsidRPr="00053C90">
        <w:rPr>
          <w:b/>
          <w:szCs w:val="24"/>
          <w:lang w:val="en-US"/>
        </w:rPr>
        <w:t>Accounting Measure 24 months</w:t>
      </w:r>
    </w:p>
    <w:p w:rsidR="006A5B21" w:rsidRPr="00053C90" w:rsidRDefault="006A5B21" w:rsidP="006A5B21">
      <w:pPr>
        <w:rPr>
          <w:lang w:val="en-US"/>
        </w:rPr>
      </w:pPr>
      <w:r w:rsidRPr="00053C90">
        <w:rPr>
          <w:lang w:val="en-US"/>
        </w:rPr>
        <w:object w:dxaOrig="9660" w:dyaOrig="4275">
          <v:shape id="_x0000_i1035" type="#_x0000_t75" style="width:341.25pt;height:151.5pt" o:ole="">
            <v:imagedata r:id="rId42" o:title=""/>
          </v:shape>
          <o:OLEObject Type="Embed" ProgID="EViews.Workfile.2" ShapeID="_x0000_i1035" DrawAspect="Content" ObjectID="_1502274335" r:id="rId43"/>
        </w:object>
      </w:r>
    </w:p>
    <w:p w:rsidR="006A5B21" w:rsidRPr="00053C90" w:rsidRDefault="006A5B21" w:rsidP="006A5B21">
      <w:pPr>
        <w:rPr>
          <w:lang w:val="en-US"/>
        </w:rPr>
      </w:pPr>
      <w:r w:rsidRPr="00053C90">
        <w:rPr>
          <w:b/>
          <w:szCs w:val="24"/>
          <w:lang w:val="en-US"/>
        </w:rPr>
        <w:t>Accounting Measure 36 months</w:t>
      </w:r>
    </w:p>
    <w:p w:rsidR="006A5B21" w:rsidRPr="00053C90" w:rsidRDefault="006A5B21" w:rsidP="006A5B21">
      <w:pPr>
        <w:rPr>
          <w:lang w:val="en-US"/>
        </w:rPr>
      </w:pPr>
      <w:r w:rsidRPr="00053C90">
        <w:rPr>
          <w:lang w:val="en-US"/>
        </w:rPr>
        <w:object w:dxaOrig="9660" w:dyaOrig="4275">
          <v:shape id="_x0000_i1036" type="#_x0000_t75" style="width:339.75pt;height:150pt" o:ole="">
            <v:imagedata r:id="rId44" o:title=""/>
          </v:shape>
          <o:OLEObject Type="Embed" ProgID="EViews.Workfile.2" ShapeID="_x0000_i1036" DrawAspect="Content" ObjectID="_1502274336" r:id="rId45"/>
        </w:object>
      </w:r>
    </w:p>
    <w:p w:rsidR="006A5B21" w:rsidRPr="00053C90" w:rsidRDefault="006A5B21" w:rsidP="006A5B21">
      <w:pPr>
        <w:rPr>
          <w:lang w:val="en-US"/>
        </w:rPr>
      </w:pPr>
    </w:p>
    <w:p w:rsidR="0009090C" w:rsidRDefault="0009090C" w:rsidP="0009090C">
      <w:pPr>
        <w:pStyle w:val="Heading2"/>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09090C" w:rsidRDefault="0009090C" w:rsidP="0009090C">
      <w:pPr>
        <w:rPr>
          <w:lang w:val="en-US"/>
        </w:rPr>
      </w:pPr>
    </w:p>
    <w:p w:rsidR="00AF1D23" w:rsidRPr="0009090C" w:rsidRDefault="00AF1D23" w:rsidP="0009090C">
      <w:pPr>
        <w:rPr>
          <w:lang w:val="en-US"/>
        </w:rPr>
      </w:pPr>
    </w:p>
    <w:p w:rsidR="003D1E34" w:rsidRPr="003D1E34" w:rsidRDefault="00AF1D23" w:rsidP="0009090C">
      <w:pPr>
        <w:pStyle w:val="Heading2"/>
        <w:rPr>
          <w:b/>
        </w:rPr>
        <w:sectPr w:rsidR="003D1E34" w:rsidRPr="003D1E34" w:rsidSect="00912653">
          <w:footerReference w:type="default" r:id="rId46"/>
          <w:type w:val="continuous"/>
          <w:pgSz w:w="11906" w:h="16838"/>
          <w:pgMar w:top="1417" w:right="1417" w:bottom="1417" w:left="1417" w:header="708" w:footer="708" w:gutter="0"/>
          <w:pgNumType w:chapStyle="1"/>
          <w:cols w:space="708"/>
          <w:titlePg/>
          <w:docGrid w:linePitch="360"/>
        </w:sectPr>
      </w:pPr>
      <w:bookmarkStart w:id="61" w:name="_Toc428399259"/>
      <w:r>
        <w:t>Appendix 2</w:t>
      </w:r>
      <w:r w:rsidR="0009090C" w:rsidRPr="00A652CD">
        <w:t xml:space="preserve"> - </w:t>
      </w:r>
      <w:r w:rsidR="0037630B" w:rsidRPr="00A652CD">
        <w:t>Article</w:t>
      </w:r>
      <w:bookmarkEnd w:id="61"/>
    </w:p>
    <w:p w:rsidR="003D1E34" w:rsidRPr="000703D7" w:rsidRDefault="003D1E34" w:rsidP="003D1E34">
      <w:pPr>
        <w:spacing w:after="0"/>
        <w:rPr>
          <w:rFonts w:ascii="Helvetica" w:hAnsi="Helvetica"/>
          <w:b/>
        </w:rPr>
      </w:pPr>
      <w:r w:rsidRPr="000703D7">
        <w:rPr>
          <w:rFonts w:ascii="Helvetica" w:hAnsi="Helvetica"/>
          <w:b/>
        </w:rPr>
        <w:t>Skepsis mot förvärv och fusioner fortfarande befogat</w:t>
      </w:r>
    </w:p>
    <w:p w:rsidR="003D1E34" w:rsidRPr="000703D7" w:rsidRDefault="003D1E34" w:rsidP="003D1E34">
      <w:pPr>
        <w:rPr>
          <w:rFonts w:ascii="Helvetica" w:hAnsi="Helvetica"/>
          <w:b/>
          <w:sz w:val="20"/>
        </w:rPr>
      </w:pPr>
      <w:r w:rsidRPr="000703D7">
        <w:rPr>
          <w:rFonts w:ascii="Helvetica" w:hAnsi="Helvetica"/>
          <w:b/>
          <w:sz w:val="20"/>
        </w:rPr>
        <w:t>I en studie gjord på Lunds Universitet av Anton Hansson och Theodor Östlund kan det återigen bekräftas att förvärv och fusioner inte skapar värde för aktieägarna. Dessutom påvisas att aktiekursen inte alltid utvecklas på samma sätt som den underliggande verksamheten vilket kan ifrågasätta användandet av aktiekursen som ensidigt mått på förvärv och fusioners prestation.</w:t>
      </w:r>
    </w:p>
    <w:p w:rsidR="003D1E34" w:rsidRPr="000703D7" w:rsidRDefault="003D1E34" w:rsidP="003D1E34">
      <w:pPr>
        <w:rPr>
          <w:rFonts w:ascii="Helvetica" w:hAnsi="Helvetica"/>
          <w:sz w:val="20"/>
        </w:rPr>
      </w:pPr>
      <w:r w:rsidRPr="000703D7">
        <w:rPr>
          <w:rFonts w:ascii="Helvetica" w:hAnsi="Helvetica"/>
          <w:sz w:val="20"/>
        </w:rPr>
        <w:t xml:space="preserve">Studien, som ägde rum under 2015 undersökte företagsförvärv och fusioner på den Svenska, Danska, Norska och Finska marknaden mellan 2004 och 2012. Flera olika aspekter undersöktes. Till att börja med testades aktiekursens och den underliggande verksamhetens långsiktiga prestation efter ett förvärv. Det visade sig, som flera tidigare studier redan påvisat, att ingen onormal avkastning kunde skönjas i något av måtten. Studien testade även om dessa mått utvecklades på samma sätt och om det fanns underliggande variabler som påverkade de olika måtten.  </w:t>
      </w:r>
    </w:p>
    <w:p w:rsidR="003D1E34" w:rsidRPr="000703D7" w:rsidRDefault="003D1E34" w:rsidP="003D1E34">
      <w:pPr>
        <w:rPr>
          <w:rFonts w:ascii="Helvetica" w:hAnsi="Helvetica"/>
          <w:b/>
          <w:sz w:val="20"/>
        </w:rPr>
      </w:pPr>
      <w:r w:rsidRPr="000703D7">
        <w:rPr>
          <w:rFonts w:ascii="Helvetica" w:hAnsi="Helvetica"/>
          <w:b/>
          <w:sz w:val="20"/>
        </w:rPr>
        <w:t>Tvetydiga resultat</w:t>
      </w:r>
    </w:p>
    <w:p w:rsidR="003D1E34" w:rsidRPr="000703D7" w:rsidRDefault="003D1E34" w:rsidP="003D1E34">
      <w:pPr>
        <w:rPr>
          <w:rFonts w:ascii="Helvetica" w:hAnsi="Helvetica"/>
          <w:sz w:val="20"/>
        </w:rPr>
      </w:pPr>
      <w:r w:rsidRPr="000703D7">
        <w:rPr>
          <w:rFonts w:ascii="Helvetica" w:hAnsi="Helvetica"/>
          <w:sz w:val="20"/>
        </w:rPr>
        <w:t>Resultaten huruvida de olika måtten påverkade varandra var tvetydiga. Överlag kom författarna fram till att en positiv aktiekursutveckling inte behövde betyda att den underliggande verksamhetens prestation varit positiv. Detta kan leda till svårigheter att bedöma hur bra ett förvärv presterat.</w:t>
      </w:r>
    </w:p>
    <w:p w:rsidR="003D1E34" w:rsidRPr="000703D7" w:rsidRDefault="003D1E34" w:rsidP="003D1E34">
      <w:pPr>
        <w:rPr>
          <w:rFonts w:ascii="Helvetica" w:hAnsi="Helvetica"/>
          <w:sz w:val="20"/>
        </w:rPr>
      </w:pPr>
      <w:r w:rsidRPr="000703D7">
        <w:rPr>
          <w:rFonts w:ascii="Helvetica" w:hAnsi="Helvetica"/>
          <w:sz w:val="20"/>
        </w:rPr>
        <w:t xml:space="preserve">-Vi ser tendenser till ett ensidigt fokus på aktiepriset i tidigare studier. Genom att belysa ett annat prestationsmått hoppas vi skapa en mer nyanserad bild av hur en transaktion bör utvärderas. Det kan ju exempelvis vara så att företaget går väldigt bra, realiserar synergieffekter och bryter sig in på nya marknader, samtidigt som aktiekursutvecklingen inte vittnar om samma framgång, resonerar Anton och Theodor när jag träffar dem i Ekonomicentrums ljusgård i Lund.  </w:t>
      </w:r>
    </w:p>
    <w:p w:rsidR="003D1E34" w:rsidRPr="000703D7" w:rsidRDefault="003D1E34" w:rsidP="003D1E34">
      <w:pPr>
        <w:rPr>
          <w:rFonts w:ascii="Helvetica" w:hAnsi="Helvetica"/>
          <w:sz w:val="20"/>
        </w:rPr>
      </w:pPr>
      <w:r w:rsidRPr="000703D7">
        <w:rPr>
          <w:rFonts w:ascii="Helvetica" w:hAnsi="Helvetica"/>
          <w:sz w:val="20"/>
        </w:rPr>
        <w:t xml:space="preserve">Av de underliggande variablerna som undersöktes visade det sig sig att den relativa storleken på en transaktion, påverkade aktiekursutvecklingen men inte den underliggande verksamheten. Anledningen till detta tros vara att aktieägarnas förväntningar på framtida prestation ökar om den relativa storleken på en transaktion är stor. Däremot fanns inget stöd för att storleken på uppköparen eller om förvärvet var gränsöverskidande påverkade vare sig den underliggande verksamheten eller aktiekursutvecklingen. </w:t>
      </w:r>
    </w:p>
    <w:p w:rsidR="003D1E34" w:rsidRPr="000703D7" w:rsidRDefault="003D1E34" w:rsidP="003D1E34">
      <w:pPr>
        <w:rPr>
          <w:rFonts w:ascii="Helvetica" w:hAnsi="Helvetica"/>
          <w:sz w:val="20"/>
        </w:rPr>
      </w:pPr>
      <w:r w:rsidRPr="000703D7">
        <w:rPr>
          <w:rFonts w:ascii="Helvetica" w:hAnsi="Helvetica"/>
          <w:sz w:val="20"/>
        </w:rPr>
        <w:t>-En hel del av resultaten kan bero på den informationsasymmetri som finns mellan aktörer i en transaktion. Till exempel tror vi att den ökade globaliseringen har bidragit till att informationsasymmetrin mellan de två företagen i ett gränsöverskridande förvärv har minskat, förklarar Anton.</w:t>
      </w:r>
    </w:p>
    <w:p w:rsidR="003D1E34" w:rsidRPr="000703D7" w:rsidRDefault="003D1E34" w:rsidP="003D1E34">
      <w:pPr>
        <w:rPr>
          <w:rFonts w:ascii="Helvetica" w:hAnsi="Helvetica"/>
          <w:b/>
          <w:sz w:val="20"/>
        </w:rPr>
      </w:pPr>
      <w:r w:rsidRPr="000703D7">
        <w:rPr>
          <w:rFonts w:ascii="Helvetica" w:hAnsi="Helvetica"/>
          <w:b/>
          <w:sz w:val="20"/>
        </w:rPr>
        <w:t>Dunkla motiv till förvärv</w:t>
      </w:r>
    </w:p>
    <w:p w:rsidR="003D1E34" w:rsidRPr="000703D7" w:rsidRDefault="003D1E34" w:rsidP="003D1E34">
      <w:pPr>
        <w:rPr>
          <w:rFonts w:ascii="Helvetica" w:hAnsi="Helvetica"/>
          <w:sz w:val="20"/>
        </w:rPr>
      </w:pPr>
      <w:r w:rsidRPr="000703D7">
        <w:rPr>
          <w:rFonts w:ascii="Helvetica" w:hAnsi="Helvetica"/>
          <w:sz w:val="20"/>
        </w:rPr>
        <w:t xml:space="preserve">Kortsiktighet och självintresse är två faktorer som alla företag bör sträva efter att motverka. Ändå uppdagas tecken på dessa gång på gång bland beslutsfattare, nu senast i Industrivärdensfären. Hansson &amp; Östlunds studie bidrar till debatten kring dessa faktorer genom att, baserat på deras resultat hävda att indikationer på handlingar av självintresse kan påvisas bland beslutsfattare i samband med företagsförvärv. </w:t>
      </w:r>
    </w:p>
    <w:p w:rsidR="003D1E34" w:rsidRPr="000703D7" w:rsidRDefault="003D1E34" w:rsidP="003D1E34">
      <w:pPr>
        <w:rPr>
          <w:rFonts w:ascii="Helvetica" w:hAnsi="Helvetica"/>
          <w:sz w:val="20"/>
        </w:rPr>
      </w:pPr>
      <w:r w:rsidRPr="000703D7">
        <w:rPr>
          <w:rFonts w:ascii="Helvetica" w:hAnsi="Helvetica"/>
          <w:sz w:val="20"/>
        </w:rPr>
        <w:t xml:space="preserve">-Vi hoppas att personer i beslutsfattande positioner tar till sig av våra implikationer och agerar utifrån vad som är bäst för företaget och inte dem personligen i framtiden. Säger Theodor hoppfullt. </w:t>
      </w:r>
    </w:p>
    <w:p w:rsidR="003D1E34" w:rsidRPr="000703D7" w:rsidRDefault="003D1E34" w:rsidP="003D1E34">
      <w:pPr>
        <w:rPr>
          <w:rFonts w:ascii="Helvetica" w:hAnsi="Helvetica"/>
          <w:sz w:val="20"/>
        </w:rPr>
      </w:pPr>
      <w:r w:rsidRPr="000703D7">
        <w:rPr>
          <w:rFonts w:ascii="Helvetica" w:hAnsi="Helvetica"/>
          <w:sz w:val="20"/>
        </w:rPr>
        <w:t xml:space="preserve">Avslutningsvis hoppas författarna att forskningen inte avstannar här utan att man fortsätter att undersöka företagsförvärv och dess implikationer. </w:t>
      </w:r>
    </w:p>
    <w:p w:rsidR="003D1E34" w:rsidRPr="00D018FF" w:rsidRDefault="003D1E34" w:rsidP="003D1E34">
      <w:pPr>
        <w:rPr>
          <w:rFonts w:ascii="Helvetica" w:hAnsi="Helvetica"/>
          <w:b/>
          <w:sz w:val="20"/>
          <w:lang w:val="en-US"/>
        </w:rPr>
      </w:pPr>
      <w:r w:rsidRPr="00D018FF">
        <w:rPr>
          <w:rFonts w:ascii="Helvetica" w:hAnsi="Helvetica"/>
          <w:b/>
          <w:sz w:val="20"/>
          <w:lang w:val="en-US"/>
        </w:rPr>
        <w:t>Carl Sandahl</w:t>
      </w:r>
    </w:p>
    <w:p w:rsidR="003D1E34" w:rsidRPr="00D018FF" w:rsidRDefault="003D1E34" w:rsidP="003D1E34">
      <w:pPr>
        <w:rPr>
          <w:rFonts w:ascii="Helvetica" w:hAnsi="Helvetica"/>
          <w:b/>
          <w:sz w:val="20"/>
          <w:lang w:val="en-US"/>
        </w:rPr>
      </w:pPr>
      <w:r w:rsidRPr="00D018FF">
        <w:rPr>
          <w:rFonts w:ascii="Helvetica" w:hAnsi="Helvetica"/>
          <w:b/>
          <w:sz w:val="20"/>
          <w:lang w:val="en-US"/>
        </w:rPr>
        <w:t>Dagens Industri – 2015.05.18</w:t>
      </w:r>
    </w:p>
    <w:p w:rsidR="003D1E34" w:rsidRDefault="003D1E34" w:rsidP="006A5B21">
      <w:pPr>
        <w:rPr>
          <w:lang w:val="en-US"/>
        </w:rPr>
        <w:sectPr w:rsidR="003D1E34" w:rsidSect="003D1E34">
          <w:type w:val="continuous"/>
          <w:pgSz w:w="11906" w:h="16838"/>
          <w:pgMar w:top="1417" w:right="1417" w:bottom="1417" w:left="1417" w:header="708" w:footer="708" w:gutter="0"/>
          <w:pgNumType w:chapStyle="1"/>
          <w:cols w:num="2" w:space="708"/>
          <w:titlePg/>
          <w:docGrid w:linePitch="360"/>
        </w:sectPr>
      </w:pPr>
    </w:p>
    <w:p w:rsidR="00505307" w:rsidRPr="00053C90" w:rsidRDefault="00505307" w:rsidP="006A5B21">
      <w:pPr>
        <w:rPr>
          <w:lang w:val="en-US"/>
        </w:rPr>
      </w:pPr>
    </w:p>
    <w:p w:rsidR="00AF1D23" w:rsidRDefault="00AF1D23" w:rsidP="0037630B">
      <w:pPr>
        <w:rPr>
          <w:lang w:val="en-US"/>
        </w:rPr>
      </w:pPr>
    </w:p>
    <w:p w:rsidR="00AF1D23" w:rsidRPr="00053C90" w:rsidRDefault="00AF1D23" w:rsidP="00AF1D23">
      <w:pPr>
        <w:pStyle w:val="Heading2"/>
        <w:rPr>
          <w:lang w:val="en-US"/>
        </w:rPr>
      </w:pPr>
      <w:bookmarkStart w:id="62" w:name="_Toc428399260"/>
      <w:r>
        <w:rPr>
          <w:lang w:val="en-US"/>
        </w:rPr>
        <w:t xml:space="preserve">Appendix 3 - </w:t>
      </w:r>
      <w:r w:rsidRPr="00053C90">
        <w:rPr>
          <w:lang w:val="en-US"/>
        </w:rPr>
        <w:t>List of Abbreviations</w:t>
      </w:r>
      <w:bookmarkEnd w:id="62"/>
      <w:r>
        <w:rPr>
          <w:lang w:val="en-US"/>
        </w:rPr>
        <w:t xml:space="preserve"> </w:t>
      </w:r>
    </w:p>
    <w:p w:rsidR="00AF1D23" w:rsidRPr="00053C90" w:rsidRDefault="00AF1D23" w:rsidP="00AF1D23">
      <w:pPr>
        <w:autoSpaceDE w:val="0"/>
        <w:autoSpaceDN w:val="0"/>
        <w:adjustRightInd w:val="0"/>
        <w:spacing w:line="360" w:lineRule="auto"/>
        <w:jc w:val="both"/>
        <w:rPr>
          <w:lang w:val="en-US"/>
        </w:rPr>
      </w:pPr>
      <w:r w:rsidRPr="00053C90">
        <w:rPr>
          <w:lang w:val="en-US"/>
        </w:rPr>
        <w:t xml:space="preserve">BHAR </w:t>
      </w:r>
      <w:r w:rsidRPr="00053C90">
        <w:rPr>
          <w:lang w:val="en-US"/>
        </w:rPr>
        <w:tab/>
        <w:t>– Buy and Hold Abnormal Returns</w:t>
      </w:r>
    </w:p>
    <w:p w:rsidR="00AF1D23" w:rsidRPr="00053C90" w:rsidRDefault="00AF1D23" w:rsidP="00AF1D23">
      <w:pPr>
        <w:autoSpaceDE w:val="0"/>
        <w:autoSpaceDN w:val="0"/>
        <w:adjustRightInd w:val="0"/>
        <w:spacing w:line="360" w:lineRule="auto"/>
        <w:jc w:val="both"/>
        <w:rPr>
          <w:lang w:val="en-US"/>
        </w:rPr>
      </w:pPr>
      <w:r w:rsidRPr="00053C90">
        <w:rPr>
          <w:lang w:val="en-US"/>
        </w:rPr>
        <w:t>CFO</w:t>
      </w:r>
      <w:r w:rsidRPr="00053C90">
        <w:rPr>
          <w:lang w:val="en-US"/>
        </w:rPr>
        <w:tab/>
        <w:t>– Cash flow from operating activities</w:t>
      </w:r>
    </w:p>
    <w:p w:rsidR="00AF1D23" w:rsidRPr="00053C90" w:rsidRDefault="00AF1D23" w:rsidP="00AF1D23">
      <w:pPr>
        <w:autoSpaceDE w:val="0"/>
        <w:autoSpaceDN w:val="0"/>
        <w:adjustRightInd w:val="0"/>
        <w:spacing w:line="360" w:lineRule="auto"/>
        <w:jc w:val="both"/>
        <w:rPr>
          <w:lang w:val="en-US"/>
        </w:rPr>
      </w:pPr>
      <w:r w:rsidRPr="00053C90">
        <w:rPr>
          <w:lang w:val="en-US"/>
        </w:rPr>
        <w:t xml:space="preserve">EMH </w:t>
      </w:r>
      <w:r w:rsidRPr="00053C90">
        <w:rPr>
          <w:lang w:val="en-US"/>
        </w:rPr>
        <w:tab/>
        <w:t>– Efficient Market Hypothesis</w:t>
      </w:r>
    </w:p>
    <w:p w:rsidR="00AF1D23" w:rsidRPr="00053C90" w:rsidRDefault="00AF1D23" w:rsidP="00AF1D23">
      <w:pPr>
        <w:autoSpaceDE w:val="0"/>
        <w:autoSpaceDN w:val="0"/>
        <w:adjustRightInd w:val="0"/>
        <w:spacing w:line="360" w:lineRule="auto"/>
        <w:jc w:val="both"/>
        <w:rPr>
          <w:lang w:val="en-US"/>
        </w:rPr>
      </w:pPr>
      <w:r w:rsidRPr="00053C90">
        <w:rPr>
          <w:lang w:val="en-US"/>
        </w:rPr>
        <w:t xml:space="preserve">M&amp;A </w:t>
      </w:r>
      <w:r w:rsidRPr="00053C90">
        <w:rPr>
          <w:lang w:val="en-US"/>
        </w:rPr>
        <w:tab/>
        <w:t>– Mergers and Acquisitions</w:t>
      </w:r>
    </w:p>
    <w:p w:rsidR="00AF1D23" w:rsidRPr="00053C90" w:rsidRDefault="00AF1D23" w:rsidP="00AF1D23">
      <w:pPr>
        <w:autoSpaceDE w:val="0"/>
        <w:autoSpaceDN w:val="0"/>
        <w:adjustRightInd w:val="0"/>
        <w:spacing w:line="360" w:lineRule="auto"/>
        <w:jc w:val="both"/>
        <w:rPr>
          <w:lang w:val="en-US"/>
        </w:rPr>
      </w:pPr>
      <w:r w:rsidRPr="00053C90">
        <w:rPr>
          <w:lang w:val="en-US"/>
        </w:rPr>
        <w:t xml:space="preserve">ROE </w:t>
      </w:r>
      <w:r w:rsidRPr="00053C90">
        <w:rPr>
          <w:lang w:val="en-US"/>
        </w:rPr>
        <w:tab/>
        <w:t xml:space="preserve">– Return on Equity </w:t>
      </w:r>
    </w:p>
    <w:p w:rsidR="00AF1D23" w:rsidRPr="00053C90" w:rsidRDefault="00AF1D23" w:rsidP="00AF1D23">
      <w:pPr>
        <w:autoSpaceDE w:val="0"/>
        <w:autoSpaceDN w:val="0"/>
        <w:adjustRightInd w:val="0"/>
        <w:spacing w:line="360" w:lineRule="auto"/>
        <w:ind w:left="1308" w:hanging="1308"/>
        <w:jc w:val="both"/>
        <w:rPr>
          <w:lang w:val="en-US"/>
        </w:rPr>
      </w:pPr>
      <w:r w:rsidRPr="00053C90">
        <w:rPr>
          <w:lang w:val="en-US"/>
        </w:rPr>
        <w:t>ROA</w:t>
      </w:r>
      <w:r w:rsidRPr="00053C90">
        <w:rPr>
          <w:lang w:val="en-US"/>
        </w:rPr>
        <w:tab/>
        <w:t>– Adjusted Return on Assets (Cash Flow from operations / market value of assets)</w:t>
      </w:r>
    </w:p>
    <w:p w:rsidR="00AF1D23" w:rsidRPr="00053C90" w:rsidRDefault="00AF1D23" w:rsidP="00AF1D23">
      <w:pPr>
        <w:autoSpaceDE w:val="0"/>
        <w:autoSpaceDN w:val="0"/>
        <w:adjustRightInd w:val="0"/>
        <w:spacing w:line="360" w:lineRule="auto"/>
        <w:jc w:val="both"/>
        <w:rPr>
          <w:lang w:val="en-US"/>
        </w:rPr>
      </w:pPr>
      <w:r w:rsidRPr="00053C90">
        <w:rPr>
          <w:lang w:val="en-US"/>
        </w:rPr>
        <w:t>EBITDA</w:t>
      </w:r>
      <w:r w:rsidRPr="00053C90">
        <w:rPr>
          <w:lang w:val="en-US"/>
        </w:rPr>
        <w:tab/>
        <w:t xml:space="preserve">– Earnings before interest, taxes, depreciation and amortization </w:t>
      </w:r>
    </w:p>
    <w:p w:rsidR="00AF1D23" w:rsidRPr="00053C90" w:rsidRDefault="00AF1D23" w:rsidP="00AF1D23">
      <w:pPr>
        <w:spacing w:line="360" w:lineRule="auto"/>
        <w:rPr>
          <w:lang w:val="en-US"/>
        </w:rPr>
      </w:pPr>
      <w:r w:rsidRPr="00053C90">
        <w:rPr>
          <w:lang w:val="en-US"/>
        </w:rPr>
        <w:t>OLS</w:t>
      </w:r>
      <w:r w:rsidRPr="00053C90">
        <w:rPr>
          <w:lang w:val="en-US"/>
        </w:rPr>
        <w:tab/>
        <w:t>– Ordinary Least Squares</w:t>
      </w:r>
    </w:p>
    <w:p w:rsidR="00AF1D23" w:rsidRPr="00053C90" w:rsidRDefault="00AF1D23" w:rsidP="0037630B">
      <w:pPr>
        <w:rPr>
          <w:lang w:val="en-US"/>
        </w:rPr>
      </w:pPr>
    </w:p>
    <w:sectPr w:rsidR="00AF1D23" w:rsidRPr="00053C90" w:rsidSect="00912653">
      <w:type w:val="continuous"/>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6A" w:rsidRDefault="00A77A6A" w:rsidP="00660018">
      <w:pPr>
        <w:spacing w:after="0" w:line="240" w:lineRule="auto"/>
      </w:pPr>
      <w:r>
        <w:separator/>
      </w:r>
    </w:p>
  </w:endnote>
  <w:endnote w:type="continuationSeparator" w:id="0">
    <w:p w:rsidR="00A77A6A" w:rsidRDefault="00A77A6A" w:rsidP="006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5E" w:rsidRDefault="0017505E">
    <w:pPr>
      <w:pStyle w:val="Footer"/>
      <w:jc w:val="right"/>
    </w:pPr>
    <w:r>
      <w:fldChar w:fldCharType="begin"/>
    </w:r>
    <w:r>
      <w:instrText xml:space="preserve"> PAGE   \* MERGEFORMAT </w:instrText>
    </w:r>
    <w:r>
      <w:fldChar w:fldCharType="separate"/>
    </w:r>
    <w:r w:rsidR="00E85166">
      <w:rPr>
        <w:noProof/>
      </w:rPr>
      <w:t>2</w:t>
    </w:r>
    <w:r>
      <w:rPr>
        <w:noProof/>
      </w:rPr>
      <w:fldChar w:fldCharType="end"/>
    </w:r>
  </w:p>
  <w:p w:rsidR="0017505E" w:rsidRDefault="0017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6A" w:rsidRDefault="00A77A6A" w:rsidP="00660018">
      <w:pPr>
        <w:spacing w:after="0" w:line="240" w:lineRule="auto"/>
      </w:pPr>
      <w:r>
        <w:separator/>
      </w:r>
    </w:p>
  </w:footnote>
  <w:footnote w:type="continuationSeparator" w:id="0">
    <w:p w:rsidR="00A77A6A" w:rsidRDefault="00A77A6A" w:rsidP="00660018">
      <w:pPr>
        <w:spacing w:after="0" w:line="240" w:lineRule="auto"/>
      </w:pPr>
      <w:r>
        <w:continuationSeparator/>
      </w:r>
    </w:p>
  </w:footnote>
  <w:footnote w:id="1">
    <w:p w:rsidR="0017505E" w:rsidRPr="00714021" w:rsidRDefault="0017505E" w:rsidP="001B062E">
      <w:pPr>
        <w:spacing w:line="240" w:lineRule="auto"/>
        <w:rPr>
          <w:i/>
          <w:szCs w:val="24"/>
          <w:highlight w:val="yellow"/>
          <w:lang w:val="en-US"/>
        </w:rPr>
      </w:pPr>
      <w:r>
        <w:rPr>
          <w:rStyle w:val="FootnoteReference"/>
        </w:rPr>
        <w:footnoteRef/>
      </w:r>
      <w:r w:rsidRPr="00714021">
        <w:rPr>
          <w:lang w:val="en-US"/>
        </w:rPr>
        <w:t xml:space="preserve"> </w:t>
      </w:r>
      <w:r w:rsidRPr="003C79FE">
        <w:rPr>
          <w:i/>
          <w:szCs w:val="24"/>
          <w:lang w:val="en-US"/>
        </w:rPr>
        <w:t xml:space="preserve">Tender Offer - </w:t>
      </w:r>
      <w:r w:rsidRPr="003C79FE">
        <w:rPr>
          <w:szCs w:val="24"/>
          <w:lang w:val="en-US"/>
        </w:rPr>
        <w:t>The Securities and exchange commission (SEC) explain a tender offer as an extensive bid from a company or third party to purchase a substantial percentage of a company´s registered equity shares for a limited period of time. The offer is usually only valid for a specific time period and the price offered for the shares are generally at a premium.</w:t>
      </w:r>
    </w:p>
  </w:footnote>
  <w:footnote w:id="2">
    <w:p w:rsidR="0017505E" w:rsidRPr="003D5BF5" w:rsidRDefault="0017505E">
      <w:pPr>
        <w:pStyle w:val="FootnoteText"/>
        <w:rPr>
          <w:lang w:val="en-US"/>
        </w:rPr>
      </w:pPr>
      <w:r w:rsidRPr="008F7B82">
        <w:rPr>
          <w:rStyle w:val="FootnoteReference"/>
        </w:rPr>
        <w:footnoteRef/>
      </w:r>
      <w:r w:rsidRPr="008F7B82">
        <w:rPr>
          <w:lang w:val="en-US"/>
        </w:rPr>
        <w:t xml:space="preserve"> Ordinary least squares is a regression method that is used to test the relationship of two or more variables, Multiple linear regression is an example of this (Brooks,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827"/>
    <w:multiLevelType w:val="multilevel"/>
    <w:tmpl w:val="5BF05EB6"/>
    <w:lvl w:ilvl="0">
      <w:start w:val="1"/>
      <w:numFmt w:val="decimal"/>
      <w:lvlText w:val="%1."/>
      <w:lvlJc w:val="left"/>
      <w:pPr>
        <w:ind w:left="360" w:hanging="360"/>
      </w:pPr>
      <w:rPr>
        <w:rFonts w:hint="default"/>
      </w:rPr>
    </w:lvl>
    <w:lvl w:ilvl="1">
      <w:start w:val="1"/>
      <w:numFmt w:val="decimal"/>
      <w:lvlText w:val="%1.%2."/>
      <w:lvlJc w:val="left"/>
      <w:pPr>
        <w:ind w:left="0" w:firstLine="4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24B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7B08DF"/>
    <w:multiLevelType w:val="multilevel"/>
    <w:tmpl w:val="286E706C"/>
    <w:lvl w:ilvl="0">
      <w:start w:val="3"/>
      <w:numFmt w:val="decimal"/>
      <w:lvlText w:val="%1"/>
      <w:lvlJc w:val="left"/>
      <w:pPr>
        <w:ind w:left="750" w:hanging="750"/>
      </w:pPr>
      <w:rPr>
        <w:rFonts w:hint="default"/>
      </w:rPr>
    </w:lvl>
    <w:lvl w:ilvl="1">
      <w:start w:val="11"/>
      <w:numFmt w:val="decimal"/>
      <w:lvlText w:val="%1.%2"/>
      <w:lvlJc w:val="left"/>
      <w:pPr>
        <w:ind w:left="1337" w:hanging="750"/>
      </w:pPr>
      <w:rPr>
        <w:rFonts w:hint="default"/>
      </w:rPr>
    </w:lvl>
    <w:lvl w:ilvl="2">
      <w:start w:val="2"/>
      <w:numFmt w:val="decimal"/>
      <w:lvlText w:val="%1.%2.%3"/>
      <w:lvlJc w:val="left"/>
      <w:pPr>
        <w:ind w:left="1924" w:hanging="75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 w15:restartNumberingAfterBreak="0">
    <w:nsid w:val="08FC4A8F"/>
    <w:multiLevelType w:val="hybridMultilevel"/>
    <w:tmpl w:val="5E1A6F5E"/>
    <w:lvl w:ilvl="0" w:tplc="524CA91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82299"/>
    <w:multiLevelType w:val="multilevel"/>
    <w:tmpl w:val="4DDA2DC0"/>
    <w:lvl w:ilvl="0">
      <w:start w:val="1"/>
      <w:numFmt w:val="lowerLetter"/>
      <w:lvlText w:val="%1)"/>
      <w:lvlJc w:val="lef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CE2C88"/>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BD2B62"/>
    <w:multiLevelType w:val="hybridMultilevel"/>
    <w:tmpl w:val="2076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F2024"/>
    <w:multiLevelType w:val="hybridMultilevel"/>
    <w:tmpl w:val="3FA2BC42"/>
    <w:lvl w:ilvl="0" w:tplc="6396F8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1DF11DD"/>
    <w:multiLevelType w:val="multilevel"/>
    <w:tmpl w:val="F29627A6"/>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9" w15:restartNumberingAfterBreak="0">
    <w:nsid w:val="224B5EDC"/>
    <w:multiLevelType w:val="multilevel"/>
    <w:tmpl w:val="EC12FD86"/>
    <w:lvl w:ilvl="0">
      <w:start w:val="1"/>
      <w:numFmt w:val="decimal"/>
      <w:lvlText w:val="%1."/>
      <w:lvlJc w:val="left"/>
      <w:pPr>
        <w:ind w:left="720" w:hanging="360"/>
      </w:pPr>
      <w:rPr>
        <w:rFonts w:hint="default"/>
        <w:i/>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1A7352"/>
    <w:multiLevelType w:val="hybridMultilevel"/>
    <w:tmpl w:val="BC70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B69F5"/>
    <w:multiLevelType w:val="multilevel"/>
    <w:tmpl w:val="5BF05EB6"/>
    <w:lvl w:ilvl="0">
      <w:start w:val="1"/>
      <w:numFmt w:val="decimal"/>
      <w:lvlText w:val="%1."/>
      <w:lvlJc w:val="left"/>
      <w:pPr>
        <w:ind w:left="360" w:hanging="360"/>
      </w:pPr>
      <w:rPr>
        <w:rFonts w:hint="default"/>
      </w:rPr>
    </w:lvl>
    <w:lvl w:ilvl="1">
      <w:start w:val="1"/>
      <w:numFmt w:val="decimal"/>
      <w:lvlText w:val="%1.%2."/>
      <w:lvlJc w:val="left"/>
      <w:pPr>
        <w:ind w:left="0" w:firstLine="4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8B08E8"/>
    <w:multiLevelType w:val="multilevel"/>
    <w:tmpl w:val="2DAC79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F26962"/>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1D2967"/>
    <w:multiLevelType w:val="hybridMultilevel"/>
    <w:tmpl w:val="1004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5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1B56CF"/>
    <w:multiLevelType w:val="hybridMultilevel"/>
    <w:tmpl w:val="2DAC8138"/>
    <w:lvl w:ilvl="0" w:tplc="BF64E8E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15C20"/>
    <w:multiLevelType w:val="hybridMultilevel"/>
    <w:tmpl w:val="4F2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67152"/>
    <w:multiLevelType w:val="hybridMultilevel"/>
    <w:tmpl w:val="F7E4AC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A7778F"/>
    <w:multiLevelType w:val="multilevel"/>
    <w:tmpl w:val="0A4C469A"/>
    <w:lvl w:ilvl="0">
      <w:start w:val="1"/>
      <w:numFmt w:val="lowerRoman"/>
      <w:lvlText w:val="%1."/>
      <w:lvlJc w:val="righ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DA29F1"/>
    <w:multiLevelType w:val="hybridMultilevel"/>
    <w:tmpl w:val="3D8A317A"/>
    <w:lvl w:ilvl="0" w:tplc="0409000F">
      <w:start w:val="1"/>
      <w:numFmt w:val="decimal"/>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1" w15:restartNumberingAfterBreak="0">
    <w:nsid w:val="4ECC1CA6"/>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0B4D0B"/>
    <w:multiLevelType w:val="multilevel"/>
    <w:tmpl w:val="5BF05EB6"/>
    <w:lvl w:ilvl="0">
      <w:start w:val="1"/>
      <w:numFmt w:val="decimal"/>
      <w:lvlText w:val="%1."/>
      <w:lvlJc w:val="left"/>
      <w:pPr>
        <w:ind w:left="360" w:hanging="360"/>
      </w:pPr>
      <w:rPr>
        <w:rFonts w:hint="default"/>
      </w:rPr>
    </w:lvl>
    <w:lvl w:ilvl="1">
      <w:start w:val="1"/>
      <w:numFmt w:val="decimal"/>
      <w:lvlText w:val="%1.%2."/>
      <w:lvlJc w:val="left"/>
      <w:pPr>
        <w:ind w:left="0" w:firstLine="4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3DB44EF"/>
    <w:multiLevelType w:val="hybridMultilevel"/>
    <w:tmpl w:val="8562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10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7023C4"/>
    <w:multiLevelType w:val="multilevel"/>
    <w:tmpl w:val="5BF05EB6"/>
    <w:lvl w:ilvl="0">
      <w:start w:val="1"/>
      <w:numFmt w:val="decimal"/>
      <w:lvlText w:val="%1."/>
      <w:lvlJc w:val="left"/>
      <w:pPr>
        <w:ind w:left="360" w:hanging="360"/>
      </w:pPr>
      <w:rPr>
        <w:rFonts w:hint="default"/>
      </w:rPr>
    </w:lvl>
    <w:lvl w:ilvl="1">
      <w:start w:val="1"/>
      <w:numFmt w:val="decimal"/>
      <w:lvlText w:val="%1.%2."/>
      <w:lvlJc w:val="left"/>
      <w:pPr>
        <w:ind w:left="0" w:firstLine="4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030A83"/>
    <w:multiLevelType w:val="multilevel"/>
    <w:tmpl w:val="CD801BA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592DA6"/>
    <w:multiLevelType w:val="multilevel"/>
    <w:tmpl w:val="C7C0A2C6"/>
    <w:lvl w:ilvl="0">
      <w:start w:val="3"/>
      <w:numFmt w:val="decimal"/>
      <w:lvlText w:val="%1"/>
      <w:lvlJc w:val="left"/>
      <w:pPr>
        <w:ind w:left="750" w:hanging="750"/>
      </w:pPr>
      <w:rPr>
        <w:rFonts w:hint="default"/>
      </w:rPr>
    </w:lvl>
    <w:lvl w:ilvl="1">
      <w:start w:val="11"/>
      <w:numFmt w:val="decimal"/>
      <w:lvlText w:val="%1.%2"/>
      <w:lvlJc w:val="left"/>
      <w:pPr>
        <w:ind w:left="962" w:hanging="750"/>
      </w:pPr>
      <w:rPr>
        <w:rFonts w:hint="default"/>
      </w:rPr>
    </w:lvl>
    <w:lvl w:ilvl="2">
      <w:start w:val="2"/>
      <w:numFmt w:val="decimal"/>
      <w:lvlText w:val="%1.%2.%3"/>
      <w:lvlJc w:val="left"/>
      <w:pPr>
        <w:ind w:left="1174" w:hanging="75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8" w15:restartNumberingAfterBreak="0">
    <w:nsid w:val="607A62C4"/>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7627C5"/>
    <w:multiLevelType w:val="multilevel"/>
    <w:tmpl w:val="5BF05EB6"/>
    <w:lvl w:ilvl="0">
      <w:start w:val="1"/>
      <w:numFmt w:val="decimal"/>
      <w:lvlText w:val="%1."/>
      <w:lvlJc w:val="left"/>
      <w:pPr>
        <w:ind w:left="360" w:hanging="360"/>
      </w:pPr>
      <w:rPr>
        <w:rFonts w:hint="default"/>
      </w:rPr>
    </w:lvl>
    <w:lvl w:ilvl="1">
      <w:start w:val="1"/>
      <w:numFmt w:val="decimal"/>
      <w:lvlText w:val="%1.%2."/>
      <w:lvlJc w:val="left"/>
      <w:pPr>
        <w:ind w:left="0" w:firstLine="4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F23641"/>
    <w:multiLevelType w:val="hybridMultilevel"/>
    <w:tmpl w:val="D75697E6"/>
    <w:lvl w:ilvl="0" w:tplc="B286533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55550"/>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AD5891"/>
    <w:multiLevelType w:val="multilevel"/>
    <w:tmpl w:val="0A54B614"/>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9330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9C6506"/>
    <w:multiLevelType w:val="multilevel"/>
    <w:tmpl w:val="DB2006E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341D8"/>
    <w:multiLevelType w:val="multilevel"/>
    <w:tmpl w:val="E2D215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A24285C"/>
    <w:multiLevelType w:val="hybridMultilevel"/>
    <w:tmpl w:val="F5A8E2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454FF0"/>
    <w:multiLevelType w:val="hybridMultilevel"/>
    <w:tmpl w:val="85080D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7E6D90"/>
    <w:multiLevelType w:val="multilevel"/>
    <w:tmpl w:val="2C8C766C"/>
    <w:lvl w:ilvl="0">
      <w:start w:val="1"/>
      <w:numFmt w:val="decimal"/>
      <w:lvlText w:val="%1."/>
      <w:lvlJc w:val="left"/>
      <w:pPr>
        <w:ind w:left="360" w:hanging="360"/>
      </w:pPr>
      <w:rPr>
        <w:rFonts w:hint="default"/>
        <w:b w:val="0"/>
      </w:rPr>
    </w:lvl>
    <w:lvl w:ilvl="1">
      <w:start w:val="1"/>
      <w:numFmt w:val="decimal"/>
      <w:lvlText w:val="%1.%2."/>
      <w:lvlJc w:val="left"/>
      <w:pPr>
        <w:ind w:left="0" w:firstLine="425"/>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8E53F2"/>
    <w:multiLevelType w:val="multilevel"/>
    <w:tmpl w:val="5552971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8A69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54604F"/>
    <w:multiLevelType w:val="hybridMultilevel"/>
    <w:tmpl w:val="F280A2B0"/>
    <w:lvl w:ilvl="0" w:tplc="E5708C9A">
      <w:start w:val="4"/>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38"/>
  </w:num>
  <w:num w:numId="3">
    <w:abstractNumId w:val="15"/>
  </w:num>
  <w:num w:numId="4">
    <w:abstractNumId w:val="39"/>
  </w:num>
  <w:num w:numId="5">
    <w:abstractNumId w:val="34"/>
  </w:num>
  <w:num w:numId="6">
    <w:abstractNumId w:val="26"/>
  </w:num>
  <w:num w:numId="7">
    <w:abstractNumId w:val="32"/>
  </w:num>
  <w:num w:numId="8">
    <w:abstractNumId w:val="7"/>
  </w:num>
  <w:num w:numId="9">
    <w:abstractNumId w:val="37"/>
  </w:num>
  <w:num w:numId="10">
    <w:abstractNumId w:val="10"/>
  </w:num>
  <w:num w:numId="11">
    <w:abstractNumId w:val="17"/>
  </w:num>
  <w:num w:numId="12">
    <w:abstractNumId w:val="9"/>
  </w:num>
  <w:num w:numId="13">
    <w:abstractNumId w:val="18"/>
  </w:num>
  <w:num w:numId="14">
    <w:abstractNumId w:val="13"/>
  </w:num>
  <w:num w:numId="15">
    <w:abstractNumId w:val="35"/>
  </w:num>
  <w:num w:numId="16">
    <w:abstractNumId w:val="16"/>
  </w:num>
  <w:num w:numId="17">
    <w:abstractNumId w:val="28"/>
  </w:num>
  <w:num w:numId="18">
    <w:abstractNumId w:val="5"/>
  </w:num>
  <w:num w:numId="19">
    <w:abstractNumId w:val="41"/>
  </w:num>
  <w:num w:numId="20">
    <w:abstractNumId w:val="4"/>
  </w:num>
  <w:num w:numId="21">
    <w:abstractNumId w:val="23"/>
  </w:num>
  <w:num w:numId="22">
    <w:abstractNumId w:val="20"/>
  </w:num>
  <w:num w:numId="23">
    <w:abstractNumId w:val="31"/>
  </w:num>
  <w:num w:numId="24">
    <w:abstractNumId w:val="21"/>
  </w:num>
  <w:num w:numId="25">
    <w:abstractNumId w:val="19"/>
  </w:num>
  <w:num w:numId="26">
    <w:abstractNumId w:val="33"/>
  </w:num>
  <w:num w:numId="27">
    <w:abstractNumId w:val="40"/>
  </w:num>
  <w:num w:numId="28">
    <w:abstractNumId w:val="6"/>
  </w:num>
  <w:num w:numId="29">
    <w:abstractNumId w:val="24"/>
  </w:num>
  <w:num w:numId="30">
    <w:abstractNumId w:val="25"/>
  </w:num>
  <w:num w:numId="31">
    <w:abstractNumId w:val="0"/>
  </w:num>
  <w:num w:numId="32">
    <w:abstractNumId w:val="30"/>
  </w:num>
  <w:num w:numId="33">
    <w:abstractNumId w:val="22"/>
  </w:num>
  <w:num w:numId="34">
    <w:abstractNumId w:val="27"/>
  </w:num>
  <w:num w:numId="35">
    <w:abstractNumId w:val="2"/>
  </w:num>
  <w:num w:numId="36">
    <w:abstractNumId w:val="8"/>
  </w:num>
  <w:num w:numId="37">
    <w:abstractNumId w:val="1"/>
  </w:num>
  <w:num w:numId="38">
    <w:abstractNumId w:val="14"/>
  </w:num>
  <w:num w:numId="39">
    <w:abstractNumId w:val="29"/>
  </w:num>
  <w:num w:numId="40">
    <w:abstractNumId w:val="11"/>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E3"/>
    <w:rsid w:val="000010FB"/>
    <w:rsid w:val="00007CE1"/>
    <w:rsid w:val="00012533"/>
    <w:rsid w:val="0002738A"/>
    <w:rsid w:val="000277B4"/>
    <w:rsid w:val="000317EF"/>
    <w:rsid w:val="000342D1"/>
    <w:rsid w:val="00037A71"/>
    <w:rsid w:val="00045BC3"/>
    <w:rsid w:val="0004746D"/>
    <w:rsid w:val="00053B12"/>
    <w:rsid w:val="00053C90"/>
    <w:rsid w:val="000573D1"/>
    <w:rsid w:val="0006142B"/>
    <w:rsid w:val="0006370B"/>
    <w:rsid w:val="000703D7"/>
    <w:rsid w:val="00083EF1"/>
    <w:rsid w:val="0009090C"/>
    <w:rsid w:val="0009673F"/>
    <w:rsid w:val="000A1069"/>
    <w:rsid w:val="000A55F9"/>
    <w:rsid w:val="000A5B59"/>
    <w:rsid w:val="000B5712"/>
    <w:rsid w:val="000C2B73"/>
    <w:rsid w:val="000D4519"/>
    <w:rsid w:val="000E3B12"/>
    <w:rsid w:val="000E76B2"/>
    <w:rsid w:val="000F1BC7"/>
    <w:rsid w:val="000F3FE6"/>
    <w:rsid w:val="000F519F"/>
    <w:rsid w:val="00105C9A"/>
    <w:rsid w:val="00110796"/>
    <w:rsid w:val="00115585"/>
    <w:rsid w:val="00130784"/>
    <w:rsid w:val="00131F88"/>
    <w:rsid w:val="001349BA"/>
    <w:rsid w:val="00135E3D"/>
    <w:rsid w:val="0014037C"/>
    <w:rsid w:val="001416DD"/>
    <w:rsid w:val="00142231"/>
    <w:rsid w:val="00143AA4"/>
    <w:rsid w:val="001452C7"/>
    <w:rsid w:val="00150E81"/>
    <w:rsid w:val="00154B8D"/>
    <w:rsid w:val="00154C79"/>
    <w:rsid w:val="00156FBE"/>
    <w:rsid w:val="00157B54"/>
    <w:rsid w:val="00160D7B"/>
    <w:rsid w:val="0016160A"/>
    <w:rsid w:val="00166D2C"/>
    <w:rsid w:val="0017162E"/>
    <w:rsid w:val="0017317A"/>
    <w:rsid w:val="00174D5E"/>
    <w:rsid w:val="0017505E"/>
    <w:rsid w:val="00181CF6"/>
    <w:rsid w:val="00183419"/>
    <w:rsid w:val="001841A0"/>
    <w:rsid w:val="00184D58"/>
    <w:rsid w:val="00185A63"/>
    <w:rsid w:val="00191C3E"/>
    <w:rsid w:val="001923B9"/>
    <w:rsid w:val="00193657"/>
    <w:rsid w:val="001964CC"/>
    <w:rsid w:val="001966F4"/>
    <w:rsid w:val="001971E0"/>
    <w:rsid w:val="001A5349"/>
    <w:rsid w:val="001B062E"/>
    <w:rsid w:val="001C6B3F"/>
    <w:rsid w:val="001C74F4"/>
    <w:rsid w:val="001D2E90"/>
    <w:rsid w:val="001E00E6"/>
    <w:rsid w:val="001E3820"/>
    <w:rsid w:val="001E40C8"/>
    <w:rsid w:val="001E513D"/>
    <w:rsid w:val="001E7BB5"/>
    <w:rsid w:val="001F215F"/>
    <w:rsid w:val="001F4829"/>
    <w:rsid w:val="0021036A"/>
    <w:rsid w:val="002111A8"/>
    <w:rsid w:val="00215DD0"/>
    <w:rsid w:val="0023269E"/>
    <w:rsid w:val="00240CF5"/>
    <w:rsid w:val="0024745E"/>
    <w:rsid w:val="00247689"/>
    <w:rsid w:val="00247A16"/>
    <w:rsid w:val="002532E5"/>
    <w:rsid w:val="002607B4"/>
    <w:rsid w:val="00262B0A"/>
    <w:rsid w:val="00264FE1"/>
    <w:rsid w:val="0026780C"/>
    <w:rsid w:val="00283874"/>
    <w:rsid w:val="00286008"/>
    <w:rsid w:val="00293A80"/>
    <w:rsid w:val="002A2F38"/>
    <w:rsid w:val="002B3029"/>
    <w:rsid w:val="002C3EB5"/>
    <w:rsid w:val="002C555C"/>
    <w:rsid w:val="002C6805"/>
    <w:rsid w:val="002D01EB"/>
    <w:rsid w:val="002D44B0"/>
    <w:rsid w:val="002D7370"/>
    <w:rsid w:val="002E020F"/>
    <w:rsid w:val="002E25BA"/>
    <w:rsid w:val="002E3E9D"/>
    <w:rsid w:val="002E6A2E"/>
    <w:rsid w:val="002E773E"/>
    <w:rsid w:val="002F267A"/>
    <w:rsid w:val="002F35BE"/>
    <w:rsid w:val="003004C6"/>
    <w:rsid w:val="003061FF"/>
    <w:rsid w:val="0031021E"/>
    <w:rsid w:val="003106B8"/>
    <w:rsid w:val="003172D9"/>
    <w:rsid w:val="00325101"/>
    <w:rsid w:val="00330A73"/>
    <w:rsid w:val="00330BF7"/>
    <w:rsid w:val="00332F5B"/>
    <w:rsid w:val="0034016F"/>
    <w:rsid w:val="0034126A"/>
    <w:rsid w:val="0034180C"/>
    <w:rsid w:val="00356D06"/>
    <w:rsid w:val="00360D2C"/>
    <w:rsid w:val="0037630B"/>
    <w:rsid w:val="0037771D"/>
    <w:rsid w:val="0038404B"/>
    <w:rsid w:val="00385BF9"/>
    <w:rsid w:val="00391802"/>
    <w:rsid w:val="00391F99"/>
    <w:rsid w:val="0039333F"/>
    <w:rsid w:val="003A1337"/>
    <w:rsid w:val="003A16BA"/>
    <w:rsid w:val="003A1A17"/>
    <w:rsid w:val="003A1E6D"/>
    <w:rsid w:val="003B3E50"/>
    <w:rsid w:val="003C1369"/>
    <w:rsid w:val="003C300D"/>
    <w:rsid w:val="003C79FE"/>
    <w:rsid w:val="003D1710"/>
    <w:rsid w:val="003D177C"/>
    <w:rsid w:val="003D1E34"/>
    <w:rsid w:val="003D5BF5"/>
    <w:rsid w:val="003D6966"/>
    <w:rsid w:val="003D7737"/>
    <w:rsid w:val="003E49AF"/>
    <w:rsid w:val="003F25C9"/>
    <w:rsid w:val="00402C95"/>
    <w:rsid w:val="00404CD4"/>
    <w:rsid w:val="004159FB"/>
    <w:rsid w:val="004224B9"/>
    <w:rsid w:val="00424E54"/>
    <w:rsid w:val="004278F5"/>
    <w:rsid w:val="00435CFE"/>
    <w:rsid w:val="004372ED"/>
    <w:rsid w:val="004417BA"/>
    <w:rsid w:val="00447520"/>
    <w:rsid w:val="004571DF"/>
    <w:rsid w:val="00461576"/>
    <w:rsid w:val="004706A5"/>
    <w:rsid w:val="0047135E"/>
    <w:rsid w:val="00473B94"/>
    <w:rsid w:val="004772B8"/>
    <w:rsid w:val="0048023B"/>
    <w:rsid w:val="00484862"/>
    <w:rsid w:val="00485BA4"/>
    <w:rsid w:val="004874DF"/>
    <w:rsid w:val="004912E4"/>
    <w:rsid w:val="0049539F"/>
    <w:rsid w:val="004A00FC"/>
    <w:rsid w:val="004A3CF1"/>
    <w:rsid w:val="004A5F44"/>
    <w:rsid w:val="004A716B"/>
    <w:rsid w:val="004B0E00"/>
    <w:rsid w:val="004B6C35"/>
    <w:rsid w:val="004C3FC6"/>
    <w:rsid w:val="004C7F16"/>
    <w:rsid w:val="004D3737"/>
    <w:rsid w:val="004D46A5"/>
    <w:rsid w:val="004D4D19"/>
    <w:rsid w:val="004E0ED8"/>
    <w:rsid w:val="004E0F2C"/>
    <w:rsid w:val="004E68B1"/>
    <w:rsid w:val="004F0A6B"/>
    <w:rsid w:val="004F2299"/>
    <w:rsid w:val="00500CE0"/>
    <w:rsid w:val="00501191"/>
    <w:rsid w:val="00505307"/>
    <w:rsid w:val="00506024"/>
    <w:rsid w:val="005079D3"/>
    <w:rsid w:val="0052197F"/>
    <w:rsid w:val="005323B5"/>
    <w:rsid w:val="00533E65"/>
    <w:rsid w:val="00540E2B"/>
    <w:rsid w:val="00546E60"/>
    <w:rsid w:val="005501F6"/>
    <w:rsid w:val="00553B00"/>
    <w:rsid w:val="005552DE"/>
    <w:rsid w:val="00557B2D"/>
    <w:rsid w:val="0058530F"/>
    <w:rsid w:val="0059341F"/>
    <w:rsid w:val="00597ECD"/>
    <w:rsid w:val="005A0A58"/>
    <w:rsid w:val="005A3F8C"/>
    <w:rsid w:val="005A3F9A"/>
    <w:rsid w:val="005A5109"/>
    <w:rsid w:val="005A72D5"/>
    <w:rsid w:val="005B7776"/>
    <w:rsid w:val="005C0601"/>
    <w:rsid w:val="005C0F9C"/>
    <w:rsid w:val="005C5984"/>
    <w:rsid w:val="005C6A62"/>
    <w:rsid w:val="005D6165"/>
    <w:rsid w:val="005D726E"/>
    <w:rsid w:val="005E0051"/>
    <w:rsid w:val="005E0828"/>
    <w:rsid w:val="005E38E8"/>
    <w:rsid w:val="005F181C"/>
    <w:rsid w:val="005F1E40"/>
    <w:rsid w:val="005F2220"/>
    <w:rsid w:val="005F4003"/>
    <w:rsid w:val="005F50C7"/>
    <w:rsid w:val="0061436C"/>
    <w:rsid w:val="00614534"/>
    <w:rsid w:val="00616606"/>
    <w:rsid w:val="0062387A"/>
    <w:rsid w:val="00631283"/>
    <w:rsid w:val="00637306"/>
    <w:rsid w:val="00651736"/>
    <w:rsid w:val="00654B8F"/>
    <w:rsid w:val="00654F69"/>
    <w:rsid w:val="00656306"/>
    <w:rsid w:val="00660018"/>
    <w:rsid w:val="0066179A"/>
    <w:rsid w:val="00662896"/>
    <w:rsid w:val="00674DE7"/>
    <w:rsid w:val="00675C12"/>
    <w:rsid w:val="0067676B"/>
    <w:rsid w:val="006807B5"/>
    <w:rsid w:val="00681107"/>
    <w:rsid w:val="00682D46"/>
    <w:rsid w:val="006911DC"/>
    <w:rsid w:val="00692D88"/>
    <w:rsid w:val="00694DFF"/>
    <w:rsid w:val="00696319"/>
    <w:rsid w:val="00696FEA"/>
    <w:rsid w:val="006A216B"/>
    <w:rsid w:val="006A5B21"/>
    <w:rsid w:val="006A793D"/>
    <w:rsid w:val="006B2C45"/>
    <w:rsid w:val="006C1E8F"/>
    <w:rsid w:val="006C474A"/>
    <w:rsid w:val="006C53A7"/>
    <w:rsid w:val="006C56A7"/>
    <w:rsid w:val="006E0A7B"/>
    <w:rsid w:val="006F5863"/>
    <w:rsid w:val="007009DD"/>
    <w:rsid w:val="007015B7"/>
    <w:rsid w:val="007044A9"/>
    <w:rsid w:val="007119AB"/>
    <w:rsid w:val="00714021"/>
    <w:rsid w:val="00731050"/>
    <w:rsid w:val="007338D5"/>
    <w:rsid w:val="00735588"/>
    <w:rsid w:val="00742128"/>
    <w:rsid w:val="00756B1A"/>
    <w:rsid w:val="00757135"/>
    <w:rsid w:val="007958D1"/>
    <w:rsid w:val="007963B0"/>
    <w:rsid w:val="007A09BD"/>
    <w:rsid w:val="007A7F16"/>
    <w:rsid w:val="007B7925"/>
    <w:rsid w:val="007C19A7"/>
    <w:rsid w:val="007C4DE4"/>
    <w:rsid w:val="007D122C"/>
    <w:rsid w:val="007E4847"/>
    <w:rsid w:val="007F5558"/>
    <w:rsid w:val="008029E9"/>
    <w:rsid w:val="008030A8"/>
    <w:rsid w:val="00804C88"/>
    <w:rsid w:val="008067D7"/>
    <w:rsid w:val="00816072"/>
    <w:rsid w:val="0081799B"/>
    <w:rsid w:val="00820DA4"/>
    <w:rsid w:val="008247AC"/>
    <w:rsid w:val="008256D9"/>
    <w:rsid w:val="00846CDC"/>
    <w:rsid w:val="00852D56"/>
    <w:rsid w:val="008557D8"/>
    <w:rsid w:val="00860D1C"/>
    <w:rsid w:val="008739FC"/>
    <w:rsid w:val="0087408C"/>
    <w:rsid w:val="008823B8"/>
    <w:rsid w:val="0089101E"/>
    <w:rsid w:val="00892780"/>
    <w:rsid w:val="00896F2F"/>
    <w:rsid w:val="008A19A6"/>
    <w:rsid w:val="008C1251"/>
    <w:rsid w:val="008C41CB"/>
    <w:rsid w:val="008D184B"/>
    <w:rsid w:val="008D2094"/>
    <w:rsid w:val="008E127F"/>
    <w:rsid w:val="008E2CAA"/>
    <w:rsid w:val="008E468F"/>
    <w:rsid w:val="008E7435"/>
    <w:rsid w:val="008E7F54"/>
    <w:rsid w:val="008F43B4"/>
    <w:rsid w:val="008F5657"/>
    <w:rsid w:val="008F621E"/>
    <w:rsid w:val="008F7B82"/>
    <w:rsid w:val="00902558"/>
    <w:rsid w:val="00903CD6"/>
    <w:rsid w:val="00903F19"/>
    <w:rsid w:val="00910076"/>
    <w:rsid w:val="00912653"/>
    <w:rsid w:val="00924DFF"/>
    <w:rsid w:val="0092602D"/>
    <w:rsid w:val="00926F14"/>
    <w:rsid w:val="0093088B"/>
    <w:rsid w:val="00931C12"/>
    <w:rsid w:val="00937391"/>
    <w:rsid w:val="00937744"/>
    <w:rsid w:val="00937D1D"/>
    <w:rsid w:val="009422C1"/>
    <w:rsid w:val="00946504"/>
    <w:rsid w:val="009508CC"/>
    <w:rsid w:val="00954617"/>
    <w:rsid w:val="009561CD"/>
    <w:rsid w:val="00957566"/>
    <w:rsid w:val="00957E49"/>
    <w:rsid w:val="00967292"/>
    <w:rsid w:val="009769F4"/>
    <w:rsid w:val="00983C72"/>
    <w:rsid w:val="0099203D"/>
    <w:rsid w:val="00997AA4"/>
    <w:rsid w:val="009C469B"/>
    <w:rsid w:val="009C4E1C"/>
    <w:rsid w:val="009C7C77"/>
    <w:rsid w:val="009D5E97"/>
    <w:rsid w:val="009E411E"/>
    <w:rsid w:val="009E6838"/>
    <w:rsid w:val="009E7BC3"/>
    <w:rsid w:val="009F3FBF"/>
    <w:rsid w:val="009F597D"/>
    <w:rsid w:val="009F601B"/>
    <w:rsid w:val="009F7B44"/>
    <w:rsid w:val="00A01255"/>
    <w:rsid w:val="00A01BFC"/>
    <w:rsid w:val="00A04800"/>
    <w:rsid w:val="00A12711"/>
    <w:rsid w:val="00A14071"/>
    <w:rsid w:val="00A17252"/>
    <w:rsid w:val="00A175FC"/>
    <w:rsid w:val="00A22E09"/>
    <w:rsid w:val="00A23CD5"/>
    <w:rsid w:val="00A3062F"/>
    <w:rsid w:val="00A376A2"/>
    <w:rsid w:val="00A41CA0"/>
    <w:rsid w:val="00A44750"/>
    <w:rsid w:val="00A45F0B"/>
    <w:rsid w:val="00A50BC4"/>
    <w:rsid w:val="00A50D3F"/>
    <w:rsid w:val="00A56C9C"/>
    <w:rsid w:val="00A652CD"/>
    <w:rsid w:val="00A65962"/>
    <w:rsid w:val="00A67364"/>
    <w:rsid w:val="00A67EFD"/>
    <w:rsid w:val="00A710F1"/>
    <w:rsid w:val="00A72C10"/>
    <w:rsid w:val="00A74F12"/>
    <w:rsid w:val="00A77A6A"/>
    <w:rsid w:val="00A81F03"/>
    <w:rsid w:val="00A86271"/>
    <w:rsid w:val="00A9436F"/>
    <w:rsid w:val="00AA1ABB"/>
    <w:rsid w:val="00AB015D"/>
    <w:rsid w:val="00AB0CAF"/>
    <w:rsid w:val="00AB41B5"/>
    <w:rsid w:val="00AC4205"/>
    <w:rsid w:val="00AD22EE"/>
    <w:rsid w:val="00AD5E9B"/>
    <w:rsid w:val="00AE2427"/>
    <w:rsid w:val="00AE7C57"/>
    <w:rsid w:val="00AF176E"/>
    <w:rsid w:val="00AF1D23"/>
    <w:rsid w:val="00B00718"/>
    <w:rsid w:val="00B019EB"/>
    <w:rsid w:val="00B02196"/>
    <w:rsid w:val="00B03F0A"/>
    <w:rsid w:val="00B065F2"/>
    <w:rsid w:val="00B068F5"/>
    <w:rsid w:val="00B06DE0"/>
    <w:rsid w:val="00B07156"/>
    <w:rsid w:val="00B12B10"/>
    <w:rsid w:val="00B208B1"/>
    <w:rsid w:val="00B2143B"/>
    <w:rsid w:val="00B214BD"/>
    <w:rsid w:val="00B21734"/>
    <w:rsid w:val="00B21C57"/>
    <w:rsid w:val="00B21E6D"/>
    <w:rsid w:val="00B33005"/>
    <w:rsid w:val="00B42A51"/>
    <w:rsid w:val="00B53599"/>
    <w:rsid w:val="00B57F3C"/>
    <w:rsid w:val="00B606AD"/>
    <w:rsid w:val="00B610F9"/>
    <w:rsid w:val="00B61D7D"/>
    <w:rsid w:val="00B770CA"/>
    <w:rsid w:val="00B804F6"/>
    <w:rsid w:val="00B82CFC"/>
    <w:rsid w:val="00B83DA4"/>
    <w:rsid w:val="00B85C05"/>
    <w:rsid w:val="00B93230"/>
    <w:rsid w:val="00B94FE3"/>
    <w:rsid w:val="00B95422"/>
    <w:rsid w:val="00B95B97"/>
    <w:rsid w:val="00BA2F03"/>
    <w:rsid w:val="00BC350B"/>
    <w:rsid w:val="00BC79D4"/>
    <w:rsid w:val="00BD145D"/>
    <w:rsid w:val="00BD7B5D"/>
    <w:rsid w:val="00BE0D27"/>
    <w:rsid w:val="00BF4766"/>
    <w:rsid w:val="00BF6069"/>
    <w:rsid w:val="00BF6F1E"/>
    <w:rsid w:val="00C02377"/>
    <w:rsid w:val="00C11522"/>
    <w:rsid w:val="00C1565B"/>
    <w:rsid w:val="00C16618"/>
    <w:rsid w:val="00C205AC"/>
    <w:rsid w:val="00C21CE2"/>
    <w:rsid w:val="00C24CF0"/>
    <w:rsid w:val="00C27886"/>
    <w:rsid w:val="00C31DE5"/>
    <w:rsid w:val="00C3585F"/>
    <w:rsid w:val="00C373B3"/>
    <w:rsid w:val="00C406A0"/>
    <w:rsid w:val="00C45765"/>
    <w:rsid w:val="00C54B4E"/>
    <w:rsid w:val="00C6574F"/>
    <w:rsid w:val="00C74A80"/>
    <w:rsid w:val="00C77EC8"/>
    <w:rsid w:val="00C81CE8"/>
    <w:rsid w:val="00C84558"/>
    <w:rsid w:val="00C86D92"/>
    <w:rsid w:val="00CA1F39"/>
    <w:rsid w:val="00CB1AF4"/>
    <w:rsid w:val="00CB395A"/>
    <w:rsid w:val="00CC2C47"/>
    <w:rsid w:val="00CC6550"/>
    <w:rsid w:val="00CC7A67"/>
    <w:rsid w:val="00CE04DE"/>
    <w:rsid w:val="00CE1681"/>
    <w:rsid w:val="00CE2B17"/>
    <w:rsid w:val="00CE30BA"/>
    <w:rsid w:val="00CE5440"/>
    <w:rsid w:val="00CE6A19"/>
    <w:rsid w:val="00CF08F1"/>
    <w:rsid w:val="00D018FF"/>
    <w:rsid w:val="00D0562B"/>
    <w:rsid w:val="00D07F23"/>
    <w:rsid w:val="00D13EE4"/>
    <w:rsid w:val="00D14BAB"/>
    <w:rsid w:val="00D1558D"/>
    <w:rsid w:val="00D15F88"/>
    <w:rsid w:val="00D20CDB"/>
    <w:rsid w:val="00D23124"/>
    <w:rsid w:val="00D24EF5"/>
    <w:rsid w:val="00D31301"/>
    <w:rsid w:val="00D3511E"/>
    <w:rsid w:val="00D364AD"/>
    <w:rsid w:val="00D4454A"/>
    <w:rsid w:val="00D50764"/>
    <w:rsid w:val="00D55E87"/>
    <w:rsid w:val="00D57B68"/>
    <w:rsid w:val="00D63D9A"/>
    <w:rsid w:val="00D70332"/>
    <w:rsid w:val="00D72E86"/>
    <w:rsid w:val="00D74ECC"/>
    <w:rsid w:val="00D75E89"/>
    <w:rsid w:val="00D76913"/>
    <w:rsid w:val="00D8452E"/>
    <w:rsid w:val="00D87A26"/>
    <w:rsid w:val="00DA066C"/>
    <w:rsid w:val="00DA7E0D"/>
    <w:rsid w:val="00DB23D7"/>
    <w:rsid w:val="00DC1023"/>
    <w:rsid w:val="00DC3C8A"/>
    <w:rsid w:val="00DC7517"/>
    <w:rsid w:val="00DD1A52"/>
    <w:rsid w:val="00DD2DE2"/>
    <w:rsid w:val="00DD458C"/>
    <w:rsid w:val="00DD6FFD"/>
    <w:rsid w:val="00DE3C80"/>
    <w:rsid w:val="00DE41C1"/>
    <w:rsid w:val="00DE680B"/>
    <w:rsid w:val="00DF08AF"/>
    <w:rsid w:val="00DF242B"/>
    <w:rsid w:val="00DF3C7A"/>
    <w:rsid w:val="00E12437"/>
    <w:rsid w:val="00E124CB"/>
    <w:rsid w:val="00E13749"/>
    <w:rsid w:val="00E138C2"/>
    <w:rsid w:val="00E15EF4"/>
    <w:rsid w:val="00E26E94"/>
    <w:rsid w:val="00E32F38"/>
    <w:rsid w:val="00E33CDC"/>
    <w:rsid w:val="00E35CC5"/>
    <w:rsid w:val="00E43341"/>
    <w:rsid w:val="00E45503"/>
    <w:rsid w:val="00E50091"/>
    <w:rsid w:val="00E5480E"/>
    <w:rsid w:val="00E55EE3"/>
    <w:rsid w:val="00E60236"/>
    <w:rsid w:val="00E72685"/>
    <w:rsid w:val="00E73E66"/>
    <w:rsid w:val="00E75091"/>
    <w:rsid w:val="00E85166"/>
    <w:rsid w:val="00E93B75"/>
    <w:rsid w:val="00E96739"/>
    <w:rsid w:val="00E96BA3"/>
    <w:rsid w:val="00EB2546"/>
    <w:rsid w:val="00EB2FFA"/>
    <w:rsid w:val="00EB7EEE"/>
    <w:rsid w:val="00EC4CFB"/>
    <w:rsid w:val="00EC5158"/>
    <w:rsid w:val="00ED05BE"/>
    <w:rsid w:val="00ED56C2"/>
    <w:rsid w:val="00EE2191"/>
    <w:rsid w:val="00EF1B19"/>
    <w:rsid w:val="00EF511B"/>
    <w:rsid w:val="00F0273C"/>
    <w:rsid w:val="00F05498"/>
    <w:rsid w:val="00F137A4"/>
    <w:rsid w:val="00F13867"/>
    <w:rsid w:val="00F2017C"/>
    <w:rsid w:val="00F218B8"/>
    <w:rsid w:val="00F3111B"/>
    <w:rsid w:val="00F3400B"/>
    <w:rsid w:val="00F37FB7"/>
    <w:rsid w:val="00F436F5"/>
    <w:rsid w:val="00F468E1"/>
    <w:rsid w:val="00F50234"/>
    <w:rsid w:val="00F5028F"/>
    <w:rsid w:val="00F5313C"/>
    <w:rsid w:val="00F6434A"/>
    <w:rsid w:val="00F703B0"/>
    <w:rsid w:val="00F762C7"/>
    <w:rsid w:val="00F77E2E"/>
    <w:rsid w:val="00F831DE"/>
    <w:rsid w:val="00F83EC6"/>
    <w:rsid w:val="00F85441"/>
    <w:rsid w:val="00F9022F"/>
    <w:rsid w:val="00F93ED5"/>
    <w:rsid w:val="00FA4894"/>
    <w:rsid w:val="00FA5DCE"/>
    <w:rsid w:val="00FA77EB"/>
    <w:rsid w:val="00FB0863"/>
    <w:rsid w:val="00FC154F"/>
    <w:rsid w:val="00FC276B"/>
    <w:rsid w:val="00FC7511"/>
    <w:rsid w:val="00FC7DEA"/>
    <w:rsid w:val="00FE063F"/>
    <w:rsid w:val="00FE3729"/>
    <w:rsid w:val="00FE382D"/>
    <w:rsid w:val="00FE502E"/>
    <w:rsid w:val="00FE6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620FA5-F829-4F6A-B086-1E5F346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34"/>
    <w:pPr>
      <w:spacing w:after="160" w:line="259"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D0562B"/>
    <w:pPr>
      <w:keepNext/>
      <w:keepLines/>
      <w:pageBreakBefore/>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16606"/>
    <w:pPr>
      <w:keepNext/>
      <w:keepLines/>
      <w:spacing w:before="40" w:after="120"/>
      <w:outlineLvl w:val="1"/>
    </w:pPr>
    <w:rPr>
      <w:rFonts w:eastAsia="Times New Roman"/>
      <w:color w:val="2E74B5"/>
      <w:sz w:val="28"/>
      <w:szCs w:val="26"/>
    </w:rPr>
  </w:style>
  <w:style w:type="paragraph" w:styleId="Heading3">
    <w:name w:val="heading 3"/>
    <w:basedOn w:val="Normal"/>
    <w:next w:val="Normal"/>
    <w:link w:val="Heading3Char"/>
    <w:uiPriority w:val="9"/>
    <w:unhideWhenUsed/>
    <w:qFormat/>
    <w:rsid w:val="00616606"/>
    <w:pPr>
      <w:keepNext/>
      <w:keepLines/>
      <w:spacing w:before="40" w:after="120"/>
      <w:outlineLvl w:val="2"/>
    </w:pPr>
    <w:rPr>
      <w:rFonts w:eastAsia="Times New Roman"/>
      <w:color w:val="1F4D78"/>
      <w:szCs w:val="24"/>
    </w:rPr>
  </w:style>
  <w:style w:type="paragraph" w:styleId="Heading4">
    <w:name w:val="heading 4"/>
    <w:basedOn w:val="Normal"/>
    <w:next w:val="Normal"/>
    <w:link w:val="Heading4Char"/>
    <w:uiPriority w:val="9"/>
    <w:unhideWhenUsed/>
    <w:qFormat/>
    <w:rsid w:val="000010FB"/>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2B"/>
    <w:rPr>
      <w:rFonts w:ascii="Calibri Light" w:eastAsia="Times New Roman" w:hAnsi="Calibri Light" w:cs="Times New Roman"/>
      <w:color w:val="2E74B5"/>
      <w:sz w:val="32"/>
      <w:szCs w:val="32"/>
    </w:rPr>
  </w:style>
  <w:style w:type="paragraph" w:customStyle="1" w:styleId="TimesNewRoman">
    <w:name w:val="Times New Roman"/>
    <w:aliases w:val="12,1.5p"/>
    <w:basedOn w:val="Normal"/>
    <w:link w:val="TimesNewRomanChar"/>
    <w:qFormat/>
    <w:rsid w:val="00B94FE3"/>
    <w:pPr>
      <w:spacing w:after="200" w:line="360" w:lineRule="auto"/>
    </w:pPr>
    <w:rPr>
      <w:bCs/>
      <w:szCs w:val="24"/>
    </w:rPr>
  </w:style>
  <w:style w:type="character" w:customStyle="1" w:styleId="TimesNewRomanChar">
    <w:name w:val="Times New Roman Char"/>
    <w:aliases w:val="12 Char,1.5p Char"/>
    <w:link w:val="TimesNewRoman"/>
    <w:rsid w:val="00B94FE3"/>
    <w:rPr>
      <w:rFonts w:ascii="Times New Roman" w:hAnsi="Times New Roman" w:cs="Times New Roman"/>
      <w:bCs/>
      <w:sz w:val="24"/>
      <w:szCs w:val="24"/>
    </w:rPr>
  </w:style>
  <w:style w:type="character" w:customStyle="1" w:styleId="Heading2Char">
    <w:name w:val="Heading 2 Char"/>
    <w:link w:val="Heading2"/>
    <w:uiPriority w:val="9"/>
    <w:rsid w:val="00616606"/>
    <w:rPr>
      <w:rFonts w:ascii="Times New Roman" w:eastAsia="Times New Roman" w:hAnsi="Times New Roman"/>
      <w:color w:val="2E74B5"/>
      <w:sz w:val="28"/>
      <w:szCs w:val="26"/>
      <w:lang w:val="sv-SE"/>
    </w:rPr>
  </w:style>
  <w:style w:type="character" w:customStyle="1" w:styleId="Heading3Char">
    <w:name w:val="Heading 3 Char"/>
    <w:link w:val="Heading3"/>
    <w:uiPriority w:val="9"/>
    <w:rsid w:val="00616606"/>
    <w:rPr>
      <w:rFonts w:ascii="Times New Roman" w:eastAsia="Times New Roman" w:hAnsi="Times New Roman"/>
      <w:color w:val="1F4D78"/>
      <w:sz w:val="24"/>
      <w:szCs w:val="24"/>
      <w:lang w:val="sv-SE"/>
    </w:rPr>
  </w:style>
  <w:style w:type="paragraph" w:styleId="ListParagraph">
    <w:name w:val="List Paragraph"/>
    <w:basedOn w:val="Normal"/>
    <w:uiPriority w:val="34"/>
    <w:qFormat/>
    <w:rsid w:val="00BF6F1E"/>
    <w:pPr>
      <w:ind w:left="720"/>
      <w:contextualSpacing/>
    </w:pPr>
  </w:style>
  <w:style w:type="paragraph" w:styleId="NoSpacing">
    <w:name w:val="No Spacing"/>
    <w:uiPriority w:val="1"/>
    <w:qFormat/>
    <w:rsid w:val="00EF511B"/>
    <w:rPr>
      <w:sz w:val="22"/>
      <w:szCs w:val="22"/>
      <w:lang w:eastAsia="en-US"/>
    </w:rPr>
  </w:style>
  <w:style w:type="character" w:styleId="CommentReference">
    <w:name w:val="annotation reference"/>
    <w:uiPriority w:val="99"/>
    <w:semiHidden/>
    <w:unhideWhenUsed/>
    <w:rsid w:val="00A81F03"/>
    <w:rPr>
      <w:sz w:val="16"/>
      <w:szCs w:val="16"/>
    </w:rPr>
  </w:style>
  <w:style w:type="paragraph" w:styleId="CommentText">
    <w:name w:val="annotation text"/>
    <w:basedOn w:val="Normal"/>
    <w:link w:val="CommentTextChar"/>
    <w:uiPriority w:val="99"/>
    <w:semiHidden/>
    <w:unhideWhenUsed/>
    <w:rsid w:val="00A81F03"/>
    <w:pPr>
      <w:spacing w:line="240" w:lineRule="auto"/>
    </w:pPr>
    <w:rPr>
      <w:sz w:val="20"/>
      <w:szCs w:val="20"/>
    </w:rPr>
  </w:style>
  <w:style w:type="character" w:customStyle="1" w:styleId="CommentTextChar">
    <w:name w:val="Comment Text Char"/>
    <w:link w:val="CommentText"/>
    <w:uiPriority w:val="99"/>
    <w:semiHidden/>
    <w:rsid w:val="00A81F03"/>
    <w:rPr>
      <w:sz w:val="20"/>
      <w:szCs w:val="20"/>
    </w:rPr>
  </w:style>
  <w:style w:type="paragraph" w:styleId="CommentSubject">
    <w:name w:val="annotation subject"/>
    <w:basedOn w:val="CommentText"/>
    <w:next w:val="CommentText"/>
    <w:link w:val="CommentSubjectChar"/>
    <w:uiPriority w:val="99"/>
    <w:semiHidden/>
    <w:unhideWhenUsed/>
    <w:rsid w:val="00A81F03"/>
    <w:rPr>
      <w:b/>
      <w:bCs/>
    </w:rPr>
  </w:style>
  <w:style w:type="character" w:customStyle="1" w:styleId="CommentSubjectChar">
    <w:name w:val="Comment Subject Char"/>
    <w:link w:val="CommentSubject"/>
    <w:uiPriority w:val="99"/>
    <w:semiHidden/>
    <w:rsid w:val="00A81F03"/>
    <w:rPr>
      <w:b/>
      <w:bCs/>
      <w:sz w:val="20"/>
      <w:szCs w:val="20"/>
    </w:rPr>
  </w:style>
  <w:style w:type="paragraph" w:styleId="BalloonText">
    <w:name w:val="Balloon Text"/>
    <w:basedOn w:val="Normal"/>
    <w:link w:val="BalloonTextChar"/>
    <w:uiPriority w:val="99"/>
    <w:semiHidden/>
    <w:unhideWhenUsed/>
    <w:rsid w:val="00A81F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1F03"/>
    <w:rPr>
      <w:rFonts w:ascii="Segoe UI" w:hAnsi="Segoe UI" w:cs="Segoe UI"/>
      <w:sz w:val="18"/>
      <w:szCs w:val="18"/>
    </w:rPr>
  </w:style>
  <w:style w:type="paragraph" w:styleId="TOCHeading">
    <w:name w:val="TOC Heading"/>
    <w:basedOn w:val="Heading1"/>
    <w:next w:val="Normal"/>
    <w:uiPriority w:val="39"/>
    <w:unhideWhenUsed/>
    <w:qFormat/>
    <w:rsid w:val="001971E0"/>
    <w:pPr>
      <w:outlineLvl w:val="9"/>
    </w:pPr>
    <w:rPr>
      <w:lang w:val="en-US"/>
    </w:rPr>
  </w:style>
  <w:style w:type="paragraph" w:styleId="TOC1">
    <w:name w:val="toc 1"/>
    <w:basedOn w:val="Normal"/>
    <w:next w:val="Normal"/>
    <w:autoRedefine/>
    <w:uiPriority w:val="39"/>
    <w:unhideWhenUsed/>
    <w:rsid w:val="001971E0"/>
    <w:pPr>
      <w:spacing w:after="100"/>
    </w:pPr>
  </w:style>
  <w:style w:type="paragraph" w:styleId="TOC3">
    <w:name w:val="toc 3"/>
    <w:basedOn w:val="Normal"/>
    <w:next w:val="Normal"/>
    <w:autoRedefine/>
    <w:uiPriority w:val="39"/>
    <w:unhideWhenUsed/>
    <w:rsid w:val="001971E0"/>
    <w:pPr>
      <w:spacing w:after="100"/>
      <w:ind w:left="440"/>
    </w:pPr>
  </w:style>
  <w:style w:type="paragraph" w:styleId="TOC2">
    <w:name w:val="toc 2"/>
    <w:basedOn w:val="Normal"/>
    <w:next w:val="Normal"/>
    <w:autoRedefine/>
    <w:uiPriority w:val="39"/>
    <w:unhideWhenUsed/>
    <w:rsid w:val="001971E0"/>
    <w:pPr>
      <w:spacing w:after="100"/>
      <w:ind w:left="220"/>
    </w:pPr>
  </w:style>
  <w:style w:type="character" w:styleId="Hyperlink">
    <w:name w:val="Hyperlink"/>
    <w:uiPriority w:val="99"/>
    <w:unhideWhenUsed/>
    <w:rsid w:val="001971E0"/>
    <w:rPr>
      <w:color w:val="0563C1"/>
      <w:u w:val="single"/>
    </w:rPr>
  </w:style>
  <w:style w:type="paragraph" w:styleId="NormalWeb">
    <w:name w:val="Normal (Web)"/>
    <w:basedOn w:val="Normal"/>
    <w:uiPriority w:val="99"/>
    <w:unhideWhenUsed/>
    <w:rsid w:val="00B61D7D"/>
    <w:pPr>
      <w:spacing w:before="100" w:beforeAutospacing="1" w:after="100" w:afterAutospacing="1" w:line="240" w:lineRule="auto"/>
    </w:pPr>
    <w:rPr>
      <w:rFonts w:eastAsia="Times New Roman"/>
      <w:szCs w:val="24"/>
      <w:lang w:val="en-US"/>
    </w:rPr>
  </w:style>
  <w:style w:type="character" w:customStyle="1" w:styleId="apple-converted-space">
    <w:name w:val="apple-converted-space"/>
    <w:basedOn w:val="DefaultParagraphFont"/>
    <w:rsid w:val="00B61D7D"/>
  </w:style>
  <w:style w:type="character" w:styleId="FollowedHyperlink">
    <w:name w:val="FollowedHyperlink"/>
    <w:uiPriority w:val="99"/>
    <w:semiHidden/>
    <w:unhideWhenUsed/>
    <w:rsid w:val="001D2E90"/>
    <w:rPr>
      <w:color w:val="954F72"/>
      <w:u w:val="single"/>
    </w:rPr>
  </w:style>
  <w:style w:type="paragraph" w:styleId="FootnoteText">
    <w:name w:val="footnote text"/>
    <w:basedOn w:val="Normal"/>
    <w:link w:val="FootnoteTextChar"/>
    <w:uiPriority w:val="99"/>
    <w:unhideWhenUsed/>
    <w:rsid w:val="00660018"/>
    <w:pPr>
      <w:spacing w:after="0" w:line="240" w:lineRule="auto"/>
    </w:pPr>
    <w:rPr>
      <w:sz w:val="20"/>
      <w:szCs w:val="20"/>
    </w:rPr>
  </w:style>
  <w:style w:type="character" w:customStyle="1" w:styleId="FootnoteTextChar">
    <w:name w:val="Footnote Text Char"/>
    <w:link w:val="FootnoteText"/>
    <w:uiPriority w:val="99"/>
    <w:rsid w:val="00660018"/>
    <w:rPr>
      <w:sz w:val="20"/>
      <w:szCs w:val="20"/>
    </w:rPr>
  </w:style>
  <w:style w:type="character" w:styleId="FootnoteReference">
    <w:name w:val="footnote reference"/>
    <w:uiPriority w:val="99"/>
    <w:semiHidden/>
    <w:unhideWhenUsed/>
    <w:rsid w:val="00660018"/>
    <w:rPr>
      <w:vertAlign w:val="superscript"/>
    </w:rPr>
  </w:style>
  <w:style w:type="character" w:customStyle="1" w:styleId="current-selection">
    <w:name w:val="current-selection"/>
    <w:basedOn w:val="DefaultParagraphFont"/>
    <w:rsid w:val="00A41CA0"/>
  </w:style>
  <w:style w:type="character" w:customStyle="1" w:styleId="a">
    <w:name w:val="_"/>
    <w:basedOn w:val="DefaultParagraphFont"/>
    <w:rsid w:val="00A41CA0"/>
  </w:style>
  <w:style w:type="paragraph" w:customStyle="1" w:styleId="Default">
    <w:name w:val="Default"/>
    <w:rsid w:val="00F831DE"/>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557D8"/>
    <w:rPr>
      <w:color w:val="808080"/>
    </w:rPr>
  </w:style>
  <w:style w:type="paragraph" w:styleId="Header">
    <w:name w:val="header"/>
    <w:basedOn w:val="Normal"/>
    <w:link w:val="HeaderChar"/>
    <w:uiPriority w:val="99"/>
    <w:unhideWhenUsed/>
    <w:rsid w:val="00156FBE"/>
    <w:pPr>
      <w:tabs>
        <w:tab w:val="center" w:pos="4680"/>
        <w:tab w:val="right" w:pos="9360"/>
      </w:tabs>
      <w:spacing w:after="0" w:line="240" w:lineRule="auto"/>
    </w:pPr>
  </w:style>
  <w:style w:type="character" w:customStyle="1" w:styleId="HeaderChar">
    <w:name w:val="Header Char"/>
    <w:link w:val="Header"/>
    <w:uiPriority w:val="99"/>
    <w:rsid w:val="00156FBE"/>
    <w:rPr>
      <w:rFonts w:ascii="Times New Roman" w:hAnsi="Times New Roman"/>
      <w:sz w:val="24"/>
    </w:rPr>
  </w:style>
  <w:style w:type="paragraph" w:styleId="Footer">
    <w:name w:val="footer"/>
    <w:basedOn w:val="Normal"/>
    <w:link w:val="FooterChar"/>
    <w:uiPriority w:val="99"/>
    <w:unhideWhenUsed/>
    <w:rsid w:val="00156FBE"/>
    <w:pPr>
      <w:tabs>
        <w:tab w:val="center" w:pos="4680"/>
        <w:tab w:val="right" w:pos="9360"/>
      </w:tabs>
      <w:spacing w:after="0" w:line="240" w:lineRule="auto"/>
    </w:pPr>
  </w:style>
  <w:style w:type="character" w:customStyle="1" w:styleId="FooterChar">
    <w:name w:val="Footer Char"/>
    <w:link w:val="Footer"/>
    <w:uiPriority w:val="99"/>
    <w:rsid w:val="00156FBE"/>
    <w:rPr>
      <w:rFonts w:ascii="Times New Roman" w:hAnsi="Times New Roman"/>
      <w:sz w:val="24"/>
    </w:rPr>
  </w:style>
  <w:style w:type="character" w:customStyle="1" w:styleId="Heading4Char">
    <w:name w:val="Heading 4 Char"/>
    <w:link w:val="Heading4"/>
    <w:uiPriority w:val="9"/>
    <w:rsid w:val="000010FB"/>
    <w:rPr>
      <w:rFonts w:ascii="Cambria" w:eastAsia="Times New Roman" w:hAnsi="Cambria" w:cs="Times New Roman"/>
      <w:i/>
      <w:iCs/>
      <w:color w:val="365F91"/>
      <w:sz w:val="24"/>
      <w:szCs w:val="22"/>
      <w:lang w:eastAsia="en-US"/>
    </w:rPr>
  </w:style>
  <w:style w:type="paragraph" w:styleId="Title">
    <w:name w:val="Title"/>
    <w:basedOn w:val="Normal"/>
    <w:next w:val="Normal"/>
    <w:link w:val="TitleChar"/>
    <w:uiPriority w:val="10"/>
    <w:qFormat/>
    <w:rsid w:val="006A5B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5B21"/>
    <w:rPr>
      <w:rFonts w:ascii="Cambria" w:eastAsia="Times New Roman" w:hAnsi="Cambria" w:cs="Times New Roman"/>
      <w:color w:val="17365D"/>
      <w:spacing w:val="5"/>
      <w:kern w:val="28"/>
      <w:sz w:val="52"/>
      <w:szCs w:val="52"/>
      <w:lang w:eastAsia="en-US"/>
    </w:rPr>
  </w:style>
  <w:style w:type="character" w:styleId="Emphasis">
    <w:name w:val="Emphasis"/>
    <w:uiPriority w:val="20"/>
    <w:qFormat/>
    <w:rsid w:val="007C19A7"/>
    <w:rPr>
      <w:i/>
      <w:iCs/>
    </w:rPr>
  </w:style>
  <w:style w:type="paragraph" w:customStyle="1" w:styleId="xl63">
    <w:name w:val="xl63"/>
    <w:basedOn w:val="Normal"/>
    <w:rsid w:val="001349BA"/>
    <w:pPr>
      <w:spacing w:before="100" w:beforeAutospacing="1" w:after="100" w:afterAutospacing="1" w:line="240" w:lineRule="auto"/>
    </w:pPr>
    <w:rPr>
      <w:rFonts w:eastAsia="Times New Roman"/>
      <w:szCs w:val="24"/>
      <w:lang w:val="en-US"/>
    </w:rPr>
  </w:style>
  <w:style w:type="paragraph" w:customStyle="1" w:styleId="xl64">
    <w:name w:val="xl64"/>
    <w:basedOn w:val="Normal"/>
    <w:rsid w:val="001349BA"/>
    <w:pPr>
      <w:spacing w:before="100" w:beforeAutospacing="1" w:after="100" w:afterAutospacing="1" w:line="240" w:lineRule="auto"/>
    </w:pPr>
    <w:rPr>
      <w:rFonts w:eastAsia="Times New Roman"/>
      <w:b/>
      <w:bCs/>
      <w:szCs w:val="24"/>
      <w:lang w:val="en-US"/>
    </w:rPr>
  </w:style>
  <w:style w:type="paragraph" w:customStyle="1" w:styleId="xl65">
    <w:name w:val="xl65"/>
    <w:basedOn w:val="Normal"/>
    <w:rsid w:val="001349BA"/>
    <w:pPr>
      <w:spacing w:before="100" w:beforeAutospacing="1" w:after="100" w:afterAutospacing="1" w:line="240" w:lineRule="auto"/>
      <w:jc w:val="center"/>
    </w:pPr>
    <w:rPr>
      <w:rFonts w:eastAsia="Times New Roman"/>
      <w:b/>
      <w:bCs/>
      <w:szCs w:val="24"/>
      <w:lang w:val="en-US"/>
    </w:rPr>
  </w:style>
  <w:style w:type="paragraph" w:customStyle="1" w:styleId="xl66">
    <w:name w:val="xl66"/>
    <w:basedOn w:val="Normal"/>
    <w:rsid w:val="001349BA"/>
    <w:pPr>
      <w:spacing w:before="100" w:beforeAutospacing="1" w:after="100" w:afterAutospacing="1" w:line="240" w:lineRule="auto"/>
      <w:jc w:val="center"/>
    </w:pPr>
    <w:rPr>
      <w:rFonts w:eastAsia="Times New Roman"/>
      <w:b/>
      <w:bCs/>
      <w:szCs w:val="24"/>
      <w:lang w:val="en-US"/>
    </w:rPr>
  </w:style>
  <w:style w:type="paragraph" w:customStyle="1" w:styleId="xl67">
    <w:name w:val="xl67"/>
    <w:basedOn w:val="Normal"/>
    <w:rsid w:val="001349BA"/>
    <w:pPr>
      <w:spacing w:before="100" w:beforeAutospacing="1" w:after="100" w:afterAutospacing="1" w:line="240" w:lineRule="auto"/>
      <w:jc w:val="center"/>
    </w:pPr>
    <w:rPr>
      <w:rFonts w:eastAsia="Times New Roman"/>
      <w:szCs w:val="24"/>
      <w:lang w:val="en-US"/>
    </w:rPr>
  </w:style>
  <w:style w:type="paragraph" w:customStyle="1" w:styleId="xl68">
    <w:name w:val="xl68"/>
    <w:basedOn w:val="Normal"/>
    <w:rsid w:val="001349BA"/>
    <w:pPr>
      <w:spacing w:before="100" w:beforeAutospacing="1" w:after="100" w:afterAutospacing="1" w:line="240" w:lineRule="auto"/>
      <w:jc w:val="center"/>
    </w:pPr>
    <w:rPr>
      <w:rFonts w:eastAsia="Times New Roman"/>
      <w:szCs w:val="24"/>
      <w:lang w:val="en-US"/>
    </w:rPr>
  </w:style>
  <w:style w:type="paragraph" w:customStyle="1" w:styleId="xl69">
    <w:name w:val="xl69"/>
    <w:basedOn w:val="Normal"/>
    <w:rsid w:val="001349BA"/>
    <w:pPr>
      <w:spacing w:before="100" w:beforeAutospacing="1" w:after="100" w:afterAutospacing="1" w:line="240" w:lineRule="auto"/>
      <w:jc w:val="center"/>
    </w:pPr>
    <w:rPr>
      <w:rFonts w:eastAsia="Times New Roman"/>
      <w:szCs w:val="24"/>
      <w:lang w:val="en-US"/>
    </w:rPr>
  </w:style>
  <w:style w:type="paragraph" w:customStyle="1" w:styleId="xl70">
    <w:name w:val="xl70"/>
    <w:basedOn w:val="Normal"/>
    <w:rsid w:val="001349BA"/>
    <w:pPr>
      <w:spacing w:before="100" w:beforeAutospacing="1" w:after="100" w:afterAutospacing="1" w:line="240" w:lineRule="auto"/>
      <w:jc w:val="center"/>
    </w:pPr>
    <w:rPr>
      <w:rFonts w:eastAsia="Times New Roman"/>
      <w:szCs w:val="24"/>
      <w:lang w:val="en-US"/>
    </w:rPr>
  </w:style>
  <w:style w:type="paragraph" w:customStyle="1" w:styleId="xl71">
    <w:name w:val="xl71"/>
    <w:basedOn w:val="Normal"/>
    <w:rsid w:val="001349BA"/>
    <w:pPr>
      <w:spacing w:before="100" w:beforeAutospacing="1" w:after="100" w:afterAutospacing="1" w:line="240" w:lineRule="auto"/>
      <w:jc w:val="center"/>
    </w:pPr>
    <w:rPr>
      <w:rFonts w:eastAsia="Times New Roman"/>
      <w:szCs w:val="24"/>
      <w:lang w:val="en-US"/>
    </w:rPr>
  </w:style>
  <w:style w:type="paragraph" w:customStyle="1" w:styleId="xl72">
    <w:name w:val="xl72"/>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3">
    <w:name w:val="xl73"/>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4">
    <w:name w:val="xl74"/>
    <w:basedOn w:val="Normal"/>
    <w:rsid w:val="001349BA"/>
    <w:pPr>
      <w:spacing w:before="100" w:beforeAutospacing="1" w:after="100" w:afterAutospacing="1" w:line="240" w:lineRule="auto"/>
      <w:jc w:val="center"/>
      <w:textAlignment w:val="top"/>
    </w:pPr>
    <w:rPr>
      <w:rFonts w:eastAsia="Times New Roman"/>
      <w:szCs w:val="24"/>
      <w:lang w:val="en-US"/>
    </w:rPr>
  </w:style>
  <w:style w:type="paragraph" w:customStyle="1" w:styleId="xl75">
    <w:name w:val="xl75"/>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6">
    <w:name w:val="xl76"/>
    <w:basedOn w:val="Normal"/>
    <w:rsid w:val="001349BA"/>
    <w:pPr>
      <w:pBdr>
        <w:lef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7">
    <w:name w:val="xl77"/>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8">
    <w:name w:val="xl78"/>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79">
    <w:name w:val="xl79"/>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80">
    <w:name w:val="xl80"/>
    <w:basedOn w:val="Normal"/>
    <w:rsid w:val="001349BA"/>
    <w:pPr>
      <w:pBdr>
        <w:top w:val="single" w:sz="4" w:space="0" w:color="D1E1E5"/>
        <w:left w:val="single" w:sz="4" w:space="0" w:color="D1E1E5"/>
        <w:bottom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 w:type="paragraph" w:customStyle="1" w:styleId="xl81">
    <w:name w:val="xl81"/>
    <w:basedOn w:val="Normal"/>
    <w:rsid w:val="001349BA"/>
    <w:pPr>
      <w:pBdr>
        <w:left w:val="single" w:sz="4" w:space="0" w:color="D1E1E5"/>
        <w:right w:val="single" w:sz="4" w:space="0" w:color="D1E1E5"/>
      </w:pBdr>
      <w:spacing w:before="100" w:beforeAutospacing="1" w:after="100" w:afterAutospacing="1" w:line="240" w:lineRule="auto"/>
      <w:jc w:val="center"/>
      <w:textAlignment w:val="top"/>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84">
      <w:bodyDiv w:val="1"/>
      <w:marLeft w:val="0"/>
      <w:marRight w:val="0"/>
      <w:marTop w:val="0"/>
      <w:marBottom w:val="0"/>
      <w:divBdr>
        <w:top w:val="none" w:sz="0" w:space="0" w:color="auto"/>
        <w:left w:val="none" w:sz="0" w:space="0" w:color="auto"/>
        <w:bottom w:val="none" w:sz="0" w:space="0" w:color="auto"/>
        <w:right w:val="none" w:sz="0" w:space="0" w:color="auto"/>
      </w:divBdr>
    </w:div>
    <w:div w:id="13313521">
      <w:bodyDiv w:val="1"/>
      <w:marLeft w:val="0"/>
      <w:marRight w:val="0"/>
      <w:marTop w:val="0"/>
      <w:marBottom w:val="0"/>
      <w:divBdr>
        <w:top w:val="none" w:sz="0" w:space="0" w:color="auto"/>
        <w:left w:val="none" w:sz="0" w:space="0" w:color="auto"/>
        <w:bottom w:val="none" w:sz="0" w:space="0" w:color="auto"/>
        <w:right w:val="none" w:sz="0" w:space="0" w:color="auto"/>
      </w:divBdr>
    </w:div>
    <w:div w:id="82537528">
      <w:bodyDiv w:val="1"/>
      <w:marLeft w:val="0"/>
      <w:marRight w:val="0"/>
      <w:marTop w:val="0"/>
      <w:marBottom w:val="0"/>
      <w:divBdr>
        <w:top w:val="none" w:sz="0" w:space="0" w:color="auto"/>
        <w:left w:val="none" w:sz="0" w:space="0" w:color="auto"/>
        <w:bottom w:val="none" w:sz="0" w:space="0" w:color="auto"/>
        <w:right w:val="none" w:sz="0" w:space="0" w:color="auto"/>
      </w:divBdr>
    </w:div>
    <w:div w:id="150685768">
      <w:bodyDiv w:val="1"/>
      <w:marLeft w:val="0"/>
      <w:marRight w:val="0"/>
      <w:marTop w:val="0"/>
      <w:marBottom w:val="0"/>
      <w:divBdr>
        <w:top w:val="none" w:sz="0" w:space="0" w:color="auto"/>
        <w:left w:val="none" w:sz="0" w:space="0" w:color="auto"/>
        <w:bottom w:val="none" w:sz="0" w:space="0" w:color="auto"/>
        <w:right w:val="none" w:sz="0" w:space="0" w:color="auto"/>
      </w:divBdr>
    </w:div>
    <w:div w:id="159463702">
      <w:bodyDiv w:val="1"/>
      <w:marLeft w:val="0"/>
      <w:marRight w:val="0"/>
      <w:marTop w:val="0"/>
      <w:marBottom w:val="0"/>
      <w:divBdr>
        <w:top w:val="none" w:sz="0" w:space="0" w:color="auto"/>
        <w:left w:val="none" w:sz="0" w:space="0" w:color="auto"/>
        <w:bottom w:val="none" w:sz="0" w:space="0" w:color="auto"/>
        <w:right w:val="none" w:sz="0" w:space="0" w:color="auto"/>
      </w:divBdr>
    </w:div>
    <w:div w:id="197158381">
      <w:bodyDiv w:val="1"/>
      <w:marLeft w:val="0"/>
      <w:marRight w:val="0"/>
      <w:marTop w:val="0"/>
      <w:marBottom w:val="0"/>
      <w:divBdr>
        <w:top w:val="none" w:sz="0" w:space="0" w:color="auto"/>
        <w:left w:val="none" w:sz="0" w:space="0" w:color="auto"/>
        <w:bottom w:val="none" w:sz="0" w:space="0" w:color="auto"/>
        <w:right w:val="none" w:sz="0" w:space="0" w:color="auto"/>
      </w:divBdr>
    </w:div>
    <w:div w:id="227502291">
      <w:bodyDiv w:val="1"/>
      <w:marLeft w:val="0"/>
      <w:marRight w:val="0"/>
      <w:marTop w:val="0"/>
      <w:marBottom w:val="0"/>
      <w:divBdr>
        <w:top w:val="none" w:sz="0" w:space="0" w:color="auto"/>
        <w:left w:val="none" w:sz="0" w:space="0" w:color="auto"/>
        <w:bottom w:val="none" w:sz="0" w:space="0" w:color="auto"/>
        <w:right w:val="none" w:sz="0" w:space="0" w:color="auto"/>
      </w:divBdr>
    </w:div>
    <w:div w:id="232396586">
      <w:bodyDiv w:val="1"/>
      <w:marLeft w:val="0"/>
      <w:marRight w:val="0"/>
      <w:marTop w:val="0"/>
      <w:marBottom w:val="0"/>
      <w:divBdr>
        <w:top w:val="none" w:sz="0" w:space="0" w:color="auto"/>
        <w:left w:val="none" w:sz="0" w:space="0" w:color="auto"/>
        <w:bottom w:val="none" w:sz="0" w:space="0" w:color="auto"/>
        <w:right w:val="none" w:sz="0" w:space="0" w:color="auto"/>
      </w:divBdr>
    </w:div>
    <w:div w:id="269823387">
      <w:bodyDiv w:val="1"/>
      <w:marLeft w:val="0"/>
      <w:marRight w:val="0"/>
      <w:marTop w:val="0"/>
      <w:marBottom w:val="0"/>
      <w:divBdr>
        <w:top w:val="none" w:sz="0" w:space="0" w:color="auto"/>
        <w:left w:val="none" w:sz="0" w:space="0" w:color="auto"/>
        <w:bottom w:val="none" w:sz="0" w:space="0" w:color="auto"/>
        <w:right w:val="none" w:sz="0" w:space="0" w:color="auto"/>
      </w:divBdr>
    </w:div>
    <w:div w:id="296297676">
      <w:bodyDiv w:val="1"/>
      <w:marLeft w:val="0"/>
      <w:marRight w:val="0"/>
      <w:marTop w:val="0"/>
      <w:marBottom w:val="0"/>
      <w:divBdr>
        <w:top w:val="none" w:sz="0" w:space="0" w:color="auto"/>
        <w:left w:val="none" w:sz="0" w:space="0" w:color="auto"/>
        <w:bottom w:val="none" w:sz="0" w:space="0" w:color="auto"/>
        <w:right w:val="none" w:sz="0" w:space="0" w:color="auto"/>
      </w:divBdr>
    </w:div>
    <w:div w:id="366806308">
      <w:bodyDiv w:val="1"/>
      <w:marLeft w:val="0"/>
      <w:marRight w:val="0"/>
      <w:marTop w:val="0"/>
      <w:marBottom w:val="0"/>
      <w:divBdr>
        <w:top w:val="none" w:sz="0" w:space="0" w:color="auto"/>
        <w:left w:val="none" w:sz="0" w:space="0" w:color="auto"/>
        <w:bottom w:val="none" w:sz="0" w:space="0" w:color="auto"/>
        <w:right w:val="none" w:sz="0" w:space="0" w:color="auto"/>
      </w:divBdr>
    </w:div>
    <w:div w:id="390276238">
      <w:bodyDiv w:val="1"/>
      <w:marLeft w:val="0"/>
      <w:marRight w:val="0"/>
      <w:marTop w:val="0"/>
      <w:marBottom w:val="0"/>
      <w:divBdr>
        <w:top w:val="none" w:sz="0" w:space="0" w:color="auto"/>
        <w:left w:val="none" w:sz="0" w:space="0" w:color="auto"/>
        <w:bottom w:val="none" w:sz="0" w:space="0" w:color="auto"/>
        <w:right w:val="none" w:sz="0" w:space="0" w:color="auto"/>
      </w:divBdr>
    </w:div>
    <w:div w:id="407700659">
      <w:bodyDiv w:val="1"/>
      <w:marLeft w:val="0"/>
      <w:marRight w:val="0"/>
      <w:marTop w:val="0"/>
      <w:marBottom w:val="0"/>
      <w:divBdr>
        <w:top w:val="none" w:sz="0" w:space="0" w:color="auto"/>
        <w:left w:val="none" w:sz="0" w:space="0" w:color="auto"/>
        <w:bottom w:val="none" w:sz="0" w:space="0" w:color="auto"/>
        <w:right w:val="none" w:sz="0" w:space="0" w:color="auto"/>
      </w:divBdr>
      <w:divsChild>
        <w:div w:id="27874648">
          <w:marLeft w:val="0"/>
          <w:marRight w:val="0"/>
          <w:marTop w:val="0"/>
          <w:marBottom w:val="0"/>
          <w:divBdr>
            <w:top w:val="none" w:sz="0" w:space="0" w:color="auto"/>
            <w:left w:val="none" w:sz="0" w:space="0" w:color="auto"/>
            <w:bottom w:val="none" w:sz="0" w:space="0" w:color="auto"/>
            <w:right w:val="none" w:sz="0" w:space="0" w:color="auto"/>
          </w:divBdr>
        </w:div>
        <w:div w:id="225190344">
          <w:marLeft w:val="0"/>
          <w:marRight w:val="0"/>
          <w:marTop w:val="0"/>
          <w:marBottom w:val="0"/>
          <w:divBdr>
            <w:top w:val="none" w:sz="0" w:space="0" w:color="auto"/>
            <w:left w:val="none" w:sz="0" w:space="0" w:color="auto"/>
            <w:bottom w:val="none" w:sz="0" w:space="0" w:color="auto"/>
            <w:right w:val="none" w:sz="0" w:space="0" w:color="auto"/>
          </w:divBdr>
        </w:div>
        <w:div w:id="250431007">
          <w:marLeft w:val="0"/>
          <w:marRight w:val="0"/>
          <w:marTop w:val="0"/>
          <w:marBottom w:val="0"/>
          <w:divBdr>
            <w:top w:val="none" w:sz="0" w:space="0" w:color="auto"/>
            <w:left w:val="none" w:sz="0" w:space="0" w:color="auto"/>
            <w:bottom w:val="none" w:sz="0" w:space="0" w:color="auto"/>
            <w:right w:val="none" w:sz="0" w:space="0" w:color="auto"/>
          </w:divBdr>
        </w:div>
        <w:div w:id="252133305">
          <w:marLeft w:val="0"/>
          <w:marRight w:val="0"/>
          <w:marTop w:val="0"/>
          <w:marBottom w:val="0"/>
          <w:divBdr>
            <w:top w:val="none" w:sz="0" w:space="0" w:color="auto"/>
            <w:left w:val="none" w:sz="0" w:space="0" w:color="auto"/>
            <w:bottom w:val="none" w:sz="0" w:space="0" w:color="auto"/>
            <w:right w:val="none" w:sz="0" w:space="0" w:color="auto"/>
          </w:divBdr>
        </w:div>
        <w:div w:id="531576759">
          <w:marLeft w:val="0"/>
          <w:marRight w:val="0"/>
          <w:marTop w:val="0"/>
          <w:marBottom w:val="0"/>
          <w:divBdr>
            <w:top w:val="none" w:sz="0" w:space="0" w:color="auto"/>
            <w:left w:val="none" w:sz="0" w:space="0" w:color="auto"/>
            <w:bottom w:val="none" w:sz="0" w:space="0" w:color="auto"/>
            <w:right w:val="none" w:sz="0" w:space="0" w:color="auto"/>
          </w:divBdr>
        </w:div>
        <w:div w:id="742871246">
          <w:marLeft w:val="0"/>
          <w:marRight w:val="0"/>
          <w:marTop w:val="0"/>
          <w:marBottom w:val="0"/>
          <w:divBdr>
            <w:top w:val="none" w:sz="0" w:space="0" w:color="auto"/>
            <w:left w:val="none" w:sz="0" w:space="0" w:color="auto"/>
            <w:bottom w:val="none" w:sz="0" w:space="0" w:color="auto"/>
            <w:right w:val="none" w:sz="0" w:space="0" w:color="auto"/>
          </w:divBdr>
        </w:div>
        <w:div w:id="874001822">
          <w:marLeft w:val="0"/>
          <w:marRight w:val="0"/>
          <w:marTop w:val="0"/>
          <w:marBottom w:val="0"/>
          <w:divBdr>
            <w:top w:val="none" w:sz="0" w:space="0" w:color="auto"/>
            <w:left w:val="none" w:sz="0" w:space="0" w:color="auto"/>
            <w:bottom w:val="none" w:sz="0" w:space="0" w:color="auto"/>
            <w:right w:val="none" w:sz="0" w:space="0" w:color="auto"/>
          </w:divBdr>
        </w:div>
        <w:div w:id="1093823103">
          <w:marLeft w:val="0"/>
          <w:marRight w:val="0"/>
          <w:marTop w:val="0"/>
          <w:marBottom w:val="0"/>
          <w:divBdr>
            <w:top w:val="none" w:sz="0" w:space="0" w:color="auto"/>
            <w:left w:val="none" w:sz="0" w:space="0" w:color="auto"/>
            <w:bottom w:val="none" w:sz="0" w:space="0" w:color="auto"/>
            <w:right w:val="none" w:sz="0" w:space="0" w:color="auto"/>
          </w:divBdr>
        </w:div>
        <w:div w:id="1165364065">
          <w:marLeft w:val="0"/>
          <w:marRight w:val="0"/>
          <w:marTop w:val="0"/>
          <w:marBottom w:val="0"/>
          <w:divBdr>
            <w:top w:val="none" w:sz="0" w:space="0" w:color="auto"/>
            <w:left w:val="none" w:sz="0" w:space="0" w:color="auto"/>
            <w:bottom w:val="none" w:sz="0" w:space="0" w:color="auto"/>
            <w:right w:val="none" w:sz="0" w:space="0" w:color="auto"/>
          </w:divBdr>
        </w:div>
        <w:div w:id="1206405953">
          <w:marLeft w:val="0"/>
          <w:marRight w:val="0"/>
          <w:marTop w:val="0"/>
          <w:marBottom w:val="0"/>
          <w:divBdr>
            <w:top w:val="none" w:sz="0" w:space="0" w:color="auto"/>
            <w:left w:val="none" w:sz="0" w:space="0" w:color="auto"/>
            <w:bottom w:val="none" w:sz="0" w:space="0" w:color="auto"/>
            <w:right w:val="none" w:sz="0" w:space="0" w:color="auto"/>
          </w:divBdr>
        </w:div>
        <w:div w:id="1667897729">
          <w:marLeft w:val="0"/>
          <w:marRight w:val="0"/>
          <w:marTop w:val="0"/>
          <w:marBottom w:val="0"/>
          <w:divBdr>
            <w:top w:val="none" w:sz="0" w:space="0" w:color="auto"/>
            <w:left w:val="none" w:sz="0" w:space="0" w:color="auto"/>
            <w:bottom w:val="none" w:sz="0" w:space="0" w:color="auto"/>
            <w:right w:val="none" w:sz="0" w:space="0" w:color="auto"/>
          </w:divBdr>
        </w:div>
        <w:div w:id="1801530883">
          <w:marLeft w:val="0"/>
          <w:marRight w:val="0"/>
          <w:marTop w:val="0"/>
          <w:marBottom w:val="0"/>
          <w:divBdr>
            <w:top w:val="none" w:sz="0" w:space="0" w:color="auto"/>
            <w:left w:val="none" w:sz="0" w:space="0" w:color="auto"/>
            <w:bottom w:val="none" w:sz="0" w:space="0" w:color="auto"/>
            <w:right w:val="none" w:sz="0" w:space="0" w:color="auto"/>
          </w:divBdr>
        </w:div>
        <w:div w:id="1861889017">
          <w:marLeft w:val="0"/>
          <w:marRight w:val="0"/>
          <w:marTop w:val="0"/>
          <w:marBottom w:val="0"/>
          <w:divBdr>
            <w:top w:val="none" w:sz="0" w:space="0" w:color="auto"/>
            <w:left w:val="none" w:sz="0" w:space="0" w:color="auto"/>
            <w:bottom w:val="none" w:sz="0" w:space="0" w:color="auto"/>
            <w:right w:val="none" w:sz="0" w:space="0" w:color="auto"/>
          </w:divBdr>
        </w:div>
        <w:div w:id="1967346504">
          <w:marLeft w:val="0"/>
          <w:marRight w:val="0"/>
          <w:marTop w:val="0"/>
          <w:marBottom w:val="0"/>
          <w:divBdr>
            <w:top w:val="none" w:sz="0" w:space="0" w:color="auto"/>
            <w:left w:val="none" w:sz="0" w:space="0" w:color="auto"/>
            <w:bottom w:val="none" w:sz="0" w:space="0" w:color="auto"/>
            <w:right w:val="none" w:sz="0" w:space="0" w:color="auto"/>
          </w:divBdr>
        </w:div>
        <w:div w:id="2115593820">
          <w:marLeft w:val="0"/>
          <w:marRight w:val="0"/>
          <w:marTop w:val="0"/>
          <w:marBottom w:val="0"/>
          <w:divBdr>
            <w:top w:val="none" w:sz="0" w:space="0" w:color="auto"/>
            <w:left w:val="none" w:sz="0" w:space="0" w:color="auto"/>
            <w:bottom w:val="none" w:sz="0" w:space="0" w:color="auto"/>
            <w:right w:val="none" w:sz="0" w:space="0" w:color="auto"/>
          </w:divBdr>
        </w:div>
      </w:divsChild>
    </w:div>
    <w:div w:id="437146631">
      <w:bodyDiv w:val="1"/>
      <w:marLeft w:val="0"/>
      <w:marRight w:val="0"/>
      <w:marTop w:val="0"/>
      <w:marBottom w:val="0"/>
      <w:divBdr>
        <w:top w:val="none" w:sz="0" w:space="0" w:color="auto"/>
        <w:left w:val="none" w:sz="0" w:space="0" w:color="auto"/>
        <w:bottom w:val="none" w:sz="0" w:space="0" w:color="auto"/>
        <w:right w:val="none" w:sz="0" w:space="0" w:color="auto"/>
      </w:divBdr>
    </w:div>
    <w:div w:id="450782988">
      <w:bodyDiv w:val="1"/>
      <w:marLeft w:val="0"/>
      <w:marRight w:val="0"/>
      <w:marTop w:val="0"/>
      <w:marBottom w:val="0"/>
      <w:divBdr>
        <w:top w:val="none" w:sz="0" w:space="0" w:color="auto"/>
        <w:left w:val="none" w:sz="0" w:space="0" w:color="auto"/>
        <w:bottom w:val="none" w:sz="0" w:space="0" w:color="auto"/>
        <w:right w:val="none" w:sz="0" w:space="0" w:color="auto"/>
      </w:divBdr>
    </w:div>
    <w:div w:id="454911556">
      <w:bodyDiv w:val="1"/>
      <w:marLeft w:val="0"/>
      <w:marRight w:val="0"/>
      <w:marTop w:val="0"/>
      <w:marBottom w:val="0"/>
      <w:divBdr>
        <w:top w:val="none" w:sz="0" w:space="0" w:color="auto"/>
        <w:left w:val="none" w:sz="0" w:space="0" w:color="auto"/>
        <w:bottom w:val="none" w:sz="0" w:space="0" w:color="auto"/>
        <w:right w:val="none" w:sz="0" w:space="0" w:color="auto"/>
      </w:divBdr>
    </w:div>
    <w:div w:id="518272576">
      <w:bodyDiv w:val="1"/>
      <w:marLeft w:val="0"/>
      <w:marRight w:val="0"/>
      <w:marTop w:val="0"/>
      <w:marBottom w:val="0"/>
      <w:divBdr>
        <w:top w:val="none" w:sz="0" w:space="0" w:color="auto"/>
        <w:left w:val="none" w:sz="0" w:space="0" w:color="auto"/>
        <w:bottom w:val="none" w:sz="0" w:space="0" w:color="auto"/>
        <w:right w:val="none" w:sz="0" w:space="0" w:color="auto"/>
      </w:divBdr>
      <w:divsChild>
        <w:div w:id="142507151">
          <w:marLeft w:val="0"/>
          <w:marRight w:val="0"/>
          <w:marTop w:val="0"/>
          <w:marBottom w:val="0"/>
          <w:divBdr>
            <w:top w:val="none" w:sz="0" w:space="0" w:color="auto"/>
            <w:left w:val="none" w:sz="0" w:space="0" w:color="auto"/>
            <w:bottom w:val="none" w:sz="0" w:space="0" w:color="auto"/>
            <w:right w:val="none" w:sz="0" w:space="0" w:color="auto"/>
          </w:divBdr>
        </w:div>
        <w:div w:id="147091233">
          <w:marLeft w:val="0"/>
          <w:marRight w:val="0"/>
          <w:marTop w:val="0"/>
          <w:marBottom w:val="0"/>
          <w:divBdr>
            <w:top w:val="none" w:sz="0" w:space="0" w:color="auto"/>
            <w:left w:val="none" w:sz="0" w:space="0" w:color="auto"/>
            <w:bottom w:val="none" w:sz="0" w:space="0" w:color="auto"/>
            <w:right w:val="none" w:sz="0" w:space="0" w:color="auto"/>
          </w:divBdr>
        </w:div>
        <w:div w:id="284507292">
          <w:marLeft w:val="0"/>
          <w:marRight w:val="0"/>
          <w:marTop w:val="0"/>
          <w:marBottom w:val="0"/>
          <w:divBdr>
            <w:top w:val="none" w:sz="0" w:space="0" w:color="auto"/>
            <w:left w:val="none" w:sz="0" w:space="0" w:color="auto"/>
            <w:bottom w:val="none" w:sz="0" w:space="0" w:color="auto"/>
            <w:right w:val="none" w:sz="0" w:space="0" w:color="auto"/>
          </w:divBdr>
        </w:div>
        <w:div w:id="319621456">
          <w:marLeft w:val="0"/>
          <w:marRight w:val="0"/>
          <w:marTop w:val="0"/>
          <w:marBottom w:val="0"/>
          <w:divBdr>
            <w:top w:val="none" w:sz="0" w:space="0" w:color="auto"/>
            <w:left w:val="none" w:sz="0" w:space="0" w:color="auto"/>
            <w:bottom w:val="none" w:sz="0" w:space="0" w:color="auto"/>
            <w:right w:val="none" w:sz="0" w:space="0" w:color="auto"/>
          </w:divBdr>
        </w:div>
        <w:div w:id="446124818">
          <w:marLeft w:val="0"/>
          <w:marRight w:val="0"/>
          <w:marTop w:val="0"/>
          <w:marBottom w:val="0"/>
          <w:divBdr>
            <w:top w:val="none" w:sz="0" w:space="0" w:color="auto"/>
            <w:left w:val="none" w:sz="0" w:space="0" w:color="auto"/>
            <w:bottom w:val="none" w:sz="0" w:space="0" w:color="auto"/>
            <w:right w:val="none" w:sz="0" w:space="0" w:color="auto"/>
          </w:divBdr>
        </w:div>
        <w:div w:id="837186818">
          <w:marLeft w:val="0"/>
          <w:marRight w:val="0"/>
          <w:marTop w:val="0"/>
          <w:marBottom w:val="0"/>
          <w:divBdr>
            <w:top w:val="none" w:sz="0" w:space="0" w:color="auto"/>
            <w:left w:val="none" w:sz="0" w:space="0" w:color="auto"/>
            <w:bottom w:val="none" w:sz="0" w:space="0" w:color="auto"/>
            <w:right w:val="none" w:sz="0" w:space="0" w:color="auto"/>
          </w:divBdr>
        </w:div>
        <w:div w:id="1043753944">
          <w:marLeft w:val="0"/>
          <w:marRight w:val="0"/>
          <w:marTop w:val="0"/>
          <w:marBottom w:val="0"/>
          <w:divBdr>
            <w:top w:val="none" w:sz="0" w:space="0" w:color="auto"/>
            <w:left w:val="none" w:sz="0" w:space="0" w:color="auto"/>
            <w:bottom w:val="none" w:sz="0" w:space="0" w:color="auto"/>
            <w:right w:val="none" w:sz="0" w:space="0" w:color="auto"/>
          </w:divBdr>
        </w:div>
        <w:div w:id="1351293727">
          <w:marLeft w:val="0"/>
          <w:marRight w:val="0"/>
          <w:marTop w:val="0"/>
          <w:marBottom w:val="0"/>
          <w:divBdr>
            <w:top w:val="none" w:sz="0" w:space="0" w:color="auto"/>
            <w:left w:val="none" w:sz="0" w:space="0" w:color="auto"/>
            <w:bottom w:val="none" w:sz="0" w:space="0" w:color="auto"/>
            <w:right w:val="none" w:sz="0" w:space="0" w:color="auto"/>
          </w:divBdr>
        </w:div>
        <w:div w:id="1386904925">
          <w:marLeft w:val="0"/>
          <w:marRight w:val="0"/>
          <w:marTop w:val="0"/>
          <w:marBottom w:val="0"/>
          <w:divBdr>
            <w:top w:val="none" w:sz="0" w:space="0" w:color="auto"/>
            <w:left w:val="none" w:sz="0" w:space="0" w:color="auto"/>
            <w:bottom w:val="none" w:sz="0" w:space="0" w:color="auto"/>
            <w:right w:val="none" w:sz="0" w:space="0" w:color="auto"/>
          </w:divBdr>
        </w:div>
        <w:div w:id="1392803421">
          <w:marLeft w:val="0"/>
          <w:marRight w:val="0"/>
          <w:marTop w:val="0"/>
          <w:marBottom w:val="0"/>
          <w:divBdr>
            <w:top w:val="none" w:sz="0" w:space="0" w:color="auto"/>
            <w:left w:val="none" w:sz="0" w:space="0" w:color="auto"/>
            <w:bottom w:val="none" w:sz="0" w:space="0" w:color="auto"/>
            <w:right w:val="none" w:sz="0" w:space="0" w:color="auto"/>
          </w:divBdr>
        </w:div>
        <w:div w:id="1443499644">
          <w:marLeft w:val="0"/>
          <w:marRight w:val="0"/>
          <w:marTop w:val="0"/>
          <w:marBottom w:val="0"/>
          <w:divBdr>
            <w:top w:val="none" w:sz="0" w:space="0" w:color="auto"/>
            <w:left w:val="none" w:sz="0" w:space="0" w:color="auto"/>
            <w:bottom w:val="none" w:sz="0" w:space="0" w:color="auto"/>
            <w:right w:val="none" w:sz="0" w:space="0" w:color="auto"/>
          </w:divBdr>
        </w:div>
        <w:div w:id="1626618481">
          <w:marLeft w:val="0"/>
          <w:marRight w:val="0"/>
          <w:marTop w:val="0"/>
          <w:marBottom w:val="0"/>
          <w:divBdr>
            <w:top w:val="none" w:sz="0" w:space="0" w:color="auto"/>
            <w:left w:val="none" w:sz="0" w:space="0" w:color="auto"/>
            <w:bottom w:val="none" w:sz="0" w:space="0" w:color="auto"/>
            <w:right w:val="none" w:sz="0" w:space="0" w:color="auto"/>
          </w:divBdr>
        </w:div>
        <w:div w:id="1702389795">
          <w:marLeft w:val="0"/>
          <w:marRight w:val="0"/>
          <w:marTop w:val="0"/>
          <w:marBottom w:val="0"/>
          <w:divBdr>
            <w:top w:val="none" w:sz="0" w:space="0" w:color="auto"/>
            <w:left w:val="none" w:sz="0" w:space="0" w:color="auto"/>
            <w:bottom w:val="none" w:sz="0" w:space="0" w:color="auto"/>
            <w:right w:val="none" w:sz="0" w:space="0" w:color="auto"/>
          </w:divBdr>
        </w:div>
        <w:div w:id="2024432452">
          <w:marLeft w:val="0"/>
          <w:marRight w:val="0"/>
          <w:marTop w:val="0"/>
          <w:marBottom w:val="0"/>
          <w:divBdr>
            <w:top w:val="none" w:sz="0" w:space="0" w:color="auto"/>
            <w:left w:val="none" w:sz="0" w:space="0" w:color="auto"/>
            <w:bottom w:val="none" w:sz="0" w:space="0" w:color="auto"/>
            <w:right w:val="none" w:sz="0" w:space="0" w:color="auto"/>
          </w:divBdr>
        </w:div>
        <w:div w:id="2024891503">
          <w:marLeft w:val="0"/>
          <w:marRight w:val="0"/>
          <w:marTop w:val="0"/>
          <w:marBottom w:val="0"/>
          <w:divBdr>
            <w:top w:val="none" w:sz="0" w:space="0" w:color="auto"/>
            <w:left w:val="none" w:sz="0" w:space="0" w:color="auto"/>
            <w:bottom w:val="none" w:sz="0" w:space="0" w:color="auto"/>
            <w:right w:val="none" w:sz="0" w:space="0" w:color="auto"/>
          </w:divBdr>
        </w:div>
      </w:divsChild>
    </w:div>
    <w:div w:id="522088462">
      <w:bodyDiv w:val="1"/>
      <w:marLeft w:val="0"/>
      <w:marRight w:val="0"/>
      <w:marTop w:val="0"/>
      <w:marBottom w:val="0"/>
      <w:divBdr>
        <w:top w:val="none" w:sz="0" w:space="0" w:color="auto"/>
        <w:left w:val="none" w:sz="0" w:space="0" w:color="auto"/>
        <w:bottom w:val="none" w:sz="0" w:space="0" w:color="auto"/>
        <w:right w:val="none" w:sz="0" w:space="0" w:color="auto"/>
      </w:divBdr>
    </w:div>
    <w:div w:id="557324762">
      <w:bodyDiv w:val="1"/>
      <w:marLeft w:val="0"/>
      <w:marRight w:val="0"/>
      <w:marTop w:val="0"/>
      <w:marBottom w:val="0"/>
      <w:divBdr>
        <w:top w:val="none" w:sz="0" w:space="0" w:color="auto"/>
        <w:left w:val="none" w:sz="0" w:space="0" w:color="auto"/>
        <w:bottom w:val="none" w:sz="0" w:space="0" w:color="auto"/>
        <w:right w:val="none" w:sz="0" w:space="0" w:color="auto"/>
      </w:divBdr>
    </w:div>
    <w:div w:id="629557757">
      <w:bodyDiv w:val="1"/>
      <w:marLeft w:val="0"/>
      <w:marRight w:val="0"/>
      <w:marTop w:val="0"/>
      <w:marBottom w:val="0"/>
      <w:divBdr>
        <w:top w:val="none" w:sz="0" w:space="0" w:color="auto"/>
        <w:left w:val="none" w:sz="0" w:space="0" w:color="auto"/>
        <w:bottom w:val="none" w:sz="0" w:space="0" w:color="auto"/>
        <w:right w:val="none" w:sz="0" w:space="0" w:color="auto"/>
      </w:divBdr>
    </w:div>
    <w:div w:id="631907477">
      <w:bodyDiv w:val="1"/>
      <w:marLeft w:val="0"/>
      <w:marRight w:val="0"/>
      <w:marTop w:val="0"/>
      <w:marBottom w:val="0"/>
      <w:divBdr>
        <w:top w:val="none" w:sz="0" w:space="0" w:color="auto"/>
        <w:left w:val="none" w:sz="0" w:space="0" w:color="auto"/>
        <w:bottom w:val="none" w:sz="0" w:space="0" w:color="auto"/>
        <w:right w:val="none" w:sz="0" w:space="0" w:color="auto"/>
      </w:divBdr>
    </w:div>
    <w:div w:id="74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32532178">
          <w:marLeft w:val="0"/>
          <w:marRight w:val="0"/>
          <w:marTop w:val="0"/>
          <w:marBottom w:val="0"/>
          <w:divBdr>
            <w:top w:val="none" w:sz="0" w:space="0" w:color="auto"/>
            <w:left w:val="none" w:sz="0" w:space="0" w:color="auto"/>
            <w:bottom w:val="none" w:sz="0" w:space="0" w:color="auto"/>
            <w:right w:val="none" w:sz="0" w:space="0" w:color="auto"/>
          </w:divBdr>
          <w:divsChild>
            <w:div w:id="814568593">
              <w:marLeft w:val="0"/>
              <w:marRight w:val="0"/>
              <w:marTop w:val="0"/>
              <w:marBottom w:val="0"/>
              <w:divBdr>
                <w:top w:val="none" w:sz="0" w:space="0" w:color="auto"/>
                <w:left w:val="none" w:sz="0" w:space="0" w:color="auto"/>
                <w:bottom w:val="none" w:sz="0" w:space="0" w:color="auto"/>
                <w:right w:val="none" w:sz="0" w:space="0" w:color="auto"/>
              </w:divBdr>
              <w:divsChild>
                <w:div w:id="1135878718">
                  <w:marLeft w:val="0"/>
                  <w:marRight w:val="0"/>
                  <w:marTop w:val="0"/>
                  <w:marBottom w:val="0"/>
                  <w:divBdr>
                    <w:top w:val="none" w:sz="0" w:space="0" w:color="auto"/>
                    <w:left w:val="none" w:sz="0" w:space="0" w:color="auto"/>
                    <w:bottom w:val="none" w:sz="0" w:space="0" w:color="auto"/>
                    <w:right w:val="none" w:sz="0" w:space="0" w:color="auto"/>
                  </w:divBdr>
                  <w:divsChild>
                    <w:div w:id="444621899">
                      <w:marLeft w:val="0"/>
                      <w:marRight w:val="0"/>
                      <w:marTop w:val="0"/>
                      <w:marBottom w:val="0"/>
                      <w:divBdr>
                        <w:top w:val="none" w:sz="0" w:space="0" w:color="auto"/>
                        <w:left w:val="none" w:sz="0" w:space="0" w:color="auto"/>
                        <w:bottom w:val="none" w:sz="0" w:space="0" w:color="auto"/>
                        <w:right w:val="none" w:sz="0" w:space="0" w:color="auto"/>
                      </w:divBdr>
                      <w:divsChild>
                        <w:div w:id="717555229">
                          <w:marLeft w:val="0"/>
                          <w:marRight w:val="0"/>
                          <w:marTop w:val="0"/>
                          <w:marBottom w:val="0"/>
                          <w:divBdr>
                            <w:top w:val="none" w:sz="0" w:space="0" w:color="auto"/>
                            <w:left w:val="none" w:sz="0" w:space="0" w:color="auto"/>
                            <w:bottom w:val="none" w:sz="0" w:space="0" w:color="auto"/>
                            <w:right w:val="none" w:sz="0" w:space="0" w:color="auto"/>
                          </w:divBdr>
                          <w:divsChild>
                            <w:div w:id="1041788226">
                              <w:marLeft w:val="0"/>
                              <w:marRight w:val="0"/>
                              <w:marTop w:val="0"/>
                              <w:marBottom w:val="0"/>
                              <w:divBdr>
                                <w:top w:val="none" w:sz="0" w:space="0" w:color="auto"/>
                                <w:left w:val="none" w:sz="0" w:space="0" w:color="auto"/>
                                <w:bottom w:val="none" w:sz="0" w:space="0" w:color="auto"/>
                                <w:right w:val="none" w:sz="0" w:space="0" w:color="auto"/>
                              </w:divBdr>
                              <w:divsChild>
                                <w:div w:id="797146379">
                                  <w:marLeft w:val="0"/>
                                  <w:marRight w:val="0"/>
                                  <w:marTop w:val="0"/>
                                  <w:marBottom w:val="0"/>
                                  <w:divBdr>
                                    <w:top w:val="none" w:sz="0" w:space="0" w:color="auto"/>
                                    <w:left w:val="none" w:sz="0" w:space="0" w:color="auto"/>
                                    <w:bottom w:val="none" w:sz="0" w:space="0" w:color="auto"/>
                                    <w:right w:val="none" w:sz="0" w:space="0" w:color="auto"/>
                                  </w:divBdr>
                                  <w:divsChild>
                                    <w:div w:id="1783257432">
                                      <w:marLeft w:val="0"/>
                                      <w:marRight w:val="0"/>
                                      <w:marTop w:val="0"/>
                                      <w:marBottom w:val="0"/>
                                      <w:divBdr>
                                        <w:top w:val="none" w:sz="0" w:space="0" w:color="auto"/>
                                        <w:left w:val="none" w:sz="0" w:space="0" w:color="auto"/>
                                        <w:bottom w:val="none" w:sz="0" w:space="0" w:color="auto"/>
                                        <w:right w:val="none" w:sz="0" w:space="0" w:color="auto"/>
                                      </w:divBdr>
                                      <w:divsChild>
                                        <w:div w:id="2072193727">
                                          <w:marLeft w:val="0"/>
                                          <w:marRight w:val="0"/>
                                          <w:marTop w:val="0"/>
                                          <w:marBottom w:val="0"/>
                                          <w:divBdr>
                                            <w:top w:val="none" w:sz="0" w:space="0" w:color="auto"/>
                                            <w:left w:val="none" w:sz="0" w:space="0" w:color="auto"/>
                                            <w:bottom w:val="none" w:sz="0" w:space="0" w:color="auto"/>
                                            <w:right w:val="none" w:sz="0" w:space="0" w:color="auto"/>
                                          </w:divBdr>
                                          <w:divsChild>
                                            <w:div w:id="1611743853">
                                              <w:marLeft w:val="0"/>
                                              <w:marRight w:val="0"/>
                                              <w:marTop w:val="0"/>
                                              <w:marBottom w:val="0"/>
                                              <w:divBdr>
                                                <w:top w:val="single" w:sz="12" w:space="2" w:color="FFFFCC"/>
                                                <w:left w:val="single" w:sz="12" w:space="2" w:color="FFFFCC"/>
                                                <w:bottom w:val="single" w:sz="12" w:space="2" w:color="FFFFCC"/>
                                                <w:right w:val="single" w:sz="12" w:space="0" w:color="FFFFCC"/>
                                              </w:divBdr>
                                              <w:divsChild>
                                                <w:div w:id="496111279">
                                                  <w:marLeft w:val="0"/>
                                                  <w:marRight w:val="0"/>
                                                  <w:marTop w:val="0"/>
                                                  <w:marBottom w:val="0"/>
                                                  <w:divBdr>
                                                    <w:top w:val="none" w:sz="0" w:space="0" w:color="auto"/>
                                                    <w:left w:val="none" w:sz="0" w:space="0" w:color="auto"/>
                                                    <w:bottom w:val="none" w:sz="0" w:space="0" w:color="auto"/>
                                                    <w:right w:val="none" w:sz="0" w:space="0" w:color="auto"/>
                                                  </w:divBdr>
                                                  <w:divsChild>
                                                    <w:div w:id="1013414411">
                                                      <w:marLeft w:val="0"/>
                                                      <w:marRight w:val="0"/>
                                                      <w:marTop w:val="0"/>
                                                      <w:marBottom w:val="0"/>
                                                      <w:divBdr>
                                                        <w:top w:val="none" w:sz="0" w:space="0" w:color="auto"/>
                                                        <w:left w:val="none" w:sz="0" w:space="0" w:color="auto"/>
                                                        <w:bottom w:val="none" w:sz="0" w:space="0" w:color="auto"/>
                                                        <w:right w:val="none" w:sz="0" w:space="0" w:color="auto"/>
                                                      </w:divBdr>
                                                      <w:divsChild>
                                                        <w:div w:id="976226099">
                                                          <w:marLeft w:val="0"/>
                                                          <w:marRight w:val="0"/>
                                                          <w:marTop w:val="0"/>
                                                          <w:marBottom w:val="0"/>
                                                          <w:divBdr>
                                                            <w:top w:val="none" w:sz="0" w:space="0" w:color="auto"/>
                                                            <w:left w:val="none" w:sz="0" w:space="0" w:color="auto"/>
                                                            <w:bottom w:val="none" w:sz="0" w:space="0" w:color="auto"/>
                                                            <w:right w:val="none" w:sz="0" w:space="0" w:color="auto"/>
                                                          </w:divBdr>
                                                          <w:divsChild>
                                                            <w:div w:id="171188011">
                                                              <w:marLeft w:val="0"/>
                                                              <w:marRight w:val="0"/>
                                                              <w:marTop w:val="0"/>
                                                              <w:marBottom w:val="0"/>
                                                              <w:divBdr>
                                                                <w:top w:val="none" w:sz="0" w:space="0" w:color="auto"/>
                                                                <w:left w:val="none" w:sz="0" w:space="0" w:color="auto"/>
                                                                <w:bottom w:val="none" w:sz="0" w:space="0" w:color="auto"/>
                                                                <w:right w:val="none" w:sz="0" w:space="0" w:color="auto"/>
                                                              </w:divBdr>
                                                              <w:divsChild>
                                                                <w:div w:id="498235347">
                                                                  <w:marLeft w:val="0"/>
                                                                  <w:marRight w:val="0"/>
                                                                  <w:marTop w:val="0"/>
                                                                  <w:marBottom w:val="0"/>
                                                                  <w:divBdr>
                                                                    <w:top w:val="none" w:sz="0" w:space="0" w:color="auto"/>
                                                                    <w:left w:val="none" w:sz="0" w:space="0" w:color="auto"/>
                                                                    <w:bottom w:val="none" w:sz="0" w:space="0" w:color="auto"/>
                                                                    <w:right w:val="none" w:sz="0" w:space="0" w:color="auto"/>
                                                                  </w:divBdr>
                                                                  <w:divsChild>
                                                                    <w:div w:id="1429306704">
                                                                      <w:marLeft w:val="0"/>
                                                                      <w:marRight w:val="0"/>
                                                                      <w:marTop w:val="0"/>
                                                                      <w:marBottom w:val="0"/>
                                                                      <w:divBdr>
                                                                        <w:top w:val="none" w:sz="0" w:space="0" w:color="auto"/>
                                                                        <w:left w:val="none" w:sz="0" w:space="0" w:color="auto"/>
                                                                        <w:bottom w:val="none" w:sz="0" w:space="0" w:color="auto"/>
                                                                        <w:right w:val="none" w:sz="0" w:space="0" w:color="auto"/>
                                                                      </w:divBdr>
                                                                      <w:divsChild>
                                                                        <w:div w:id="1565531757">
                                                                          <w:marLeft w:val="0"/>
                                                                          <w:marRight w:val="0"/>
                                                                          <w:marTop w:val="0"/>
                                                                          <w:marBottom w:val="0"/>
                                                                          <w:divBdr>
                                                                            <w:top w:val="none" w:sz="0" w:space="0" w:color="auto"/>
                                                                            <w:left w:val="none" w:sz="0" w:space="0" w:color="auto"/>
                                                                            <w:bottom w:val="none" w:sz="0" w:space="0" w:color="auto"/>
                                                                            <w:right w:val="none" w:sz="0" w:space="0" w:color="auto"/>
                                                                          </w:divBdr>
                                                                          <w:divsChild>
                                                                            <w:div w:id="1796563884">
                                                                              <w:marLeft w:val="0"/>
                                                                              <w:marRight w:val="0"/>
                                                                              <w:marTop w:val="0"/>
                                                                              <w:marBottom w:val="0"/>
                                                                              <w:divBdr>
                                                                                <w:top w:val="none" w:sz="0" w:space="0" w:color="auto"/>
                                                                                <w:left w:val="none" w:sz="0" w:space="0" w:color="auto"/>
                                                                                <w:bottom w:val="none" w:sz="0" w:space="0" w:color="auto"/>
                                                                                <w:right w:val="none" w:sz="0" w:space="0" w:color="auto"/>
                                                                              </w:divBdr>
                                                                              <w:divsChild>
                                                                                <w:div w:id="1903635612">
                                                                                  <w:marLeft w:val="0"/>
                                                                                  <w:marRight w:val="0"/>
                                                                                  <w:marTop w:val="0"/>
                                                                                  <w:marBottom w:val="0"/>
                                                                                  <w:divBdr>
                                                                                    <w:top w:val="none" w:sz="0" w:space="0" w:color="auto"/>
                                                                                    <w:left w:val="none" w:sz="0" w:space="0" w:color="auto"/>
                                                                                    <w:bottom w:val="none" w:sz="0" w:space="0" w:color="auto"/>
                                                                                    <w:right w:val="none" w:sz="0" w:space="0" w:color="auto"/>
                                                                                  </w:divBdr>
                                                                                  <w:divsChild>
                                                                                    <w:div w:id="1155757004">
                                                                                      <w:marLeft w:val="0"/>
                                                                                      <w:marRight w:val="0"/>
                                                                                      <w:marTop w:val="0"/>
                                                                                      <w:marBottom w:val="0"/>
                                                                                      <w:divBdr>
                                                                                        <w:top w:val="none" w:sz="0" w:space="0" w:color="auto"/>
                                                                                        <w:left w:val="none" w:sz="0" w:space="0" w:color="auto"/>
                                                                                        <w:bottom w:val="none" w:sz="0" w:space="0" w:color="auto"/>
                                                                                        <w:right w:val="none" w:sz="0" w:space="0" w:color="auto"/>
                                                                                      </w:divBdr>
                                                                                      <w:divsChild>
                                                                                        <w:div w:id="286278235">
                                                                                          <w:marLeft w:val="0"/>
                                                                                          <w:marRight w:val="120"/>
                                                                                          <w:marTop w:val="0"/>
                                                                                          <w:marBottom w:val="150"/>
                                                                                          <w:divBdr>
                                                                                            <w:top w:val="single" w:sz="2" w:space="0" w:color="EFEFEF"/>
                                                                                            <w:left w:val="single" w:sz="6" w:space="0" w:color="EFEFEF"/>
                                                                                            <w:bottom w:val="single" w:sz="6" w:space="0" w:color="E2E2E2"/>
                                                                                            <w:right w:val="single" w:sz="6" w:space="0" w:color="EFEFEF"/>
                                                                                          </w:divBdr>
                                                                                          <w:divsChild>
                                                                                            <w:div w:id="265768719">
                                                                                              <w:marLeft w:val="0"/>
                                                                                              <w:marRight w:val="0"/>
                                                                                              <w:marTop w:val="0"/>
                                                                                              <w:marBottom w:val="0"/>
                                                                                              <w:divBdr>
                                                                                                <w:top w:val="none" w:sz="0" w:space="0" w:color="auto"/>
                                                                                                <w:left w:val="none" w:sz="0" w:space="0" w:color="auto"/>
                                                                                                <w:bottom w:val="none" w:sz="0" w:space="0" w:color="auto"/>
                                                                                                <w:right w:val="none" w:sz="0" w:space="0" w:color="auto"/>
                                                                                              </w:divBdr>
                                                                                              <w:divsChild>
                                                                                                <w:div w:id="5056195">
                                                                                                  <w:marLeft w:val="0"/>
                                                                                                  <w:marRight w:val="0"/>
                                                                                                  <w:marTop w:val="0"/>
                                                                                                  <w:marBottom w:val="0"/>
                                                                                                  <w:divBdr>
                                                                                                    <w:top w:val="none" w:sz="0" w:space="0" w:color="auto"/>
                                                                                                    <w:left w:val="none" w:sz="0" w:space="0" w:color="auto"/>
                                                                                                    <w:bottom w:val="none" w:sz="0" w:space="0" w:color="auto"/>
                                                                                                    <w:right w:val="none" w:sz="0" w:space="0" w:color="auto"/>
                                                                                                  </w:divBdr>
                                                                                                  <w:divsChild>
                                                                                                    <w:div w:id="731000141">
                                                                                                      <w:marLeft w:val="0"/>
                                                                                                      <w:marRight w:val="0"/>
                                                                                                      <w:marTop w:val="0"/>
                                                                                                      <w:marBottom w:val="0"/>
                                                                                                      <w:divBdr>
                                                                                                        <w:top w:val="none" w:sz="0" w:space="0" w:color="auto"/>
                                                                                                        <w:left w:val="none" w:sz="0" w:space="0" w:color="auto"/>
                                                                                                        <w:bottom w:val="none" w:sz="0" w:space="0" w:color="auto"/>
                                                                                                        <w:right w:val="none" w:sz="0" w:space="0" w:color="auto"/>
                                                                                                      </w:divBdr>
                                                                                                      <w:divsChild>
                                                                                                        <w:div w:id="2126925290">
                                                                                                          <w:marLeft w:val="0"/>
                                                                                                          <w:marRight w:val="0"/>
                                                                                                          <w:marTop w:val="0"/>
                                                                                                          <w:marBottom w:val="0"/>
                                                                                                          <w:divBdr>
                                                                                                            <w:top w:val="none" w:sz="0" w:space="0" w:color="auto"/>
                                                                                                            <w:left w:val="none" w:sz="0" w:space="0" w:color="auto"/>
                                                                                                            <w:bottom w:val="none" w:sz="0" w:space="0" w:color="auto"/>
                                                                                                            <w:right w:val="none" w:sz="0" w:space="0" w:color="auto"/>
                                                                                                          </w:divBdr>
                                                                                                          <w:divsChild>
                                                                                                            <w:div w:id="661664404">
                                                                                                              <w:marLeft w:val="0"/>
                                                                                                              <w:marRight w:val="0"/>
                                                                                                              <w:marTop w:val="0"/>
                                                                                                              <w:marBottom w:val="0"/>
                                                                                                              <w:divBdr>
                                                                                                                <w:top w:val="single" w:sz="2" w:space="4" w:color="D8D8D8"/>
                                                                                                                <w:left w:val="single" w:sz="2" w:space="0" w:color="D8D8D8"/>
                                                                                                                <w:bottom w:val="single" w:sz="2" w:space="4" w:color="D8D8D8"/>
                                                                                                                <w:right w:val="single" w:sz="2" w:space="0" w:color="D8D8D8"/>
                                                                                                              </w:divBdr>
                                                                                                              <w:divsChild>
                                                                                                                <w:div w:id="791481046">
                                                                                                                  <w:marLeft w:val="0"/>
                                                                                                                  <w:marRight w:val="0"/>
                                                                                                                  <w:marTop w:val="0"/>
                                                                                                                  <w:marBottom w:val="0"/>
                                                                                                                  <w:divBdr>
                                                                                                                    <w:top w:val="none" w:sz="0" w:space="0" w:color="auto"/>
                                                                                                                    <w:left w:val="none" w:sz="0" w:space="0" w:color="auto"/>
                                                                                                                    <w:bottom w:val="none" w:sz="0" w:space="0" w:color="auto"/>
                                                                                                                    <w:right w:val="none" w:sz="0" w:space="0" w:color="auto"/>
                                                                                                                  </w:divBdr>
                                                                                                                  <w:divsChild>
                                                                                                                    <w:div w:id="256134361">
                                                                                                                      <w:marLeft w:val="-570"/>
                                                                                                                      <w:marRight w:val="-45"/>
                                                                                                                      <w:marTop w:val="150"/>
                                                                                                                      <w:marBottom w:val="225"/>
                                                                                                                      <w:divBdr>
                                                                                                                        <w:top w:val="single" w:sz="6" w:space="0" w:color="D8D8D8"/>
                                                                                                                        <w:left w:val="single" w:sz="6" w:space="0" w:color="D8D8D8"/>
                                                                                                                        <w:bottom w:val="single" w:sz="6" w:space="0" w:color="D8D8D8"/>
                                                                                                                        <w:right w:val="single" w:sz="6" w:space="0" w:color="D8D8D8"/>
                                                                                                                      </w:divBdr>
                                                                                                                      <w:divsChild>
                                                                                                                        <w:div w:id="928460929">
                                                                                                                          <w:marLeft w:val="0"/>
                                                                                                                          <w:marRight w:val="0"/>
                                                                                                                          <w:marTop w:val="0"/>
                                                                                                                          <w:marBottom w:val="0"/>
                                                                                                                          <w:divBdr>
                                                                                                                            <w:top w:val="none" w:sz="0" w:space="0" w:color="auto"/>
                                                                                                                            <w:left w:val="none" w:sz="0" w:space="0" w:color="auto"/>
                                                                                                                            <w:bottom w:val="none" w:sz="0" w:space="0" w:color="auto"/>
                                                                                                                            <w:right w:val="none" w:sz="0" w:space="0" w:color="auto"/>
                                                                                                                          </w:divBdr>
                                                                                                                          <w:divsChild>
                                                                                                                            <w:div w:id="1077289936">
                                                                                                                              <w:marLeft w:val="-15"/>
                                                                                                                              <w:marRight w:val="-15"/>
                                                                                                                              <w:marTop w:val="0"/>
                                                                                                                              <w:marBottom w:val="0"/>
                                                                                                                              <w:divBdr>
                                                                                                                                <w:top w:val="single" w:sz="2" w:space="0" w:color="CFCFCF"/>
                                                                                                                                <w:left w:val="single" w:sz="6" w:space="0" w:color="CFCFCF"/>
                                                                                                                                <w:bottom w:val="single" w:sz="6" w:space="0" w:color="CFCFCF"/>
                                                                                                                                <w:right w:val="single" w:sz="6" w:space="0" w:color="CFCFCF"/>
                                                                                                                              </w:divBdr>
                                                                                                                              <w:divsChild>
                                                                                                                                <w:div w:id="1598520594">
                                                                                                                                  <w:marLeft w:val="0"/>
                                                                                                                                  <w:marRight w:val="0"/>
                                                                                                                                  <w:marTop w:val="0"/>
                                                                                                                                  <w:marBottom w:val="0"/>
                                                                                                                                  <w:divBdr>
                                                                                                                                    <w:top w:val="none" w:sz="0" w:space="0" w:color="auto"/>
                                                                                                                                    <w:left w:val="none" w:sz="0" w:space="0" w:color="auto"/>
                                                                                                                                    <w:bottom w:val="none" w:sz="0" w:space="0" w:color="auto"/>
                                                                                                                                    <w:right w:val="none" w:sz="0" w:space="0" w:color="auto"/>
                                                                                                                                  </w:divBdr>
                                                                                                                                  <w:divsChild>
                                                                                                                                    <w:div w:id="614097482">
                                                                                                                                      <w:marLeft w:val="0"/>
                                                                                                                                      <w:marRight w:val="0"/>
                                                                                                                                      <w:marTop w:val="0"/>
                                                                                                                                      <w:marBottom w:val="0"/>
                                                                                                                                      <w:divBdr>
                                                                                                                                        <w:top w:val="none" w:sz="0" w:space="0" w:color="auto"/>
                                                                                                                                        <w:left w:val="none" w:sz="0" w:space="0" w:color="auto"/>
                                                                                                                                        <w:bottom w:val="none" w:sz="0" w:space="0" w:color="auto"/>
                                                                                                                                        <w:right w:val="none" w:sz="0" w:space="0" w:color="auto"/>
                                                                                                                                      </w:divBdr>
                                                                                                                                    </w:div>
                                                                                                                                  </w:divsChild>
                                                                                                                                </w:div>
                                                                                                                                <w:div w:id="1357270507">
                                                                                                                                  <w:marLeft w:val="0"/>
                                                                                                                                  <w:marRight w:val="0"/>
                                                                                                                                  <w:marTop w:val="0"/>
                                                                                                                                  <w:marBottom w:val="0"/>
                                                                                                                                  <w:divBdr>
                                                                                                                                    <w:top w:val="none" w:sz="0" w:space="0" w:color="auto"/>
                                                                                                                                    <w:left w:val="none" w:sz="0" w:space="0" w:color="auto"/>
                                                                                                                                    <w:bottom w:val="none" w:sz="0" w:space="0" w:color="auto"/>
                                                                                                                                    <w:right w:val="none" w:sz="0" w:space="0" w:color="auto"/>
                                                                                                                                  </w:divBdr>
                                                                                                                                  <w:divsChild>
                                                                                                                                    <w:div w:id="1040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2366">
                                                                                                                              <w:marLeft w:val="0"/>
                                                                                                                              <w:marRight w:val="0"/>
                                                                                                                              <w:marTop w:val="30"/>
                                                                                                                              <w:marBottom w:val="0"/>
                                                                                                                              <w:divBdr>
                                                                                                                                <w:top w:val="none" w:sz="0" w:space="0" w:color="auto"/>
                                                                                                                                <w:left w:val="none" w:sz="0" w:space="0" w:color="auto"/>
                                                                                                                                <w:bottom w:val="none" w:sz="0" w:space="0" w:color="auto"/>
                                                                                                                                <w:right w:val="none" w:sz="0" w:space="0" w:color="auto"/>
                                                                                                                              </w:divBdr>
                                                                                                                            </w:div>
                                                                                                                          </w:divsChild>
                                                                                                                        </w:div>
                                                                                                                        <w:div w:id="1844276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3604825">
                                                                                                                  <w:marLeft w:val="225"/>
                                                                                                                  <w:marRight w:val="225"/>
                                                                                                                  <w:marTop w:val="75"/>
                                                                                                                  <w:marBottom w:val="75"/>
                                                                                                                  <w:divBdr>
                                                                                                                    <w:top w:val="none" w:sz="0" w:space="0" w:color="auto"/>
                                                                                                                    <w:left w:val="none" w:sz="0" w:space="0" w:color="auto"/>
                                                                                                                    <w:bottom w:val="none" w:sz="0" w:space="0" w:color="auto"/>
                                                                                                                    <w:right w:val="none" w:sz="0" w:space="0" w:color="auto"/>
                                                                                                                  </w:divBdr>
                                                                                                                  <w:divsChild>
                                                                                                                    <w:div w:id="2085831522">
                                                                                                                      <w:marLeft w:val="0"/>
                                                                                                                      <w:marRight w:val="0"/>
                                                                                                                      <w:marTop w:val="0"/>
                                                                                                                      <w:marBottom w:val="0"/>
                                                                                                                      <w:divBdr>
                                                                                                                        <w:top w:val="single" w:sz="6" w:space="0" w:color="auto"/>
                                                                                                                        <w:left w:val="single" w:sz="6" w:space="0" w:color="auto"/>
                                                                                                                        <w:bottom w:val="single" w:sz="6" w:space="0" w:color="auto"/>
                                                                                                                        <w:right w:val="single" w:sz="6" w:space="0" w:color="auto"/>
                                                                                                                      </w:divBdr>
                                                                                                                      <w:divsChild>
                                                                                                                        <w:div w:id="340084134">
                                                                                                                          <w:marLeft w:val="0"/>
                                                                                                                          <w:marRight w:val="0"/>
                                                                                                                          <w:marTop w:val="0"/>
                                                                                                                          <w:marBottom w:val="0"/>
                                                                                                                          <w:divBdr>
                                                                                                                            <w:top w:val="none" w:sz="0" w:space="0" w:color="auto"/>
                                                                                                                            <w:left w:val="none" w:sz="0" w:space="0" w:color="auto"/>
                                                                                                                            <w:bottom w:val="none" w:sz="0" w:space="0" w:color="auto"/>
                                                                                                                            <w:right w:val="none" w:sz="0" w:space="0" w:color="auto"/>
                                                                                                                          </w:divBdr>
                                                                                                                          <w:divsChild>
                                                                                                                            <w:div w:id="1020205802">
                                                                                                                              <w:marLeft w:val="0"/>
                                                                                                                              <w:marRight w:val="0"/>
                                                                                                                              <w:marTop w:val="0"/>
                                                                                                                              <w:marBottom w:val="0"/>
                                                                                                                              <w:divBdr>
                                                                                                                                <w:top w:val="none" w:sz="0" w:space="0" w:color="auto"/>
                                                                                                                                <w:left w:val="none" w:sz="0" w:space="0" w:color="auto"/>
                                                                                                                                <w:bottom w:val="none" w:sz="0" w:space="0" w:color="auto"/>
                                                                                                                                <w:right w:val="none" w:sz="0" w:space="0" w:color="auto"/>
                                                                                                                              </w:divBdr>
                                                                                                                            </w:div>
                                                                                                                            <w:div w:id="99418558">
                                                                                                                              <w:marLeft w:val="0"/>
                                                                                                                              <w:marRight w:val="0"/>
                                                                                                                              <w:marTop w:val="0"/>
                                                                                                                              <w:marBottom w:val="0"/>
                                                                                                                              <w:divBdr>
                                                                                                                                <w:top w:val="none" w:sz="0" w:space="0" w:color="auto"/>
                                                                                                                                <w:left w:val="none" w:sz="0" w:space="0" w:color="auto"/>
                                                                                                                                <w:bottom w:val="none" w:sz="0" w:space="0" w:color="auto"/>
                                                                                                                                <w:right w:val="none" w:sz="0" w:space="0" w:color="auto"/>
                                                                                                                              </w:divBdr>
                                                                                                                            </w:div>
                                                                                                                            <w:div w:id="1347058110">
                                                                                                                              <w:marLeft w:val="0"/>
                                                                                                                              <w:marRight w:val="0"/>
                                                                                                                              <w:marTop w:val="0"/>
                                                                                                                              <w:marBottom w:val="0"/>
                                                                                                                              <w:divBdr>
                                                                                                                                <w:top w:val="none" w:sz="0" w:space="0" w:color="auto"/>
                                                                                                                                <w:left w:val="none" w:sz="0" w:space="0" w:color="auto"/>
                                                                                                                                <w:bottom w:val="none" w:sz="0" w:space="0" w:color="auto"/>
                                                                                                                                <w:right w:val="none" w:sz="0" w:space="0" w:color="auto"/>
                                                                                                                              </w:divBdr>
                                                                                                                            </w:div>
                                                                                                                            <w:div w:id="316735965">
                                                                                                                              <w:marLeft w:val="0"/>
                                                                                                                              <w:marRight w:val="0"/>
                                                                                                                              <w:marTop w:val="0"/>
                                                                                                                              <w:marBottom w:val="0"/>
                                                                                                                              <w:divBdr>
                                                                                                                                <w:top w:val="none" w:sz="0" w:space="0" w:color="auto"/>
                                                                                                                                <w:left w:val="none" w:sz="0" w:space="0" w:color="auto"/>
                                                                                                                                <w:bottom w:val="none" w:sz="0" w:space="0" w:color="auto"/>
                                                                                                                                <w:right w:val="none" w:sz="0" w:space="0" w:color="auto"/>
                                                                                                                              </w:divBdr>
                                                                                                                            </w:div>
                                                                                                                            <w:div w:id="3405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4331">
      <w:bodyDiv w:val="1"/>
      <w:marLeft w:val="0"/>
      <w:marRight w:val="0"/>
      <w:marTop w:val="0"/>
      <w:marBottom w:val="0"/>
      <w:divBdr>
        <w:top w:val="none" w:sz="0" w:space="0" w:color="auto"/>
        <w:left w:val="none" w:sz="0" w:space="0" w:color="auto"/>
        <w:bottom w:val="none" w:sz="0" w:space="0" w:color="auto"/>
        <w:right w:val="none" w:sz="0" w:space="0" w:color="auto"/>
      </w:divBdr>
    </w:div>
    <w:div w:id="803237349">
      <w:bodyDiv w:val="1"/>
      <w:marLeft w:val="0"/>
      <w:marRight w:val="0"/>
      <w:marTop w:val="0"/>
      <w:marBottom w:val="0"/>
      <w:divBdr>
        <w:top w:val="none" w:sz="0" w:space="0" w:color="auto"/>
        <w:left w:val="none" w:sz="0" w:space="0" w:color="auto"/>
        <w:bottom w:val="none" w:sz="0" w:space="0" w:color="auto"/>
        <w:right w:val="none" w:sz="0" w:space="0" w:color="auto"/>
      </w:divBdr>
    </w:div>
    <w:div w:id="808673156">
      <w:bodyDiv w:val="1"/>
      <w:marLeft w:val="0"/>
      <w:marRight w:val="0"/>
      <w:marTop w:val="0"/>
      <w:marBottom w:val="0"/>
      <w:divBdr>
        <w:top w:val="none" w:sz="0" w:space="0" w:color="auto"/>
        <w:left w:val="none" w:sz="0" w:space="0" w:color="auto"/>
        <w:bottom w:val="none" w:sz="0" w:space="0" w:color="auto"/>
        <w:right w:val="none" w:sz="0" w:space="0" w:color="auto"/>
      </w:divBdr>
    </w:div>
    <w:div w:id="830022842">
      <w:bodyDiv w:val="1"/>
      <w:marLeft w:val="0"/>
      <w:marRight w:val="0"/>
      <w:marTop w:val="0"/>
      <w:marBottom w:val="0"/>
      <w:divBdr>
        <w:top w:val="none" w:sz="0" w:space="0" w:color="auto"/>
        <w:left w:val="none" w:sz="0" w:space="0" w:color="auto"/>
        <w:bottom w:val="none" w:sz="0" w:space="0" w:color="auto"/>
        <w:right w:val="none" w:sz="0" w:space="0" w:color="auto"/>
      </w:divBdr>
      <w:divsChild>
        <w:div w:id="35814363">
          <w:marLeft w:val="0"/>
          <w:marRight w:val="0"/>
          <w:marTop w:val="0"/>
          <w:marBottom w:val="0"/>
          <w:divBdr>
            <w:top w:val="none" w:sz="0" w:space="0" w:color="auto"/>
            <w:left w:val="none" w:sz="0" w:space="0" w:color="auto"/>
            <w:bottom w:val="none" w:sz="0" w:space="0" w:color="auto"/>
            <w:right w:val="none" w:sz="0" w:space="0" w:color="auto"/>
          </w:divBdr>
        </w:div>
        <w:div w:id="67308548">
          <w:marLeft w:val="0"/>
          <w:marRight w:val="0"/>
          <w:marTop w:val="0"/>
          <w:marBottom w:val="0"/>
          <w:divBdr>
            <w:top w:val="none" w:sz="0" w:space="0" w:color="auto"/>
            <w:left w:val="none" w:sz="0" w:space="0" w:color="auto"/>
            <w:bottom w:val="none" w:sz="0" w:space="0" w:color="auto"/>
            <w:right w:val="none" w:sz="0" w:space="0" w:color="auto"/>
          </w:divBdr>
        </w:div>
        <w:div w:id="99767529">
          <w:marLeft w:val="0"/>
          <w:marRight w:val="0"/>
          <w:marTop w:val="0"/>
          <w:marBottom w:val="0"/>
          <w:divBdr>
            <w:top w:val="none" w:sz="0" w:space="0" w:color="auto"/>
            <w:left w:val="none" w:sz="0" w:space="0" w:color="auto"/>
            <w:bottom w:val="none" w:sz="0" w:space="0" w:color="auto"/>
            <w:right w:val="none" w:sz="0" w:space="0" w:color="auto"/>
          </w:divBdr>
        </w:div>
        <w:div w:id="408310274">
          <w:marLeft w:val="0"/>
          <w:marRight w:val="0"/>
          <w:marTop w:val="0"/>
          <w:marBottom w:val="0"/>
          <w:divBdr>
            <w:top w:val="none" w:sz="0" w:space="0" w:color="auto"/>
            <w:left w:val="none" w:sz="0" w:space="0" w:color="auto"/>
            <w:bottom w:val="none" w:sz="0" w:space="0" w:color="auto"/>
            <w:right w:val="none" w:sz="0" w:space="0" w:color="auto"/>
          </w:divBdr>
        </w:div>
        <w:div w:id="568926221">
          <w:marLeft w:val="0"/>
          <w:marRight w:val="0"/>
          <w:marTop w:val="0"/>
          <w:marBottom w:val="0"/>
          <w:divBdr>
            <w:top w:val="none" w:sz="0" w:space="0" w:color="auto"/>
            <w:left w:val="none" w:sz="0" w:space="0" w:color="auto"/>
            <w:bottom w:val="none" w:sz="0" w:space="0" w:color="auto"/>
            <w:right w:val="none" w:sz="0" w:space="0" w:color="auto"/>
          </w:divBdr>
        </w:div>
        <w:div w:id="605772477">
          <w:marLeft w:val="0"/>
          <w:marRight w:val="0"/>
          <w:marTop w:val="0"/>
          <w:marBottom w:val="0"/>
          <w:divBdr>
            <w:top w:val="none" w:sz="0" w:space="0" w:color="auto"/>
            <w:left w:val="none" w:sz="0" w:space="0" w:color="auto"/>
            <w:bottom w:val="none" w:sz="0" w:space="0" w:color="auto"/>
            <w:right w:val="none" w:sz="0" w:space="0" w:color="auto"/>
          </w:divBdr>
        </w:div>
        <w:div w:id="823161210">
          <w:marLeft w:val="0"/>
          <w:marRight w:val="0"/>
          <w:marTop w:val="0"/>
          <w:marBottom w:val="0"/>
          <w:divBdr>
            <w:top w:val="none" w:sz="0" w:space="0" w:color="auto"/>
            <w:left w:val="none" w:sz="0" w:space="0" w:color="auto"/>
            <w:bottom w:val="none" w:sz="0" w:space="0" w:color="auto"/>
            <w:right w:val="none" w:sz="0" w:space="0" w:color="auto"/>
          </w:divBdr>
        </w:div>
        <w:div w:id="950817322">
          <w:marLeft w:val="0"/>
          <w:marRight w:val="0"/>
          <w:marTop w:val="0"/>
          <w:marBottom w:val="0"/>
          <w:divBdr>
            <w:top w:val="none" w:sz="0" w:space="0" w:color="auto"/>
            <w:left w:val="none" w:sz="0" w:space="0" w:color="auto"/>
            <w:bottom w:val="none" w:sz="0" w:space="0" w:color="auto"/>
            <w:right w:val="none" w:sz="0" w:space="0" w:color="auto"/>
          </w:divBdr>
        </w:div>
        <w:div w:id="960917579">
          <w:marLeft w:val="0"/>
          <w:marRight w:val="0"/>
          <w:marTop w:val="0"/>
          <w:marBottom w:val="0"/>
          <w:divBdr>
            <w:top w:val="none" w:sz="0" w:space="0" w:color="auto"/>
            <w:left w:val="none" w:sz="0" w:space="0" w:color="auto"/>
            <w:bottom w:val="none" w:sz="0" w:space="0" w:color="auto"/>
            <w:right w:val="none" w:sz="0" w:space="0" w:color="auto"/>
          </w:divBdr>
        </w:div>
        <w:div w:id="998075239">
          <w:marLeft w:val="0"/>
          <w:marRight w:val="0"/>
          <w:marTop w:val="0"/>
          <w:marBottom w:val="0"/>
          <w:divBdr>
            <w:top w:val="none" w:sz="0" w:space="0" w:color="auto"/>
            <w:left w:val="none" w:sz="0" w:space="0" w:color="auto"/>
            <w:bottom w:val="none" w:sz="0" w:space="0" w:color="auto"/>
            <w:right w:val="none" w:sz="0" w:space="0" w:color="auto"/>
          </w:divBdr>
        </w:div>
        <w:div w:id="1490517341">
          <w:marLeft w:val="0"/>
          <w:marRight w:val="0"/>
          <w:marTop w:val="0"/>
          <w:marBottom w:val="0"/>
          <w:divBdr>
            <w:top w:val="none" w:sz="0" w:space="0" w:color="auto"/>
            <w:left w:val="none" w:sz="0" w:space="0" w:color="auto"/>
            <w:bottom w:val="none" w:sz="0" w:space="0" w:color="auto"/>
            <w:right w:val="none" w:sz="0" w:space="0" w:color="auto"/>
          </w:divBdr>
        </w:div>
        <w:div w:id="1990472055">
          <w:marLeft w:val="0"/>
          <w:marRight w:val="0"/>
          <w:marTop w:val="0"/>
          <w:marBottom w:val="0"/>
          <w:divBdr>
            <w:top w:val="none" w:sz="0" w:space="0" w:color="auto"/>
            <w:left w:val="none" w:sz="0" w:space="0" w:color="auto"/>
            <w:bottom w:val="none" w:sz="0" w:space="0" w:color="auto"/>
            <w:right w:val="none" w:sz="0" w:space="0" w:color="auto"/>
          </w:divBdr>
        </w:div>
        <w:div w:id="2057972212">
          <w:marLeft w:val="0"/>
          <w:marRight w:val="0"/>
          <w:marTop w:val="0"/>
          <w:marBottom w:val="0"/>
          <w:divBdr>
            <w:top w:val="none" w:sz="0" w:space="0" w:color="auto"/>
            <w:left w:val="none" w:sz="0" w:space="0" w:color="auto"/>
            <w:bottom w:val="none" w:sz="0" w:space="0" w:color="auto"/>
            <w:right w:val="none" w:sz="0" w:space="0" w:color="auto"/>
          </w:divBdr>
        </w:div>
        <w:div w:id="2063171577">
          <w:marLeft w:val="0"/>
          <w:marRight w:val="0"/>
          <w:marTop w:val="0"/>
          <w:marBottom w:val="0"/>
          <w:divBdr>
            <w:top w:val="none" w:sz="0" w:space="0" w:color="auto"/>
            <w:left w:val="none" w:sz="0" w:space="0" w:color="auto"/>
            <w:bottom w:val="none" w:sz="0" w:space="0" w:color="auto"/>
            <w:right w:val="none" w:sz="0" w:space="0" w:color="auto"/>
          </w:divBdr>
        </w:div>
        <w:div w:id="2093701615">
          <w:marLeft w:val="0"/>
          <w:marRight w:val="0"/>
          <w:marTop w:val="0"/>
          <w:marBottom w:val="0"/>
          <w:divBdr>
            <w:top w:val="none" w:sz="0" w:space="0" w:color="auto"/>
            <w:left w:val="none" w:sz="0" w:space="0" w:color="auto"/>
            <w:bottom w:val="none" w:sz="0" w:space="0" w:color="auto"/>
            <w:right w:val="none" w:sz="0" w:space="0" w:color="auto"/>
          </w:divBdr>
        </w:div>
      </w:divsChild>
    </w:div>
    <w:div w:id="854460799">
      <w:bodyDiv w:val="1"/>
      <w:marLeft w:val="0"/>
      <w:marRight w:val="0"/>
      <w:marTop w:val="0"/>
      <w:marBottom w:val="0"/>
      <w:divBdr>
        <w:top w:val="none" w:sz="0" w:space="0" w:color="auto"/>
        <w:left w:val="none" w:sz="0" w:space="0" w:color="auto"/>
        <w:bottom w:val="none" w:sz="0" w:space="0" w:color="auto"/>
        <w:right w:val="none" w:sz="0" w:space="0" w:color="auto"/>
      </w:divBdr>
    </w:div>
    <w:div w:id="873540671">
      <w:bodyDiv w:val="1"/>
      <w:marLeft w:val="0"/>
      <w:marRight w:val="0"/>
      <w:marTop w:val="0"/>
      <w:marBottom w:val="0"/>
      <w:divBdr>
        <w:top w:val="none" w:sz="0" w:space="0" w:color="auto"/>
        <w:left w:val="none" w:sz="0" w:space="0" w:color="auto"/>
        <w:bottom w:val="none" w:sz="0" w:space="0" w:color="auto"/>
        <w:right w:val="none" w:sz="0" w:space="0" w:color="auto"/>
      </w:divBdr>
    </w:div>
    <w:div w:id="912935397">
      <w:bodyDiv w:val="1"/>
      <w:marLeft w:val="0"/>
      <w:marRight w:val="0"/>
      <w:marTop w:val="0"/>
      <w:marBottom w:val="0"/>
      <w:divBdr>
        <w:top w:val="none" w:sz="0" w:space="0" w:color="auto"/>
        <w:left w:val="none" w:sz="0" w:space="0" w:color="auto"/>
        <w:bottom w:val="none" w:sz="0" w:space="0" w:color="auto"/>
        <w:right w:val="none" w:sz="0" w:space="0" w:color="auto"/>
      </w:divBdr>
    </w:div>
    <w:div w:id="920218784">
      <w:bodyDiv w:val="1"/>
      <w:marLeft w:val="0"/>
      <w:marRight w:val="0"/>
      <w:marTop w:val="0"/>
      <w:marBottom w:val="0"/>
      <w:divBdr>
        <w:top w:val="none" w:sz="0" w:space="0" w:color="auto"/>
        <w:left w:val="none" w:sz="0" w:space="0" w:color="auto"/>
        <w:bottom w:val="none" w:sz="0" w:space="0" w:color="auto"/>
        <w:right w:val="none" w:sz="0" w:space="0" w:color="auto"/>
      </w:divBdr>
    </w:div>
    <w:div w:id="937256014">
      <w:bodyDiv w:val="1"/>
      <w:marLeft w:val="0"/>
      <w:marRight w:val="0"/>
      <w:marTop w:val="0"/>
      <w:marBottom w:val="0"/>
      <w:divBdr>
        <w:top w:val="none" w:sz="0" w:space="0" w:color="auto"/>
        <w:left w:val="none" w:sz="0" w:space="0" w:color="auto"/>
        <w:bottom w:val="none" w:sz="0" w:space="0" w:color="auto"/>
        <w:right w:val="none" w:sz="0" w:space="0" w:color="auto"/>
      </w:divBdr>
    </w:div>
    <w:div w:id="950285046">
      <w:bodyDiv w:val="1"/>
      <w:marLeft w:val="0"/>
      <w:marRight w:val="0"/>
      <w:marTop w:val="0"/>
      <w:marBottom w:val="0"/>
      <w:divBdr>
        <w:top w:val="none" w:sz="0" w:space="0" w:color="auto"/>
        <w:left w:val="none" w:sz="0" w:space="0" w:color="auto"/>
        <w:bottom w:val="none" w:sz="0" w:space="0" w:color="auto"/>
        <w:right w:val="none" w:sz="0" w:space="0" w:color="auto"/>
      </w:divBdr>
    </w:div>
    <w:div w:id="963848929">
      <w:bodyDiv w:val="1"/>
      <w:marLeft w:val="0"/>
      <w:marRight w:val="0"/>
      <w:marTop w:val="0"/>
      <w:marBottom w:val="0"/>
      <w:divBdr>
        <w:top w:val="none" w:sz="0" w:space="0" w:color="auto"/>
        <w:left w:val="none" w:sz="0" w:space="0" w:color="auto"/>
        <w:bottom w:val="none" w:sz="0" w:space="0" w:color="auto"/>
        <w:right w:val="none" w:sz="0" w:space="0" w:color="auto"/>
      </w:divBdr>
    </w:div>
    <w:div w:id="1027098972">
      <w:bodyDiv w:val="1"/>
      <w:marLeft w:val="0"/>
      <w:marRight w:val="0"/>
      <w:marTop w:val="0"/>
      <w:marBottom w:val="0"/>
      <w:divBdr>
        <w:top w:val="none" w:sz="0" w:space="0" w:color="auto"/>
        <w:left w:val="none" w:sz="0" w:space="0" w:color="auto"/>
        <w:bottom w:val="none" w:sz="0" w:space="0" w:color="auto"/>
        <w:right w:val="none" w:sz="0" w:space="0" w:color="auto"/>
      </w:divBdr>
    </w:div>
    <w:div w:id="1057819621">
      <w:bodyDiv w:val="1"/>
      <w:marLeft w:val="0"/>
      <w:marRight w:val="0"/>
      <w:marTop w:val="0"/>
      <w:marBottom w:val="0"/>
      <w:divBdr>
        <w:top w:val="none" w:sz="0" w:space="0" w:color="auto"/>
        <w:left w:val="none" w:sz="0" w:space="0" w:color="auto"/>
        <w:bottom w:val="none" w:sz="0" w:space="0" w:color="auto"/>
        <w:right w:val="none" w:sz="0" w:space="0" w:color="auto"/>
      </w:divBdr>
    </w:div>
    <w:div w:id="1070425634">
      <w:bodyDiv w:val="1"/>
      <w:marLeft w:val="0"/>
      <w:marRight w:val="0"/>
      <w:marTop w:val="0"/>
      <w:marBottom w:val="0"/>
      <w:divBdr>
        <w:top w:val="none" w:sz="0" w:space="0" w:color="auto"/>
        <w:left w:val="none" w:sz="0" w:space="0" w:color="auto"/>
        <w:bottom w:val="none" w:sz="0" w:space="0" w:color="auto"/>
        <w:right w:val="none" w:sz="0" w:space="0" w:color="auto"/>
      </w:divBdr>
    </w:div>
    <w:div w:id="1123885419">
      <w:bodyDiv w:val="1"/>
      <w:marLeft w:val="0"/>
      <w:marRight w:val="0"/>
      <w:marTop w:val="0"/>
      <w:marBottom w:val="0"/>
      <w:divBdr>
        <w:top w:val="none" w:sz="0" w:space="0" w:color="auto"/>
        <w:left w:val="none" w:sz="0" w:space="0" w:color="auto"/>
        <w:bottom w:val="none" w:sz="0" w:space="0" w:color="auto"/>
        <w:right w:val="none" w:sz="0" w:space="0" w:color="auto"/>
      </w:divBdr>
    </w:div>
    <w:div w:id="1184322610">
      <w:bodyDiv w:val="1"/>
      <w:marLeft w:val="0"/>
      <w:marRight w:val="0"/>
      <w:marTop w:val="0"/>
      <w:marBottom w:val="0"/>
      <w:divBdr>
        <w:top w:val="none" w:sz="0" w:space="0" w:color="auto"/>
        <w:left w:val="none" w:sz="0" w:space="0" w:color="auto"/>
        <w:bottom w:val="none" w:sz="0" w:space="0" w:color="auto"/>
        <w:right w:val="none" w:sz="0" w:space="0" w:color="auto"/>
      </w:divBdr>
    </w:div>
    <w:div w:id="1190098689">
      <w:bodyDiv w:val="1"/>
      <w:marLeft w:val="0"/>
      <w:marRight w:val="0"/>
      <w:marTop w:val="0"/>
      <w:marBottom w:val="0"/>
      <w:divBdr>
        <w:top w:val="none" w:sz="0" w:space="0" w:color="auto"/>
        <w:left w:val="none" w:sz="0" w:space="0" w:color="auto"/>
        <w:bottom w:val="none" w:sz="0" w:space="0" w:color="auto"/>
        <w:right w:val="none" w:sz="0" w:space="0" w:color="auto"/>
      </w:divBdr>
      <w:divsChild>
        <w:div w:id="68433007">
          <w:marLeft w:val="0"/>
          <w:marRight w:val="0"/>
          <w:marTop w:val="0"/>
          <w:marBottom w:val="0"/>
          <w:divBdr>
            <w:top w:val="none" w:sz="0" w:space="0" w:color="auto"/>
            <w:left w:val="none" w:sz="0" w:space="0" w:color="auto"/>
            <w:bottom w:val="none" w:sz="0" w:space="0" w:color="auto"/>
            <w:right w:val="none" w:sz="0" w:space="0" w:color="auto"/>
          </w:divBdr>
        </w:div>
        <w:div w:id="167719229">
          <w:marLeft w:val="0"/>
          <w:marRight w:val="0"/>
          <w:marTop w:val="0"/>
          <w:marBottom w:val="0"/>
          <w:divBdr>
            <w:top w:val="none" w:sz="0" w:space="0" w:color="auto"/>
            <w:left w:val="none" w:sz="0" w:space="0" w:color="auto"/>
            <w:bottom w:val="none" w:sz="0" w:space="0" w:color="auto"/>
            <w:right w:val="none" w:sz="0" w:space="0" w:color="auto"/>
          </w:divBdr>
        </w:div>
        <w:div w:id="227149494">
          <w:marLeft w:val="0"/>
          <w:marRight w:val="0"/>
          <w:marTop w:val="0"/>
          <w:marBottom w:val="0"/>
          <w:divBdr>
            <w:top w:val="none" w:sz="0" w:space="0" w:color="auto"/>
            <w:left w:val="none" w:sz="0" w:space="0" w:color="auto"/>
            <w:bottom w:val="none" w:sz="0" w:space="0" w:color="auto"/>
            <w:right w:val="none" w:sz="0" w:space="0" w:color="auto"/>
          </w:divBdr>
        </w:div>
        <w:div w:id="263077740">
          <w:marLeft w:val="0"/>
          <w:marRight w:val="0"/>
          <w:marTop w:val="0"/>
          <w:marBottom w:val="0"/>
          <w:divBdr>
            <w:top w:val="none" w:sz="0" w:space="0" w:color="auto"/>
            <w:left w:val="none" w:sz="0" w:space="0" w:color="auto"/>
            <w:bottom w:val="none" w:sz="0" w:space="0" w:color="auto"/>
            <w:right w:val="none" w:sz="0" w:space="0" w:color="auto"/>
          </w:divBdr>
        </w:div>
        <w:div w:id="319113314">
          <w:marLeft w:val="0"/>
          <w:marRight w:val="0"/>
          <w:marTop w:val="0"/>
          <w:marBottom w:val="0"/>
          <w:divBdr>
            <w:top w:val="none" w:sz="0" w:space="0" w:color="auto"/>
            <w:left w:val="none" w:sz="0" w:space="0" w:color="auto"/>
            <w:bottom w:val="none" w:sz="0" w:space="0" w:color="auto"/>
            <w:right w:val="none" w:sz="0" w:space="0" w:color="auto"/>
          </w:divBdr>
        </w:div>
        <w:div w:id="337779304">
          <w:marLeft w:val="0"/>
          <w:marRight w:val="0"/>
          <w:marTop w:val="0"/>
          <w:marBottom w:val="0"/>
          <w:divBdr>
            <w:top w:val="none" w:sz="0" w:space="0" w:color="auto"/>
            <w:left w:val="none" w:sz="0" w:space="0" w:color="auto"/>
            <w:bottom w:val="none" w:sz="0" w:space="0" w:color="auto"/>
            <w:right w:val="none" w:sz="0" w:space="0" w:color="auto"/>
          </w:divBdr>
        </w:div>
        <w:div w:id="413168914">
          <w:marLeft w:val="0"/>
          <w:marRight w:val="0"/>
          <w:marTop w:val="0"/>
          <w:marBottom w:val="0"/>
          <w:divBdr>
            <w:top w:val="none" w:sz="0" w:space="0" w:color="auto"/>
            <w:left w:val="none" w:sz="0" w:space="0" w:color="auto"/>
            <w:bottom w:val="none" w:sz="0" w:space="0" w:color="auto"/>
            <w:right w:val="none" w:sz="0" w:space="0" w:color="auto"/>
          </w:divBdr>
        </w:div>
        <w:div w:id="428620354">
          <w:marLeft w:val="0"/>
          <w:marRight w:val="0"/>
          <w:marTop w:val="0"/>
          <w:marBottom w:val="0"/>
          <w:divBdr>
            <w:top w:val="none" w:sz="0" w:space="0" w:color="auto"/>
            <w:left w:val="none" w:sz="0" w:space="0" w:color="auto"/>
            <w:bottom w:val="none" w:sz="0" w:space="0" w:color="auto"/>
            <w:right w:val="none" w:sz="0" w:space="0" w:color="auto"/>
          </w:divBdr>
        </w:div>
        <w:div w:id="501820920">
          <w:marLeft w:val="0"/>
          <w:marRight w:val="0"/>
          <w:marTop w:val="0"/>
          <w:marBottom w:val="0"/>
          <w:divBdr>
            <w:top w:val="none" w:sz="0" w:space="0" w:color="auto"/>
            <w:left w:val="none" w:sz="0" w:space="0" w:color="auto"/>
            <w:bottom w:val="none" w:sz="0" w:space="0" w:color="auto"/>
            <w:right w:val="none" w:sz="0" w:space="0" w:color="auto"/>
          </w:divBdr>
        </w:div>
        <w:div w:id="695736423">
          <w:marLeft w:val="0"/>
          <w:marRight w:val="0"/>
          <w:marTop w:val="0"/>
          <w:marBottom w:val="0"/>
          <w:divBdr>
            <w:top w:val="none" w:sz="0" w:space="0" w:color="auto"/>
            <w:left w:val="none" w:sz="0" w:space="0" w:color="auto"/>
            <w:bottom w:val="none" w:sz="0" w:space="0" w:color="auto"/>
            <w:right w:val="none" w:sz="0" w:space="0" w:color="auto"/>
          </w:divBdr>
        </w:div>
        <w:div w:id="951476826">
          <w:marLeft w:val="0"/>
          <w:marRight w:val="0"/>
          <w:marTop w:val="0"/>
          <w:marBottom w:val="0"/>
          <w:divBdr>
            <w:top w:val="none" w:sz="0" w:space="0" w:color="auto"/>
            <w:left w:val="none" w:sz="0" w:space="0" w:color="auto"/>
            <w:bottom w:val="none" w:sz="0" w:space="0" w:color="auto"/>
            <w:right w:val="none" w:sz="0" w:space="0" w:color="auto"/>
          </w:divBdr>
        </w:div>
        <w:div w:id="987906347">
          <w:marLeft w:val="0"/>
          <w:marRight w:val="0"/>
          <w:marTop w:val="0"/>
          <w:marBottom w:val="0"/>
          <w:divBdr>
            <w:top w:val="none" w:sz="0" w:space="0" w:color="auto"/>
            <w:left w:val="none" w:sz="0" w:space="0" w:color="auto"/>
            <w:bottom w:val="none" w:sz="0" w:space="0" w:color="auto"/>
            <w:right w:val="none" w:sz="0" w:space="0" w:color="auto"/>
          </w:divBdr>
        </w:div>
        <w:div w:id="1010327653">
          <w:marLeft w:val="0"/>
          <w:marRight w:val="0"/>
          <w:marTop w:val="0"/>
          <w:marBottom w:val="0"/>
          <w:divBdr>
            <w:top w:val="none" w:sz="0" w:space="0" w:color="auto"/>
            <w:left w:val="none" w:sz="0" w:space="0" w:color="auto"/>
            <w:bottom w:val="none" w:sz="0" w:space="0" w:color="auto"/>
            <w:right w:val="none" w:sz="0" w:space="0" w:color="auto"/>
          </w:divBdr>
        </w:div>
        <w:div w:id="1844854999">
          <w:marLeft w:val="0"/>
          <w:marRight w:val="0"/>
          <w:marTop w:val="0"/>
          <w:marBottom w:val="0"/>
          <w:divBdr>
            <w:top w:val="none" w:sz="0" w:space="0" w:color="auto"/>
            <w:left w:val="none" w:sz="0" w:space="0" w:color="auto"/>
            <w:bottom w:val="none" w:sz="0" w:space="0" w:color="auto"/>
            <w:right w:val="none" w:sz="0" w:space="0" w:color="auto"/>
          </w:divBdr>
        </w:div>
        <w:div w:id="2112503036">
          <w:marLeft w:val="0"/>
          <w:marRight w:val="0"/>
          <w:marTop w:val="0"/>
          <w:marBottom w:val="0"/>
          <w:divBdr>
            <w:top w:val="none" w:sz="0" w:space="0" w:color="auto"/>
            <w:left w:val="none" w:sz="0" w:space="0" w:color="auto"/>
            <w:bottom w:val="none" w:sz="0" w:space="0" w:color="auto"/>
            <w:right w:val="none" w:sz="0" w:space="0" w:color="auto"/>
          </w:divBdr>
        </w:div>
      </w:divsChild>
    </w:div>
    <w:div w:id="1252465397">
      <w:bodyDiv w:val="1"/>
      <w:marLeft w:val="0"/>
      <w:marRight w:val="0"/>
      <w:marTop w:val="0"/>
      <w:marBottom w:val="0"/>
      <w:divBdr>
        <w:top w:val="none" w:sz="0" w:space="0" w:color="auto"/>
        <w:left w:val="none" w:sz="0" w:space="0" w:color="auto"/>
        <w:bottom w:val="none" w:sz="0" w:space="0" w:color="auto"/>
        <w:right w:val="none" w:sz="0" w:space="0" w:color="auto"/>
      </w:divBdr>
    </w:div>
    <w:div w:id="1279021900">
      <w:bodyDiv w:val="1"/>
      <w:marLeft w:val="0"/>
      <w:marRight w:val="0"/>
      <w:marTop w:val="0"/>
      <w:marBottom w:val="0"/>
      <w:divBdr>
        <w:top w:val="none" w:sz="0" w:space="0" w:color="auto"/>
        <w:left w:val="none" w:sz="0" w:space="0" w:color="auto"/>
        <w:bottom w:val="none" w:sz="0" w:space="0" w:color="auto"/>
        <w:right w:val="none" w:sz="0" w:space="0" w:color="auto"/>
      </w:divBdr>
    </w:div>
    <w:div w:id="1330208856">
      <w:bodyDiv w:val="1"/>
      <w:marLeft w:val="0"/>
      <w:marRight w:val="0"/>
      <w:marTop w:val="0"/>
      <w:marBottom w:val="0"/>
      <w:divBdr>
        <w:top w:val="none" w:sz="0" w:space="0" w:color="auto"/>
        <w:left w:val="none" w:sz="0" w:space="0" w:color="auto"/>
        <w:bottom w:val="none" w:sz="0" w:space="0" w:color="auto"/>
        <w:right w:val="none" w:sz="0" w:space="0" w:color="auto"/>
      </w:divBdr>
    </w:div>
    <w:div w:id="1332567170">
      <w:bodyDiv w:val="1"/>
      <w:marLeft w:val="0"/>
      <w:marRight w:val="0"/>
      <w:marTop w:val="0"/>
      <w:marBottom w:val="0"/>
      <w:divBdr>
        <w:top w:val="none" w:sz="0" w:space="0" w:color="auto"/>
        <w:left w:val="none" w:sz="0" w:space="0" w:color="auto"/>
        <w:bottom w:val="none" w:sz="0" w:space="0" w:color="auto"/>
        <w:right w:val="none" w:sz="0" w:space="0" w:color="auto"/>
      </w:divBdr>
    </w:div>
    <w:div w:id="1516770272">
      <w:bodyDiv w:val="1"/>
      <w:marLeft w:val="0"/>
      <w:marRight w:val="0"/>
      <w:marTop w:val="0"/>
      <w:marBottom w:val="0"/>
      <w:divBdr>
        <w:top w:val="none" w:sz="0" w:space="0" w:color="auto"/>
        <w:left w:val="none" w:sz="0" w:space="0" w:color="auto"/>
        <w:bottom w:val="none" w:sz="0" w:space="0" w:color="auto"/>
        <w:right w:val="none" w:sz="0" w:space="0" w:color="auto"/>
      </w:divBdr>
    </w:div>
    <w:div w:id="1569267439">
      <w:bodyDiv w:val="1"/>
      <w:marLeft w:val="0"/>
      <w:marRight w:val="0"/>
      <w:marTop w:val="0"/>
      <w:marBottom w:val="0"/>
      <w:divBdr>
        <w:top w:val="none" w:sz="0" w:space="0" w:color="auto"/>
        <w:left w:val="none" w:sz="0" w:space="0" w:color="auto"/>
        <w:bottom w:val="none" w:sz="0" w:space="0" w:color="auto"/>
        <w:right w:val="none" w:sz="0" w:space="0" w:color="auto"/>
      </w:divBdr>
    </w:div>
    <w:div w:id="1580287853">
      <w:bodyDiv w:val="1"/>
      <w:marLeft w:val="0"/>
      <w:marRight w:val="0"/>
      <w:marTop w:val="0"/>
      <w:marBottom w:val="0"/>
      <w:divBdr>
        <w:top w:val="none" w:sz="0" w:space="0" w:color="auto"/>
        <w:left w:val="none" w:sz="0" w:space="0" w:color="auto"/>
        <w:bottom w:val="none" w:sz="0" w:space="0" w:color="auto"/>
        <w:right w:val="none" w:sz="0" w:space="0" w:color="auto"/>
      </w:divBdr>
    </w:div>
    <w:div w:id="1644655616">
      <w:bodyDiv w:val="1"/>
      <w:marLeft w:val="0"/>
      <w:marRight w:val="0"/>
      <w:marTop w:val="0"/>
      <w:marBottom w:val="0"/>
      <w:divBdr>
        <w:top w:val="none" w:sz="0" w:space="0" w:color="auto"/>
        <w:left w:val="none" w:sz="0" w:space="0" w:color="auto"/>
        <w:bottom w:val="none" w:sz="0" w:space="0" w:color="auto"/>
        <w:right w:val="none" w:sz="0" w:space="0" w:color="auto"/>
      </w:divBdr>
    </w:div>
    <w:div w:id="1644777615">
      <w:bodyDiv w:val="1"/>
      <w:marLeft w:val="0"/>
      <w:marRight w:val="0"/>
      <w:marTop w:val="0"/>
      <w:marBottom w:val="0"/>
      <w:divBdr>
        <w:top w:val="none" w:sz="0" w:space="0" w:color="auto"/>
        <w:left w:val="none" w:sz="0" w:space="0" w:color="auto"/>
        <w:bottom w:val="none" w:sz="0" w:space="0" w:color="auto"/>
        <w:right w:val="none" w:sz="0" w:space="0" w:color="auto"/>
      </w:divBdr>
      <w:divsChild>
        <w:div w:id="5404636">
          <w:marLeft w:val="0"/>
          <w:marRight w:val="0"/>
          <w:marTop w:val="0"/>
          <w:marBottom w:val="0"/>
          <w:divBdr>
            <w:top w:val="none" w:sz="0" w:space="0" w:color="auto"/>
            <w:left w:val="none" w:sz="0" w:space="0" w:color="auto"/>
            <w:bottom w:val="none" w:sz="0" w:space="0" w:color="auto"/>
            <w:right w:val="none" w:sz="0" w:space="0" w:color="auto"/>
          </w:divBdr>
        </w:div>
        <w:div w:id="303632139">
          <w:marLeft w:val="0"/>
          <w:marRight w:val="0"/>
          <w:marTop w:val="0"/>
          <w:marBottom w:val="0"/>
          <w:divBdr>
            <w:top w:val="none" w:sz="0" w:space="0" w:color="auto"/>
            <w:left w:val="none" w:sz="0" w:space="0" w:color="auto"/>
            <w:bottom w:val="none" w:sz="0" w:space="0" w:color="auto"/>
            <w:right w:val="none" w:sz="0" w:space="0" w:color="auto"/>
          </w:divBdr>
        </w:div>
        <w:div w:id="756904603">
          <w:marLeft w:val="0"/>
          <w:marRight w:val="0"/>
          <w:marTop w:val="0"/>
          <w:marBottom w:val="0"/>
          <w:divBdr>
            <w:top w:val="none" w:sz="0" w:space="0" w:color="auto"/>
            <w:left w:val="none" w:sz="0" w:space="0" w:color="auto"/>
            <w:bottom w:val="none" w:sz="0" w:space="0" w:color="auto"/>
            <w:right w:val="none" w:sz="0" w:space="0" w:color="auto"/>
          </w:divBdr>
        </w:div>
        <w:div w:id="893811283">
          <w:marLeft w:val="0"/>
          <w:marRight w:val="0"/>
          <w:marTop w:val="0"/>
          <w:marBottom w:val="0"/>
          <w:divBdr>
            <w:top w:val="none" w:sz="0" w:space="0" w:color="auto"/>
            <w:left w:val="none" w:sz="0" w:space="0" w:color="auto"/>
            <w:bottom w:val="none" w:sz="0" w:space="0" w:color="auto"/>
            <w:right w:val="none" w:sz="0" w:space="0" w:color="auto"/>
          </w:divBdr>
        </w:div>
        <w:div w:id="920483229">
          <w:marLeft w:val="0"/>
          <w:marRight w:val="0"/>
          <w:marTop w:val="0"/>
          <w:marBottom w:val="0"/>
          <w:divBdr>
            <w:top w:val="none" w:sz="0" w:space="0" w:color="auto"/>
            <w:left w:val="none" w:sz="0" w:space="0" w:color="auto"/>
            <w:bottom w:val="none" w:sz="0" w:space="0" w:color="auto"/>
            <w:right w:val="none" w:sz="0" w:space="0" w:color="auto"/>
          </w:divBdr>
        </w:div>
        <w:div w:id="953367232">
          <w:marLeft w:val="0"/>
          <w:marRight w:val="0"/>
          <w:marTop w:val="0"/>
          <w:marBottom w:val="0"/>
          <w:divBdr>
            <w:top w:val="none" w:sz="0" w:space="0" w:color="auto"/>
            <w:left w:val="none" w:sz="0" w:space="0" w:color="auto"/>
            <w:bottom w:val="none" w:sz="0" w:space="0" w:color="auto"/>
            <w:right w:val="none" w:sz="0" w:space="0" w:color="auto"/>
          </w:divBdr>
        </w:div>
        <w:div w:id="1283920138">
          <w:marLeft w:val="0"/>
          <w:marRight w:val="0"/>
          <w:marTop w:val="0"/>
          <w:marBottom w:val="0"/>
          <w:divBdr>
            <w:top w:val="none" w:sz="0" w:space="0" w:color="auto"/>
            <w:left w:val="none" w:sz="0" w:space="0" w:color="auto"/>
            <w:bottom w:val="none" w:sz="0" w:space="0" w:color="auto"/>
            <w:right w:val="none" w:sz="0" w:space="0" w:color="auto"/>
          </w:divBdr>
        </w:div>
        <w:div w:id="1348361372">
          <w:marLeft w:val="0"/>
          <w:marRight w:val="0"/>
          <w:marTop w:val="0"/>
          <w:marBottom w:val="0"/>
          <w:divBdr>
            <w:top w:val="none" w:sz="0" w:space="0" w:color="auto"/>
            <w:left w:val="none" w:sz="0" w:space="0" w:color="auto"/>
            <w:bottom w:val="none" w:sz="0" w:space="0" w:color="auto"/>
            <w:right w:val="none" w:sz="0" w:space="0" w:color="auto"/>
          </w:divBdr>
        </w:div>
        <w:div w:id="1573926445">
          <w:marLeft w:val="0"/>
          <w:marRight w:val="0"/>
          <w:marTop w:val="0"/>
          <w:marBottom w:val="0"/>
          <w:divBdr>
            <w:top w:val="none" w:sz="0" w:space="0" w:color="auto"/>
            <w:left w:val="none" w:sz="0" w:space="0" w:color="auto"/>
            <w:bottom w:val="none" w:sz="0" w:space="0" w:color="auto"/>
            <w:right w:val="none" w:sz="0" w:space="0" w:color="auto"/>
          </w:divBdr>
        </w:div>
        <w:div w:id="1601067604">
          <w:marLeft w:val="0"/>
          <w:marRight w:val="0"/>
          <w:marTop w:val="0"/>
          <w:marBottom w:val="0"/>
          <w:divBdr>
            <w:top w:val="none" w:sz="0" w:space="0" w:color="auto"/>
            <w:left w:val="none" w:sz="0" w:space="0" w:color="auto"/>
            <w:bottom w:val="none" w:sz="0" w:space="0" w:color="auto"/>
            <w:right w:val="none" w:sz="0" w:space="0" w:color="auto"/>
          </w:divBdr>
        </w:div>
        <w:div w:id="1765031073">
          <w:marLeft w:val="0"/>
          <w:marRight w:val="0"/>
          <w:marTop w:val="0"/>
          <w:marBottom w:val="0"/>
          <w:divBdr>
            <w:top w:val="none" w:sz="0" w:space="0" w:color="auto"/>
            <w:left w:val="none" w:sz="0" w:space="0" w:color="auto"/>
            <w:bottom w:val="none" w:sz="0" w:space="0" w:color="auto"/>
            <w:right w:val="none" w:sz="0" w:space="0" w:color="auto"/>
          </w:divBdr>
        </w:div>
        <w:div w:id="1947495257">
          <w:marLeft w:val="0"/>
          <w:marRight w:val="0"/>
          <w:marTop w:val="0"/>
          <w:marBottom w:val="0"/>
          <w:divBdr>
            <w:top w:val="none" w:sz="0" w:space="0" w:color="auto"/>
            <w:left w:val="none" w:sz="0" w:space="0" w:color="auto"/>
            <w:bottom w:val="none" w:sz="0" w:space="0" w:color="auto"/>
            <w:right w:val="none" w:sz="0" w:space="0" w:color="auto"/>
          </w:divBdr>
        </w:div>
        <w:div w:id="1999458400">
          <w:marLeft w:val="0"/>
          <w:marRight w:val="0"/>
          <w:marTop w:val="0"/>
          <w:marBottom w:val="0"/>
          <w:divBdr>
            <w:top w:val="none" w:sz="0" w:space="0" w:color="auto"/>
            <w:left w:val="none" w:sz="0" w:space="0" w:color="auto"/>
            <w:bottom w:val="none" w:sz="0" w:space="0" w:color="auto"/>
            <w:right w:val="none" w:sz="0" w:space="0" w:color="auto"/>
          </w:divBdr>
        </w:div>
        <w:div w:id="2015179789">
          <w:marLeft w:val="0"/>
          <w:marRight w:val="0"/>
          <w:marTop w:val="0"/>
          <w:marBottom w:val="0"/>
          <w:divBdr>
            <w:top w:val="none" w:sz="0" w:space="0" w:color="auto"/>
            <w:left w:val="none" w:sz="0" w:space="0" w:color="auto"/>
            <w:bottom w:val="none" w:sz="0" w:space="0" w:color="auto"/>
            <w:right w:val="none" w:sz="0" w:space="0" w:color="auto"/>
          </w:divBdr>
        </w:div>
        <w:div w:id="2077243671">
          <w:marLeft w:val="0"/>
          <w:marRight w:val="0"/>
          <w:marTop w:val="0"/>
          <w:marBottom w:val="0"/>
          <w:divBdr>
            <w:top w:val="none" w:sz="0" w:space="0" w:color="auto"/>
            <w:left w:val="none" w:sz="0" w:space="0" w:color="auto"/>
            <w:bottom w:val="none" w:sz="0" w:space="0" w:color="auto"/>
            <w:right w:val="none" w:sz="0" w:space="0" w:color="auto"/>
          </w:divBdr>
        </w:div>
      </w:divsChild>
    </w:div>
    <w:div w:id="1649625656">
      <w:bodyDiv w:val="1"/>
      <w:marLeft w:val="0"/>
      <w:marRight w:val="0"/>
      <w:marTop w:val="0"/>
      <w:marBottom w:val="0"/>
      <w:divBdr>
        <w:top w:val="none" w:sz="0" w:space="0" w:color="auto"/>
        <w:left w:val="none" w:sz="0" w:space="0" w:color="auto"/>
        <w:bottom w:val="none" w:sz="0" w:space="0" w:color="auto"/>
        <w:right w:val="none" w:sz="0" w:space="0" w:color="auto"/>
      </w:divBdr>
      <w:divsChild>
        <w:div w:id="82653541">
          <w:marLeft w:val="0"/>
          <w:marRight w:val="0"/>
          <w:marTop w:val="0"/>
          <w:marBottom w:val="0"/>
          <w:divBdr>
            <w:top w:val="none" w:sz="0" w:space="0" w:color="auto"/>
            <w:left w:val="none" w:sz="0" w:space="0" w:color="auto"/>
            <w:bottom w:val="none" w:sz="0" w:space="0" w:color="auto"/>
            <w:right w:val="none" w:sz="0" w:space="0" w:color="auto"/>
          </w:divBdr>
        </w:div>
        <w:div w:id="208539935">
          <w:marLeft w:val="0"/>
          <w:marRight w:val="0"/>
          <w:marTop w:val="0"/>
          <w:marBottom w:val="0"/>
          <w:divBdr>
            <w:top w:val="none" w:sz="0" w:space="0" w:color="auto"/>
            <w:left w:val="none" w:sz="0" w:space="0" w:color="auto"/>
            <w:bottom w:val="none" w:sz="0" w:space="0" w:color="auto"/>
            <w:right w:val="none" w:sz="0" w:space="0" w:color="auto"/>
          </w:divBdr>
        </w:div>
        <w:div w:id="631133623">
          <w:marLeft w:val="0"/>
          <w:marRight w:val="0"/>
          <w:marTop w:val="0"/>
          <w:marBottom w:val="0"/>
          <w:divBdr>
            <w:top w:val="none" w:sz="0" w:space="0" w:color="auto"/>
            <w:left w:val="none" w:sz="0" w:space="0" w:color="auto"/>
            <w:bottom w:val="none" w:sz="0" w:space="0" w:color="auto"/>
            <w:right w:val="none" w:sz="0" w:space="0" w:color="auto"/>
          </w:divBdr>
        </w:div>
        <w:div w:id="866454406">
          <w:marLeft w:val="0"/>
          <w:marRight w:val="0"/>
          <w:marTop w:val="0"/>
          <w:marBottom w:val="0"/>
          <w:divBdr>
            <w:top w:val="none" w:sz="0" w:space="0" w:color="auto"/>
            <w:left w:val="none" w:sz="0" w:space="0" w:color="auto"/>
            <w:bottom w:val="none" w:sz="0" w:space="0" w:color="auto"/>
            <w:right w:val="none" w:sz="0" w:space="0" w:color="auto"/>
          </w:divBdr>
        </w:div>
        <w:div w:id="1571888583">
          <w:marLeft w:val="0"/>
          <w:marRight w:val="0"/>
          <w:marTop w:val="0"/>
          <w:marBottom w:val="0"/>
          <w:divBdr>
            <w:top w:val="none" w:sz="0" w:space="0" w:color="auto"/>
            <w:left w:val="none" w:sz="0" w:space="0" w:color="auto"/>
            <w:bottom w:val="none" w:sz="0" w:space="0" w:color="auto"/>
            <w:right w:val="none" w:sz="0" w:space="0" w:color="auto"/>
          </w:divBdr>
        </w:div>
        <w:div w:id="1605723723">
          <w:marLeft w:val="0"/>
          <w:marRight w:val="0"/>
          <w:marTop w:val="0"/>
          <w:marBottom w:val="0"/>
          <w:divBdr>
            <w:top w:val="none" w:sz="0" w:space="0" w:color="auto"/>
            <w:left w:val="none" w:sz="0" w:space="0" w:color="auto"/>
            <w:bottom w:val="none" w:sz="0" w:space="0" w:color="auto"/>
            <w:right w:val="none" w:sz="0" w:space="0" w:color="auto"/>
          </w:divBdr>
        </w:div>
        <w:div w:id="1720936137">
          <w:marLeft w:val="0"/>
          <w:marRight w:val="0"/>
          <w:marTop w:val="0"/>
          <w:marBottom w:val="0"/>
          <w:divBdr>
            <w:top w:val="none" w:sz="0" w:space="0" w:color="auto"/>
            <w:left w:val="none" w:sz="0" w:space="0" w:color="auto"/>
            <w:bottom w:val="none" w:sz="0" w:space="0" w:color="auto"/>
            <w:right w:val="none" w:sz="0" w:space="0" w:color="auto"/>
          </w:divBdr>
        </w:div>
        <w:div w:id="1789884554">
          <w:marLeft w:val="0"/>
          <w:marRight w:val="0"/>
          <w:marTop w:val="0"/>
          <w:marBottom w:val="0"/>
          <w:divBdr>
            <w:top w:val="none" w:sz="0" w:space="0" w:color="auto"/>
            <w:left w:val="none" w:sz="0" w:space="0" w:color="auto"/>
            <w:bottom w:val="none" w:sz="0" w:space="0" w:color="auto"/>
            <w:right w:val="none" w:sz="0" w:space="0" w:color="auto"/>
          </w:divBdr>
        </w:div>
        <w:div w:id="1905139998">
          <w:marLeft w:val="0"/>
          <w:marRight w:val="0"/>
          <w:marTop w:val="0"/>
          <w:marBottom w:val="0"/>
          <w:divBdr>
            <w:top w:val="none" w:sz="0" w:space="0" w:color="auto"/>
            <w:left w:val="none" w:sz="0" w:space="0" w:color="auto"/>
            <w:bottom w:val="none" w:sz="0" w:space="0" w:color="auto"/>
            <w:right w:val="none" w:sz="0" w:space="0" w:color="auto"/>
          </w:divBdr>
        </w:div>
        <w:div w:id="1938445381">
          <w:marLeft w:val="0"/>
          <w:marRight w:val="0"/>
          <w:marTop w:val="0"/>
          <w:marBottom w:val="0"/>
          <w:divBdr>
            <w:top w:val="none" w:sz="0" w:space="0" w:color="auto"/>
            <w:left w:val="none" w:sz="0" w:space="0" w:color="auto"/>
            <w:bottom w:val="none" w:sz="0" w:space="0" w:color="auto"/>
            <w:right w:val="none" w:sz="0" w:space="0" w:color="auto"/>
          </w:divBdr>
        </w:div>
        <w:div w:id="2037464335">
          <w:marLeft w:val="0"/>
          <w:marRight w:val="0"/>
          <w:marTop w:val="0"/>
          <w:marBottom w:val="0"/>
          <w:divBdr>
            <w:top w:val="none" w:sz="0" w:space="0" w:color="auto"/>
            <w:left w:val="none" w:sz="0" w:space="0" w:color="auto"/>
            <w:bottom w:val="none" w:sz="0" w:space="0" w:color="auto"/>
            <w:right w:val="none" w:sz="0" w:space="0" w:color="auto"/>
          </w:divBdr>
        </w:div>
        <w:div w:id="2045203563">
          <w:marLeft w:val="0"/>
          <w:marRight w:val="0"/>
          <w:marTop w:val="0"/>
          <w:marBottom w:val="0"/>
          <w:divBdr>
            <w:top w:val="none" w:sz="0" w:space="0" w:color="auto"/>
            <w:left w:val="none" w:sz="0" w:space="0" w:color="auto"/>
            <w:bottom w:val="none" w:sz="0" w:space="0" w:color="auto"/>
            <w:right w:val="none" w:sz="0" w:space="0" w:color="auto"/>
          </w:divBdr>
        </w:div>
        <w:div w:id="2047441944">
          <w:marLeft w:val="0"/>
          <w:marRight w:val="0"/>
          <w:marTop w:val="0"/>
          <w:marBottom w:val="0"/>
          <w:divBdr>
            <w:top w:val="none" w:sz="0" w:space="0" w:color="auto"/>
            <w:left w:val="none" w:sz="0" w:space="0" w:color="auto"/>
            <w:bottom w:val="none" w:sz="0" w:space="0" w:color="auto"/>
            <w:right w:val="none" w:sz="0" w:space="0" w:color="auto"/>
          </w:divBdr>
        </w:div>
        <w:div w:id="2093697956">
          <w:marLeft w:val="0"/>
          <w:marRight w:val="0"/>
          <w:marTop w:val="0"/>
          <w:marBottom w:val="0"/>
          <w:divBdr>
            <w:top w:val="none" w:sz="0" w:space="0" w:color="auto"/>
            <w:left w:val="none" w:sz="0" w:space="0" w:color="auto"/>
            <w:bottom w:val="none" w:sz="0" w:space="0" w:color="auto"/>
            <w:right w:val="none" w:sz="0" w:space="0" w:color="auto"/>
          </w:divBdr>
        </w:div>
        <w:div w:id="2098280891">
          <w:marLeft w:val="0"/>
          <w:marRight w:val="0"/>
          <w:marTop w:val="0"/>
          <w:marBottom w:val="0"/>
          <w:divBdr>
            <w:top w:val="none" w:sz="0" w:space="0" w:color="auto"/>
            <w:left w:val="none" w:sz="0" w:space="0" w:color="auto"/>
            <w:bottom w:val="none" w:sz="0" w:space="0" w:color="auto"/>
            <w:right w:val="none" w:sz="0" w:space="0" w:color="auto"/>
          </w:divBdr>
        </w:div>
      </w:divsChild>
    </w:div>
    <w:div w:id="1651709610">
      <w:bodyDiv w:val="1"/>
      <w:marLeft w:val="0"/>
      <w:marRight w:val="0"/>
      <w:marTop w:val="0"/>
      <w:marBottom w:val="0"/>
      <w:divBdr>
        <w:top w:val="none" w:sz="0" w:space="0" w:color="auto"/>
        <w:left w:val="none" w:sz="0" w:space="0" w:color="auto"/>
        <w:bottom w:val="none" w:sz="0" w:space="0" w:color="auto"/>
        <w:right w:val="none" w:sz="0" w:space="0" w:color="auto"/>
      </w:divBdr>
    </w:div>
    <w:div w:id="1663850745">
      <w:bodyDiv w:val="1"/>
      <w:marLeft w:val="0"/>
      <w:marRight w:val="0"/>
      <w:marTop w:val="0"/>
      <w:marBottom w:val="0"/>
      <w:divBdr>
        <w:top w:val="none" w:sz="0" w:space="0" w:color="auto"/>
        <w:left w:val="none" w:sz="0" w:space="0" w:color="auto"/>
        <w:bottom w:val="none" w:sz="0" w:space="0" w:color="auto"/>
        <w:right w:val="none" w:sz="0" w:space="0" w:color="auto"/>
      </w:divBdr>
    </w:div>
    <w:div w:id="1754475373">
      <w:bodyDiv w:val="1"/>
      <w:marLeft w:val="0"/>
      <w:marRight w:val="0"/>
      <w:marTop w:val="0"/>
      <w:marBottom w:val="0"/>
      <w:divBdr>
        <w:top w:val="none" w:sz="0" w:space="0" w:color="auto"/>
        <w:left w:val="none" w:sz="0" w:space="0" w:color="auto"/>
        <w:bottom w:val="none" w:sz="0" w:space="0" w:color="auto"/>
        <w:right w:val="none" w:sz="0" w:space="0" w:color="auto"/>
      </w:divBdr>
    </w:div>
    <w:div w:id="1767191401">
      <w:bodyDiv w:val="1"/>
      <w:marLeft w:val="0"/>
      <w:marRight w:val="0"/>
      <w:marTop w:val="0"/>
      <w:marBottom w:val="0"/>
      <w:divBdr>
        <w:top w:val="none" w:sz="0" w:space="0" w:color="auto"/>
        <w:left w:val="none" w:sz="0" w:space="0" w:color="auto"/>
        <w:bottom w:val="none" w:sz="0" w:space="0" w:color="auto"/>
        <w:right w:val="none" w:sz="0" w:space="0" w:color="auto"/>
      </w:divBdr>
    </w:div>
    <w:div w:id="1771199061">
      <w:bodyDiv w:val="1"/>
      <w:marLeft w:val="0"/>
      <w:marRight w:val="0"/>
      <w:marTop w:val="0"/>
      <w:marBottom w:val="0"/>
      <w:divBdr>
        <w:top w:val="none" w:sz="0" w:space="0" w:color="auto"/>
        <w:left w:val="none" w:sz="0" w:space="0" w:color="auto"/>
        <w:bottom w:val="none" w:sz="0" w:space="0" w:color="auto"/>
        <w:right w:val="none" w:sz="0" w:space="0" w:color="auto"/>
      </w:divBdr>
    </w:div>
    <w:div w:id="1807966833">
      <w:bodyDiv w:val="1"/>
      <w:marLeft w:val="0"/>
      <w:marRight w:val="0"/>
      <w:marTop w:val="0"/>
      <w:marBottom w:val="0"/>
      <w:divBdr>
        <w:top w:val="none" w:sz="0" w:space="0" w:color="auto"/>
        <w:left w:val="none" w:sz="0" w:space="0" w:color="auto"/>
        <w:bottom w:val="none" w:sz="0" w:space="0" w:color="auto"/>
        <w:right w:val="none" w:sz="0" w:space="0" w:color="auto"/>
      </w:divBdr>
    </w:div>
    <w:div w:id="1826629272">
      <w:bodyDiv w:val="1"/>
      <w:marLeft w:val="0"/>
      <w:marRight w:val="0"/>
      <w:marTop w:val="0"/>
      <w:marBottom w:val="0"/>
      <w:divBdr>
        <w:top w:val="none" w:sz="0" w:space="0" w:color="auto"/>
        <w:left w:val="none" w:sz="0" w:space="0" w:color="auto"/>
        <w:bottom w:val="none" w:sz="0" w:space="0" w:color="auto"/>
        <w:right w:val="none" w:sz="0" w:space="0" w:color="auto"/>
      </w:divBdr>
    </w:div>
    <w:div w:id="1888490201">
      <w:bodyDiv w:val="1"/>
      <w:marLeft w:val="0"/>
      <w:marRight w:val="0"/>
      <w:marTop w:val="0"/>
      <w:marBottom w:val="0"/>
      <w:divBdr>
        <w:top w:val="none" w:sz="0" w:space="0" w:color="auto"/>
        <w:left w:val="none" w:sz="0" w:space="0" w:color="auto"/>
        <w:bottom w:val="none" w:sz="0" w:space="0" w:color="auto"/>
        <w:right w:val="none" w:sz="0" w:space="0" w:color="auto"/>
      </w:divBdr>
    </w:div>
    <w:div w:id="1971546300">
      <w:bodyDiv w:val="1"/>
      <w:marLeft w:val="0"/>
      <w:marRight w:val="0"/>
      <w:marTop w:val="0"/>
      <w:marBottom w:val="0"/>
      <w:divBdr>
        <w:top w:val="none" w:sz="0" w:space="0" w:color="auto"/>
        <w:left w:val="none" w:sz="0" w:space="0" w:color="auto"/>
        <w:bottom w:val="none" w:sz="0" w:space="0" w:color="auto"/>
        <w:right w:val="none" w:sz="0" w:space="0" w:color="auto"/>
      </w:divBdr>
    </w:div>
    <w:div w:id="2025284134">
      <w:bodyDiv w:val="1"/>
      <w:marLeft w:val="0"/>
      <w:marRight w:val="0"/>
      <w:marTop w:val="0"/>
      <w:marBottom w:val="0"/>
      <w:divBdr>
        <w:top w:val="none" w:sz="0" w:space="0" w:color="auto"/>
        <w:left w:val="none" w:sz="0" w:space="0" w:color="auto"/>
        <w:bottom w:val="none" w:sz="0" w:space="0" w:color="auto"/>
        <w:right w:val="none" w:sz="0" w:space="0" w:color="auto"/>
      </w:divBdr>
    </w:div>
    <w:div w:id="2052536888">
      <w:bodyDiv w:val="1"/>
      <w:marLeft w:val="0"/>
      <w:marRight w:val="0"/>
      <w:marTop w:val="0"/>
      <w:marBottom w:val="0"/>
      <w:divBdr>
        <w:top w:val="none" w:sz="0" w:space="0" w:color="auto"/>
        <w:left w:val="none" w:sz="0" w:space="0" w:color="auto"/>
        <w:bottom w:val="none" w:sz="0" w:space="0" w:color="auto"/>
        <w:right w:val="none" w:sz="0" w:space="0" w:color="auto"/>
      </w:divBdr>
    </w:div>
    <w:div w:id="2069650240">
      <w:bodyDiv w:val="1"/>
      <w:marLeft w:val="0"/>
      <w:marRight w:val="0"/>
      <w:marTop w:val="0"/>
      <w:marBottom w:val="0"/>
      <w:divBdr>
        <w:top w:val="none" w:sz="0" w:space="0" w:color="auto"/>
        <w:left w:val="none" w:sz="0" w:space="0" w:color="auto"/>
        <w:bottom w:val="none" w:sz="0" w:space="0" w:color="auto"/>
        <w:right w:val="none" w:sz="0" w:space="0" w:color="auto"/>
      </w:divBdr>
    </w:div>
    <w:div w:id="2092313264">
      <w:bodyDiv w:val="1"/>
      <w:marLeft w:val="0"/>
      <w:marRight w:val="0"/>
      <w:marTop w:val="0"/>
      <w:marBottom w:val="0"/>
      <w:divBdr>
        <w:top w:val="none" w:sz="0" w:space="0" w:color="auto"/>
        <w:left w:val="none" w:sz="0" w:space="0" w:color="auto"/>
        <w:bottom w:val="none" w:sz="0" w:space="0" w:color="auto"/>
        <w:right w:val="none" w:sz="0" w:space="0" w:color="auto"/>
      </w:divBdr>
    </w:div>
    <w:div w:id="21337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s://hbr.org/2010/03/the-best-way-to-measure-compan.html" TargetMode="External"/><Relationship Id="rId26" Type="http://schemas.openxmlformats.org/officeDocument/2006/relationships/oleObject" Target="embeddings/oleObject3.bin"/><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globenewswire.com/news-release/2014/01/22/603801/0/en/SSAB-and-Rautaruukki-to-combine-through-SSAB-making-a-recommended-share-exchange-offer-to-Rautaruukki-s-shareholders.html" TargetMode="External"/><Relationship Id="rId25" Type="http://schemas.openxmlformats.org/officeDocument/2006/relationships/image" Target="media/image4.emf"/><Relationship Id="rId33" Type="http://schemas.openxmlformats.org/officeDocument/2006/relationships/image" Target="media/image8.png"/><Relationship Id="rId38" Type="http://schemas.openxmlformats.org/officeDocument/2006/relationships/image" Target="media/image1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d.se/naringsliv/branscher/industri-och-fordon/ssab-tar-over-rautaruukki_8917712.svd" TargetMode="External"/><Relationship Id="rId20" Type="http://schemas.openxmlformats.org/officeDocument/2006/relationships/hyperlink" Target="http://www.sec.gov/answers/tender.htm" TargetMode="External"/><Relationship Id="rId29" Type="http://schemas.openxmlformats.org/officeDocument/2006/relationships/image" Target="media/image6.emf"/><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12.emf"/><Relationship Id="rId45"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3.emf"/><Relationship Id="rId28" Type="http://schemas.openxmlformats.org/officeDocument/2006/relationships/oleObject" Target="embeddings/oleObject4.bin"/><Relationship Id="rId36" Type="http://schemas.openxmlformats.org/officeDocument/2006/relationships/image" Target="media/image10.emf"/><Relationship Id="rId10" Type="http://schemas.openxmlformats.org/officeDocument/2006/relationships/diagramQuickStyle" Target="diagrams/quickStyle1.xml"/><Relationship Id="rId19" Type="http://schemas.openxmlformats.org/officeDocument/2006/relationships/hyperlink" Target="http://www.ifrs.org/Use-around-the-world/Documents/Jurisdiction-profiles/Sweden-IFRS-Profile.pdf" TargetMode="External"/><Relationship Id="rId31" Type="http://schemas.openxmlformats.org/officeDocument/2006/relationships/image" Target="media/image7.emf"/><Relationship Id="rId44"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oleObject" Target="embeddings/oleObject1.bin"/><Relationship Id="rId27" Type="http://schemas.openxmlformats.org/officeDocument/2006/relationships/image" Target="media/image5.e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heodor%20&#214;stlund\Downloads\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wfpcluster03.uw.lu.se\cek11aha$\Documents\Dat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Transactions per Year</a:t>
            </a:r>
          </a:p>
        </c:rich>
      </c:tx>
      <c:layout>
        <c:manualLayout>
          <c:xMode val="edge"/>
          <c:yMode val="edge"/>
          <c:x val="0.28694444444444445"/>
          <c:y val="0"/>
        </c:manualLayout>
      </c:layout>
      <c:overlay val="0"/>
      <c:spPr>
        <a:noFill/>
        <a:ln>
          <a:noFill/>
        </a:ln>
        <a:effectLst/>
      </c:spPr>
    </c:title>
    <c:autoTitleDeleted val="0"/>
    <c:plotArea>
      <c:layout>
        <c:manualLayout>
          <c:layoutTarget val="inner"/>
          <c:xMode val="edge"/>
          <c:yMode val="edge"/>
          <c:x val="0.10324759405074364"/>
          <c:y val="0.17759381428672769"/>
          <c:w val="0.84814140419947504"/>
          <c:h val="0.65499089640821928"/>
        </c:manualLayout>
      </c:layout>
      <c:barChart>
        <c:barDir val="col"/>
        <c:grouping val="clustered"/>
        <c:varyColors val="0"/>
        <c:ser>
          <c:idx val="0"/>
          <c:order val="0"/>
          <c:tx>
            <c:v>Transactions per Year</c:v>
          </c:tx>
          <c:spPr>
            <a:solidFill>
              <a:schemeClr val="accent1"/>
            </a:solidFill>
            <a:ln>
              <a:noFill/>
            </a:ln>
            <a:effectLst/>
          </c:spPr>
          <c:invertIfNegative val="0"/>
          <c:cat>
            <c:numRef>
              <c:f>[Data.xlsx]Sheet1!$I$2:$I$9</c:f>
              <c:numCache>
                <c:formatCode>General</c:formatCode>
                <c:ptCount val="8"/>
                <c:pt idx="0">
                  <c:v>2004</c:v>
                </c:pt>
                <c:pt idx="1">
                  <c:v>2005</c:v>
                </c:pt>
                <c:pt idx="2">
                  <c:v>2006</c:v>
                </c:pt>
                <c:pt idx="3">
                  <c:v>2007</c:v>
                </c:pt>
                <c:pt idx="4">
                  <c:v>2008</c:v>
                </c:pt>
                <c:pt idx="5">
                  <c:v>2009</c:v>
                </c:pt>
                <c:pt idx="6">
                  <c:v>2010</c:v>
                </c:pt>
                <c:pt idx="7">
                  <c:v>2011</c:v>
                </c:pt>
              </c:numCache>
            </c:numRef>
          </c:cat>
          <c:val>
            <c:numRef>
              <c:f>[Data.xlsx]Sheet1!$J$2:$J$9</c:f>
              <c:numCache>
                <c:formatCode>General</c:formatCode>
                <c:ptCount val="8"/>
                <c:pt idx="0">
                  <c:v>4</c:v>
                </c:pt>
                <c:pt idx="1">
                  <c:v>10</c:v>
                </c:pt>
                <c:pt idx="2">
                  <c:v>10</c:v>
                </c:pt>
                <c:pt idx="3">
                  <c:v>13</c:v>
                </c:pt>
                <c:pt idx="4">
                  <c:v>8</c:v>
                </c:pt>
                <c:pt idx="5">
                  <c:v>9</c:v>
                </c:pt>
                <c:pt idx="6">
                  <c:v>5</c:v>
                </c:pt>
                <c:pt idx="7">
                  <c:v>5</c:v>
                </c:pt>
              </c:numCache>
            </c:numRef>
          </c:val>
        </c:ser>
        <c:dLbls>
          <c:showLegendKey val="0"/>
          <c:showVal val="0"/>
          <c:showCatName val="0"/>
          <c:showSerName val="0"/>
          <c:showPercent val="0"/>
          <c:showBubbleSize val="0"/>
        </c:dLbls>
        <c:gapWidth val="219"/>
        <c:overlap val="-27"/>
        <c:axId val="275804520"/>
        <c:axId val="143326872"/>
      </c:barChart>
      <c:catAx>
        <c:axId val="27580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v-SE"/>
          </a:p>
        </c:txPr>
        <c:crossAx val="143326872"/>
        <c:crosses val="autoZero"/>
        <c:auto val="1"/>
        <c:lblAlgn val="ctr"/>
        <c:lblOffset val="100"/>
        <c:noMultiLvlLbl val="0"/>
      </c:catAx>
      <c:valAx>
        <c:axId val="143326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v-SE"/>
          </a:p>
        </c:txPr>
        <c:crossAx val="275804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pieChart>
        <c:varyColors val="1"/>
        <c:ser>
          <c:idx val="0"/>
          <c:order val="0"/>
          <c:tx>
            <c:v>Distribution of Sample by Country</c:v>
          </c:tx>
          <c:dPt>
            <c:idx val="0"/>
            <c:bubble3D val="0"/>
            <c:spPr>
              <a:solidFill>
                <a:schemeClr val="accent1">
                  <a:shade val="58000"/>
                </a:schemeClr>
              </a:solidFill>
              <a:ln>
                <a:noFill/>
              </a:ln>
              <a:effectLst/>
            </c:spPr>
          </c:dPt>
          <c:dPt>
            <c:idx val="1"/>
            <c:bubble3D val="0"/>
            <c:spPr>
              <a:solidFill>
                <a:schemeClr val="accent1">
                  <a:shade val="86000"/>
                </a:schemeClr>
              </a:solidFill>
              <a:ln>
                <a:noFill/>
              </a:ln>
              <a:effectLst/>
            </c:spPr>
          </c:dPt>
          <c:dPt>
            <c:idx val="2"/>
            <c:bubble3D val="0"/>
            <c:spPr>
              <a:solidFill>
                <a:schemeClr val="accent1">
                  <a:tint val="86000"/>
                </a:schemeClr>
              </a:solidFill>
              <a:ln>
                <a:noFill/>
              </a:ln>
              <a:effectLst/>
            </c:spPr>
          </c:dPt>
          <c:dPt>
            <c:idx val="3"/>
            <c:bubble3D val="0"/>
            <c:spPr>
              <a:solidFill>
                <a:schemeClr val="accent1">
                  <a:tint val="58000"/>
                </a:schemeClr>
              </a:solidFill>
              <a:ln>
                <a:noFill/>
              </a:ln>
              <a:effectLst/>
            </c:spPr>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v-SE"/>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Sheet1!$L$4:$L$8</c:f>
              <c:strCache>
                <c:ptCount val="4"/>
                <c:pt idx="0">
                  <c:v>Denmark</c:v>
                </c:pt>
                <c:pt idx="1">
                  <c:v>Finland</c:v>
                </c:pt>
                <c:pt idx="2">
                  <c:v>Norway</c:v>
                </c:pt>
                <c:pt idx="3">
                  <c:v>Sweden</c:v>
                </c:pt>
              </c:strCache>
            </c:strRef>
          </c:cat>
          <c:val>
            <c:numRef>
              <c:f>Sheet1!$M$4:$M$7</c:f>
              <c:numCache>
                <c:formatCode>General</c:formatCode>
                <c:ptCount val="4"/>
                <c:pt idx="0">
                  <c:v>5</c:v>
                </c:pt>
                <c:pt idx="1">
                  <c:v>16</c:v>
                </c:pt>
                <c:pt idx="2">
                  <c:v>15</c:v>
                </c:pt>
                <c:pt idx="3">
                  <c:v>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v-SE"/>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sv-SE"/>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C74842-3857-4AD9-94DA-373A8B77481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DBCF3B5-415B-4B88-9CE3-AC9C5A1B5305}">
      <dgm:prSet phldrT="[Text]"/>
      <dgm:spPr>
        <a:xfrm rot="5400000">
          <a:off x="-235626" y="237242"/>
          <a:ext cx="1570843" cy="109959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Theoretical Framework</a:t>
          </a:r>
        </a:p>
      </dgm:t>
    </dgm:pt>
    <dgm:pt modelId="{F22E80E2-A015-47D3-8EF4-787869B95684}" type="parTrans" cxnId="{FB9CD9A3-F18B-4296-9659-EA42A597D9DB}">
      <dgm:prSet/>
      <dgm:spPr/>
      <dgm:t>
        <a:bodyPr/>
        <a:lstStyle/>
        <a:p>
          <a:endParaRPr lang="en-US"/>
        </a:p>
      </dgm:t>
    </dgm:pt>
    <dgm:pt modelId="{1F21E48E-7A48-45D0-8300-8828F83D2FF1}" type="sibTrans" cxnId="{FB9CD9A3-F18B-4296-9659-EA42A597D9DB}">
      <dgm:prSet/>
      <dgm:spPr/>
      <dgm:t>
        <a:bodyPr/>
        <a:lstStyle/>
        <a:p>
          <a:endParaRPr lang="en-US"/>
        </a:p>
      </dgm:t>
    </dgm:pt>
    <dgm:pt modelId="{224B64A6-A787-4084-B1F1-F5241B155750}">
      <dgm:prSet phldrT="[Text]"/>
      <dgm:spPr>
        <a:xfrm rot="5400000">
          <a:off x="3018056" y="-1916849"/>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chapter two the theoretical framework is presented. This framework will be used as a relevant foundation to base and support this thesis on. Such theories include motives for mergers and acquisitions, efficient market hypothesis and asymmetric information. In chapter two a revision of previous studies that are relevant and of importance to our thesis and discussion has been made.</a:t>
          </a:r>
        </a:p>
      </dgm:t>
    </dgm:pt>
    <dgm:pt modelId="{976DEB41-D1E1-4069-8F43-4A520122EFFB}" type="parTrans" cxnId="{BEA7DA35-85B5-4956-9CE0-C7D053C9021B}">
      <dgm:prSet/>
      <dgm:spPr/>
      <dgm:t>
        <a:bodyPr/>
        <a:lstStyle/>
        <a:p>
          <a:endParaRPr lang="en-US"/>
        </a:p>
      </dgm:t>
    </dgm:pt>
    <dgm:pt modelId="{8130D272-98A3-4E26-B31A-DCFDE27EADD0}" type="sibTrans" cxnId="{BEA7DA35-85B5-4956-9CE0-C7D053C9021B}">
      <dgm:prSet/>
      <dgm:spPr/>
      <dgm:t>
        <a:bodyPr/>
        <a:lstStyle/>
        <a:p>
          <a:endParaRPr lang="en-US"/>
        </a:p>
      </dgm:t>
    </dgm:pt>
    <dgm:pt modelId="{F202F598-8B14-49AF-9E6D-C14CE98C5D70}">
      <dgm:prSet phldrT="[Text]"/>
      <dgm:spPr>
        <a:xfrm rot="5400000">
          <a:off x="-235626" y="1690382"/>
          <a:ext cx="1570843" cy="109959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Methodology</a:t>
          </a:r>
        </a:p>
      </dgm:t>
    </dgm:pt>
    <dgm:pt modelId="{422EFEBB-878E-4D7D-B841-7B6FC5FCE413}" type="parTrans" cxnId="{75AA7766-4504-4CBA-A2B7-A47A308669A1}">
      <dgm:prSet/>
      <dgm:spPr/>
      <dgm:t>
        <a:bodyPr/>
        <a:lstStyle/>
        <a:p>
          <a:endParaRPr lang="en-US"/>
        </a:p>
      </dgm:t>
    </dgm:pt>
    <dgm:pt modelId="{797E995C-9624-4432-B680-8621396A3F68}" type="sibTrans" cxnId="{75AA7766-4504-4CBA-A2B7-A47A308669A1}">
      <dgm:prSet/>
      <dgm:spPr/>
      <dgm:t>
        <a:bodyPr/>
        <a:lstStyle/>
        <a:p>
          <a:endParaRPr lang="en-US"/>
        </a:p>
      </dgm:t>
    </dgm:pt>
    <dgm:pt modelId="{7AD7ABC2-42B5-491A-AC86-3C74F0994253}">
      <dgm:prSet phldrT="[Text]"/>
      <dgm:spPr>
        <a:xfrm rot="5400000">
          <a:off x="3018056" y="-463709"/>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third chapter in this study concerns the methodology used. Firstly, a discussion about the choice of approach for the research design will be made, followed by a description by the models used in the study. Criteria for the sample selection and methods used to collect data are also presented in the third chapter.</a:t>
          </a:r>
        </a:p>
      </dgm:t>
    </dgm:pt>
    <dgm:pt modelId="{05F9C7A3-B68C-415C-8052-F9FC43494645}" type="parTrans" cxnId="{FB55C1D4-0EBC-4F3C-A912-E0E054922019}">
      <dgm:prSet/>
      <dgm:spPr/>
      <dgm:t>
        <a:bodyPr/>
        <a:lstStyle/>
        <a:p>
          <a:endParaRPr lang="en-US"/>
        </a:p>
      </dgm:t>
    </dgm:pt>
    <dgm:pt modelId="{12E64A65-9E75-4339-9DA2-41B73DC00BA2}" type="sibTrans" cxnId="{FB55C1D4-0EBC-4F3C-A912-E0E054922019}">
      <dgm:prSet/>
      <dgm:spPr/>
      <dgm:t>
        <a:bodyPr/>
        <a:lstStyle/>
        <a:p>
          <a:endParaRPr lang="en-US"/>
        </a:p>
      </dgm:t>
    </dgm:pt>
    <dgm:pt modelId="{E0107792-2D75-43DD-8BFC-87EF782AE280}">
      <dgm:prSet phldrT="[Text]"/>
      <dgm:spPr>
        <a:xfrm rot="5400000">
          <a:off x="-235626" y="3143523"/>
          <a:ext cx="1570843" cy="109959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Results</a:t>
          </a:r>
        </a:p>
      </dgm:t>
    </dgm:pt>
    <dgm:pt modelId="{F57F0C48-EF78-4219-9CA9-AAE257400D67}" type="parTrans" cxnId="{B32E9E15-F00B-47A6-8DEB-35CAA01CA419}">
      <dgm:prSet/>
      <dgm:spPr/>
      <dgm:t>
        <a:bodyPr/>
        <a:lstStyle/>
        <a:p>
          <a:endParaRPr lang="en-US"/>
        </a:p>
      </dgm:t>
    </dgm:pt>
    <dgm:pt modelId="{4216199F-E8EA-43A3-945B-19E7A8FE2683}" type="sibTrans" cxnId="{B32E9E15-F00B-47A6-8DEB-35CAA01CA419}">
      <dgm:prSet/>
      <dgm:spPr/>
      <dgm:t>
        <a:bodyPr/>
        <a:lstStyle/>
        <a:p>
          <a:endParaRPr lang="en-US"/>
        </a:p>
      </dgm:t>
    </dgm:pt>
    <dgm:pt modelId="{6214B1BE-F9BD-47C0-83BF-94276336B6E7}">
      <dgm:prSet phldrT="[Text]"/>
      <dgm:spPr>
        <a:xfrm rot="5400000">
          <a:off x="-235626" y="6049804"/>
          <a:ext cx="1570843" cy="109959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Conclusion</a:t>
          </a:r>
        </a:p>
      </dgm:t>
    </dgm:pt>
    <dgm:pt modelId="{9E6489EE-6F75-4336-8ED2-74018C9B5030}" type="parTrans" cxnId="{ED0E2638-427D-4338-BEF0-F527B95CA2F3}">
      <dgm:prSet/>
      <dgm:spPr/>
      <dgm:t>
        <a:bodyPr/>
        <a:lstStyle/>
        <a:p>
          <a:endParaRPr lang="en-US"/>
        </a:p>
      </dgm:t>
    </dgm:pt>
    <dgm:pt modelId="{B8747484-C69C-4A8F-B8F1-998484B7FBC8}" type="sibTrans" cxnId="{ED0E2638-427D-4338-BEF0-F527B95CA2F3}">
      <dgm:prSet/>
      <dgm:spPr/>
      <dgm:t>
        <a:bodyPr/>
        <a:lstStyle/>
        <a:p>
          <a:endParaRPr lang="en-US"/>
        </a:p>
      </dgm:t>
    </dgm:pt>
    <dgm:pt modelId="{D8412166-81D0-4E13-A4D9-0FC00231877A}">
      <dgm:prSet phldrT="[Text]"/>
      <dgm:spPr>
        <a:xfrm rot="5400000">
          <a:off x="-235626" y="4596663"/>
          <a:ext cx="1570843" cy="109959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Analysis</a:t>
          </a:r>
        </a:p>
      </dgm:t>
    </dgm:pt>
    <dgm:pt modelId="{203413D2-336C-4338-80E5-35C8ED7F7E9E}" type="parTrans" cxnId="{9C0D351F-44D8-42EE-9BAD-DA5949611A3E}">
      <dgm:prSet/>
      <dgm:spPr/>
      <dgm:t>
        <a:bodyPr/>
        <a:lstStyle/>
        <a:p>
          <a:endParaRPr lang="en-US"/>
        </a:p>
      </dgm:t>
    </dgm:pt>
    <dgm:pt modelId="{37854F41-B441-49FE-9EF3-B2F0CF7033CC}" type="sibTrans" cxnId="{9C0D351F-44D8-42EE-9BAD-DA5949611A3E}">
      <dgm:prSet/>
      <dgm:spPr/>
      <dgm:t>
        <a:bodyPr/>
        <a:lstStyle/>
        <a:p>
          <a:endParaRPr lang="en-US"/>
        </a:p>
      </dgm:t>
    </dgm:pt>
    <dgm:pt modelId="{B502C8E8-59AA-4882-8A8A-286F452ADFC5}">
      <dgm:prSet phldrT="[Text]"/>
      <dgm:spPr>
        <a:xfrm rot="5400000">
          <a:off x="3018056" y="989431"/>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5F237C7-F30C-4BED-BB01-D1CCD25350E1}" type="parTrans" cxnId="{589CDCD4-1CA4-4292-8AD9-ABB07C4140B8}">
      <dgm:prSet/>
      <dgm:spPr/>
      <dgm:t>
        <a:bodyPr/>
        <a:lstStyle/>
        <a:p>
          <a:endParaRPr lang="en-US"/>
        </a:p>
      </dgm:t>
    </dgm:pt>
    <dgm:pt modelId="{C14BB963-63B0-4B68-9271-9E401504C219}" type="sibTrans" cxnId="{589CDCD4-1CA4-4292-8AD9-ABB07C4140B8}">
      <dgm:prSet/>
      <dgm:spPr/>
      <dgm:t>
        <a:bodyPr/>
        <a:lstStyle/>
        <a:p>
          <a:endParaRPr lang="en-US"/>
        </a:p>
      </dgm:t>
    </dgm:pt>
    <dgm:pt modelId="{2A758C61-10DE-4CC0-8760-97112C821391}">
      <dgm:prSet phldrT="[Text]"/>
      <dgm:spPr>
        <a:xfrm rot="5400000">
          <a:off x="3018056" y="989431"/>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4DB3600-E0E0-4415-980F-5F471E349C80}" type="parTrans" cxnId="{05B75C19-328B-4851-81AA-088578D0C26E}">
      <dgm:prSet/>
      <dgm:spPr/>
      <dgm:t>
        <a:bodyPr/>
        <a:lstStyle/>
        <a:p>
          <a:endParaRPr lang="en-US"/>
        </a:p>
      </dgm:t>
    </dgm:pt>
    <dgm:pt modelId="{1F1E9142-1BF6-469D-A06D-A133EB67724D}" type="sibTrans" cxnId="{05B75C19-328B-4851-81AA-088578D0C26E}">
      <dgm:prSet/>
      <dgm:spPr/>
      <dgm:t>
        <a:bodyPr/>
        <a:lstStyle/>
        <a:p>
          <a:endParaRPr lang="en-US"/>
        </a:p>
      </dgm:t>
    </dgm:pt>
    <dgm:pt modelId="{F6F6BB19-85DC-41C0-B422-ED6FF2875A7D}">
      <dgm:prSet/>
      <dgm:spPr>
        <a:xfrm rot="5400000">
          <a:off x="3018056" y="989431"/>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solidFill>
              <a:latin typeface="Times New Roman" panose="02020603050405020304" pitchFamily="18" charset="0"/>
              <a:ea typeface="+mn-ea"/>
              <a:cs typeface="Times New Roman" panose="02020603050405020304" pitchFamily="18" charset="0"/>
            </a:rPr>
            <a:t>The fourth chapter presents the results from the event studies. The results from the statistical tests will also be presented. </a:t>
          </a:r>
        </a:p>
      </dgm:t>
    </dgm:pt>
    <dgm:pt modelId="{9A0A8DFE-19A2-4F5E-AF60-9C1C0139C437}" type="parTrans" cxnId="{6C0B6AA6-F7EC-45E3-B96D-DCBEDCFC26B6}">
      <dgm:prSet/>
      <dgm:spPr/>
      <dgm:t>
        <a:bodyPr/>
        <a:lstStyle/>
        <a:p>
          <a:endParaRPr lang="en-US"/>
        </a:p>
      </dgm:t>
    </dgm:pt>
    <dgm:pt modelId="{E5772C93-6A45-4CF1-9ED8-030ED86D9C90}" type="sibTrans" cxnId="{6C0B6AA6-F7EC-45E3-B96D-DCBEDCFC26B6}">
      <dgm:prSet/>
      <dgm:spPr/>
      <dgm:t>
        <a:bodyPr/>
        <a:lstStyle/>
        <a:p>
          <a:endParaRPr lang="en-US"/>
        </a:p>
      </dgm:t>
    </dgm:pt>
    <dgm:pt modelId="{7274558D-247E-46C2-B65E-310C9D5505B8}">
      <dgm:prSet/>
      <dgm:spPr>
        <a:xfrm rot="5400000">
          <a:off x="3018056" y="2442571"/>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the fifth chapter an interpretation of the results will be made. This includes both the results from the event studies as well as the results from the regressions. Comparisons will be made with previous literature and studies. </a:t>
          </a:r>
        </a:p>
      </dgm:t>
    </dgm:pt>
    <dgm:pt modelId="{9791D5CE-5441-4CBE-A274-6B9684D65597}" type="parTrans" cxnId="{499218F5-A5A4-443B-8CCC-16065C6C66A8}">
      <dgm:prSet/>
      <dgm:spPr/>
      <dgm:t>
        <a:bodyPr/>
        <a:lstStyle/>
        <a:p>
          <a:endParaRPr lang="en-US"/>
        </a:p>
      </dgm:t>
    </dgm:pt>
    <dgm:pt modelId="{720F6093-EE18-4976-89A7-3D2CB6614031}" type="sibTrans" cxnId="{499218F5-A5A4-443B-8CCC-16065C6C66A8}">
      <dgm:prSet/>
      <dgm:spPr/>
      <dgm:t>
        <a:bodyPr/>
        <a:lstStyle/>
        <a:p>
          <a:endParaRPr lang="en-US"/>
        </a:p>
      </dgm:t>
    </dgm:pt>
    <dgm:pt modelId="{624B69E4-D465-4806-AFF4-B3BB2CC979C0}">
      <dgm:prSet/>
      <dgm:spPr>
        <a:xfrm rot="5400000">
          <a:off x="3018056" y="3895712"/>
          <a:ext cx="1021048" cy="485797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the final chapter conclusions from the interpretations and analysis will be made. This will be followed by a discussion of areas where future research can be conducted.</a:t>
          </a:r>
        </a:p>
      </dgm:t>
    </dgm:pt>
    <dgm:pt modelId="{5879210F-EFB5-423B-B56A-7D5F1DEAF56D}" type="parTrans" cxnId="{8A23C4CC-D749-4BC3-9AD1-9596FB7489F8}">
      <dgm:prSet/>
      <dgm:spPr/>
      <dgm:t>
        <a:bodyPr/>
        <a:lstStyle/>
        <a:p>
          <a:endParaRPr lang="en-US"/>
        </a:p>
      </dgm:t>
    </dgm:pt>
    <dgm:pt modelId="{5002610F-B14F-4F09-8725-805EE6235BB9}" type="sibTrans" cxnId="{8A23C4CC-D749-4BC3-9AD1-9596FB7489F8}">
      <dgm:prSet/>
      <dgm:spPr/>
      <dgm:t>
        <a:bodyPr/>
        <a:lstStyle/>
        <a:p>
          <a:endParaRPr lang="en-US"/>
        </a:p>
      </dgm:t>
    </dgm:pt>
    <dgm:pt modelId="{84DFE44E-C3BE-40EB-A85A-5923EAFB09E9}" type="pres">
      <dgm:prSet presAssocID="{E8C74842-3857-4AD9-94DA-373A8B77481B}" presName="linearFlow" presStyleCnt="0">
        <dgm:presLayoutVars>
          <dgm:dir/>
          <dgm:animLvl val="lvl"/>
          <dgm:resizeHandles val="exact"/>
        </dgm:presLayoutVars>
      </dgm:prSet>
      <dgm:spPr/>
      <dgm:t>
        <a:bodyPr/>
        <a:lstStyle/>
        <a:p>
          <a:endParaRPr lang="en-US"/>
        </a:p>
      </dgm:t>
    </dgm:pt>
    <dgm:pt modelId="{1D8D394B-FB88-4896-846B-BB75E5C69FD2}" type="pres">
      <dgm:prSet presAssocID="{9DBCF3B5-415B-4B88-9CE3-AC9C5A1B5305}" presName="composite" presStyleCnt="0"/>
      <dgm:spPr/>
    </dgm:pt>
    <dgm:pt modelId="{AE61B278-7DBF-4B6C-80E9-CD37F3373A58}" type="pres">
      <dgm:prSet presAssocID="{9DBCF3B5-415B-4B88-9CE3-AC9C5A1B5305}" presName="parentText" presStyleLbl="alignNode1" presStyleIdx="0" presStyleCnt="5">
        <dgm:presLayoutVars>
          <dgm:chMax val="1"/>
          <dgm:bulletEnabled val="1"/>
        </dgm:presLayoutVars>
      </dgm:prSet>
      <dgm:spPr>
        <a:prstGeom prst="chevron">
          <a:avLst/>
        </a:prstGeom>
      </dgm:spPr>
      <dgm:t>
        <a:bodyPr/>
        <a:lstStyle/>
        <a:p>
          <a:endParaRPr lang="en-US"/>
        </a:p>
      </dgm:t>
    </dgm:pt>
    <dgm:pt modelId="{FEE033BC-7E19-47AE-8627-49E84876FF27}" type="pres">
      <dgm:prSet presAssocID="{9DBCF3B5-415B-4B88-9CE3-AC9C5A1B5305}" presName="descendantText" presStyleLbl="alignAcc1" presStyleIdx="0" presStyleCnt="5">
        <dgm:presLayoutVars>
          <dgm:bulletEnabled val="1"/>
        </dgm:presLayoutVars>
      </dgm:prSet>
      <dgm:spPr>
        <a:prstGeom prst="round2SameRect">
          <a:avLst/>
        </a:prstGeom>
      </dgm:spPr>
      <dgm:t>
        <a:bodyPr/>
        <a:lstStyle/>
        <a:p>
          <a:endParaRPr lang="en-US"/>
        </a:p>
      </dgm:t>
    </dgm:pt>
    <dgm:pt modelId="{25A936EC-A7E4-4D4F-A1F9-12B315F8CF89}" type="pres">
      <dgm:prSet presAssocID="{1F21E48E-7A48-45D0-8300-8828F83D2FF1}" presName="sp" presStyleCnt="0"/>
      <dgm:spPr/>
    </dgm:pt>
    <dgm:pt modelId="{42045419-45A7-4124-9D26-7ECDC116FCF0}" type="pres">
      <dgm:prSet presAssocID="{F202F598-8B14-49AF-9E6D-C14CE98C5D70}" presName="composite" presStyleCnt="0"/>
      <dgm:spPr/>
    </dgm:pt>
    <dgm:pt modelId="{3D48897F-31D4-4067-86C6-DF8ABF903CB6}" type="pres">
      <dgm:prSet presAssocID="{F202F598-8B14-49AF-9E6D-C14CE98C5D70}"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E9683986-B64C-432A-A2AA-743F4DC56B31}" type="pres">
      <dgm:prSet presAssocID="{F202F598-8B14-49AF-9E6D-C14CE98C5D70}" presName="descendantText" presStyleLbl="alignAcc1" presStyleIdx="1" presStyleCnt="5">
        <dgm:presLayoutVars>
          <dgm:bulletEnabled val="1"/>
        </dgm:presLayoutVars>
      </dgm:prSet>
      <dgm:spPr>
        <a:prstGeom prst="round2SameRect">
          <a:avLst/>
        </a:prstGeom>
      </dgm:spPr>
      <dgm:t>
        <a:bodyPr/>
        <a:lstStyle/>
        <a:p>
          <a:endParaRPr lang="en-US"/>
        </a:p>
      </dgm:t>
    </dgm:pt>
    <dgm:pt modelId="{B49B1482-990D-41AC-95E5-D6B8B68B9948}" type="pres">
      <dgm:prSet presAssocID="{797E995C-9624-4432-B680-8621396A3F68}" presName="sp" presStyleCnt="0"/>
      <dgm:spPr/>
    </dgm:pt>
    <dgm:pt modelId="{F27EC4CB-6A96-45E8-8092-54F3818E81F7}" type="pres">
      <dgm:prSet presAssocID="{E0107792-2D75-43DD-8BFC-87EF782AE280}" presName="composite" presStyleCnt="0"/>
      <dgm:spPr/>
    </dgm:pt>
    <dgm:pt modelId="{60D4B198-C942-4559-8953-01C342790081}" type="pres">
      <dgm:prSet presAssocID="{E0107792-2D75-43DD-8BFC-87EF782AE280}" presName="parentText" presStyleLbl="alignNode1" presStyleIdx="2" presStyleCnt="5">
        <dgm:presLayoutVars>
          <dgm:chMax val="1"/>
          <dgm:bulletEnabled val="1"/>
        </dgm:presLayoutVars>
      </dgm:prSet>
      <dgm:spPr>
        <a:prstGeom prst="chevron">
          <a:avLst/>
        </a:prstGeom>
      </dgm:spPr>
      <dgm:t>
        <a:bodyPr/>
        <a:lstStyle/>
        <a:p>
          <a:endParaRPr lang="en-US"/>
        </a:p>
      </dgm:t>
    </dgm:pt>
    <dgm:pt modelId="{2032BE4F-4CA4-4346-BFC1-3223CEA4E2AC}" type="pres">
      <dgm:prSet presAssocID="{E0107792-2D75-43DD-8BFC-87EF782AE280}" presName="descendantText" presStyleLbl="alignAcc1" presStyleIdx="2" presStyleCnt="5" custLinFactNeighborX="0">
        <dgm:presLayoutVars>
          <dgm:bulletEnabled val="1"/>
        </dgm:presLayoutVars>
      </dgm:prSet>
      <dgm:spPr>
        <a:prstGeom prst="round2SameRect">
          <a:avLst/>
        </a:prstGeom>
      </dgm:spPr>
      <dgm:t>
        <a:bodyPr/>
        <a:lstStyle/>
        <a:p>
          <a:endParaRPr lang="en-US"/>
        </a:p>
      </dgm:t>
    </dgm:pt>
    <dgm:pt modelId="{DB98E61C-B5ED-4D92-AC1D-1CE24F218626}" type="pres">
      <dgm:prSet presAssocID="{4216199F-E8EA-43A3-945B-19E7A8FE2683}" presName="sp" presStyleCnt="0"/>
      <dgm:spPr/>
    </dgm:pt>
    <dgm:pt modelId="{257EA343-6ABB-46E1-A8C3-AF1ED20FAA14}" type="pres">
      <dgm:prSet presAssocID="{D8412166-81D0-4E13-A4D9-0FC00231877A}" presName="composite" presStyleCnt="0"/>
      <dgm:spPr/>
    </dgm:pt>
    <dgm:pt modelId="{4DA88EE0-85A1-4F9B-8F39-CFD751131A00}" type="pres">
      <dgm:prSet presAssocID="{D8412166-81D0-4E13-A4D9-0FC00231877A}"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6B3944F4-6103-43D3-8BEC-DC13D220640D}" type="pres">
      <dgm:prSet presAssocID="{D8412166-81D0-4E13-A4D9-0FC00231877A}" presName="descendantText" presStyleLbl="alignAcc1" presStyleIdx="3" presStyleCnt="5">
        <dgm:presLayoutVars>
          <dgm:bulletEnabled val="1"/>
        </dgm:presLayoutVars>
      </dgm:prSet>
      <dgm:spPr>
        <a:prstGeom prst="round2SameRect">
          <a:avLst/>
        </a:prstGeom>
      </dgm:spPr>
      <dgm:t>
        <a:bodyPr/>
        <a:lstStyle/>
        <a:p>
          <a:endParaRPr lang="en-US"/>
        </a:p>
      </dgm:t>
    </dgm:pt>
    <dgm:pt modelId="{5555467C-463D-4B2E-9403-CAA5A457D68B}" type="pres">
      <dgm:prSet presAssocID="{37854F41-B441-49FE-9EF3-B2F0CF7033CC}" presName="sp" presStyleCnt="0"/>
      <dgm:spPr/>
    </dgm:pt>
    <dgm:pt modelId="{ED740894-ED15-4F3B-9E3D-F7371B1C0BBD}" type="pres">
      <dgm:prSet presAssocID="{6214B1BE-F9BD-47C0-83BF-94276336B6E7}" presName="composite" presStyleCnt="0"/>
      <dgm:spPr/>
    </dgm:pt>
    <dgm:pt modelId="{670B0463-04E6-413D-BE2A-C5C7F77302DC}" type="pres">
      <dgm:prSet presAssocID="{6214B1BE-F9BD-47C0-83BF-94276336B6E7}" presName="parentText" presStyleLbl="alignNode1" presStyleIdx="4" presStyleCnt="5">
        <dgm:presLayoutVars>
          <dgm:chMax val="1"/>
          <dgm:bulletEnabled val="1"/>
        </dgm:presLayoutVars>
      </dgm:prSet>
      <dgm:spPr>
        <a:prstGeom prst="chevron">
          <a:avLst/>
        </a:prstGeom>
      </dgm:spPr>
      <dgm:t>
        <a:bodyPr/>
        <a:lstStyle/>
        <a:p>
          <a:endParaRPr lang="en-US"/>
        </a:p>
      </dgm:t>
    </dgm:pt>
    <dgm:pt modelId="{75CE0E7B-E8C4-46A3-BB76-545522C2849B}" type="pres">
      <dgm:prSet presAssocID="{6214B1BE-F9BD-47C0-83BF-94276336B6E7}" presName="descendantText" presStyleLbl="alignAcc1" presStyleIdx="4" presStyleCnt="5">
        <dgm:presLayoutVars>
          <dgm:bulletEnabled val="1"/>
        </dgm:presLayoutVars>
      </dgm:prSet>
      <dgm:spPr>
        <a:prstGeom prst="round2SameRect">
          <a:avLst/>
        </a:prstGeom>
      </dgm:spPr>
      <dgm:t>
        <a:bodyPr/>
        <a:lstStyle/>
        <a:p>
          <a:endParaRPr lang="en-US"/>
        </a:p>
      </dgm:t>
    </dgm:pt>
  </dgm:ptLst>
  <dgm:cxnLst>
    <dgm:cxn modelId="{B32E9E15-F00B-47A6-8DEB-35CAA01CA419}" srcId="{E8C74842-3857-4AD9-94DA-373A8B77481B}" destId="{E0107792-2D75-43DD-8BFC-87EF782AE280}" srcOrd="2" destOrd="0" parTransId="{F57F0C48-EF78-4219-9CA9-AAE257400D67}" sibTransId="{4216199F-E8EA-43A3-945B-19E7A8FE2683}"/>
    <dgm:cxn modelId="{FB55C1D4-0EBC-4F3C-A912-E0E054922019}" srcId="{F202F598-8B14-49AF-9E6D-C14CE98C5D70}" destId="{7AD7ABC2-42B5-491A-AC86-3C74F0994253}" srcOrd="0" destOrd="0" parTransId="{05F9C7A3-B68C-415C-8052-F9FC43494645}" sibTransId="{12E64A65-9E75-4339-9DA2-41B73DC00BA2}"/>
    <dgm:cxn modelId="{60A5EEA2-E74B-4F13-957E-E9BEB39D8EF0}" type="presOf" srcId="{B502C8E8-59AA-4882-8A8A-286F452ADFC5}" destId="{2032BE4F-4CA4-4346-BFC1-3223CEA4E2AC}" srcOrd="0" destOrd="2" presId="urn:microsoft.com/office/officeart/2005/8/layout/chevron2"/>
    <dgm:cxn modelId="{394C809E-2EE7-4DAA-B4A4-C9E6C70B52A2}" type="presOf" srcId="{224B64A6-A787-4084-B1F1-F5241B155750}" destId="{FEE033BC-7E19-47AE-8627-49E84876FF27}" srcOrd="0" destOrd="0" presId="urn:microsoft.com/office/officeart/2005/8/layout/chevron2"/>
    <dgm:cxn modelId="{8A23C4CC-D749-4BC3-9AD1-9596FB7489F8}" srcId="{6214B1BE-F9BD-47C0-83BF-94276336B6E7}" destId="{624B69E4-D465-4806-AFF4-B3BB2CC979C0}" srcOrd="0" destOrd="0" parTransId="{5879210F-EFB5-423B-B56A-7D5F1DEAF56D}" sibTransId="{5002610F-B14F-4F09-8725-805EE6235BB9}"/>
    <dgm:cxn modelId="{F1C50784-E5B1-4475-9FBB-4E6D4C5C1420}" type="presOf" srcId="{9DBCF3B5-415B-4B88-9CE3-AC9C5A1B5305}" destId="{AE61B278-7DBF-4B6C-80E9-CD37F3373A58}" srcOrd="0" destOrd="0" presId="urn:microsoft.com/office/officeart/2005/8/layout/chevron2"/>
    <dgm:cxn modelId="{BEA7DA35-85B5-4956-9CE0-C7D053C9021B}" srcId="{9DBCF3B5-415B-4B88-9CE3-AC9C5A1B5305}" destId="{224B64A6-A787-4084-B1F1-F5241B155750}" srcOrd="0" destOrd="0" parTransId="{976DEB41-D1E1-4069-8F43-4A520122EFFB}" sibTransId="{8130D272-98A3-4E26-B31A-DCFDE27EADD0}"/>
    <dgm:cxn modelId="{F596743A-148E-4DC9-AF18-B7BF77E12DB6}" type="presOf" srcId="{D8412166-81D0-4E13-A4D9-0FC00231877A}" destId="{4DA88EE0-85A1-4F9B-8F39-CFD751131A00}" srcOrd="0" destOrd="0" presId="urn:microsoft.com/office/officeart/2005/8/layout/chevron2"/>
    <dgm:cxn modelId="{B6CF68A4-F758-4982-B340-4D07E6B999E6}" type="presOf" srcId="{7274558D-247E-46C2-B65E-310C9D5505B8}" destId="{6B3944F4-6103-43D3-8BEC-DC13D220640D}" srcOrd="0" destOrd="0" presId="urn:microsoft.com/office/officeart/2005/8/layout/chevron2"/>
    <dgm:cxn modelId="{05B75C19-328B-4851-81AA-088578D0C26E}" srcId="{E0107792-2D75-43DD-8BFC-87EF782AE280}" destId="{2A758C61-10DE-4CC0-8760-97112C821391}" srcOrd="0" destOrd="0" parTransId="{34DB3600-E0E0-4415-980F-5F471E349C80}" sibTransId="{1F1E9142-1BF6-469D-A06D-A133EB67724D}"/>
    <dgm:cxn modelId="{CB73BE64-34ED-4F73-88EC-2E5D7E04ED63}" type="presOf" srcId="{E0107792-2D75-43DD-8BFC-87EF782AE280}" destId="{60D4B198-C942-4559-8953-01C342790081}" srcOrd="0" destOrd="0" presId="urn:microsoft.com/office/officeart/2005/8/layout/chevron2"/>
    <dgm:cxn modelId="{229A7220-A2DA-44E9-B6D5-184D9ED31782}" type="presOf" srcId="{F6F6BB19-85DC-41C0-B422-ED6FF2875A7D}" destId="{2032BE4F-4CA4-4346-BFC1-3223CEA4E2AC}" srcOrd="0" destOrd="1" presId="urn:microsoft.com/office/officeart/2005/8/layout/chevron2"/>
    <dgm:cxn modelId="{9C0D351F-44D8-42EE-9BAD-DA5949611A3E}" srcId="{E8C74842-3857-4AD9-94DA-373A8B77481B}" destId="{D8412166-81D0-4E13-A4D9-0FC00231877A}" srcOrd="3" destOrd="0" parTransId="{203413D2-336C-4338-80E5-35C8ED7F7E9E}" sibTransId="{37854F41-B441-49FE-9EF3-B2F0CF7033CC}"/>
    <dgm:cxn modelId="{EE3745FC-424B-4217-B341-C2C5527817F5}" type="presOf" srcId="{E8C74842-3857-4AD9-94DA-373A8B77481B}" destId="{84DFE44E-C3BE-40EB-A85A-5923EAFB09E9}" srcOrd="0" destOrd="0" presId="urn:microsoft.com/office/officeart/2005/8/layout/chevron2"/>
    <dgm:cxn modelId="{FB9CD9A3-F18B-4296-9659-EA42A597D9DB}" srcId="{E8C74842-3857-4AD9-94DA-373A8B77481B}" destId="{9DBCF3B5-415B-4B88-9CE3-AC9C5A1B5305}" srcOrd="0" destOrd="0" parTransId="{F22E80E2-A015-47D3-8EF4-787869B95684}" sibTransId="{1F21E48E-7A48-45D0-8300-8828F83D2FF1}"/>
    <dgm:cxn modelId="{2A5E584A-366E-4F23-A6C0-24933FF3632F}" type="presOf" srcId="{6214B1BE-F9BD-47C0-83BF-94276336B6E7}" destId="{670B0463-04E6-413D-BE2A-C5C7F77302DC}" srcOrd="0" destOrd="0" presId="urn:microsoft.com/office/officeart/2005/8/layout/chevron2"/>
    <dgm:cxn modelId="{499218F5-A5A4-443B-8CCC-16065C6C66A8}" srcId="{D8412166-81D0-4E13-A4D9-0FC00231877A}" destId="{7274558D-247E-46C2-B65E-310C9D5505B8}" srcOrd="0" destOrd="0" parTransId="{9791D5CE-5441-4CBE-A274-6B9684D65597}" sibTransId="{720F6093-EE18-4976-89A7-3D2CB6614031}"/>
    <dgm:cxn modelId="{51EEC6CD-5114-4EF1-A77A-64DFBBE04057}" type="presOf" srcId="{F202F598-8B14-49AF-9E6D-C14CE98C5D70}" destId="{3D48897F-31D4-4067-86C6-DF8ABF903CB6}" srcOrd="0" destOrd="0" presId="urn:microsoft.com/office/officeart/2005/8/layout/chevron2"/>
    <dgm:cxn modelId="{698E3FA7-C203-489F-8394-80DC0BA6C4A9}" type="presOf" srcId="{7AD7ABC2-42B5-491A-AC86-3C74F0994253}" destId="{E9683986-B64C-432A-A2AA-743F4DC56B31}" srcOrd="0" destOrd="0" presId="urn:microsoft.com/office/officeart/2005/8/layout/chevron2"/>
    <dgm:cxn modelId="{ED0E2638-427D-4338-BEF0-F527B95CA2F3}" srcId="{E8C74842-3857-4AD9-94DA-373A8B77481B}" destId="{6214B1BE-F9BD-47C0-83BF-94276336B6E7}" srcOrd="4" destOrd="0" parTransId="{9E6489EE-6F75-4336-8ED2-74018C9B5030}" sibTransId="{B8747484-C69C-4A8F-B8F1-998484B7FBC8}"/>
    <dgm:cxn modelId="{589CDCD4-1CA4-4292-8AD9-ABB07C4140B8}" srcId="{E0107792-2D75-43DD-8BFC-87EF782AE280}" destId="{B502C8E8-59AA-4882-8A8A-286F452ADFC5}" srcOrd="2" destOrd="0" parTransId="{B5F237C7-F30C-4BED-BB01-D1CCD25350E1}" sibTransId="{C14BB963-63B0-4B68-9271-9E401504C219}"/>
    <dgm:cxn modelId="{9C709087-90AA-4094-8B51-C10050C5CB13}" type="presOf" srcId="{2A758C61-10DE-4CC0-8760-97112C821391}" destId="{2032BE4F-4CA4-4346-BFC1-3223CEA4E2AC}" srcOrd="0" destOrd="0" presId="urn:microsoft.com/office/officeart/2005/8/layout/chevron2"/>
    <dgm:cxn modelId="{6C0B6AA6-F7EC-45E3-B96D-DCBEDCFC26B6}" srcId="{E0107792-2D75-43DD-8BFC-87EF782AE280}" destId="{F6F6BB19-85DC-41C0-B422-ED6FF2875A7D}" srcOrd="1" destOrd="0" parTransId="{9A0A8DFE-19A2-4F5E-AF60-9C1C0139C437}" sibTransId="{E5772C93-6A45-4CF1-9ED8-030ED86D9C90}"/>
    <dgm:cxn modelId="{75AA7766-4504-4CBA-A2B7-A47A308669A1}" srcId="{E8C74842-3857-4AD9-94DA-373A8B77481B}" destId="{F202F598-8B14-49AF-9E6D-C14CE98C5D70}" srcOrd="1" destOrd="0" parTransId="{422EFEBB-878E-4D7D-B841-7B6FC5FCE413}" sibTransId="{797E995C-9624-4432-B680-8621396A3F68}"/>
    <dgm:cxn modelId="{FABD312F-529B-44BF-A739-4243AD0BE179}" type="presOf" srcId="{624B69E4-D465-4806-AFF4-B3BB2CC979C0}" destId="{75CE0E7B-E8C4-46A3-BB76-545522C2849B}" srcOrd="0" destOrd="0" presId="urn:microsoft.com/office/officeart/2005/8/layout/chevron2"/>
    <dgm:cxn modelId="{D78C5201-0A5F-4296-AF00-8758C0CA47E4}" type="presParOf" srcId="{84DFE44E-C3BE-40EB-A85A-5923EAFB09E9}" destId="{1D8D394B-FB88-4896-846B-BB75E5C69FD2}" srcOrd="0" destOrd="0" presId="urn:microsoft.com/office/officeart/2005/8/layout/chevron2"/>
    <dgm:cxn modelId="{AB5959F1-FC97-45FF-976B-293C69675F48}" type="presParOf" srcId="{1D8D394B-FB88-4896-846B-BB75E5C69FD2}" destId="{AE61B278-7DBF-4B6C-80E9-CD37F3373A58}" srcOrd="0" destOrd="0" presId="urn:microsoft.com/office/officeart/2005/8/layout/chevron2"/>
    <dgm:cxn modelId="{58D2C140-3F26-431B-AF3D-3F426172D264}" type="presParOf" srcId="{1D8D394B-FB88-4896-846B-BB75E5C69FD2}" destId="{FEE033BC-7E19-47AE-8627-49E84876FF27}" srcOrd="1" destOrd="0" presId="urn:microsoft.com/office/officeart/2005/8/layout/chevron2"/>
    <dgm:cxn modelId="{A81BC181-29F2-4EF7-9387-434583573E15}" type="presParOf" srcId="{84DFE44E-C3BE-40EB-A85A-5923EAFB09E9}" destId="{25A936EC-A7E4-4D4F-A1F9-12B315F8CF89}" srcOrd="1" destOrd="0" presId="urn:microsoft.com/office/officeart/2005/8/layout/chevron2"/>
    <dgm:cxn modelId="{96C07B3D-A358-43A6-9884-E311C30DB9E0}" type="presParOf" srcId="{84DFE44E-C3BE-40EB-A85A-5923EAFB09E9}" destId="{42045419-45A7-4124-9D26-7ECDC116FCF0}" srcOrd="2" destOrd="0" presId="urn:microsoft.com/office/officeart/2005/8/layout/chevron2"/>
    <dgm:cxn modelId="{C94C1CBB-B108-4155-B572-E377FC1E8E9B}" type="presParOf" srcId="{42045419-45A7-4124-9D26-7ECDC116FCF0}" destId="{3D48897F-31D4-4067-86C6-DF8ABF903CB6}" srcOrd="0" destOrd="0" presId="urn:microsoft.com/office/officeart/2005/8/layout/chevron2"/>
    <dgm:cxn modelId="{99EED81F-B830-4612-A83D-F6D7F8E1F291}" type="presParOf" srcId="{42045419-45A7-4124-9D26-7ECDC116FCF0}" destId="{E9683986-B64C-432A-A2AA-743F4DC56B31}" srcOrd="1" destOrd="0" presId="urn:microsoft.com/office/officeart/2005/8/layout/chevron2"/>
    <dgm:cxn modelId="{F686DCE0-B36B-478E-99A5-752D027F1F48}" type="presParOf" srcId="{84DFE44E-C3BE-40EB-A85A-5923EAFB09E9}" destId="{B49B1482-990D-41AC-95E5-D6B8B68B9948}" srcOrd="3" destOrd="0" presId="urn:microsoft.com/office/officeart/2005/8/layout/chevron2"/>
    <dgm:cxn modelId="{48DD0279-AA50-4DE3-BB3D-5E96B9E9B45F}" type="presParOf" srcId="{84DFE44E-C3BE-40EB-A85A-5923EAFB09E9}" destId="{F27EC4CB-6A96-45E8-8092-54F3818E81F7}" srcOrd="4" destOrd="0" presId="urn:microsoft.com/office/officeart/2005/8/layout/chevron2"/>
    <dgm:cxn modelId="{9203208F-B430-4242-A344-EE3625E08274}" type="presParOf" srcId="{F27EC4CB-6A96-45E8-8092-54F3818E81F7}" destId="{60D4B198-C942-4559-8953-01C342790081}" srcOrd="0" destOrd="0" presId="urn:microsoft.com/office/officeart/2005/8/layout/chevron2"/>
    <dgm:cxn modelId="{B3E52E62-621F-4726-85D5-5823350753E1}" type="presParOf" srcId="{F27EC4CB-6A96-45E8-8092-54F3818E81F7}" destId="{2032BE4F-4CA4-4346-BFC1-3223CEA4E2AC}" srcOrd="1" destOrd="0" presId="urn:microsoft.com/office/officeart/2005/8/layout/chevron2"/>
    <dgm:cxn modelId="{366C871E-FFAF-4FAD-9220-F17BE5F61130}" type="presParOf" srcId="{84DFE44E-C3BE-40EB-A85A-5923EAFB09E9}" destId="{DB98E61C-B5ED-4D92-AC1D-1CE24F218626}" srcOrd="5" destOrd="0" presId="urn:microsoft.com/office/officeart/2005/8/layout/chevron2"/>
    <dgm:cxn modelId="{2A68A90E-626C-4639-BA79-67B376163A0A}" type="presParOf" srcId="{84DFE44E-C3BE-40EB-A85A-5923EAFB09E9}" destId="{257EA343-6ABB-46E1-A8C3-AF1ED20FAA14}" srcOrd="6" destOrd="0" presId="urn:microsoft.com/office/officeart/2005/8/layout/chevron2"/>
    <dgm:cxn modelId="{6655A47D-C53D-461D-860F-C47DAB9AB3F4}" type="presParOf" srcId="{257EA343-6ABB-46E1-A8C3-AF1ED20FAA14}" destId="{4DA88EE0-85A1-4F9B-8F39-CFD751131A00}" srcOrd="0" destOrd="0" presId="urn:microsoft.com/office/officeart/2005/8/layout/chevron2"/>
    <dgm:cxn modelId="{4845C7FB-C1A0-4A37-879F-BB092B40CFB0}" type="presParOf" srcId="{257EA343-6ABB-46E1-A8C3-AF1ED20FAA14}" destId="{6B3944F4-6103-43D3-8BEC-DC13D220640D}" srcOrd="1" destOrd="0" presId="urn:microsoft.com/office/officeart/2005/8/layout/chevron2"/>
    <dgm:cxn modelId="{00E44BA1-3EF3-4C3F-A606-F72BCBE9868F}" type="presParOf" srcId="{84DFE44E-C3BE-40EB-A85A-5923EAFB09E9}" destId="{5555467C-463D-4B2E-9403-CAA5A457D68B}" srcOrd="7" destOrd="0" presId="urn:microsoft.com/office/officeart/2005/8/layout/chevron2"/>
    <dgm:cxn modelId="{F64D0F0F-4739-4F72-BE20-F1D375B1C7D1}" type="presParOf" srcId="{84DFE44E-C3BE-40EB-A85A-5923EAFB09E9}" destId="{ED740894-ED15-4F3B-9E3D-F7371B1C0BBD}" srcOrd="8" destOrd="0" presId="urn:microsoft.com/office/officeart/2005/8/layout/chevron2"/>
    <dgm:cxn modelId="{45B1D11F-66A0-4C88-B06E-C07F73D495C9}" type="presParOf" srcId="{ED740894-ED15-4F3B-9E3D-F7371B1C0BBD}" destId="{670B0463-04E6-413D-BE2A-C5C7F77302DC}" srcOrd="0" destOrd="0" presId="urn:microsoft.com/office/officeart/2005/8/layout/chevron2"/>
    <dgm:cxn modelId="{87FEB2DE-2C59-420E-A50F-36A1869B3D31}" type="presParOf" srcId="{ED740894-ED15-4F3B-9E3D-F7371B1C0BBD}" destId="{75CE0E7B-E8C4-46A3-BB76-545522C2849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61B278-7DBF-4B6C-80E9-CD37F3373A58}">
      <dsp:nvSpPr>
        <dsp:cNvPr id="0" name=""/>
        <dsp:cNvSpPr/>
      </dsp:nvSpPr>
      <dsp:spPr>
        <a:xfrm rot="5400000">
          <a:off x="-227113" y="227408"/>
          <a:ext cx="1514091" cy="10598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Times New Roman" panose="02020603050405020304" pitchFamily="18" charset="0"/>
              <a:ea typeface="+mn-ea"/>
              <a:cs typeface="Times New Roman" panose="02020603050405020304" pitchFamily="18" charset="0"/>
            </a:rPr>
            <a:t>Theoretical Framework</a:t>
          </a:r>
        </a:p>
      </dsp:txBody>
      <dsp:txXfrm rot="-5400000">
        <a:off x="1" y="530226"/>
        <a:ext cx="1059864" cy="454227"/>
      </dsp:txXfrm>
    </dsp:sp>
    <dsp:sp modelId="{FEE033BC-7E19-47AE-8627-49E84876FF27}">
      <dsp:nvSpPr>
        <dsp:cNvPr id="0" name=""/>
        <dsp:cNvSpPr/>
      </dsp:nvSpPr>
      <dsp:spPr>
        <a:xfrm rot="5400000">
          <a:off x="2899479" y="-1839321"/>
          <a:ext cx="984159" cy="466339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chapter two the theoretical framework is presented. This framework will be used as a relevant foundation to base and support this thesis on. Such theories include motives for mergers and acquisitions, efficient market hypothesis and asymmetric information. In chapter two a revision of previous studies that are relevant and of importance to our thesis and discussion has been made.</a:t>
          </a:r>
        </a:p>
      </dsp:txBody>
      <dsp:txXfrm rot="-5400000">
        <a:off x="1059864" y="48337"/>
        <a:ext cx="4615347" cy="888073"/>
      </dsp:txXfrm>
    </dsp:sp>
    <dsp:sp modelId="{3D48897F-31D4-4067-86C6-DF8ABF903CB6}">
      <dsp:nvSpPr>
        <dsp:cNvPr id="0" name=""/>
        <dsp:cNvSpPr/>
      </dsp:nvSpPr>
      <dsp:spPr>
        <a:xfrm rot="5400000">
          <a:off x="-227113" y="1623404"/>
          <a:ext cx="1514091" cy="10598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Times New Roman" panose="02020603050405020304" pitchFamily="18" charset="0"/>
              <a:ea typeface="+mn-ea"/>
              <a:cs typeface="Times New Roman" panose="02020603050405020304" pitchFamily="18" charset="0"/>
            </a:rPr>
            <a:t>Methodology</a:t>
          </a:r>
        </a:p>
      </dsp:txBody>
      <dsp:txXfrm rot="-5400000">
        <a:off x="1" y="1926222"/>
        <a:ext cx="1059864" cy="454227"/>
      </dsp:txXfrm>
    </dsp:sp>
    <dsp:sp modelId="{E9683986-B64C-432A-A2AA-743F4DC56B31}">
      <dsp:nvSpPr>
        <dsp:cNvPr id="0" name=""/>
        <dsp:cNvSpPr/>
      </dsp:nvSpPr>
      <dsp:spPr>
        <a:xfrm rot="5400000">
          <a:off x="2899479" y="-443325"/>
          <a:ext cx="984159" cy="466339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third chapter in this study concerns the methodology used. Firstly, a discussion about the choice of approach for the research design will be made, followed by a description by the models used in the study. Criteria for the sample selection and methods used to collect data are also presented in the third chapter.</a:t>
          </a:r>
        </a:p>
      </dsp:txBody>
      <dsp:txXfrm rot="-5400000">
        <a:off x="1059864" y="1444333"/>
        <a:ext cx="4615347" cy="888073"/>
      </dsp:txXfrm>
    </dsp:sp>
    <dsp:sp modelId="{60D4B198-C942-4559-8953-01C342790081}">
      <dsp:nvSpPr>
        <dsp:cNvPr id="0" name=""/>
        <dsp:cNvSpPr/>
      </dsp:nvSpPr>
      <dsp:spPr>
        <a:xfrm rot="5400000">
          <a:off x="-227113" y="3019400"/>
          <a:ext cx="1514091" cy="10598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Times New Roman" panose="02020603050405020304" pitchFamily="18" charset="0"/>
              <a:ea typeface="+mn-ea"/>
              <a:cs typeface="Times New Roman" panose="02020603050405020304" pitchFamily="18" charset="0"/>
            </a:rPr>
            <a:t>Results</a:t>
          </a:r>
        </a:p>
      </dsp:txBody>
      <dsp:txXfrm rot="-5400000">
        <a:off x="1" y="3322218"/>
        <a:ext cx="1059864" cy="454227"/>
      </dsp:txXfrm>
    </dsp:sp>
    <dsp:sp modelId="{2032BE4F-4CA4-4346-BFC1-3223CEA4E2AC}">
      <dsp:nvSpPr>
        <dsp:cNvPr id="0" name=""/>
        <dsp:cNvSpPr/>
      </dsp:nvSpPr>
      <dsp:spPr>
        <a:xfrm rot="5400000">
          <a:off x="2899479" y="952671"/>
          <a:ext cx="984159" cy="466339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ea typeface="+mn-ea"/>
              <a:cs typeface="Times New Roman" panose="02020603050405020304" pitchFamily="18" charset="0"/>
            </a:rPr>
            <a:t>The fourth chapter presents the results from the event studies. The results from the statistical tests will also be presented. </a:t>
          </a:r>
        </a:p>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1059864" y="2840330"/>
        <a:ext cx="4615347" cy="888073"/>
      </dsp:txXfrm>
    </dsp:sp>
    <dsp:sp modelId="{4DA88EE0-85A1-4F9B-8F39-CFD751131A00}">
      <dsp:nvSpPr>
        <dsp:cNvPr id="0" name=""/>
        <dsp:cNvSpPr/>
      </dsp:nvSpPr>
      <dsp:spPr>
        <a:xfrm rot="5400000">
          <a:off x="-227113" y="4415396"/>
          <a:ext cx="1514091" cy="10598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Times New Roman" panose="02020603050405020304" pitchFamily="18" charset="0"/>
              <a:ea typeface="+mn-ea"/>
              <a:cs typeface="Times New Roman" panose="02020603050405020304" pitchFamily="18" charset="0"/>
            </a:rPr>
            <a:t>Analysis</a:t>
          </a:r>
        </a:p>
      </dsp:txBody>
      <dsp:txXfrm rot="-5400000">
        <a:off x="1" y="4718214"/>
        <a:ext cx="1059864" cy="454227"/>
      </dsp:txXfrm>
    </dsp:sp>
    <dsp:sp modelId="{6B3944F4-6103-43D3-8BEC-DC13D220640D}">
      <dsp:nvSpPr>
        <dsp:cNvPr id="0" name=""/>
        <dsp:cNvSpPr/>
      </dsp:nvSpPr>
      <dsp:spPr>
        <a:xfrm rot="5400000">
          <a:off x="2899479" y="2348667"/>
          <a:ext cx="984159" cy="466339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the fifth chapter an interpretation of the results will be made. This includes both the results from the event studies as well as the results from the regressions. Comparisons will be made with previous literature and studies. </a:t>
          </a:r>
        </a:p>
      </dsp:txBody>
      <dsp:txXfrm rot="-5400000">
        <a:off x="1059864" y="4236326"/>
        <a:ext cx="4615347" cy="888073"/>
      </dsp:txXfrm>
    </dsp:sp>
    <dsp:sp modelId="{670B0463-04E6-413D-BE2A-C5C7F77302DC}">
      <dsp:nvSpPr>
        <dsp:cNvPr id="0" name=""/>
        <dsp:cNvSpPr/>
      </dsp:nvSpPr>
      <dsp:spPr>
        <a:xfrm rot="5400000">
          <a:off x="-227113" y="5811392"/>
          <a:ext cx="1514091" cy="10598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Times New Roman" panose="02020603050405020304" pitchFamily="18" charset="0"/>
              <a:ea typeface="+mn-ea"/>
              <a:cs typeface="Times New Roman" panose="02020603050405020304" pitchFamily="18" charset="0"/>
            </a:rPr>
            <a:t>Conclusion</a:t>
          </a:r>
        </a:p>
      </dsp:txBody>
      <dsp:txXfrm rot="-5400000">
        <a:off x="1" y="6114210"/>
        <a:ext cx="1059864" cy="454227"/>
      </dsp:txXfrm>
    </dsp:sp>
    <dsp:sp modelId="{75CE0E7B-E8C4-46A3-BB76-545522C2849B}">
      <dsp:nvSpPr>
        <dsp:cNvPr id="0" name=""/>
        <dsp:cNvSpPr/>
      </dsp:nvSpPr>
      <dsp:spPr>
        <a:xfrm rot="5400000">
          <a:off x="2899479" y="3744663"/>
          <a:ext cx="984159" cy="466339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 the final chapter conclusions from the interpretations and analysis will be made. This will be followed by a discussion of areas where future research can be conducted.</a:t>
          </a:r>
        </a:p>
      </dsp:txBody>
      <dsp:txXfrm rot="-5400000">
        <a:off x="1059864" y="5632322"/>
        <a:ext cx="4615347" cy="8880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3014-AFED-46E2-A030-CF7ACAFC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30017</Words>
  <Characters>159095</Characters>
  <Application>Microsoft Office Word</Application>
  <DocSecurity>0</DocSecurity>
  <Lines>1325</Lines>
  <Paragraphs>377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Company>
  <LinksUpToDate>false</LinksUpToDate>
  <CharactersWithSpaces>188735</CharactersWithSpaces>
  <SharedDoc>false</SharedDoc>
  <HLinks>
    <vt:vector size="354" baseType="variant">
      <vt:variant>
        <vt:i4>720900</vt:i4>
      </vt:variant>
      <vt:variant>
        <vt:i4>354</vt:i4>
      </vt:variant>
      <vt:variant>
        <vt:i4>0</vt:i4>
      </vt:variant>
      <vt:variant>
        <vt:i4>5</vt:i4>
      </vt:variant>
      <vt:variant>
        <vt:lpwstr>http://www.sec.gov/answers/tender.htm</vt:lpwstr>
      </vt:variant>
      <vt:variant>
        <vt:lpwstr/>
      </vt:variant>
      <vt:variant>
        <vt:i4>524292</vt:i4>
      </vt:variant>
      <vt:variant>
        <vt:i4>351</vt:i4>
      </vt:variant>
      <vt:variant>
        <vt:i4>0</vt:i4>
      </vt:variant>
      <vt:variant>
        <vt:i4>5</vt:i4>
      </vt:variant>
      <vt:variant>
        <vt:lpwstr>http://www.ifrs.org/Use-around-the-world/Documents/Jurisdiction-profiles/Sweden-IFRS-Profile.pdf</vt:lpwstr>
      </vt:variant>
      <vt:variant>
        <vt:lpwstr/>
      </vt:variant>
      <vt:variant>
        <vt:i4>2162794</vt:i4>
      </vt:variant>
      <vt:variant>
        <vt:i4>348</vt:i4>
      </vt:variant>
      <vt:variant>
        <vt:i4>0</vt:i4>
      </vt:variant>
      <vt:variant>
        <vt:i4>5</vt:i4>
      </vt:variant>
      <vt:variant>
        <vt:lpwstr>https://hbr.org/2010/03/the-best-way-to-measure-compan.html</vt:lpwstr>
      </vt:variant>
      <vt:variant>
        <vt:lpwstr/>
      </vt:variant>
      <vt:variant>
        <vt:i4>4063341</vt:i4>
      </vt:variant>
      <vt:variant>
        <vt:i4>345</vt:i4>
      </vt:variant>
      <vt:variant>
        <vt:i4>0</vt:i4>
      </vt:variant>
      <vt:variant>
        <vt:i4>5</vt:i4>
      </vt:variant>
      <vt:variant>
        <vt:lpwstr>http://globenewswire.com/news-release/2014/01/22/603801/0/en/SSAB-and-Rautaruukki-to-combine-through-SSAB-making-a-recommended-share-exchange-offer-to-Rautaruukki-s-shareholders.html</vt:lpwstr>
      </vt:variant>
      <vt:variant>
        <vt:lpwstr>sthash.YiHryulS.dpuf</vt:lpwstr>
      </vt:variant>
      <vt:variant>
        <vt:i4>524347</vt:i4>
      </vt:variant>
      <vt:variant>
        <vt:i4>342</vt:i4>
      </vt:variant>
      <vt:variant>
        <vt:i4>0</vt:i4>
      </vt:variant>
      <vt:variant>
        <vt:i4>5</vt:i4>
      </vt:variant>
      <vt:variant>
        <vt:lpwstr>http://www.svd.se/naringsliv/branscher/industri-och-fordon/ssab-tar-over-rautaruukki_8917712.svd</vt:lpwstr>
      </vt:variant>
      <vt:variant>
        <vt:lpwstr/>
      </vt:variant>
      <vt:variant>
        <vt:i4>5374014</vt:i4>
      </vt:variant>
      <vt:variant>
        <vt:i4>321</vt:i4>
      </vt:variant>
      <vt:variant>
        <vt:i4>0</vt:i4>
      </vt:variant>
      <vt:variant>
        <vt:i4>5</vt:i4>
      </vt:variant>
      <vt:variant>
        <vt:lpwstr>http://joophox.net/publist/ESM_DCOL05.pdf</vt:lpwstr>
      </vt:variant>
      <vt:variant>
        <vt:lpwstr/>
      </vt:variant>
      <vt:variant>
        <vt:i4>1114167</vt:i4>
      </vt:variant>
      <vt:variant>
        <vt:i4>314</vt:i4>
      </vt:variant>
      <vt:variant>
        <vt:i4>0</vt:i4>
      </vt:variant>
      <vt:variant>
        <vt:i4>5</vt:i4>
      </vt:variant>
      <vt:variant>
        <vt:lpwstr/>
      </vt:variant>
      <vt:variant>
        <vt:lpwstr>_Toc419638994</vt:lpwstr>
      </vt:variant>
      <vt:variant>
        <vt:i4>1114167</vt:i4>
      </vt:variant>
      <vt:variant>
        <vt:i4>308</vt:i4>
      </vt:variant>
      <vt:variant>
        <vt:i4>0</vt:i4>
      </vt:variant>
      <vt:variant>
        <vt:i4>5</vt:i4>
      </vt:variant>
      <vt:variant>
        <vt:lpwstr/>
      </vt:variant>
      <vt:variant>
        <vt:lpwstr>_Toc419638993</vt:lpwstr>
      </vt:variant>
      <vt:variant>
        <vt:i4>1114167</vt:i4>
      </vt:variant>
      <vt:variant>
        <vt:i4>302</vt:i4>
      </vt:variant>
      <vt:variant>
        <vt:i4>0</vt:i4>
      </vt:variant>
      <vt:variant>
        <vt:i4>5</vt:i4>
      </vt:variant>
      <vt:variant>
        <vt:lpwstr/>
      </vt:variant>
      <vt:variant>
        <vt:lpwstr>_Toc419638992</vt:lpwstr>
      </vt:variant>
      <vt:variant>
        <vt:i4>1114167</vt:i4>
      </vt:variant>
      <vt:variant>
        <vt:i4>296</vt:i4>
      </vt:variant>
      <vt:variant>
        <vt:i4>0</vt:i4>
      </vt:variant>
      <vt:variant>
        <vt:i4>5</vt:i4>
      </vt:variant>
      <vt:variant>
        <vt:lpwstr/>
      </vt:variant>
      <vt:variant>
        <vt:lpwstr>_Toc419638991</vt:lpwstr>
      </vt:variant>
      <vt:variant>
        <vt:i4>1114167</vt:i4>
      </vt:variant>
      <vt:variant>
        <vt:i4>290</vt:i4>
      </vt:variant>
      <vt:variant>
        <vt:i4>0</vt:i4>
      </vt:variant>
      <vt:variant>
        <vt:i4>5</vt:i4>
      </vt:variant>
      <vt:variant>
        <vt:lpwstr/>
      </vt:variant>
      <vt:variant>
        <vt:lpwstr>_Toc419638990</vt:lpwstr>
      </vt:variant>
      <vt:variant>
        <vt:i4>1048631</vt:i4>
      </vt:variant>
      <vt:variant>
        <vt:i4>284</vt:i4>
      </vt:variant>
      <vt:variant>
        <vt:i4>0</vt:i4>
      </vt:variant>
      <vt:variant>
        <vt:i4>5</vt:i4>
      </vt:variant>
      <vt:variant>
        <vt:lpwstr/>
      </vt:variant>
      <vt:variant>
        <vt:lpwstr>_Toc419638989</vt:lpwstr>
      </vt:variant>
      <vt:variant>
        <vt:i4>1048631</vt:i4>
      </vt:variant>
      <vt:variant>
        <vt:i4>278</vt:i4>
      </vt:variant>
      <vt:variant>
        <vt:i4>0</vt:i4>
      </vt:variant>
      <vt:variant>
        <vt:i4>5</vt:i4>
      </vt:variant>
      <vt:variant>
        <vt:lpwstr/>
      </vt:variant>
      <vt:variant>
        <vt:lpwstr>_Toc419638988</vt:lpwstr>
      </vt:variant>
      <vt:variant>
        <vt:i4>1048631</vt:i4>
      </vt:variant>
      <vt:variant>
        <vt:i4>272</vt:i4>
      </vt:variant>
      <vt:variant>
        <vt:i4>0</vt:i4>
      </vt:variant>
      <vt:variant>
        <vt:i4>5</vt:i4>
      </vt:variant>
      <vt:variant>
        <vt:lpwstr/>
      </vt:variant>
      <vt:variant>
        <vt:lpwstr>_Toc419638987</vt:lpwstr>
      </vt:variant>
      <vt:variant>
        <vt:i4>1048631</vt:i4>
      </vt:variant>
      <vt:variant>
        <vt:i4>266</vt:i4>
      </vt:variant>
      <vt:variant>
        <vt:i4>0</vt:i4>
      </vt:variant>
      <vt:variant>
        <vt:i4>5</vt:i4>
      </vt:variant>
      <vt:variant>
        <vt:lpwstr/>
      </vt:variant>
      <vt:variant>
        <vt:lpwstr>_Toc419638986</vt:lpwstr>
      </vt:variant>
      <vt:variant>
        <vt:i4>1048631</vt:i4>
      </vt:variant>
      <vt:variant>
        <vt:i4>260</vt:i4>
      </vt:variant>
      <vt:variant>
        <vt:i4>0</vt:i4>
      </vt:variant>
      <vt:variant>
        <vt:i4>5</vt:i4>
      </vt:variant>
      <vt:variant>
        <vt:lpwstr/>
      </vt:variant>
      <vt:variant>
        <vt:lpwstr>_Toc419638985</vt:lpwstr>
      </vt:variant>
      <vt:variant>
        <vt:i4>1048631</vt:i4>
      </vt:variant>
      <vt:variant>
        <vt:i4>254</vt:i4>
      </vt:variant>
      <vt:variant>
        <vt:i4>0</vt:i4>
      </vt:variant>
      <vt:variant>
        <vt:i4>5</vt:i4>
      </vt:variant>
      <vt:variant>
        <vt:lpwstr/>
      </vt:variant>
      <vt:variant>
        <vt:lpwstr>_Toc419638984</vt:lpwstr>
      </vt:variant>
      <vt:variant>
        <vt:i4>1048631</vt:i4>
      </vt:variant>
      <vt:variant>
        <vt:i4>248</vt:i4>
      </vt:variant>
      <vt:variant>
        <vt:i4>0</vt:i4>
      </vt:variant>
      <vt:variant>
        <vt:i4>5</vt:i4>
      </vt:variant>
      <vt:variant>
        <vt:lpwstr/>
      </vt:variant>
      <vt:variant>
        <vt:lpwstr>_Toc419638983</vt:lpwstr>
      </vt:variant>
      <vt:variant>
        <vt:i4>1048631</vt:i4>
      </vt:variant>
      <vt:variant>
        <vt:i4>242</vt:i4>
      </vt:variant>
      <vt:variant>
        <vt:i4>0</vt:i4>
      </vt:variant>
      <vt:variant>
        <vt:i4>5</vt:i4>
      </vt:variant>
      <vt:variant>
        <vt:lpwstr/>
      </vt:variant>
      <vt:variant>
        <vt:lpwstr>_Toc419638982</vt:lpwstr>
      </vt:variant>
      <vt:variant>
        <vt:i4>1048631</vt:i4>
      </vt:variant>
      <vt:variant>
        <vt:i4>236</vt:i4>
      </vt:variant>
      <vt:variant>
        <vt:i4>0</vt:i4>
      </vt:variant>
      <vt:variant>
        <vt:i4>5</vt:i4>
      </vt:variant>
      <vt:variant>
        <vt:lpwstr/>
      </vt:variant>
      <vt:variant>
        <vt:lpwstr>_Toc419638981</vt:lpwstr>
      </vt:variant>
      <vt:variant>
        <vt:i4>1048631</vt:i4>
      </vt:variant>
      <vt:variant>
        <vt:i4>230</vt:i4>
      </vt:variant>
      <vt:variant>
        <vt:i4>0</vt:i4>
      </vt:variant>
      <vt:variant>
        <vt:i4>5</vt:i4>
      </vt:variant>
      <vt:variant>
        <vt:lpwstr/>
      </vt:variant>
      <vt:variant>
        <vt:lpwstr>_Toc419638980</vt:lpwstr>
      </vt:variant>
      <vt:variant>
        <vt:i4>2031671</vt:i4>
      </vt:variant>
      <vt:variant>
        <vt:i4>224</vt:i4>
      </vt:variant>
      <vt:variant>
        <vt:i4>0</vt:i4>
      </vt:variant>
      <vt:variant>
        <vt:i4>5</vt:i4>
      </vt:variant>
      <vt:variant>
        <vt:lpwstr/>
      </vt:variant>
      <vt:variant>
        <vt:lpwstr>_Toc419638979</vt:lpwstr>
      </vt:variant>
      <vt:variant>
        <vt:i4>2031671</vt:i4>
      </vt:variant>
      <vt:variant>
        <vt:i4>218</vt:i4>
      </vt:variant>
      <vt:variant>
        <vt:i4>0</vt:i4>
      </vt:variant>
      <vt:variant>
        <vt:i4>5</vt:i4>
      </vt:variant>
      <vt:variant>
        <vt:lpwstr/>
      </vt:variant>
      <vt:variant>
        <vt:lpwstr>_Toc419638978</vt:lpwstr>
      </vt:variant>
      <vt:variant>
        <vt:i4>2031671</vt:i4>
      </vt:variant>
      <vt:variant>
        <vt:i4>212</vt:i4>
      </vt:variant>
      <vt:variant>
        <vt:i4>0</vt:i4>
      </vt:variant>
      <vt:variant>
        <vt:i4>5</vt:i4>
      </vt:variant>
      <vt:variant>
        <vt:lpwstr/>
      </vt:variant>
      <vt:variant>
        <vt:lpwstr>_Toc419638977</vt:lpwstr>
      </vt:variant>
      <vt:variant>
        <vt:i4>2031671</vt:i4>
      </vt:variant>
      <vt:variant>
        <vt:i4>206</vt:i4>
      </vt:variant>
      <vt:variant>
        <vt:i4>0</vt:i4>
      </vt:variant>
      <vt:variant>
        <vt:i4>5</vt:i4>
      </vt:variant>
      <vt:variant>
        <vt:lpwstr/>
      </vt:variant>
      <vt:variant>
        <vt:lpwstr>_Toc419638976</vt:lpwstr>
      </vt:variant>
      <vt:variant>
        <vt:i4>2031671</vt:i4>
      </vt:variant>
      <vt:variant>
        <vt:i4>200</vt:i4>
      </vt:variant>
      <vt:variant>
        <vt:i4>0</vt:i4>
      </vt:variant>
      <vt:variant>
        <vt:i4>5</vt:i4>
      </vt:variant>
      <vt:variant>
        <vt:lpwstr/>
      </vt:variant>
      <vt:variant>
        <vt:lpwstr>_Toc419638975</vt:lpwstr>
      </vt:variant>
      <vt:variant>
        <vt:i4>2031671</vt:i4>
      </vt:variant>
      <vt:variant>
        <vt:i4>194</vt:i4>
      </vt:variant>
      <vt:variant>
        <vt:i4>0</vt:i4>
      </vt:variant>
      <vt:variant>
        <vt:i4>5</vt:i4>
      </vt:variant>
      <vt:variant>
        <vt:lpwstr/>
      </vt:variant>
      <vt:variant>
        <vt:lpwstr>_Toc419638974</vt:lpwstr>
      </vt:variant>
      <vt:variant>
        <vt:i4>2031671</vt:i4>
      </vt:variant>
      <vt:variant>
        <vt:i4>188</vt:i4>
      </vt:variant>
      <vt:variant>
        <vt:i4>0</vt:i4>
      </vt:variant>
      <vt:variant>
        <vt:i4>5</vt:i4>
      </vt:variant>
      <vt:variant>
        <vt:lpwstr/>
      </vt:variant>
      <vt:variant>
        <vt:lpwstr>_Toc419638973</vt:lpwstr>
      </vt:variant>
      <vt:variant>
        <vt:i4>2031671</vt:i4>
      </vt:variant>
      <vt:variant>
        <vt:i4>182</vt:i4>
      </vt:variant>
      <vt:variant>
        <vt:i4>0</vt:i4>
      </vt:variant>
      <vt:variant>
        <vt:i4>5</vt:i4>
      </vt:variant>
      <vt:variant>
        <vt:lpwstr/>
      </vt:variant>
      <vt:variant>
        <vt:lpwstr>_Toc419638972</vt:lpwstr>
      </vt:variant>
      <vt:variant>
        <vt:i4>2031671</vt:i4>
      </vt:variant>
      <vt:variant>
        <vt:i4>176</vt:i4>
      </vt:variant>
      <vt:variant>
        <vt:i4>0</vt:i4>
      </vt:variant>
      <vt:variant>
        <vt:i4>5</vt:i4>
      </vt:variant>
      <vt:variant>
        <vt:lpwstr/>
      </vt:variant>
      <vt:variant>
        <vt:lpwstr>_Toc419638971</vt:lpwstr>
      </vt:variant>
      <vt:variant>
        <vt:i4>2031671</vt:i4>
      </vt:variant>
      <vt:variant>
        <vt:i4>170</vt:i4>
      </vt:variant>
      <vt:variant>
        <vt:i4>0</vt:i4>
      </vt:variant>
      <vt:variant>
        <vt:i4>5</vt:i4>
      </vt:variant>
      <vt:variant>
        <vt:lpwstr/>
      </vt:variant>
      <vt:variant>
        <vt:lpwstr>_Toc419638970</vt:lpwstr>
      </vt:variant>
      <vt:variant>
        <vt:i4>1966135</vt:i4>
      </vt:variant>
      <vt:variant>
        <vt:i4>164</vt:i4>
      </vt:variant>
      <vt:variant>
        <vt:i4>0</vt:i4>
      </vt:variant>
      <vt:variant>
        <vt:i4>5</vt:i4>
      </vt:variant>
      <vt:variant>
        <vt:lpwstr/>
      </vt:variant>
      <vt:variant>
        <vt:lpwstr>_Toc419638969</vt:lpwstr>
      </vt:variant>
      <vt:variant>
        <vt:i4>1966135</vt:i4>
      </vt:variant>
      <vt:variant>
        <vt:i4>158</vt:i4>
      </vt:variant>
      <vt:variant>
        <vt:i4>0</vt:i4>
      </vt:variant>
      <vt:variant>
        <vt:i4>5</vt:i4>
      </vt:variant>
      <vt:variant>
        <vt:lpwstr/>
      </vt:variant>
      <vt:variant>
        <vt:lpwstr>_Toc419638968</vt:lpwstr>
      </vt:variant>
      <vt:variant>
        <vt:i4>1966135</vt:i4>
      </vt:variant>
      <vt:variant>
        <vt:i4>152</vt:i4>
      </vt:variant>
      <vt:variant>
        <vt:i4>0</vt:i4>
      </vt:variant>
      <vt:variant>
        <vt:i4>5</vt:i4>
      </vt:variant>
      <vt:variant>
        <vt:lpwstr/>
      </vt:variant>
      <vt:variant>
        <vt:lpwstr>_Toc419638967</vt:lpwstr>
      </vt:variant>
      <vt:variant>
        <vt:i4>1966135</vt:i4>
      </vt:variant>
      <vt:variant>
        <vt:i4>146</vt:i4>
      </vt:variant>
      <vt:variant>
        <vt:i4>0</vt:i4>
      </vt:variant>
      <vt:variant>
        <vt:i4>5</vt:i4>
      </vt:variant>
      <vt:variant>
        <vt:lpwstr/>
      </vt:variant>
      <vt:variant>
        <vt:lpwstr>_Toc419638966</vt:lpwstr>
      </vt:variant>
      <vt:variant>
        <vt:i4>1966135</vt:i4>
      </vt:variant>
      <vt:variant>
        <vt:i4>140</vt:i4>
      </vt:variant>
      <vt:variant>
        <vt:i4>0</vt:i4>
      </vt:variant>
      <vt:variant>
        <vt:i4>5</vt:i4>
      </vt:variant>
      <vt:variant>
        <vt:lpwstr/>
      </vt:variant>
      <vt:variant>
        <vt:lpwstr>_Toc419638965</vt:lpwstr>
      </vt:variant>
      <vt:variant>
        <vt:i4>1966135</vt:i4>
      </vt:variant>
      <vt:variant>
        <vt:i4>134</vt:i4>
      </vt:variant>
      <vt:variant>
        <vt:i4>0</vt:i4>
      </vt:variant>
      <vt:variant>
        <vt:i4>5</vt:i4>
      </vt:variant>
      <vt:variant>
        <vt:lpwstr/>
      </vt:variant>
      <vt:variant>
        <vt:lpwstr>_Toc419638964</vt:lpwstr>
      </vt:variant>
      <vt:variant>
        <vt:i4>1966135</vt:i4>
      </vt:variant>
      <vt:variant>
        <vt:i4>128</vt:i4>
      </vt:variant>
      <vt:variant>
        <vt:i4>0</vt:i4>
      </vt:variant>
      <vt:variant>
        <vt:i4>5</vt:i4>
      </vt:variant>
      <vt:variant>
        <vt:lpwstr/>
      </vt:variant>
      <vt:variant>
        <vt:lpwstr>_Toc419638963</vt:lpwstr>
      </vt:variant>
      <vt:variant>
        <vt:i4>1966135</vt:i4>
      </vt:variant>
      <vt:variant>
        <vt:i4>122</vt:i4>
      </vt:variant>
      <vt:variant>
        <vt:i4>0</vt:i4>
      </vt:variant>
      <vt:variant>
        <vt:i4>5</vt:i4>
      </vt:variant>
      <vt:variant>
        <vt:lpwstr/>
      </vt:variant>
      <vt:variant>
        <vt:lpwstr>_Toc419638962</vt:lpwstr>
      </vt:variant>
      <vt:variant>
        <vt:i4>1966135</vt:i4>
      </vt:variant>
      <vt:variant>
        <vt:i4>116</vt:i4>
      </vt:variant>
      <vt:variant>
        <vt:i4>0</vt:i4>
      </vt:variant>
      <vt:variant>
        <vt:i4>5</vt:i4>
      </vt:variant>
      <vt:variant>
        <vt:lpwstr/>
      </vt:variant>
      <vt:variant>
        <vt:lpwstr>_Toc419638961</vt:lpwstr>
      </vt:variant>
      <vt:variant>
        <vt:i4>1966135</vt:i4>
      </vt:variant>
      <vt:variant>
        <vt:i4>110</vt:i4>
      </vt:variant>
      <vt:variant>
        <vt:i4>0</vt:i4>
      </vt:variant>
      <vt:variant>
        <vt:i4>5</vt:i4>
      </vt:variant>
      <vt:variant>
        <vt:lpwstr/>
      </vt:variant>
      <vt:variant>
        <vt:lpwstr>_Toc419638960</vt:lpwstr>
      </vt:variant>
      <vt:variant>
        <vt:i4>1900599</vt:i4>
      </vt:variant>
      <vt:variant>
        <vt:i4>104</vt:i4>
      </vt:variant>
      <vt:variant>
        <vt:i4>0</vt:i4>
      </vt:variant>
      <vt:variant>
        <vt:i4>5</vt:i4>
      </vt:variant>
      <vt:variant>
        <vt:lpwstr/>
      </vt:variant>
      <vt:variant>
        <vt:lpwstr>_Toc419638959</vt:lpwstr>
      </vt:variant>
      <vt:variant>
        <vt:i4>1900599</vt:i4>
      </vt:variant>
      <vt:variant>
        <vt:i4>98</vt:i4>
      </vt:variant>
      <vt:variant>
        <vt:i4>0</vt:i4>
      </vt:variant>
      <vt:variant>
        <vt:i4>5</vt:i4>
      </vt:variant>
      <vt:variant>
        <vt:lpwstr/>
      </vt:variant>
      <vt:variant>
        <vt:lpwstr>_Toc419638958</vt:lpwstr>
      </vt:variant>
      <vt:variant>
        <vt:i4>1900599</vt:i4>
      </vt:variant>
      <vt:variant>
        <vt:i4>92</vt:i4>
      </vt:variant>
      <vt:variant>
        <vt:i4>0</vt:i4>
      </vt:variant>
      <vt:variant>
        <vt:i4>5</vt:i4>
      </vt:variant>
      <vt:variant>
        <vt:lpwstr/>
      </vt:variant>
      <vt:variant>
        <vt:lpwstr>_Toc419638957</vt:lpwstr>
      </vt:variant>
      <vt:variant>
        <vt:i4>1900599</vt:i4>
      </vt:variant>
      <vt:variant>
        <vt:i4>86</vt:i4>
      </vt:variant>
      <vt:variant>
        <vt:i4>0</vt:i4>
      </vt:variant>
      <vt:variant>
        <vt:i4>5</vt:i4>
      </vt:variant>
      <vt:variant>
        <vt:lpwstr/>
      </vt:variant>
      <vt:variant>
        <vt:lpwstr>_Toc419638956</vt:lpwstr>
      </vt:variant>
      <vt:variant>
        <vt:i4>1900599</vt:i4>
      </vt:variant>
      <vt:variant>
        <vt:i4>80</vt:i4>
      </vt:variant>
      <vt:variant>
        <vt:i4>0</vt:i4>
      </vt:variant>
      <vt:variant>
        <vt:i4>5</vt:i4>
      </vt:variant>
      <vt:variant>
        <vt:lpwstr/>
      </vt:variant>
      <vt:variant>
        <vt:lpwstr>_Toc419638955</vt:lpwstr>
      </vt:variant>
      <vt:variant>
        <vt:i4>1900599</vt:i4>
      </vt:variant>
      <vt:variant>
        <vt:i4>74</vt:i4>
      </vt:variant>
      <vt:variant>
        <vt:i4>0</vt:i4>
      </vt:variant>
      <vt:variant>
        <vt:i4>5</vt:i4>
      </vt:variant>
      <vt:variant>
        <vt:lpwstr/>
      </vt:variant>
      <vt:variant>
        <vt:lpwstr>_Toc419638954</vt:lpwstr>
      </vt:variant>
      <vt:variant>
        <vt:i4>1900599</vt:i4>
      </vt:variant>
      <vt:variant>
        <vt:i4>68</vt:i4>
      </vt:variant>
      <vt:variant>
        <vt:i4>0</vt:i4>
      </vt:variant>
      <vt:variant>
        <vt:i4>5</vt:i4>
      </vt:variant>
      <vt:variant>
        <vt:lpwstr/>
      </vt:variant>
      <vt:variant>
        <vt:lpwstr>_Toc419638953</vt:lpwstr>
      </vt:variant>
      <vt:variant>
        <vt:i4>1900599</vt:i4>
      </vt:variant>
      <vt:variant>
        <vt:i4>62</vt:i4>
      </vt:variant>
      <vt:variant>
        <vt:i4>0</vt:i4>
      </vt:variant>
      <vt:variant>
        <vt:i4>5</vt:i4>
      </vt:variant>
      <vt:variant>
        <vt:lpwstr/>
      </vt:variant>
      <vt:variant>
        <vt:lpwstr>_Toc419638952</vt:lpwstr>
      </vt:variant>
      <vt:variant>
        <vt:i4>1900599</vt:i4>
      </vt:variant>
      <vt:variant>
        <vt:i4>56</vt:i4>
      </vt:variant>
      <vt:variant>
        <vt:i4>0</vt:i4>
      </vt:variant>
      <vt:variant>
        <vt:i4>5</vt:i4>
      </vt:variant>
      <vt:variant>
        <vt:lpwstr/>
      </vt:variant>
      <vt:variant>
        <vt:lpwstr>_Toc419638951</vt:lpwstr>
      </vt:variant>
      <vt:variant>
        <vt:i4>1900599</vt:i4>
      </vt:variant>
      <vt:variant>
        <vt:i4>50</vt:i4>
      </vt:variant>
      <vt:variant>
        <vt:i4>0</vt:i4>
      </vt:variant>
      <vt:variant>
        <vt:i4>5</vt:i4>
      </vt:variant>
      <vt:variant>
        <vt:lpwstr/>
      </vt:variant>
      <vt:variant>
        <vt:lpwstr>_Toc419638950</vt:lpwstr>
      </vt:variant>
      <vt:variant>
        <vt:i4>1835063</vt:i4>
      </vt:variant>
      <vt:variant>
        <vt:i4>44</vt:i4>
      </vt:variant>
      <vt:variant>
        <vt:i4>0</vt:i4>
      </vt:variant>
      <vt:variant>
        <vt:i4>5</vt:i4>
      </vt:variant>
      <vt:variant>
        <vt:lpwstr/>
      </vt:variant>
      <vt:variant>
        <vt:lpwstr>_Toc419638949</vt:lpwstr>
      </vt:variant>
      <vt:variant>
        <vt:i4>1835063</vt:i4>
      </vt:variant>
      <vt:variant>
        <vt:i4>38</vt:i4>
      </vt:variant>
      <vt:variant>
        <vt:i4>0</vt:i4>
      </vt:variant>
      <vt:variant>
        <vt:i4>5</vt:i4>
      </vt:variant>
      <vt:variant>
        <vt:lpwstr/>
      </vt:variant>
      <vt:variant>
        <vt:lpwstr>_Toc419638948</vt:lpwstr>
      </vt:variant>
      <vt:variant>
        <vt:i4>1835063</vt:i4>
      </vt:variant>
      <vt:variant>
        <vt:i4>32</vt:i4>
      </vt:variant>
      <vt:variant>
        <vt:i4>0</vt:i4>
      </vt:variant>
      <vt:variant>
        <vt:i4>5</vt:i4>
      </vt:variant>
      <vt:variant>
        <vt:lpwstr/>
      </vt:variant>
      <vt:variant>
        <vt:lpwstr>_Toc419638947</vt:lpwstr>
      </vt:variant>
      <vt:variant>
        <vt:i4>1835063</vt:i4>
      </vt:variant>
      <vt:variant>
        <vt:i4>26</vt:i4>
      </vt:variant>
      <vt:variant>
        <vt:i4>0</vt:i4>
      </vt:variant>
      <vt:variant>
        <vt:i4>5</vt:i4>
      </vt:variant>
      <vt:variant>
        <vt:lpwstr/>
      </vt:variant>
      <vt:variant>
        <vt:lpwstr>_Toc419638946</vt:lpwstr>
      </vt:variant>
      <vt:variant>
        <vt:i4>1835063</vt:i4>
      </vt:variant>
      <vt:variant>
        <vt:i4>20</vt:i4>
      </vt:variant>
      <vt:variant>
        <vt:i4>0</vt:i4>
      </vt:variant>
      <vt:variant>
        <vt:i4>5</vt:i4>
      </vt:variant>
      <vt:variant>
        <vt:lpwstr/>
      </vt:variant>
      <vt:variant>
        <vt:lpwstr>_Toc419638945</vt:lpwstr>
      </vt:variant>
      <vt:variant>
        <vt:i4>1835063</vt:i4>
      </vt:variant>
      <vt:variant>
        <vt:i4>14</vt:i4>
      </vt:variant>
      <vt:variant>
        <vt:i4>0</vt:i4>
      </vt:variant>
      <vt:variant>
        <vt:i4>5</vt:i4>
      </vt:variant>
      <vt:variant>
        <vt:lpwstr/>
      </vt:variant>
      <vt:variant>
        <vt:lpwstr>_Toc419638944</vt:lpwstr>
      </vt:variant>
      <vt:variant>
        <vt:i4>1835063</vt:i4>
      </vt:variant>
      <vt:variant>
        <vt:i4>8</vt:i4>
      </vt:variant>
      <vt:variant>
        <vt:i4>0</vt:i4>
      </vt:variant>
      <vt:variant>
        <vt:i4>5</vt:i4>
      </vt:variant>
      <vt:variant>
        <vt:lpwstr/>
      </vt:variant>
      <vt:variant>
        <vt:lpwstr>_Toc419638943</vt:lpwstr>
      </vt:variant>
      <vt:variant>
        <vt:i4>1835063</vt:i4>
      </vt:variant>
      <vt:variant>
        <vt:i4>2</vt:i4>
      </vt:variant>
      <vt:variant>
        <vt:i4>0</vt:i4>
      </vt:variant>
      <vt:variant>
        <vt:i4>5</vt:i4>
      </vt:variant>
      <vt:variant>
        <vt:lpwstr/>
      </vt:variant>
      <vt:variant>
        <vt:lpwstr>_Toc419638942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HANSSON</dc:creator>
  <cp:lastModifiedBy>ANTON HANSSON</cp:lastModifiedBy>
  <cp:revision>3</cp:revision>
  <cp:lastPrinted>2015-05-18T12:53:00Z</cp:lastPrinted>
  <dcterms:created xsi:type="dcterms:W3CDTF">2015-08-28T11:37:00Z</dcterms:created>
  <dcterms:modified xsi:type="dcterms:W3CDTF">2015-08-28T11:39:00Z</dcterms:modified>
</cp:coreProperties>
</file>