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8654A2" w14:textId="77777777" w:rsidR="006B58F4" w:rsidRDefault="00000000">
      <w:pPr>
        <w:spacing w:after="240" w:line="240" w:lineRule="auto"/>
        <w:jc w:val="center"/>
        <w:rPr>
          <w:rFonts w:ascii="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noProof/>
          <w:sz w:val="24"/>
          <w:szCs w:val="24"/>
        </w:rPr>
        <w:drawing>
          <wp:inline distT="0" distB="0" distL="0" distR="0" wp14:anchorId="0489587C" wp14:editId="24142FE4">
            <wp:extent cx="2420620" cy="2420620"/>
            <wp:effectExtent l="0" t="0" r="0" b="0"/>
            <wp:docPr id="48" name="image27.png" descr="https://lh7-us.googleusercontent.com/wlXTpGJQrjKXswG0Rb71l9lE7NQ0ox-zB9CHVE8EifUSV812uw7Xx1TshPAfHccseJdH8hjn60KsVJggVy5up5SzBVEXVwQqiH09ScfUiWlnRO6dYv1vkTja2XUrgF5rJKTGdanpOWbTeFMdtEt-mQ"/>
            <wp:cNvGraphicFramePr/>
            <a:graphic xmlns:a="http://schemas.openxmlformats.org/drawingml/2006/main">
              <a:graphicData uri="http://schemas.openxmlformats.org/drawingml/2006/picture">
                <pic:pic xmlns:pic="http://schemas.openxmlformats.org/drawingml/2006/picture">
                  <pic:nvPicPr>
                    <pic:cNvPr id="0" name="image27.png" descr="https://lh7-us.googleusercontent.com/wlXTpGJQrjKXswG0Rb71l9lE7NQ0ox-zB9CHVE8EifUSV812uw7Xx1TshPAfHccseJdH8hjn60KsVJggVy5up5SzBVEXVwQqiH09ScfUiWlnRO6dYv1vkTja2XUrgF5rJKTGdanpOWbTeFMdtEt-mQ"/>
                    <pic:cNvPicPr preferRelativeResize="0"/>
                  </pic:nvPicPr>
                  <pic:blipFill>
                    <a:blip r:embed="rId8"/>
                    <a:srcRect/>
                    <a:stretch>
                      <a:fillRect/>
                    </a:stretch>
                  </pic:blipFill>
                  <pic:spPr>
                    <a:xfrm>
                      <a:off x="0" y="0"/>
                      <a:ext cx="2420620" cy="242062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3D385C77" w14:textId="77CD25B9" w:rsidR="00542462" w:rsidRDefault="00542462" w:rsidP="00542462">
      <w:pPr>
        <w:jc w:val="center"/>
        <w:rPr>
          <w:rFonts w:ascii="Adobe Garamond Pro" w:hAnsi="Adobe Garamond Pro" w:cs="Arial" w:hint="eastAsia"/>
          <w:b/>
          <w:sz w:val="52"/>
        </w:rPr>
      </w:pPr>
      <w:r>
        <w:rPr>
          <w:rFonts w:ascii="Adobe Garamond Pro" w:hAnsi="Adobe Garamond Pro" w:cs="Arial" w:hint="eastAsia"/>
          <w:b/>
          <w:sz w:val="52"/>
        </w:rPr>
        <w:t>Summary of Master Thesis</w:t>
      </w:r>
    </w:p>
    <w:p w14:paraId="26FACAA0" w14:textId="4EF58D3E" w:rsidR="00542462" w:rsidRPr="008D3F16" w:rsidRDefault="00542462" w:rsidP="00542462">
      <w:pPr>
        <w:jc w:val="center"/>
        <w:rPr>
          <w:rFonts w:ascii="Adobe Garamond Pro" w:hAnsi="Adobe Garamond Pro" w:cs="Arial"/>
          <w:b/>
          <w:sz w:val="52"/>
          <w:highlight w:val="yellow"/>
        </w:rPr>
      </w:pPr>
      <w:r w:rsidRPr="008D3F16">
        <w:rPr>
          <w:rFonts w:ascii="Adobe Garamond Pro" w:hAnsi="Adobe Garamond Pro" w:cs="Arial"/>
          <w:b/>
          <w:sz w:val="52"/>
        </w:rPr>
        <w:t>Resource-constrained and policy-driven CSRD compliance</w:t>
      </w:r>
    </w:p>
    <w:p w14:paraId="7E3C2660" w14:textId="77777777" w:rsidR="00542462" w:rsidRPr="008D3F16" w:rsidRDefault="00542462" w:rsidP="00542462">
      <w:pPr>
        <w:jc w:val="center"/>
        <w:rPr>
          <w:rFonts w:ascii="Adobe Garamond Pro" w:hAnsi="Adobe Garamond Pro" w:cs="Arial"/>
          <w:b/>
          <w:sz w:val="40"/>
        </w:rPr>
      </w:pPr>
      <w:r w:rsidRPr="000C763E">
        <w:rPr>
          <w:rFonts w:ascii="Adobe Garamond Pro" w:hAnsi="Adobe Garamond Pro" w:cs="Arial"/>
          <w:b/>
          <w:sz w:val="40"/>
        </w:rPr>
        <w:t xml:space="preserve">- </w:t>
      </w:r>
      <w:r w:rsidRPr="008D3F16">
        <w:rPr>
          <w:rFonts w:ascii="Adobe Garamond Pro" w:hAnsi="Adobe Garamond Pro" w:cs="Arial" w:hint="eastAsia"/>
          <w:b/>
          <w:sz w:val="40"/>
        </w:rPr>
        <w:t>A</w:t>
      </w:r>
      <w:r w:rsidRPr="008D3F16">
        <w:rPr>
          <w:rFonts w:ascii="Adobe Garamond Pro" w:hAnsi="Adobe Garamond Pro" w:cs="Arial"/>
          <w:b/>
          <w:sz w:val="40"/>
        </w:rPr>
        <w:t xml:space="preserve"> comparison of sustainability practices of mid-sized automobile manufacturers in China and Europe</w:t>
      </w:r>
    </w:p>
    <w:p w14:paraId="0605C8F3" w14:textId="77777777" w:rsidR="00542462" w:rsidRPr="00542462" w:rsidRDefault="00542462" w:rsidP="00542462">
      <w:pPr>
        <w:rPr>
          <w:rFonts w:hint="eastAsia"/>
        </w:rPr>
      </w:pPr>
    </w:p>
    <w:p w14:paraId="2A8DDC8F" w14:textId="77777777" w:rsidR="00542462" w:rsidRDefault="00542462" w:rsidP="00542462">
      <w:pPr>
        <w:spacing w:after="240" w:line="240" w:lineRule="auto"/>
        <w:rPr>
          <w:rFonts w:ascii="Times New Roman" w:hAnsi="Times New Roman" w:cs="Times New Roman" w:hint="eastAsia"/>
          <w:sz w:val="24"/>
          <w:szCs w:val="24"/>
        </w:rPr>
      </w:pPr>
    </w:p>
    <w:p w14:paraId="515C1314" w14:textId="77777777" w:rsidR="00542462" w:rsidRDefault="00542462">
      <w:pPr>
        <w:spacing w:after="240" w:line="240" w:lineRule="auto"/>
        <w:jc w:val="center"/>
        <w:rPr>
          <w:rFonts w:ascii="Times New Roman" w:hAnsi="Times New Roman" w:cs="Times New Roman" w:hint="eastAsia"/>
          <w:sz w:val="24"/>
          <w:szCs w:val="24"/>
        </w:rPr>
      </w:pPr>
    </w:p>
    <w:p w14:paraId="1A85C67F" w14:textId="77777777" w:rsidR="006B58F4" w:rsidRPr="000C763E" w:rsidRDefault="006B58F4" w:rsidP="006B58F4">
      <w:r w:rsidRPr="000C763E">
        <w:t xml:space="preserve">Supervisor: Christina </w:t>
      </w:r>
      <w:proofErr w:type="spellStart"/>
      <w:r w:rsidRPr="000C763E">
        <w:t>Windmark</w:t>
      </w:r>
      <w:proofErr w:type="spellEnd"/>
      <w:r w:rsidRPr="000C763E">
        <w:t xml:space="preserve">, </w:t>
      </w:r>
      <w:r w:rsidRPr="000C763E">
        <w:rPr>
          <w:rFonts w:hint="eastAsia"/>
        </w:rPr>
        <w:t>Dr.</w:t>
      </w:r>
    </w:p>
    <w:p w14:paraId="50EA6F10" w14:textId="142D1DE6" w:rsidR="006B58F4" w:rsidRDefault="006B58F4" w:rsidP="006B58F4">
      <w:pPr>
        <w:rPr>
          <w:rFonts w:hint="eastAsia"/>
        </w:rPr>
      </w:pPr>
      <w:r w:rsidRPr="006B58F4">
        <w:t>Examiner:  Fredrik Schultheiss,</w:t>
      </w:r>
      <w:r w:rsidRPr="006B58F4">
        <w:rPr>
          <w:rFonts w:hint="eastAsia"/>
        </w:rPr>
        <w:t xml:space="preserve"> Docent</w:t>
      </w:r>
    </w:p>
    <w:p w14:paraId="2A75CCB7" w14:textId="77777777" w:rsidR="006B58F4" w:rsidRPr="006B58F4" w:rsidRDefault="006B58F4" w:rsidP="006B58F4"/>
    <w:p w14:paraId="4CB386BD" w14:textId="77777777" w:rsidR="006B58F4" w:rsidRPr="006B58F4" w:rsidRDefault="006B58F4" w:rsidP="006B58F4">
      <w:r w:rsidRPr="006B58F4">
        <w:t xml:space="preserve">Author: </w:t>
      </w:r>
      <w:proofErr w:type="spellStart"/>
      <w:r w:rsidRPr="006B58F4">
        <w:rPr>
          <w:rFonts w:hint="eastAsia"/>
        </w:rPr>
        <w:t>Kuntian</w:t>
      </w:r>
      <w:proofErr w:type="spellEnd"/>
      <w:r w:rsidRPr="006B58F4">
        <w:rPr>
          <w:rFonts w:hint="eastAsia"/>
        </w:rPr>
        <w:t xml:space="preserve"> Re</w:t>
      </w:r>
      <w:r w:rsidRPr="006B58F4">
        <w:t>n</w:t>
      </w:r>
    </w:p>
    <w:p w14:paraId="62196D77" w14:textId="30F25554" w:rsidR="00706E52" w:rsidRPr="0016663B" w:rsidRDefault="006B58F4" w:rsidP="0016663B">
      <w:pPr>
        <w:rPr>
          <w:rFonts w:hint="eastAsia"/>
          <w:lang w:val="sv-SE"/>
        </w:rPr>
      </w:pPr>
      <w:r w:rsidRPr="000C763E">
        <w:rPr>
          <w:lang w:val="sv-SE"/>
        </w:rPr>
        <w:t>Lund, Sweden 20</w:t>
      </w:r>
      <w:r w:rsidRPr="000C763E">
        <w:rPr>
          <w:rFonts w:hint="eastAsia"/>
          <w:lang w:val="sv-SE"/>
        </w:rPr>
        <w:t>25</w:t>
      </w:r>
    </w:p>
    <w:p w14:paraId="218F33DF" w14:textId="322AF2A1" w:rsidR="003E5B16" w:rsidRPr="0016663B" w:rsidRDefault="003E5B16" w:rsidP="0016663B">
      <w:pPr>
        <w:pStyle w:val="2"/>
        <w:spacing w:line="360" w:lineRule="auto"/>
        <w:rPr>
          <w:rFonts w:ascii="Times New Roman" w:hAnsi="Times New Roman" w:cs="Times New Roman"/>
        </w:rPr>
      </w:pPr>
      <w:r w:rsidRPr="0016663B">
        <w:rPr>
          <w:rFonts w:ascii="Times New Roman" w:hAnsi="Times New Roman" w:cs="Times New Roman"/>
        </w:rPr>
        <w:lastRenderedPageBreak/>
        <w:t>1.</w:t>
      </w:r>
      <w:r w:rsidRPr="0016663B">
        <w:rPr>
          <w:rFonts w:ascii="Times New Roman" w:hAnsi="Times New Roman" w:cs="Times New Roman"/>
        </w:rPr>
        <w:t xml:space="preserve">Research </w:t>
      </w:r>
      <w:r w:rsidRPr="0016663B">
        <w:rPr>
          <w:rFonts w:ascii="Times New Roman" w:hAnsi="Times New Roman" w:cs="Times New Roman"/>
        </w:rPr>
        <w:t>Background</w:t>
      </w:r>
      <w:r w:rsidRPr="0016663B">
        <w:rPr>
          <w:rFonts w:ascii="Times New Roman" w:hAnsi="Times New Roman" w:cs="Times New Roman"/>
        </w:rPr>
        <w:t xml:space="preserve"> and Core Questions</w:t>
      </w:r>
    </w:p>
    <w:p w14:paraId="75FC94F4" w14:textId="06D0BA81" w:rsidR="003E5B16" w:rsidRPr="0016663B" w:rsidRDefault="003E5B16" w:rsidP="0016663B">
      <w:pPr>
        <w:spacing w:after="240" w:line="360" w:lineRule="auto"/>
        <w:rPr>
          <w:rFonts w:ascii="Times New Roman" w:hAnsi="Times New Roman" w:cs="Times New Roman"/>
          <w:sz w:val="24"/>
          <w:szCs w:val="24"/>
        </w:rPr>
      </w:pPr>
      <w:r w:rsidRPr="0016663B">
        <w:rPr>
          <w:rFonts w:ascii="Times New Roman" w:hAnsi="Times New Roman" w:cs="Times New Roman"/>
          <w:sz w:val="24"/>
          <w:szCs w:val="24"/>
        </w:rPr>
        <w:t>This thesis is focused on the European Union's Corporate Sustainability Reporting Directive (CSRD), focusing on the compliance practices of medium-sized automotive manufacturing enterprises in China and Europe in the dual context of resource constraints and policy drivers. In the face of complex sustainability requirements, medium-sized enterprises face greater pressure to transform due to relatively limited human resources, financial resources and technology. The paper proposes a key question: how can these enterprises effectively integrate CSRD requirements with existing monitoring systems and find an adaptive transformation path despite resource constraints?</w:t>
      </w:r>
    </w:p>
    <w:p w14:paraId="75EB4E3F" w14:textId="2E89FFD9" w:rsidR="003E5B16" w:rsidRPr="0016663B" w:rsidRDefault="003E5B16" w:rsidP="0016663B">
      <w:pPr>
        <w:pStyle w:val="2"/>
        <w:spacing w:line="360" w:lineRule="auto"/>
        <w:rPr>
          <w:rFonts w:ascii="Times New Roman" w:hAnsi="Times New Roman" w:cs="Times New Roman"/>
        </w:rPr>
      </w:pPr>
      <w:r w:rsidRPr="0016663B">
        <w:rPr>
          <w:rFonts w:ascii="Times New Roman" w:hAnsi="Times New Roman" w:cs="Times New Roman"/>
        </w:rPr>
        <w:t>2.</w:t>
      </w:r>
      <w:r w:rsidRPr="0016663B">
        <w:rPr>
          <w:rFonts w:ascii="Times New Roman" w:hAnsi="Times New Roman" w:cs="Times New Roman"/>
        </w:rPr>
        <w:t>Research Methodology and Case Selection</w:t>
      </w:r>
    </w:p>
    <w:p w14:paraId="36743009" w14:textId="55944DE6" w:rsidR="006B58F4" w:rsidRPr="0016663B" w:rsidRDefault="003E5B16" w:rsidP="0016663B">
      <w:pPr>
        <w:spacing w:after="240" w:line="360" w:lineRule="auto"/>
        <w:rPr>
          <w:rFonts w:ascii="Times New Roman" w:hAnsi="Times New Roman" w:cs="Times New Roman"/>
          <w:sz w:val="24"/>
          <w:szCs w:val="24"/>
        </w:rPr>
      </w:pPr>
      <w:r w:rsidRPr="0016663B">
        <w:rPr>
          <w:rFonts w:ascii="Times New Roman" w:hAnsi="Times New Roman" w:cs="Times New Roman"/>
          <w:sz w:val="24"/>
          <w:szCs w:val="24"/>
        </w:rPr>
        <w:t xml:space="preserve">This research </w:t>
      </w:r>
      <w:r w:rsidRPr="0016663B">
        <w:rPr>
          <w:rFonts w:ascii="Times New Roman" w:hAnsi="Times New Roman" w:cs="Times New Roman"/>
          <w:sz w:val="24"/>
          <w:szCs w:val="24"/>
        </w:rPr>
        <w:t>adopts</w:t>
      </w:r>
      <w:r w:rsidRPr="0016663B">
        <w:rPr>
          <w:rFonts w:ascii="Times New Roman" w:hAnsi="Times New Roman" w:cs="Times New Roman"/>
          <w:sz w:val="24"/>
          <w:szCs w:val="24"/>
        </w:rPr>
        <w:t xml:space="preserve"> a multi-case comparative research methodology and select six representative automotive manufacturing enterprises from China and Europe, </w:t>
      </w:r>
      <w:r w:rsidRPr="0016663B">
        <w:rPr>
          <w:rFonts w:ascii="Times New Roman" w:hAnsi="Times New Roman" w:cs="Times New Roman"/>
          <w:sz w:val="24"/>
          <w:szCs w:val="24"/>
        </w:rPr>
        <w:t>combining interviews</w:t>
      </w:r>
      <w:r w:rsidRPr="0016663B">
        <w:rPr>
          <w:rFonts w:ascii="Times New Roman" w:hAnsi="Times New Roman" w:cs="Times New Roman"/>
          <w:sz w:val="24"/>
          <w:szCs w:val="24"/>
        </w:rPr>
        <w:t>, ESG reports, and third-party audits to analyze the specific strategies of the enterprises in terms of the application of digital tools, policy responses, and resource allocation. Through the construction of the “resource-technology-policy” interaction analysis framework, the response mechanisms under different institutional environments are discussed.</w:t>
      </w:r>
    </w:p>
    <w:p w14:paraId="7E45CA0A" w14:textId="2CECCF12" w:rsidR="00542462" w:rsidRPr="0016663B" w:rsidRDefault="00542462" w:rsidP="0016663B">
      <w:pPr>
        <w:pStyle w:val="2"/>
        <w:spacing w:line="360" w:lineRule="auto"/>
        <w:rPr>
          <w:rFonts w:ascii="Times New Roman" w:hAnsi="Times New Roman" w:cs="Times New Roman"/>
        </w:rPr>
      </w:pPr>
      <w:r w:rsidRPr="0016663B">
        <w:rPr>
          <w:rFonts w:ascii="Times New Roman" w:hAnsi="Times New Roman" w:cs="Times New Roman"/>
        </w:rPr>
        <w:t>3.</w:t>
      </w:r>
      <w:r w:rsidRPr="0016663B">
        <w:rPr>
          <w:rFonts w:ascii="Times New Roman" w:hAnsi="Times New Roman" w:cs="Times New Roman"/>
        </w:rPr>
        <w:t>Key Findings and Technology Paths</w:t>
      </w:r>
    </w:p>
    <w:p w14:paraId="78A88FEF" w14:textId="524B3B01" w:rsidR="00542462" w:rsidRPr="0016663B" w:rsidRDefault="00542462" w:rsidP="0016663B">
      <w:pPr>
        <w:spacing w:after="240" w:line="360" w:lineRule="auto"/>
        <w:rPr>
          <w:rFonts w:ascii="Times New Roman" w:hAnsi="Times New Roman" w:cs="Times New Roman"/>
          <w:sz w:val="24"/>
          <w:szCs w:val="24"/>
        </w:rPr>
      </w:pPr>
      <w:r w:rsidRPr="0016663B">
        <w:rPr>
          <w:rFonts w:ascii="Times New Roman" w:hAnsi="Times New Roman" w:cs="Times New Roman"/>
          <w:sz w:val="24"/>
          <w:szCs w:val="24"/>
        </w:rPr>
        <w:t>The study finds that while Chinese and European medium-sized enterprises face the common tension of “high transparency requirements and low resource capacity”, their paths differ significantly. European enterprises prefer to use highly integrated tools such as blockchain, Internet of Things (IoT) and Artificial Intelligence (AI) to achieve full-chain data transparency, while Chinese enterprises rely on policy synergies to make technological breakthroughs in specific areas, for example, by developing new battery materials through government collaborative laboratories, or by using recycled aluminum to reduce carbon footprints.</w:t>
      </w:r>
    </w:p>
    <w:p w14:paraId="75A6ADC5" w14:textId="4A283F76" w:rsidR="00542462" w:rsidRPr="0016663B" w:rsidRDefault="00542462" w:rsidP="0016663B">
      <w:pPr>
        <w:pStyle w:val="2"/>
        <w:spacing w:line="360" w:lineRule="auto"/>
        <w:rPr>
          <w:rFonts w:ascii="Times New Roman" w:hAnsi="Times New Roman" w:cs="Times New Roman"/>
        </w:rPr>
      </w:pPr>
      <w:r w:rsidRPr="0016663B">
        <w:rPr>
          <w:rFonts w:ascii="Times New Roman" w:hAnsi="Times New Roman" w:cs="Times New Roman"/>
        </w:rPr>
        <w:lastRenderedPageBreak/>
        <w:t>4.</w:t>
      </w:r>
      <w:r w:rsidRPr="0016663B">
        <w:rPr>
          <w:rFonts w:ascii="Times New Roman" w:hAnsi="Times New Roman" w:cs="Times New Roman"/>
        </w:rPr>
        <w:t>Innovative Contributions and Practical Implications</w:t>
      </w:r>
    </w:p>
    <w:p w14:paraId="6E9F9E9B" w14:textId="2FD67B76" w:rsidR="003E5B16" w:rsidRPr="0016663B" w:rsidRDefault="00542462" w:rsidP="0016663B">
      <w:pPr>
        <w:spacing w:after="240" w:line="360" w:lineRule="auto"/>
        <w:rPr>
          <w:rFonts w:ascii="Times New Roman" w:hAnsi="Times New Roman" w:cs="Times New Roman"/>
          <w:sz w:val="24"/>
          <w:szCs w:val="24"/>
        </w:rPr>
      </w:pPr>
      <w:r w:rsidRPr="0016663B">
        <w:rPr>
          <w:rFonts w:ascii="Times New Roman" w:hAnsi="Times New Roman" w:cs="Times New Roman"/>
          <w:sz w:val="24"/>
          <w:szCs w:val="24"/>
        </w:rPr>
        <w:t xml:space="preserve">This thesis </w:t>
      </w:r>
      <w:r w:rsidRPr="0016663B">
        <w:rPr>
          <w:rFonts w:ascii="Times New Roman" w:hAnsi="Times New Roman" w:cs="Times New Roman"/>
          <w:sz w:val="24"/>
          <w:szCs w:val="24"/>
        </w:rPr>
        <w:t>proposes</w:t>
      </w:r>
      <w:r w:rsidRPr="0016663B">
        <w:rPr>
          <w:rFonts w:ascii="Times New Roman" w:hAnsi="Times New Roman" w:cs="Times New Roman"/>
          <w:sz w:val="24"/>
          <w:szCs w:val="24"/>
        </w:rPr>
        <w:t xml:space="preserve"> an “adaptive technology stack” model, which emphasizes the use of modular, low-threshold tools combined with synergistic mechanisms to help resource-constrained enterprises achieve sustainable compliance. The study also points out that a one-size-fits-all policy design may increase the burden on medium-sized enterprises, and suggests the establishment of a tiered disclosure mechanism and a dedicated digitalization support fund to enhance adaptability from an institutional perspective. This model provides policymakers with more inclusive regulatory ideas and practical references for enterprises to explore cost-effective paths to green transformation.</w:t>
      </w:r>
    </w:p>
    <w:p w14:paraId="7BCAD824" w14:textId="4D168FC5" w:rsidR="00542462" w:rsidRPr="0016663B" w:rsidRDefault="00542462" w:rsidP="0016663B">
      <w:pPr>
        <w:pStyle w:val="2"/>
        <w:spacing w:line="360" w:lineRule="auto"/>
        <w:rPr>
          <w:rFonts w:ascii="Times New Roman" w:hAnsi="Times New Roman" w:cs="Times New Roman"/>
        </w:rPr>
      </w:pPr>
      <w:r w:rsidRPr="0016663B">
        <w:rPr>
          <w:rFonts w:ascii="Times New Roman" w:hAnsi="Times New Roman" w:cs="Times New Roman"/>
        </w:rPr>
        <w:t>5.</w:t>
      </w:r>
      <w:r w:rsidRPr="0016663B">
        <w:rPr>
          <w:rFonts w:ascii="Times New Roman" w:hAnsi="Times New Roman" w:cs="Times New Roman"/>
        </w:rPr>
        <w:t>Conclusion and Outlook</w:t>
      </w:r>
    </w:p>
    <w:p w14:paraId="08291E2E" w14:textId="2FD2C561" w:rsidR="00542462" w:rsidRPr="0016663B" w:rsidRDefault="00542462" w:rsidP="0016663B">
      <w:pPr>
        <w:spacing w:after="240" w:line="360" w:lineRule="auto"/>
        <w:rPr>
          <w:rFonts w:ascii="Times New Roman" w:hAnsi="Times New Roman" w:cs="Times New Roman"/>
          <w:sz w:val="24"/>
          <w:szCs w:val="24"/>
        </w:rPr>
      </w:pPr>
      <w:r w:rsidRPr="0016663B">
        <w:rPr>
          <w:rFonts w:ascii="Times New Roman" w:hAnsi="Times New Roman" w:cs="Times New Roman"/>
          <w:sz w:val="24"/>
          <w:szCs w:val="24"/>
        </w:rPr>
        <w:t>This study not only fills the theoretical gap in CSRD compliance for medium-sized enterprises, but also expands the boundaries of socio-technical transformation theory in resource-constrained scenarios. Through in-depth cross-regional comparisons, the thesis emphasizes that the interaction between institutional environment and technological eco-systems has a significant impact on the transformation paths of enterprises. Future research can further focus on the response mechanism of enterprises in long-term policy evolution, as well as the cost and benefit analysis under different technology combinations, to provide more targeted strategic support for medium-sized enterprises in the global green transition.</w:t>
      </w:r>
    </w:p>
    <w:sectPr w:rsidR="00542462" w:rsidRPr="0016663B">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B78CC3" w14:textId="77777777" w:rsidR="008A47A6" w:rsidRDefault="008A47A6">
      <w:pPr>
        <w:spacing w:after="0" w:line="240" w:lineRule="auto"/>
      </w:pPr>
      <w:r>
        <w:separator/>
      </w:r>
    </w:p>
  </w:endnote>
  <w:endnote w:type="continuationSeparator" w:id="0">
    <w:p w14:paraId="11113165" w14:textId="77777777" w:rsidR="008A47A6" w:rsidRDefault="008A4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A1F2EED0-90D9-479E-914D-A800C8F531FE}"/>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DD6BF4F3-E84C-489C-9032-757092A0DD63}"/>
    <w:embedBold r:id="rId3" w:fontKey="{4F936617-D222-4483-B7E0-E3D25CB1BC29}"/>
    <w:embedBoldItalic r:id="rId4" w:fontKey="{2B8FD9AB-7B98-4FA9-93BA-906ABC40EE21}"/>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5" w:fontKey="{823092D0-E176-4DFD-8544-0DA55724C75D}"/>
    <w:embedItalic r:id="rId6" w:fontKey="{815D56CE-61BE-4DBF-ACA0-C4B438D1F34B}"/>
  </w:font>
  <w:font w:name="Calibri Light">
    <w:panose1 w:val="020F0302020204030204"/>
    <w:charset w:val="00"/>
    <w:family w:val="swiss"/>
    <w:pitch w:val="variable"/>
    <w:sig w:usb0="E4002EFF" w:usb1="C200247B" w:usb2="00000009" w:usb3="00000000" w:csb0="000001FF" w:csb1="00000000"/>
    <w:embedRegular r:id="rId7" w:fontKey="{EB694DCF-82E0-47FA-9E25-9F2CF874D262}"/>
  </w:font>
  <w:font w:name="等线 Light">
    <w:panose1 w:val="02010600030101010101"/>
    <w:charset w:val="86"/>
    <w:family w:val="auto"/>
    <w:pitch w:val="variable"/>
    <w:sig w:usb0="A00002BF" w:usb1="38CF7CFA" w:usb2="00000016" w:usb3="00000000" w:csb0="0004000F" w:csb1="00000000"/>
  </w:font>
  <w:font w:name="Adobe Garamond Pro">
    <w:altName w:val="Garamond"/>
    <w:panose1 w:val="00000000000000000000"/>
    <w:charset w:val="00"/>
    <w:family w:val="roman"/>
    <w:notTrueType/>
    <w:pitch w:val="variable"/>
    <w:sig w:usb0="800000AF" w:usb1="5000205B" w:usb2="00000000" w:usb3="00000000" w:csb0="0000009B"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294A6A" w14:textId="77777777" w:rsidR="006B58F4" w:rsidRDefault="006B58F4">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75A001" w14:textId="77777777" w:rsidR="00706E52" w:rsidRDefault="00000000">
    <w:pPr>
      <w:pBdr>
        <w:top w:val="nil"/>
        <w:left w:val="nil"/>
        <w:bottom w:val="nil"/>
        <w:right w:val="nil"/>
        <w:between w:val="nil"/>
      </w:pBdr>
      <w:tabs>
        <w:tab w:val="center" w:pos="4513"/>
        <w:tab w:val="right" w:pos="9026"/>
      </w:tabs>
      <w:spacing w:after="0" w:line="240" w:lineRule="auto"/>
      <w:jc w:val="center"/>
      <w:rPr>
        <w:color w:val="000000"/>
      </w:rPr>
    </w:pPr>
    <w:r>
      <w:rPr>
        <w:rFonts w:eastAsia="Calibri"/>
        <w:color w:val="000000"/>
      </w:rPr>
      <w:t xml:space="preserve"> </w:t>
    </w:r>
    <w:r>
      <w:rPr>
        <w:color w:val="000000"/>
      </w:rPr>
      <w:fldChar w:fldCharType="begin"/>
    </w:r>
    <w:r>
      <w:rPr>
        <w:rFonts w:eastAsia="Calibri"/>
        <w:color w:val="000000"/>
      </w:rPr>
      <w:instrText>PAGE</w:instrText>
    </w:r>
    <w:r>
      <w:rPr>
        <w:color w:val="000000"/>
      </w:rPr>
      <w:fldChar w:fldCharType="separate"/>
    </w:r>
    <w:r w:rsidR="006B58F4">
      <w:rPr>
        <w:rFonts w:eastAsia="Calibri"/>
        <w:noProof/>
        <w:color w:val="000000"/>
      </w:rPr>
      <w:t>1</w:t>
    </w:r>
    <w:r>
      <w:rPr>
        <w:color w:val="000000"/>
      </w:rPr>
      <w:fldChar w:fldCharType="end"/>
    </w:r>
  </w:p>
  <w:p w14:paraId="5D87EC34" w14:textId="77777777" w:rsidR="00706E52" w:rsidRDefault="00706E52">
    <w:pPr>
      <w:pBdr>
        <w:top w:val="nil"/>
        <w:left w:val="nil"/>
        <w:bottom w:val="nil"/>
        <w:right w:val="nil"/>
        <w:between w:val="nil"/>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BEF59A" w14:textId="77777777" w:rsidR="006B58F4" w:rsidRDefault="006B58F4">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265476" w14:textId="77777777" w:rsidR="008A47A6" w:rsidRDefault="008A47A6">
      <w:pPr>
        <w:spacing w:after="0" w:line="240" w:lineRule="auto"/>
      </w:pPr>
      <w:r>
        <w:separator/>
      </w:r>
    </w:p>
  </w:footnote>
  <w:footnote w:type="continuationSeparator" w:id="0">
    <w:p w14:paraId="06F85D01" w14:textId="77777777" w:rsidR="008A47A6" w:rsidRDefault="008A47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4C90A3" w14:textId="77777777" w:rsidR="006B58F4" w:rsidRDefault="006B58F4">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839EA8" w14:textId="77777777" w:rsidR="00706E52" w:rsidRPr="006B58F4" w:rsidRDefault="00706E52">
    <w:pPr>
      <w:pBdr>
        <w:top w:val="nil"/>
        <w:left w:val="nil"/>
        <w:bottom w:val="nil"/>
        <w:right w:val="nil"/>
        <w:between w:val="nil"/>
      </w:pBdr>
      <w:tabs>
        <w:tab w:val="center" w:pos="4513"/>
        <w:tab w:val="right" w:pos="9026"/>
      </w:tabs>
      <w:spacing w:after="0" w:line="240" w:lineRule="auto"/>
      <w:rPr>
        <w:rFonts w:hint="eastAsia"/>
        <w:b/>
        <w:i/>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AAE309" w14:textId="77777777" w:rsidR="006B58F4" w:rsidRDefault="006B58F4">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691370"/>
    <w:multiLevelType w:val="multilevel"/>
    <w:tmpl w:val="B5F2AA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5292978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52"/>
    <w:rsid w:val="0016663B"/>
    <w:rsid w:val="00226027"/>
    <w:rsid w:val="003E5B16"/>
    <w:rsid w:val="004737E3"/>
    <w:rsid w:val="00542462"/>
    <w:rsid w:val="006B58F4"/>
    <w:rsid w:val="00706E52"/>
    <w:rsid w:val="008A4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028D3F"/>
  <w15:docId w15:val="{B578C634-1DBC-42CE-AD01-7C61D5F6E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heme="minorEastAsia" w:hAnsi="Calibri" w:cs="Calibr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rmal (Web)"/>
    <w:basedOn w:val="a"/>
    <w:uiPriority w:val="99"/>
    <w:semiHidden/>
    <w:unhideWhenUsed/>
    <w:rsid w:val="0071646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8A60E0"/>
    <w:pPr>
      <w:ind w:firstLineChars="200" w:firstLine="420"/>
    </w:pPr>
  </w:style>
  <w:style w:type="paragraph" w:styleId="a6">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7">
    <w:basedOn w:val="a1"/>
    <w:tblPr>
      <w:tblStyleRowBandSize w:val="1"/>
      <w:tblStyleColBandSize w:val="1"/>
      <w:tblCellMar>
        <w:top w:w="100" w:type="dxa"/>
        <w:left w:w="100" w:type="dxa"/>
        <w:bottom w:w="100" w:type="dxa"/>
        <w:right w:w="100" w:type="dxa"/>
      </w:tblCellMar>
    </w:tblPr>
  </w:style>
  <w:style w:type="paragraph" w:styleId="TOC">
    <w:name w:val="TOC Heading"/>
    <w:basedOn w:val="1"/>
    <w:next w:val="a"/>
    <w:uiPriority w:val="39"/>
    <w:unhideWhenUsed/>
    <w:qFormat/>
    <w:rsid w:val="00E2479E"/>
    <w:pPr>
      <w:spacing w:before="240" w:after="0"/>
      <w:outlineLvl w:val="9"/>
    </w:pPr>
    <w:rPr>
      <w:rFonts w:asciiTheme="majorHAnsi" w:eastAsiaTheme="majorEastAsia" w:hAnsiTheme="majorHAnsi" w:cstheme="majorBidi"/>
      <w:b w:val="0"/>
      <w:color w:val="2F5496" w:themeColor="accent1" w:themeShade="BF"/>
      <w:sz w:val="32"/>
      <w:szCs w:val="32"/>
      <w:lang w:eastAsia="en-US"/>
    </w:rPr>
  </w:style>
  <w:style w:type="paragraph" w:styleId="TOC1">
    <w:name w:val="toc 1"/>
    <w:basedOn w:val="a"/>
    <w:next w:val="a"/>
    <w:autoRedefine/>
    <w:uiPriority w:val="39"/>
    <w:unhideWhenUsed/>
    <w:rsid w:val="00E2479E"/>
    <w:pPr>
      <w:spacing w:after="100"/>
    </w:pPr>
  </w:style>
  <w:style w:type="paragraph" w:styleId="TOC2">
    <w:name w:val="toc 2"/>
    <w:basedOn w:val="a"/>
    <w:next w:val="a"/>
    <w:autoRedefine/>
    <w:uiPriority w:val="39"/>
    <w:unhideWhenUsed/>
    <w:rsid w:val="00E2479E"/>
    <w:pPr>
      <w:spacing w:after="100"/>
      <w:ind w:left="220"/>
    </w:pPr>
  </w:style>
  <w:style w:type="character" w:styleId="a8">
    <w:name w:val="Hyperlink"/>
    <w:basedOn w:val="a0"/>
    <w:uiPriority w:val="99"/>
    <w:unhideWhenUsed/>
    <w:rsid w:val="00E2479E"/>
    <w:rPr>
      <w:color w:val="0563C1" w:themeColor="hyperlink"/>
      <w:u w:val="single"/>
    </w:rPr>
  </w:style>
  <w:style w:type="character" w:styleId="a9">
    <w:name w:val="FollowedHyperlink"/>
    <w:basedOn w:val="a0"/>
    <w:uiPriority w:val="99"/>
    <w:semiHidden/>
    <w:unhideWhenUsed/>
    <w:rsid w:val="00E2479E"/>
    <w:rPr>
      <w:color w:val="954F72" w:themeColor="followedHyperlink"/>
      <w:u w:val="single"/>
    </w:rPr>
  </w:style>
  <w:style w:type="paragraph" w:styleId="TOC3">
    <w:name w:val="toc 3"/>
    <w:basedOn w:val="a"/>
    <w:next w:val="a"/>
    <w:autoRedefine/>
    <w:uiPriority w:val="39"/>
    <w:unhideWhenUsed/>
    <w:rsid w:val="00E2479E"/>
    <w:pPr>
      <w:spacing w:after="100"/>
      <w:ind w:left="440"/>
    </w:pPr>
    <w:rPr>
      <w:rFonts w:asciiTheme="minorHAnsi" w:hAnsiTheme="minorHAnsi" w:cs="Times New Roman"/>
      <w:lang w:eastAsia="en-US"/>
    </w:rPr>
  </w:style>
  <w:style w:type="paragraph" w:styleId="aa">
    <w:name w:val="header"/>
    <w:basedOn w:val="a"/>
    <w:link w:val="ab"/>
    <w:uiPriority w:val="99"/>
    <w:unhideWhenUsed/>
    <w:rsid w:val="005D41A9"/>
    <w:pPr>
      <w:tabs>
        <w:tab w:val="center" w:pos="4513"/>
        <w:tab w:val="right" w:pos="9026"/>
      </w:tabs>
      <w:spacing w:after="0" w:line="240" w:lineRule="auto"/>
    </w:pPr>
  </w:style>
  <w:style w:type="character" w:customStyle="1" w:styleId="ab">
    <w:name w:val="页眉 字符"/>
    <w:basedOn w:val="a0"/>
    <w:link w:val="aa"/>
    <w:uiPriority w:val="99"/>
    <w:rsid w:val="005D41A9"/>
  </w:style>
  <w:style w:type="paragraph" w:styleId="ac">
    <w:name w:val="footer"/>
    <w:basedOn w:val="a"/>
    <w:link w:val="ad"/>
    <w:uiPriority w:val="99"/>
    <w:unhideWhenUsed/>
    <w:rsid w:val="005D41A9"/>
    <w:pPr>
      <w:tabs>
        <w:tab w:val="center" w:pos="4513"/>
        <w:tab w:val="right" w:pos="9026"/>
      </w:tabs>
      <w:spacing w:after="0" w:line="240" w:lineRule="auto"/>
    </w:pPr>
  </w:style>
  <w:style w:type="character" w:customStyle="1" w:styleId="ad">
    <w:name w:val="页脚 字符"/>
    <w:basedOn w:val="a0"/>
    <w:link w:val="ac"/>
    <w:uiPriority w:val="99"/>
    <w:rsid w:val="005D41A9"/>
  </w:style>
  <w:style w:type="character" w:styleId="ae">
    <w:name w:val="Emphasis"/>
    <w:basedOn w:val="a0"/>
    <w:uiPriority w:val="20"/>
    <w:qFormat/>
    <w:rsid w:val="00CD2BEE"/>
    <w:rPr>
      <w:i/>
      <w:iCs/>
    </w:rPr>
  </w:style>
  <w:style w:type="character" w:styleId="af">
    <w:name w:val="Unresolved Mention"/>
    <w:basedOn w:val="a0"/>
    <w:uiPriority w:val="99"/>
    <w:semiHidden/>
    <w:unhideWhenUsed/>
    <w:rsid w:val="005E321C"/>
    <w:rPr>
      <w:color w:val="605E5C"/>
      <w:shd w:val="clear" w:color="auto" w:fill="E1DFDD"/>
    </w:rPr>
  </w:style>
  <w:style w:type="table" w:customStyle="1" w:styleId="af0">
    <w:basedOn w:val="a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5XTnkSp58r/Y9VpyU0FbhC4Ukg==">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515</Words>
  <Characters>3222</Characters>
  <Application>Microsoft Office Word</Application>
  <DocSecurity>0</DocSecurity>
  <Lines>80</Lines>
  <Paragraphs>21</Paragraphs>
  <ScaleCrop>false</ScaleCrop>
  <Company/>
  <LinksUpToDate>false</LinksUpToDate>
  <CharactersWithSpaces>3716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Rajesh Krishnan Neethirajan</dc:creator>
  <cp:lastModifiedBy>鲲天 任</cp:lastModifiedBy>
  <cp:revision>3</cp:revision>
  <dcterms:created xsi:type="dcterms:W3CDTF">2025-05-24T17:01:00Z</dcterms:created>
  <dcterms:modified xsi:type="dcterms:W3CDTF">2025-05-24T17:02:00Z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0x01010054EC02F331BBD8489C2D40640D75907E</vt:lpwstr>
  </property>
</Properties>
</file>