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94A3D5" w14:textId="0259396B" w:rsidR="00E301FF" w:rsidRPr="008A7EB6" w:rsidRDefault="00E2587F" w:rsidP="00E2587F">
      <w:pPr>
        <w:pStyle w:val="HARNormal"/>
      </w:pPr>
      <w:r w:rsidRPr="008A7EB6">
        <w:rPr>
          <w:noProof/>
        </w:rPr>
        <w:drawing>
          <wp:inline distT="0" distB="0" distL="0" distR="0" wp14:anchorId="48BC68B7" wp14:editId="3187C5C5">
            <wp:extent cx="2322000" cy="910800"/>
            <wp:effectExtent l="0" t="0" r="2540" b="3810"/>
            <wp:docPr id="9" name="Bildobjekt 9" descr="Lund University School of Economics and Manage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descr="Lund University School of Economics and Management Logo"/>
                    <pic:cNvPicPr/>
                  </pic:nvPicPr>
                  <pic:blipFill>
                    <a:blip r:embed="rId8"/>
                    <a:stretch>
                      <a:fillRect/>
                    </a:stretch>
                  </pic:blipFill>
                  <pic:spPr>
                    <a:xfrm>
                      <a:off x="0" y="0"/>
                      <a:ext cx="2322000" cy="910800"/>
                    </a:xfrm>
                    <a:prstGeom prst="rect">
                      <a:avLst/>
                    </a:prstGeom>
                  </pic:spPr>
                </pic:pic>
              </a:graphicData>
            </a:graphic>
          </wp:inline>
        </w:drawing>
      </w:r>
    </w:p>
    <w:p w14:paraId="54CFE40F" w14:textId="77777777" w:rsidR="00E301FF" w:rsidRPr="008A7EB6" w:rsidRDefault="00E301FF" w:rsidP="00E2587F">
      <w:pPr>
        <w:pStyle w:val="HARNormal"/>
      </w:pPr>
    </w:p>
    <w:p w14:paraId="093BD4D4" w14:textId="77777777" w:rsidR="00E301FF" w:rsidRPr="008A7EB6" w:rsidRDefault="00E301FF" w:rsidP="00E301FF">
      <w:pPr>
        <w:sectPr w:rsidR="00E301FF" w:rsidRPr="008A7EB6" w:rsidSect="00825BC5">
          <w:footerReference w:type="even" r:id="rId9"/>
          <w:pgSz w:w="11906" w:h="16838"/>
          <w:pgMar w:top="1418" w:right="1418" w:bottom="1418" w:left="1418" w:header="709" w:footer="709" w:gutter="0"/>
          <w:cols w:space="708"/>
          <w:docGrid w:linePitch="360"/>
        </w:sectPr>
      </w:pPr>
    </w:p>
    <w:p w14:paraId="65D1FE2D" w14:textId="21E0BF45" w:rsidR="00197457" w:rsidRPr="008A7EB6" w:rsidRDefault="009223F3" w:rsidP="00E2587F">
      <w:pPr>
        <w:pStyle w:val="HARTitle"/>
      </w:pPr>
      <w:r>
        <w:t>Innovation or Infringement?</w:t>
      </w:r>
      <w:r w:rsidR="00024ADF">
        <w:t xml:space="preserve"> </w:t>
      </w:r>
    </w:p>
    <w:p w14:paraId="38CE08A6" w14:textId="0E086BA6" w:rsidR="00E301FF" w:rsidRPr="008A7EB6" w:rsidRDefault="009223F3" w:rsidP="00E2587F">
      <w:pPr>
        <w:pStyle w:val="HARSubtitle"/>
      </w:pPr>
      <w:r>
        <w:t>Balancing Copyright Law</w:t>
      </w:r>
      <w:r w:rsidR="00A248B2">
        <w:t xml:space="preserve"> and Generative AI in the European Framework</w:t>
      </w:r>
    </w:p>
    <w:p w14:paraId="194822C2" w14:textId="6E8CD55F" w:rsidR="00061684" w:rsidRPr="008A7EB6" w:rsidRDefault="00C64253" w:rsidP="00E2587F">
      <w:pPr>
        <w:pStyle w:val="HARAuthorname"/>
      </w:pPr>
      <w:r>
        <w:t>Kelley Sliney</w:t>
      </w:r>
    </w:p>
    <w:p w14:paraId="06DA929A" w14:textId="77777777" w:rsidR="00061684" w:rsidRPr="008A7EB6" w:rsidRDefault="00061684" w:rsidP="00E2587F">
      <w:pPr>
        <w:pStyle w:val="HARTitlepage"/>
      </w:pPr>
    </w:p>
    <w:p w14:paraId="6003C64E" w14:textId="77777777" w:rsidR="007D698B" w:rsidRPr="008A7EB6" w:rsidRDefault="007D698B" w:rsidP="00E2587F">
      <w:pPr>
        <w:pStyle w:val="HARTitlepage"/>
      </w:pPr>
    </w:p>
    <w:p w14:paraId="5283417C" w14:textId="3FE094B2" w:rsidR="00061684" w:rsidRPr="008A7EB6" w:rsidRDefault="00E2587F" w:rsidP="00E2587F">
      <w:pPr>
        <w:pStyle w:val="HARTitlepage"/>
      </w:pPr>
      <w:r w:rsidRPr="008A7EB6">
        <w:t>DEPARTMENT OF BUSINESS LAW</w:t>
      </w:r>
    </w:p>
    <w:p w14:paraId="74964682" w14:textId="1B40BD69" w:rsidR="00E65828" w:rsidRPr="008A7EB6" w:rsidRDefault="00E2587F" w:rsidP="00E2587F">
      <w:pPr>
        <w:pStyle w:val="HARTitlepage"/>
      </w:pPr>
      <w:r w:rsidRPr="008A7EB6">
        <w:t>Master</w:t>
      </w:r>
      <w:r w:rsidR="006B7C5F">
        <w:t>’s</w:t>
      </w:r>
      <w:r w:rsidRPr="008A7EB6">
        <w:t xml:space="preserve"> Thesis in </w:t>
      </w:r>
      <w:r w:rsidR="002A4307" w:rsidRPr="002A4307">
        <w:t>European and International Trade Law</w:t>
      </w:r>
    </w:p>
    <w:p w14:paraId="112FB9CB" w14:textId="4B35B75F" w:rsidR="00061684" w:rsidRPr="008A7EB6" w:rsidRDefault="00061684" w:rsidP="00E2587F">
      <w:pPr>
        <w:pStyle w:val="HARTitlepage"/>
      </w:pPr>
      <w:r w:rsidRPr="008A7EB6">
        <w:t xml:space="preserve">15 </w:t>
      </w:r>
      <w:r w:rsidR="00013D49">
        <w:t>ECTS</w:t>
      </w:r>
    </w:p>
    <w:p w14:paraId="7DF824C0" w14:textId="6395034F" w:rsidR="003E639E" w:rsidRPr="008A7EB6" w:rsidRDefault="003E639E" w:rsidP="00E2587F">
      <w:pPr>
        <w:pStyle w:val="HARTitlepage"/>
      </w:pPr>
      <w:r w:rsidRPr="008A7EB6">
        <w:t>HAR</w:t>
      </w:r>
      <w:r w:rsidR="00E2587F" w:rsidRPr="008A7EB6">
        <w:t>N6</w:t>
      </w:r>
      <w:r w:rsidR="002A4307">
        <w:t>3</w:t>
      </w:r>
    </w:p>
    <w:p w14:paraId="69366F2D" w14:textId="2F6428E1" w:rsidR="00061684" w:rsidRPr="008A7EB6" w:rsidRDefault="00E2587F" w:rsidP="00E2587F">
      <w:pPr>
        <w:pStyle w:val="HARTitlepage"/>
      </w:pPr>
      <w:r w:rsidRPr="008A7EB6">
        <w:t>Spring 202</w:t>
      </w:r>
      <w:r w:rsidR="00260DD0">
        <w:t>5</w:t>
      </w:r>
    </w:p>
    <w:p w14:paraId="4B63AE67" w14:textId="77777777" w:rsidR="007D698B" w:rsidRDefault="007D698B" w:rsidP="00E2587F">
      <w:pPr>
        <w:pStyle w:val="HARTitlepage"/>
      </w:pPr>
    </w:p>
    <w:p w14:paraId="229F43E9" w14:textId="77777777" w:rsidR="007D698B" w:rsidRPr="008A7EB6" w:rsidRDefault="007D698B" w:rsidP="00E2587F">
      <w:pPr>
        <w:pStyle w:val="HARTitlepage"/>
      </w:pPr>
    </w:p>
    <w:p w14:paraId="47B4162D" w14:textId="77777777" w:rsidR="009E6B52" w:rsidRPr="008A7EB6" w:rsidRDefault="009E6B52" w:rsidP="00E2587F">
      <w:pPr>
        <w:pStyle w:val="HARNormal"/>
      </w:pPr>
    </w:p>
    <w:p w14:paraId="4A268F24" w14:textId="77777777" w:rsidR="007D698B" w:rsidRPr="008A7EB6" w:rsidRDefault="007D698B" w:rsidP="00061684">
      <w:pPr>
        <w:pStyle w:val="HARTitlepage"/>
        <w:sectPr w:rsidR="007D698B" w:rsidRPr="008A7EB6" w:rsidSect="00825BC5">
          <w:type w:val="continuous"/>
          <w:pgSz w:w="11906" w:h="16838"/>
          <w:pgMar w:top="1418" w:right="2268" w:bottom="1418" w:left="2268" w:header="709" w:footer="709" w:gutter="0"/>
          <w:cols w:space="708"/>
          <w:titlePg/>
          <w:docGrid w:linePitch="360"/>
        </w:sectPr>
      </w:pPr>
    </w:p>
    <w:p w14:paraId="75AB2FBB" w14:textId="77777777" w:rsidR="007D698B" w:rsidRPr="008A7EB6" w:rsidRDefault="007D698B" w:rsidP="004645F6">
      <w:pPr>
        <w:pStyle w:val="HARNormal"/>
      </w:pPr>
    </w:p>
    <w:p w14:paraId="4B240E86" w14:textId="77777777" w:rsidR="00CA505D" w:rsidRPr="008A7EB6" w:rsidRDefault="00CA505D" w:rsidP="00061684">
      <w:pPr>
        <w:pStyle w:val="HARTitlepage"/>
        <w:sectPr w:rsidR="00CA505D" w:rsidRPr="008A7EB6" w:rsidSect="00825BC5">
          <w:pgSz w:w="11906" w:h="16838"/>
          <w:pgMar w:top="1418" w:right="2268" w:bottom="1418" w:left="2268" w:header="709" w:footer="709" w:gutter="0"/>
          <w:cols w:space="708"/>
          <w:vAlign w:val="center"/>
          <w:docGrid w:linePitch="360"/>
        </w:sectPr>
      </w:pPr>
    </w:p>
    <w:p w14:paraId="5C5E7C02" w14:textId="77777777" w:rsidR="00D50B26" w:rsidRDefault="00D50B26" w:rsidP="00D50B26">
      <w:pPr>
        <w:pStyle w:val="HARHeadingNOTOC"/>
      </w:pPr>
      <w:r w:rsidRPr="008A7EB6">
        <w:lastRenderedPageBreak/>
        <w:t>Contents</w:t>
      </w:r>
    </w:p>
    <w:p w14:paraId="5D80FB20" w14:textId="53A7EE0E" w:rsidR="00207524" w:rsidRDefault="00BC37DB">
      <w:pPr>
        <w:pStyle w:val="Innehll1"/>
        <w:rPr>
          <w:rFonts w:asciiTheme="minorHAnsi" w:eastAsiaTheme="minorEastAsia" w:hAnsiTheme="minorHAnsi"/>
          <w:b w:val="0"/>
          <w:noProof/>
          <w:kern w:val="2"/>
          <w:sz w:val="24"/>
          <w:lang w:val="sv-SE" w:eastAsia="sv-SE"/>
          <w14:ligatures w14:val="standardContextual"/>
        </w:rPr>
      </w:pPr>
      <w:r>
        <w:fldChar w:fldCharType="begin"/>
      </w:r>
      <w:r>
        <w:instrText xml:space="preserve"> TOC \o "1-3" \h \z \u </w:instrText>
      </w:r>
      <w:r>
        <w:fldChar w:fldCharType="separate"/>
      </w:r>
      <w:hyperlink w:anchor="_Toc211702547" w:history="1">
        <w:r w:rsidR="00207524" w:rsidRPr="005456E4">
          <w:rPr>
            <w:rStyle w:val="Hyperlnk"/>
            <w:noProof/>
          </w:rPr>
          <w:t>Abstract</w:t>
        </w:r>
        <w:r w:rsidR="00207524">
          <w:rPr>
            <w:noProof/>
            <w:webHidden/>
          </w:rPr>
          <w:tab/>
        </w:r>
        <w:r w:rsidR="00207524">
          <w:rPr>
            <w:noProof/>
            <w:webHidden/>
          </w:rPr>
          <w:fldChar w:fldCharType="begin"/>
        </w:r>
        <w:r w:rsidR="00207524">
          <w:rPr>
            <w:noProof/>
            <w:webHidden/>
          </w:rPr>
          <w:instrText xml:space="preserve"> PAGEREF _Toc211702547 \h </w:instrText>
        </w:r>
        <w:r w:rsidR="00207524">
          <w:rPr>
            <w:noProof/>
            <w:webHidden/>
          </w:rPr>
        </w:r>
        <w:r w:rsidR="00207524">
          <w:rPr>
            <w:noProof/>
            <w:webHidden/>
          </w:rPr>
          <w:fldChar w:fldCharType="separate"/>
        </w:r>
        <w:r w:rsidR="00207524">
          <w:rPr>
            <w:noProof/>
            <w:webHidden/>
          </w:rPr>
          <w:t>5</w:t>
        </w:r>
        <w:r w:rsidR="00207524">
          <w:rPr>
            <w:noProof/>
            <w:webHidden/>
          </w:rPr>
          <w:fldChar w:fldCharType="end"/>
        </w:r>
      </w:hyperlink>
    </w:p>
    <w:p w14:paraId="382EF356" w14:textId="663659F2" w:rsidR="00207524" w:rsidRDefault="00207524">
      <w:pPr>
        <w:pStyle w:val="Innehll1"/>
        <w:rPr>
          <w:rFonts w:asciiTheme="minorHAnsi" w:eastAsiaTheme="minorEastAsia" w:hAnsiTheme="minorHAnsi"/>
          <w:b w:val="0"/>
          <w:noProof/>
          <w:kern w:val="2"/>
          <w:sz w:val="24"/>
          <w:lang w:val="sv-SE" w:eastAsia="sv-SE"/>
          <w14:ligatures w14:val="standardContextual"/>
        </w:rPr>
      </w:pPr>
      <w:hyperlink w:anchor="_Toc211702548" w:history="1">
        <w:r w:rsidRPr="005456E4">
          <w:rPr>
            <w:rStyle w:val="Hyperlnk"/>
            <w:noProof/>
          </w:rPr>
          <w:t>Abbreviations</w:t>
        </w:r>
        <w:r>
          <w:rPr>
            <w:noProof/>
            <w:webHidden/>
          </w:rPr>
          <w:tab/>
        </w:r>
        <w:r>
          <w:rPr>
            <w:noProof/>
            <w:webHidden/>
          </w:rPr>
          <w:fldChar w:fldCharType="begin"/>
        </w:r>
        <w:r>
          <w:rPr>
            <w:noProof/>
            <w:webHidden/>
          </w:rPr>
          <w:instrText xml:space="preserve"> PAGEREF _Toc211702548 \h </w:instrText>
        </w:r>
        <w:r>
          <w:rPr>
            <w:noProof/>
            <w:webHidden/>
          </w:rPr>
        </w:r>
        <w:r>
          <w:rPr>
            <w:noProof/>
            <w:webHidden/>
          </w:rPr>
          <w:fldChar w:fldCharType="separate"/>
        </w:r>
        <w:r>
          <w:rPr>
            <w:noProof/>
            <w:webHidden/>
          </w:rPr>
          <w:t>6</w:t>
        </w:r>
        <w:r>
          <w:rPr>
            <w:noProof/>
            <w:webHidden/>
          </w:rPr>
          <w:fldChar w:fldCharType="end"/>
        </w:r>
      </w:hyperlink>
    </w:p>
    <w:p w14:paraId="7C39F59E" w14:textId="0F091845" w:rsidR="00207524" w:rsidRDefault="00207524">
      <w:pPr>
        <w:pStyle w:val="Innehll1"/>
        <w:rPr>
          <w:rFonts w:asciiTheme="minorHAnsi" w:eastAsiaTheme="minorEastAsia" w:hAnsiTheme="minorHAnsi"/>
          <w:b w:val="0"/>
          <w:noProof/>
          <w:kern w:val="2"/>
          <w:sz w:val="24"/>
          <w:lang w:val="sv-SE" w:eastAsia="sv-SE"/>
          <w14:ligatures w14:val="standardContextual"/>
        </w:rPr>
      </w:pPr>
      <w:hyperlink w:anchor="_Toc211702549" w:history="1">
        <w:r w:rsidRPr="005456E4">
          <w:rPr>
            <w:rStyle w:val="Hyperlnk"/>
            <w:noProof/>
          </w:rPr>
          <w:t>1</w:t>
        </w:r>
        <w:r>
          <w:rPr>
            <w:rFonts w:asciiTheme="minorHAnsi" w:eastAsiaTheme="minorEastAsia" w:hAnsiTheme="minorHAnsi"/>
            <w:b w:val="0"/>
            <w:noProof/>
            <w:kern w:val="2"/>
            <w:sz w:val="24"/>
            <w:lang w:val="sv-SE" w:eastAsia="sv-SE"/>
            <w14:ligatures w14:val="standardContextual"/>
          </w:rPr>
          <w:tab/>
        </w:r>
        <w:r w:rsidRPr="005456E4">
          <w:rPr>
            <w:rStyle w:val="Hyperlnk"/>
            <w:noProof/>
          </w:rPr>
          <w:t>Introduction</w:t>
        </w:r>
        <w:r>
          <w:rPr>
            <w:noProof/>
            <w:webHidden/>
          </w:rPr>
          <w:tab/>
        </w:r>
        <w:r>
          <w:rPr>
            <w:noProof/>
            <w:webHidden/>
          </w:rPr>
          <w:fldChar w:fldCharType="begin"/>
        </w:r>
        <w:r>
          <w:rPr>
            <w:noProof/>
            <w:webHidden/>
          </w:rPr>
          <w:instrText xml:space="preserve"> PAGEREF _Toc211702549 \h </w:instrText>
        </w:r>
        <w:r>
          <w:rPr>
            <w:noProof/>
            <w:webHidden/>
          </w:rPr>
        </w:r>
        <w:r>
          <w:rPr>
            <w:noProof/>
            <w:webHidden/>
          </w:rPr>
          <w:fldChar w:fldCharType="separate"/>
        </w:r>
        <w:r>
          <w:rPr>
            <w:noProof/>
            <w:webHidden/>
          </w:rPr>
          <w:t>7</w:t>
        </w:r>
        <w:r>
          <w:rPr>
            <w:noProof/>
            <w:webHidden/>
          </w:rPr>
          <w:fldChar w:fldCharType="end"/>
        </w:r>
      </w:hyperlink>
    </w:p>
    <w:p w14:paraId="5690A442" w14:textId="4B67D9B4"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50" w:history="1">
        <w:r w:rsidRPr="005456E4">
          <w:rPr>
            <w:rStyle w:val="Hyperlnk"/>
            <w:noProof/>
          </w:rPr>
          <w:t>1.1</w:t>
        </w:r>
        <w:r>
          <w:rPr>
            <w:rFonts w:asciiTheme="minorHAnsi" w:eastAsiaTheme="minorEastAsia" w:hAnsiTheme="minorHAnsi"/>
            <w:noProof/>
            <w:kern w:val="2"/>
            <w:sz w:val="24"/>
            <w:lang w:val="sv-SE" w:eastAsia="sv-SE"/>
            <w14:ligatures w14:val="standardContextual"/>
          </w:rPr>
          <w:tab/>
        </w:r>
        <w:r w:rsidRPr="005456E4">
          <w:rPr>
            <w:rStyle w:val="Hyperlnk"/>
            <w:noProof/>
          </w:rPr>
          <w:t>Background</w:t>
        </w:r>
        <w:r>
          <w:rPr>
            <w:noProof/>
            <w:webHidden/>
          </w:rPr>
          <w:tab/>
        </w:r>
        <w:r>
          <w:rPr>
            <w:noProof/>
            <w:webHidden/>
          </w:rPr>
          <w:fldChar w:fldCharType="begin"/>
        </w:r>
        <w:r>
          <w:rPr>
            <w:noProof/>
            <w:webHidden/>
          </w:rPr>
          <w:instrText xml:space="preserve"> PAGEREF _Toc211702550 \h </w:instrText>
        </w:r>
        <w:r>
          <w:rPr>
            <w:noProof/>
            <w:webHidden/>
          </w:rPr>
        </w:r>
        <w:r>
          <w:rPr>
            <w:noProof/>
            <w:webHidden/>
          </w:rPr>
          <w:fldChar w:fldCharType="separate"/>
        </w:r>
        <w:r>
          <w:rPr>
            <w:noProof/>
            <w:webHidden/>
          </w:rPr>
          <w:t>7</w:t>
        </w:r>
        <w:r>
          <w:rPr>
            <w:noProof/>
            <w:webHidden/>
          </w:rPr>
          <w:fldChar w:fldCharType="end"/>
        </w:r>
      </w:hyperlink>
    </w:p>
    <w:p w14:paraId="05FA6D8B" w14:textId="266A4A75"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51" w:history="1">
        <w:r w:rsidRPr="005456E4">
          <w:rPr>
            <w:rStyle w:val="Hyperlnk"/>
            <w:noProof/>
          </w:rPr>
          <w:t>1.2</w:t>
        </w:r>
        <w:r>
          <w:rPr>
            <w:rFonts w:asciiTheme="minorHAnsi" w:eastAsiaTheme="minorEastAsia" w:hAnsiTheme="minorHAnsi"/>
            <w:noProof/>
            <w:kern w:val="2"/>
            <w:sz w:val="24"/>
            <w:lang w:val="sv-SE" w:eastAsia="sv-SE"/>
            <w14:ligatures w14:val="standardContextual"/>
          </w:rPr>
          <w:tab/>
        </w:r>
        <w:r w:rsidRPr="005456E4">
          <w:rPr>
            <w:rStyle w:val="Hyperlnk"/>
            <w:noProof/>
          </w:rPr>
          <w:t>Purpose and research questions</w:t>
        </w:r>
        <w:r>
          <w:rPr>
            <w:noProof/>
            <w:webHidden/>
          </w:rPr>
          <w:tab/>
        </w:r>
        <w:r>
          <w:rPr>
            <w:noProof/>
            <w:webHidden/>
          </w:rPr>
          <w:fldChar w:fldCharType="begin"/>
        </w:r>
        <w:r>
          <w:rPr>
            <w:noProof/>
            <w:webHidden/>
          </w:rPr>
          <w:instrText xml:space="preserve"> PAGEREF _Toc211702551 \h </w:instrText>
        </w:r>
        <w:r>
          <w:rPr>
            <w:noProof/>
            <w:webHidden/>
          </w:rPr>
        </w:r>
        <w:r>
          <w:rPr>
            <w:noProof/>
            <w:webHidden/>
          </w:rPr>
          <w:fldChar w:fldCharType="separate"/>
        </w:r>
        <w:r>
          <w:rPr>
            <w:noProof/>
            <w:webHidden/>
          </w:rPr>
          <w:t>7</w:t>
        </w:r>
        <w:r>
          <w:rPr>
            <w:noProof/>
            <w:webHidden/>
          </w:rPr>
          <w:fldChar w:fldCharType="end"/>
        </w:r>
      </w:hyperlink>
    </w:p>
    <w:p w14:paraId="734920BF" w14:textId="4A453503"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52" w:history="1">
        <w:r w:rsidRPr="005456E4">
          <w:rPr>
            <w:rStyle w:val="Hyperlnk"/>
            <w:noProof/>
          </w:rPr>
          <w:t>1.3</w:t>
        </w:r>
        <w:r>
          <w:rPr>
            <w:rFonts w:asciiTheme="minorHAnsi" w:eastAsiaTheme="minorEastAsia" w:hAnsiTheme="minorHAnsi"/>
            <w:noProof/>
            <w:kern w:val="2"/>
            <w:sz w:val="24"/>
            <w:lang w:val="sv-SE" w:eastAsia="sv-SE"/>
            <w14:ligatures w14:val="standardContextual"/>
          </w:rPr>
          <w:tab/>
        </w:r>
        <w:r w:rsidRPr="005456E4">
          <w:rPr>
            <w:rStyle w:val="Hyperlnk"/>
            <w:noProof/>
          </w:rPr>
          <w:t>Delimitations</w:t>
        </w:r>
        <w:r>
          <w:rPr>
            <w:noProof/>
            <w:webHidden/>
          </w:rPr>
          <w:tab/>
        </w:r>
        <w:r>
          <w:rPr>
            <w:noProof/>
            <w:webHidden/>
          </w:rPr>
          <w:fldChar w:fldCharType="begin"/>
        </w:r>
        <w:r>
          <w:rPr>
            <w:noProof/>
            <w:webHidden/>
          </w:rPr>
          <w:instrText xml:space="preserve"> PAGEREF _Toc211702552 \h </w:instrText>
        </w:r>
        <w:r>
          <w:rPr>
            <w:noProof/>
            <w:webHidden/>
          </w:rPr>
        </w:r>
        <w:r>
          <w:rPr>
            <w:noProof/>
            <w:webHidden/>
          </w:rPr>
          <w:fldChar w:fldCharType="separate"/>
        </w:r>
        <w:r>
          <w:rPr>
            <w:noProof/>
            <w:webHidden/>
          </w:rPr>
          <w:t>8</w:t>
        </w:r>
        <w:r>
          <w:rPr>
            <w:noProof/>
            <w:webHidden/>
          </w:rPr>
          <w:fldChar w:fldCharType="end"/>
        </w:r>
      </w:hyperlink>
    </w:p>
    <w:p w14:paraId="577A2284" w14:textId="599CCDF6"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53" w:history="1">
        <w:r w:rsidRPr="005456E4">
          <w:rPr>
            <w:rStyle w:val="Hyperlnk"/>
            <w:noProof/>
          </w:rPr>
          <w:t>1.4</w:t>
        </w:r>
        <w:r>
          <w:rPr>
            <w:rFonts w:asciiTheme="minorHAnsi" w:eastAsiaTheme="minorEastAsia" w:hAnsiTheme="minorHAnsi"/>
            <w:noProof/>
            <w:kern w:val="2"/>
            <w:sz w:val="24"/>
            <w:lang w:val="sv-SE" w:eastAsia="sv-SE"/>
            <w14:ligatures w14:val="standardContextual"/>
          </w:rPr>
          <w:tab/>
        </w:r>
        <w:r w:rsidRPr="005456E4">
          <w:rPr>
            <w:rStyle w:val="Hyperlnk"/>
            <w:noProof/>
          </w:rPr>
          <w:t>Method and materials</w:t>
        </w:r>
        <w:r>
          <w:rPr>
            <w:noProof/>
            <w:webHidden/>
          </w:rPr>
          <w:tab/>
        </w:r>
        <w:r>
          <w:rPr>
            <w:noProof/>
            <w:webHidden/>
          </w:rPr>
          <w:fldChar w:fldCharType="begin"/>
        </w:r>
        <w:r>
          <w:rPr>
            <w:noProof/>
            <w:webHidden/>
          </w:rPr>
          <w:instrText xml:space="preserve"> PAGEREF _Toc211702553 \h </w:instrText>
        </w:r>
        <w:r>
          <w:rPr>
            <w:noProof/>
            <w:webHidden/>
          </w:rPr>
        </w:r>
        <w:r>
          <w:rPr>
            <w:noProof/>
            <w:webHidden/>
          </w:rPr>
          <w:fldChar w:fldCharType="separate"/>
        </w:r>
        <w:r>
          <w:rPr>
            <w:noProof/>
            <w:webHidden/>
          </w:rPr>
          <w:t>8</w:t>
        </w:r>
        <w:r>
          <w:rPr>
            <w:noProof/>
            <w:webHidden/>
          </w:rPr>
          <w:fldChar w:fldCharType="end"/>
        </w:r>
      </w:hyperlink>
    </w:p>
    <w:p w14:paraId="038B07C9" w14:textId="734ACA51"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54" w:history="1">
        <w:r w:rsidRPr="005456E4">
          <w:rPr>
            <w:rStyle w:val="Hyperlnk"/>
            <w:noProof/>
          </w:rPr>
          <w:t>1.5</w:t>
        </w:r>
        <w:r>
          <w:rPr>
            <w:rFonts w:asciiTheme="minorHAnsi" w:eastAsiaTheme="minorEastAsia" w:hAnsiTheme="minorHAnsi"/>
            <w:noProof/>
            <w:kern w:val="2"/>
            <w:sz w:val="24"/>
            <w:lang w:val="sv-SE" w:eastAsia="sv-SE"/>
            <w14:ligatures w14:val="standardContextual"/>
          </w:rPr>
          <w:tab/>
        </w:r>
        <w:r w:rsidRPr="005456E4">
          <w:rPr>
            <w:rStyle w:val="Hyperlnk"/>
            <w:noProof/>
          </w:rPr>
          <w:t>Outline</w:t>
        </w:r>
        <w:r>
          <w:rPr>
            <w:noProof/>
            <w:webHidden/>
          </w:rPr>
          <w:tab/>
        </w:r>
        <w:r>
          <w:rPr>
            <w:noProof/>
            <w:webHidden/>
          </w:rPr>
          <w:fldChar w:fldCharType="begin"/>
        </w:r>
        <w:r>
          <w:rPr>
            <w:noProof/>
            <w:webHidden/>
          </w:rPr>
          <w:instrText xml:space="preserve"> PAGEREF _Toc211702554 \h </w:instrText>
        </w:r>
        <w:r>
          <w:rPr>
            <w:noProof/>
            <w:webHidden/>
          </w:rPr>
        </w:r>
        <w:r>
          <w:rPr>
            <w:noProof/>
            <w:webHidden/>
          </w:rPr>
          <w:fldChar w:fldCharType="separate"/>
        </w:r>
        <w:r>
          <w:rPr>
            <w:noProof/>
            <w:webHidden/>
          </w:rPr>
          <w:t>9</w:t>
        </w:r>
        <w:r>
          <w:rPr>
            <w:noProof/>
            <w:webHidden/>
          </w:rPr>
          <w:fldChar w:fldCharType="end"/>
        </w:r>
      </w:hyperlink>
    </w:p>
    <w:p w14:paraId="07B657BB" w14:textId="1D0EF462" w:rsidR="00207524" w:rsidRDefault="00207524">
      <w:pPr>
        <w:pStyle w:val="Innehll1"/>
        <w:rPr>
          <w:rFonts w:asciiTheme="minorHAnsi" w:eastAsiaTheme="minorEastAsia" w:hAnsiTheme="minorHAnsi"/>
          <w:b w:val="0"/>
          <w:noProof/>
          <w:kern w:val="2"/>
          <w:sz w:val="24"/>
          <w:lang w:val="sv-SE" w:eastAsia="sv-SE"/>
          <w14:ligatures w14:val="standardContextual"/>
        </w:rPr>
      </w:pPr>
      <w:hyperlink w:anchor="_Toc211702555" w:history="1">
        <w:r w:rsidRPr="005456E4">
          <w:rPr>
            <w:rStyle w:val="Hyperlnk"/>
            <w:noProof/>
          </w:rPr>
          <w:t>2</w:t>
        </w:r>
        <w:r>
          <w:rPr>
            <w:rFonts w:asciiTheme="minorHAnsi" w:eastAsiaTheme="minorEastAsia" w:hAnsiTheme="minorHAnsi"/>
            <w:b w:val="0"/>
            <w:noProof/>
            <w:kern w:val="2"/>
            <w:sz w:val="24"/>
            <w:lang w:val="sv-SE" w:eastAsia="sv-SE"/>
            <w14:ligatures w14:val="standardContextual"/>
          </w:rPr>
          <w:tab/>
        </w:r>
        <w:r w:rsidRPr="005456E4">
          <w:rPr>
            <w:rStyle w:val="Hyperlnk"/>
            <w:noProof/>
          </w:rPr>
          <w:t>Transparency, the AI supply chain, and data provenance</w:t>
        </w:r>
        <w:r>
          <w:rPr>
            <w:noProof/>
            <w:webHidden/>
          </w:rPr>
          <w:tab/>
        </w:r>
        <w:r>
          <w:rPr>
            <w:noProof/>
            <w:webHidden/>
          </w:rPr>
          <w:fldChar w:fldCharType="begin"/>
        </w:r>
        <w:r>
          <w:rPr>
            <w:noProof/>
            <w:webHidden/>
          </w:rPr>
          <w:instrText xml:space="preserve"> PAGEREF _Toc211702555 \h </w:instrText>
        </w:r>
        <w:r>
          <w:rPr>
            <w:noProof/>
            <w:webHidden/>
          </w:rPr>
        </w:r>
        <w:r>
          <w:rPr>
            <w:noProof/>
            <w:webHidden/>
          </w:rPr>
          <w:fldChar w:fldCharType="separate"/>
        </w:r>
        <w:r>
          <w:rPr>
            <w:noProof/>
            <w:webHidden/>
          </w:rPr>
          <w:t>11</w:t>
        </w:r>
        <w:r>
          <w:rPr>
            <w:noProof/>
            <w:webHidden/>
          </w:rPr>
          <w:fldChar w:fldCharType="end"/>
        </w:r>
      </w:hyperlink>
    </w:p>
    <w:p w14:paraId="79504CC3" w14:textId="6B87FC95"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56" w:history="1">
        <w:r w:rsidRPr="005456E4">
          <w:rPr>
            <w:rStyle w:val="Hyperlnk"/>
            <w:noProof/>
          </w:rPr>
          <w:t>2.1</w:t>
        </w:r>
        <w:r>
          <w:rPr>
            <w:rFonts w:asciiTheme="minorHAnsi" w:eastAsiaTheme="minorEastAsia" w:hAnsiTheme="minorHAnsi"/>
            <w:noProof/>
            <w:kern w:val="2"/>
            <w:sz w:val="24"/>
            <w:lang w:val="sv-SE" w:eastAsia="sv-SE"/>
            <w14:ligatures w14:val="standardContextual"/>
          </w:rPr>
          <w:tab/>
        </w:r>
        <w:r w:rsidRPr="005456E4">
          <w:rPr>
            <w:rStyle w:val="Hyperlnk"/>
            <w:noProof/>
          </w:rPr>
          <w:t>Introduction</w:t>
        </w:r>
        <w:r>
          <w:rPr>
            <w:noProof/>
            <w:webHidden/>
          </w:rPr>
          <w:tab/>
        </w:r>
        <w:r>
          <w:rPr>
            <w:noProof/>
            <w:webHidden/>
          </w:rPr>
          <w:fldChar w:fldCharType="begin"/>
        </w:r>
        <w:r>
          <w:rPr>
            <w:noProof/>
            <w:webHidden/>
          </w:rPr>
          <w:instrText xml:space="preserve"> PAGEREF _Toc211702556 \h </w:instrText>
        </w:r>
        <w:r>
          <w:rPr>
            <w:noProof/>
            <w:webHidden/>
          </w:rPr>
        </w:r>
        <w:r>
          <w:rPr>
            <w:noProof/>
            <w:webHidden/>
          </w:rPr>
          <w:fldChar w:fldCharType="separate"/>
        </w:r>
        <w:r>
          <w:rPr>
            <w:noProof/>
            <w:webHidden/>
          </w:rPr>
          <w:t>11</w:t>
        </w:r>
        <w:r>
          <w:rPr>
            <w:noProof/>
            <w:webHidden/>
          </w:rPr>
          <w:fldChar w:fldCharType="end"/>
        </w:r>
      </w:hyperlink>
    </w:p>
    <w:p w14:paraId="189DDF03" w14:textId="097D6DFB"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57" w:history="1">
        <w:r w:rsidRPr="005456E4">
          <w:rPr>
            <w:rStyle w:val="Hyperlnk"/>
            <w:noProof/>
          </w:rPr>
          <w:t>2.2</w:t>
        </w:r>
        <w:r>
          <w:rPr>
            <w:rFonts w:asciiTheme="minorHAnsi" w:eastAsiaTheme="minorEastAsia" w:hAnsiTheme="minorHAnsi"/>
            <w:noProof/>
            <w:kern w:val="2"/>
            <w:sz w:val="24"/>
            <w:lang w:val="sv-SE" w:eastAsia="sv-SE"/>
            <w14:ligatures w14:val="standardContextual"/>
          </w:rPr>
          <w:tab/>
        </w:r>
        <w:r w:rsidRPr="005456E4">
          <w:rPr>
            <w:rStyle w:val="Hyperlnk"/>
            <w:noProof/>
          </w:rPr>
          <w:t>Transparency</w:t>
        </w:r>
        <w:r>
          <w:rPr>
            <w:noProof/>
            <w:webHidden/>
          </w:rPr>
          <w:tab/>
        </w:r>
        <w:r>
          <w:rPr>
            <w:noProof/>
            <w:webHidden/>
          </w:rPr>
          <w:fldChar w:fldCharType="begin"/>
        </w:r>
        <w:r>
          <w:rPr>
            <w:noProof/>
            <w:webHidden/>
          </w:rPr>
          <w:instrText xml:space="preserve"> PAGEREF _Toc211702557 \h </w:instrText>
        </w:r>
        <w:r>
          <w:rPr>
            <w:noProof/>
            <w:webHidden/>
          </w:rPr>
        </w:r>
        <w:r>
          <w:rPr>
            <w:noProof/>
            <w:webHidden/>
          </w:rPr>
          <w:fldChar w:fldCharType="separate"/>
        </w:r>
        <w:r>
          <w:rPr>
            <w:noProof/>
            <w:webHidden/>
          </w:rPr>
          <w:t>11</w:t>
        </w:r>
        <w:r>
          <w:rPr>
            <w:noProof/>
            <w:webHidden/>
          </w:rPr>
          <w:fldChar w:fldCharType="end"/>
        </w:r>
      </w:hyperlink>
    </w:p>
    <w:p w14:paraId="7B812777" w14:textId="54C7E3FD"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58" w:history="1">
        <w:r w:rsidRPr="005456E4">
          <w:rPr>
            <w:rStyle w:val="Hyperlnk"/>
            <w:noProof/>
            <w:lang w:val="en-US"/>
          </w:rPr>
          <w:t>2.3</w:t>
        </w:r>
        <w:r>
          <w:rPr>
            <w:rFonts w:asciiTheme="minorHAnsi" w:eastAsiaTheme="minorEastAsia" w:hAnsiTheme="minorHAnsi"/>
            <w:noProof/>
            <w:kern w:val="2"/>
            <w:sz w:val="24"/>
            <w:lang w:val="sv-SE" w:eastAsia="sv-SE"/>
            <w14:ligatures w14:val="standardContextual"/>
          </w:rPr>
          <w:tab/>
        </w:r>
        <w:r w:rsidRPr="005456E4">
          <w:rPr>
            <w:rStyle w:val="Hyperlnk"/>
            <w:noProof/>
            <w:lang w:val="en-US"/>
          </w:rPr>
          <w:t>Copyright and the Generative-AI Supply Chain</w:t>
        </w:r>
        <w:r>
          <w:rPr>
            <w:noProof/>
            <w:webHidden/>
          </w:rPr>
          <w:tab/>
        </w:r>
        <w:r>
          <w:rPr>
            <w:noProof/>
            <w:webHidden/>
          </w:rPr>
          <w:fldChar w:fldCharType="begin"/>
        </w:r>
        <w:r>
          <w:rPr>
            <w:noProof/>
            <w:webHidden/>
          </w:rPr>
          <w:instrText xml:space="preserve"> PAGEREF _Toc211702558 \h </w:instrText>
        </w:r>
        <w:r>
          <w:rPr>
            <w:noProof/>
            <w:webHidden/>
          </w:rPr>
        </w:r>
        <w:r>
          <w:rPr>
            <w:noProof/>
            <w:webHidden/>
          </w:rPr>
          <w:fldChar w:fldCharType="separate"/>
        </w:r>
        <w:r>
          <w:rPr>
            <w:noProof/>
            <w:webHidden/>
          </w:rPr>
          <w:t>12</w:t>
        </w:r>
        <w:r>
          <w:rPr>
            <w:noProof/>
            <w:webHidden/>
          </w:rPr>
          <w:fldChar w:fldCharType="end"/>
        </w:r>
      </w:hyperlink>
    </w:p>
    <w:p w14:paraId="24D3F4F9" w14:textId="05BB8D6F"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59" w:history="1">
        <w:r w:rsidRPr="005456E4">
          <w:rPr>
            <w:rStyle w:val="Hyperlnk"/>
            <w:noProof/>
            <w:lang w:val="en-US"/>
          </w:rPr>
          <w:t>2.4</w:t>
        </w:r>
        <w:r>
          <w:rPr>
            <w:rFonts w:asciiTheme="minorHAnsi" w:eastAsiaTheme="minorEastAsia" w:hAnsiTheme="minorHAnsi"/>
            <w:noProof/>
            <w:kern w:val="2"/>
            <w:sz w:val="24"/>
            <w:lang w:val="sv-SE" w:eastAsia="sv-SE"/>
            <w14:ligatures w14:val="standardContextual"/>
          </w:rPr>
          <w:tab/>
        </w:r>
        <w:r w:rsidRPr="005456E4">
          <w:rPr>
            <w:rStyle w:val="Hyperlnk"/>
            <w:noProof/>
            <w:lang w:val="en-US"/>
          </w:rPr>
          <w:t>The Data Provenance Initiative</w:t>
        </w:r>
        <w:r>
          <w:rPr>
            <w:noProof/>
            <w:webHidden/>
          </w:rPr>
          <w:tab/>
        </w:r>
        <w:r>
          <w:rPr>
            <w:noProof/>
            <w:webHidden/>
          </w:rPr>
          <w:fldChar w:fldCharType="begin"/>
        </w:r>
        <w:r>
          <w:rPr>
            <w:noProof/>
            <w:webHidden/>
          </w:rPr>
          <w:instrText xml:space="preserve"> PAGEREF _Toc211702559 \h </w:instrText>
        </w:r>
        <w:r>
          <w:rPr>
            <w:noProof/>
            <w:webHidden/>
          </w:rPr>
        </w:r>
        <w:r>
          <w:rPr>
            <w:noProof/>
            <w:webHidden/>
          </w:rPr>
          <w:fldChar w:fldCharType="separate"/>
        </w:r>
        <w:r>
          <w:rPr>
            <w:noProof/>
            <w:webHidden/>
          </w:rPr>
          <w:t>13</w:t>
        </w:r>
        <w:r>
          <w:rPr>
            <w:noProof/>
            <w:webHidden/>
          </w:rPr>
          <w:fldChar w:fldCharType="end"/>
        </w:r>
      </w:hyperlink>
    </w:p>
    <w:p w14:paraId="7269A7C8" w14:textId="7BA0AB10"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60" w:history="1">
        <w:r w:rsidRPr="005456E4">
          <w:rPr>
            <w:rStyle w:val="Hyperlnk"/>
            <w:noProof/>
          </w:rPr>
          <w:t>2.5</w:t>
        </w:r>
        <w:r>
          <w:rPr>
            <w:rFonts w:asciiTheme="minorHAnsi" w:eastAsiaTheme="minorEastAsia" w:hAnsiTheme="minorHAnsi"/>
            <w:noProof/>
            <w:kern w:val="2"/>
            <w:sz w:val="24"/>
            <w:lang w:val="sv-SE" w:eastAsia="sv-SE"/>
            <w14:ligatures w14:val="standardContextual"/>
          </w:rPr>
          <w:tab/>
        </w:r>
        <w:r w:rsidRPr="005456E4">
          <w:rPr>
            <w:rStyle w:val="Hyperlnk"/>
            <w:noProof/>
          </w:rPr>
          <w:t>Summary and conclusions</w:t>
        </w:r>
        <w:r>
          <w:rPr>
            <w:noProof/>
            <w:webHidden/>
          </w:rPr>
          <w:tab/>
        </w:r>
        <w:r>
          <w:rPr>
            <w:noProof/>
            <w:webHidden/>
          </w:rPr>
          <w:fldChar w:fldCharType="begin"/>
        </w:r>
        <w:r>
          <w:rPr>
            <w:noProof/>
            <w:webHidden/>
          </w:rPr>
          <w:instrText xml:space="preserve"> PAGEREF _Toc211702560 \h </w:instrText>
        </w:r>
        <w:r>
          <w:rPr>
            <w:noProof/>
            <w:webHidden/>
          </w:rPr>
        </w:r>
        <w:r>
          <w:rPr>
            <w:noProof/>
            <w:webHidden/>
          </w:rPr>
          <w:fldChar w:fldCharType="separate"/>
        </w:r>
        <w:r>
          <w:rPr>
            <w:noProof/>
            <w:webHidden/>
          </w:rPr>
          <w:t>14</w:t>
        </w:r>
        <w:r>
          <w:rPr>
            <w:noProof/>
            <w:webHidden/>
          </w:rPr>
          <w:fldChar w:fldCharType="end"/>
        </w:r>
      </w:hyperlink>
    </w:p>
    <w:p w14:paraId="5A568DC1" w14:textId="7A2F3EA7" w:rsidR="00207524" w:rsidRDefault="00207524">
      <w:pPr>
        <w:pStyle w:val="Innehll1"/>
        <w:rPr>
          <w:rFonts w:asciiTheme="minorHAnsi" w:eastAsiaTheme="minorEastAsia" w:hAnsiTheme="minorHAnsi"/>
          <w:b w:val="0"/>
          <w:noProof/>
          <w:kern w:val="2"/>
          <w:sz w:val="24"/>
          <w:lang w:val="sv-SE" w:eastAsia="sv-SE"/>
          <w14:ligatures w14:val="standardContextual"/>
        </w:rPr>
      </w:pPr>
      <w:hyperlink w:anchor="_Toc211702561" w:history="1">
        <w:r w:rsidRPr="005456E4">
          <w:rPr>
            <w:rStyle w:val="Hyperlnk"/>
            <w:noProof/>
          </w:rPr>
          <w:t>3</w:t>
        </w:r>
        <w:r>
          <w:rPr>
            <w:rFonts w:asciiTheme="minorHAnsi" w:eastAsiaTheme="minorEastAsia" w:hAnsiTheme="minorHAnsi"/>
            <w:b w:val="0"/>
            <w:noProof/>
            <w:kern w:val="2"/>
            <w:sz w:val="24"/>
            <w:lang w:val="sv-SE" w:eastAsia="sv-SE"/>
            <w14:ligatures w14:val="standardContextual"/>
          </w:rPr>
          <w:tab/>
        </w:r>
        <w:r w:rsidRPr="005456E4">
          <w:rPr>
            <w:rStyle w:val="Hyperlnk"/>
            <w:noProof/>
          </w:rPr>
          <w:t>How AI uses Training Data</w:t>
        </w:r>
        <w:r>
          <w:rPr>
            <w:noProof/>
            <w:webHidden/>
          </w:rPr>
          <w:tab/>
        </w:r>
        <w:r>
          <w:rPr>
            <w:noProof/>
            <w:webHidden/>
          </w:rPr>
          <w:fldChar w:fldCharType="begin"/>
        </w:r>
        <w:r>
          <w:rPr>
            <w:noProof/>
            <w:webHidden/>
          </w:rPr>
          <w:instrText xml:space="preserve"> PAGEREF _Toc211702561 \h </w:instrText>
        </w:r>
        <w:r>
          <w:rPr>
            <w:noProof/>
            <w:webHidden/>
          </w:rPr>
        </w:r>
        <w:r>
          <w:rPr>
            <w:noProof/>
            <w:webHidden/>
          </w:rPr>
          <w:fldChar w:fldCharType="separate"/>
        </w:r>
        <w:r>
          <w:rPr>
            <w:noProof/>
            <w:webHidden/>
          </w:rPr>
          <w:t>15</w:t>
        </w:r>
        <w:r>
          <w:rPr>
            <w:noProof/>
            <w:webHidden/>
          </w:rPr>
          <w:fldChar w:fldCharType="end"/>
        </w:r>
      </w:hyperlink>
    </w:p>
    <w:p w14:paraId="458906BF" w14:textId="2CDA4E8B"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62" w:history="1">
        <w:r w:rsidRPr="005456E4">
          <w:rPr>
            <w:rStyle w:val="Hyperlnk"/>
            <w:noProof/>
          </w:rPr>
          <w:t>3.1</w:t>
        </w:r>
        <w:r>
          <w:rPr>
            <w:rFonts w:asciiTheme="minorHAnsi" w:eastAsiaTheme="minorEastAsia" w:hAnsiTheme="minorHAnsi"/>
            <w:noProof/>
            <w:kern w:val="2"/>
            <w:sz w:val="24"/>
            <w:lang w:val="sv-SE" w:eastAsia="sv-SE"/>
            <w14:ligatures w14:val="standardContextual"/>
          </w:rPr>
          <w:tab/>
        </w:r>
        <w:r w:rsidRPr="005456E4">
          <w:rPr>
            <w:rStyle w:val="Hyperlnk"/>
            <w:noProof/>
          </w:rPr>
          <w:t>What is Generative AI?</w:t>
        </w:r>
        <w:r>
          <w:rPr>
            <w:noProof/>
            <w:webHidden/>
          </w:rPr>
          <w:tab/>
        </w:r>
        <w:r>
          <w:rPr>
            <w:noProof/>
            <w:webHidden/>
          </w:rPr>
          <w:fldChar w:fldCharType="begin"/>
        </w:r>
        <w:r>
          <w:rPr>
            <w:noProof/>
            <w:webHidden/>
          </w:rPr>
          <w:instrText xml:space="preserve"> PAGEREF _Toc211702562 \h </w:instrText>
        </w:r>
        <w:r>
          <w:rPr>
            <w:noProof/>
            <w:webHidden/>
          </w:rPr>
        </w:r>
        <w:r>
          <w:rPr>
            <w:noProof/>
            <w:webHidden/>
          </w:rPr>
          <w:fldChar w:fldCharType="separate"/>
        </w:r>
        <w:r>
          <w:rPr>
            <w:noProof/>
            <w:webHidden/>
          </w:rPr>
          <w:t>15</w:t>
        </w:r>
        <w:r>
          <w:rPr>
            <w:noProof/>
            <w:webHidden/>
          </w:rPr>
          <w:fldChar w:fldCharType="end"/>
        </w:r>
      </w:hyperlink>
    </w:p>
    <w:p w14:paraId="34D49ADD" w14:textId="06394D32"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63" w:history="1">
        <w:r w:rsidRPr="005456E4">
          <w:rPr>
            <w:rStyle w:val="Hyperlnk"/>
            <w:noProof/>
          </w:rPr>
          <w:t>3.2</w:t>
        </w:r>
        <w:r>
          <w:rPr>
            <w:rFonts w:asciiTheme="minorHAnsi" w:eastAsiaTheme="minorEastAsia" w:hAnsiTheme="minorHAnsi"/>
            <w:noProof/>
            <w:kern w:val="2"/>
            <w:sz w:val="24"/>
            <w:lang w:val="sv-SE" w:eastAsia="sv-SE"/>
            <w14:ligatures w14:val="standardContextual"/>
          </w:rPr>
          <w:tab/>
        </w:r>
        <w:r w:rsidRPr="005456E4">
          <w:rPr>
            <w:rStyle w:val="Hyperlnk"/>
            <w:noProof/>
          </w:rPr>
          <w:t>What is Training Data?</w:t>
        </w:r>
        <w:r>
          <w:rPr>
            <w:noProof/>
            <w:webHidden/>
          </w:rPr>
          <w:tab/>
        </w:r>
        <w:r>
          <w:rPr>
            <w:noProof/>
            <w:webHidden/>
          </w:rPr>
          <w:fldChar w:fldCharType="begin"/>
        </w:r>
        <w:r>
          <w:rPr>
            <w:noProof/>
            <w:webHidden/>
          </w:rPr>
          <w:instrText xml:space="preserve"> PAGEREF _Toc211702563 \h </w:instrText>
        </w:r>
        <w:r>
          <w:rPr>
            <w:noProof/>
            <w:webHidden/>
          </w:rPr>
        </w:r>
        <w:r>
          <w:rPr>
            <w:noProof/>
            <w:webHidden/>
          </w:rPr>
          <w:fldChar w:fldCharType="separate"/>
        </w:r>
        <w:r>
          <w:rPr>
            <w:noProof/>
            <w:webHidden/>
          </w:rPr>
          <w:t>16</w:t>
        </w:r>
        <w:r>
          <w:rPr>
            <w:noProof/>
            <w:webHidden/>
          </w:rPr>
          <w:fldChar w:fldCharType="end"/>
        </w:r>
      </w:hyperlink>
    </w:p>
    <w:p w14:paraId="5B45E314" w14:textId="11E2E66C"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64" w:history="1">
        <w:r w:rsidRPr="005456E4">
          <w:rPr>
            <w:rStyle w:val="Hyperlnk"/>
            <w:noProof/>
          </w:rPr>
          <w:t>3.3</w:t>
        </w:r>
        <w:r>
          <w:rPr>
            <w:rFonts w:asciiTheme="minorHAnsi" w:eastAsiaTheme="minorEastAsia" w:hAnsiTheme="minorHAnsi"/>
            <w:noProof/>
            <w:kern w:val="2"/>
            <w:sz w:val="24"/>
            <w:lang w:val="sv-SE" w:eastAsia="sv-SE"/>
            <w14:ligatures w14:val="standardContextual"/>
          </w:rPr>
          <w:tab/>
        </w:r>
        <w:r w:rsidRPr="005456E4">
          <w:rPr>
            <w:rStyle w:val="Hyperlnk"/>
            <w:noProof/>
          </w:rPr>
          <w:t>Sources of Training Data</w:t>
        </w:r>
        <w:r>
          <w:rPr>
            <w:noProof/>
            <w:webHidden/>
          </w:rPr>
          <w:tab/>
        </w:r>
        <w:r>
          <w:rPr>
            <w:noProof/>
            <w:webHidden/>
          </w:rPr>
          <w:fldChar w:fldCharType="begin"/>
        </w:r>
        <w:r>
          <w:rPr>
            <w:noProof/>
            <w:webHidden/>
          </w:rPr>
          <w:instrText xml:space="preserve"> PAGEREF _Toc211702564 \h </w:instrText>
        </w:r>
        <w:r>
          <w:rPr>
            <w:noProof/>
            <w:webHidden/>
          </w:rPr>
        </w:r>
        <w:r>
          <w:rPr>
            <w:noProof/>
            <w:webHidden/>
          </w:rPr>
          <w:fldChar w:fldCharType="separate"/>
        </w:r>
        <w:r>
          <w:rPr>
            <w:noProof/>
            <w:webHidden/>
          </w:rPr>
          <w:t>16</w:t>
        </w:r>
        <w:r>
          <w:rPr>
            <w:noProof/>
            <w:webHidden/>
          </w:rPr>
          <w:fldChar w:fldCharType="end"/>
        </w:r>
      </w:hyperlink>
    </w:p>
    <w:p w14:paraId="23256B75" w14:textId="6671AFEF"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65" w:history="1">
        <w:r w:rsidRPr="005456E4">
          <w:rPr>
            <w:rStyle w:val="Hyperlnk"/>
            <w:noProof/>
          </w:rPr>
          <w:t>3.4</w:t>
        </w:r>
        <w:r>
          <w:rPr>
            <w:rFonts w:asciiTheme="minorHAnsi" w:eastAsiaTheme="minorEastAsia" w:hAnsiTheme="minorHAnsi"/>
            <w:noProof/>
            <w:kern w:val="2"/>
            <w:sz w:val="24"/>
            <w:lang w:val="sv-SE" w:eastAsia="sv-SE"/>
            <w14:ligatures w14:val="standardContextual"/>
          </w:rPr>
          <w:tab/>
        </w:r>
        <w:r w:rsidRPr="005456E4">
          <w:rPr>
            <w:rStyle w:val="Hyperlnk"/>
            <w:noProof/>
          </w:rPr>
          <w:t>Human-Created Content and Copyright Concerns</w:t>
        </w:r>
        <w:r>
          <w:rPr>
            <w:noProof/>
            <w:webHidden/>
          </w:rPr>
          <w:tab/>
        </w:r>
        <w:r>
          <w:rPr>
            <w:noProof/>
            <w:webHidden/>
          </w:rPr>
          <w:fldChar w:fldCharType="begin"/>
        </w:r>
        <w:r>
          <w:rPr>
            <w:noProof/>
            <w:webHidden/>
          </w:rPr>
          <w:instrText xml:space="preserve"> PAGEREF _Toc211702565 \h </w:instrText>
        </w:r>
        <w:r>
          <w:rPr>
            <w:noProof/>
            <w:webHidden/>
          </w:rPr>
        </w:r>
        <w:r>
          <w:rPr>
            <w:noProof/>
            <w:webHidden/>
          </w:rPr>
          <w:fldChar w:fldCharType="separate"/>
        </w:r>
        <w:r>
          <w:rPr>
            <w:noProof/>
            <w:webHidden/>
          </w:rPr>
          <w:t>17</w:t>
        </w:r>
        <w:r>
          <w:rPr>
            <w:noProof/>
            <w:webHidden/>
          </w:rPr>
          <w:fldChar w:fldCharType="end"/>
        </w:r>
      </w:hyperlink>
    </w:p>
    <w:p w14:paraId="6D981E46" w14:textId="27DDE262"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66" w:history="1">
        <w:r w:rsidRPr="005456E4">
          <w:rPr>
            <w:rStyle w:val="Hyperlnk"/>
            <w:noProof/>
          </w:rPr>
          <w:t>3.5</w:t>
        </w:r>
        <w:r>
          <w:rPr>
            <w:rFonts w:asciiTheme="minorHAnsi" w:eastAsiaTheme="minorEastAsia" w:hAnsiTheme="minorHAnsi"/>
            <w:noProof/>
            <w:kern w:val="2"/>
            <w:sz w:val="24"/>
            <w:lang w:val="sv-SE" w:eastAsia="sv-SE"/>
            <w14:ligatures w14:val="standardContextual"/>
          </w:rPr>
          <w:tab/>
        </w:r>
        <w:r w:rsidRPr="005456E4">
          <w:rPr>
            <w:rStyle w:val="Hyperlnk"/>
            <w:noProof/>
          </w:rPr>
          <w:t>Implications for Creators and the Need for Transparency</w:t>
        </w:r>
        <w:r>
          <w:rPr>
            <w:noProof/>
            <w:webHidden/>
          </w:rPr>
          <w:tab/>
        </w:r>
        <w:r>
          <w:rPr>
            <w:noProof/>
            <w:webHidden/>
          </w:rPr>
          <w:fldChar w:fldCharType="begin"/>
        </w:r>
        <w:r>
          <w:rPr>
            <w:noProof/>
            <w:webHidden/>
          </w:rPr>
          <w:instrText xml:space="preserve"> PAGEREF _Toc211702566 \h </w:instrText>
        </w:r>
        <w:r>
          <w:rPr>
            <w:noProof/>
            <w:webHidden/>
          </w:rPr>
        </w:r>
        <w:r>
          <w:rPr>
            <w:noProof/>
            <w:webHidden/>
          </w:rPr>
          <w:fldChar w:fldCharType="separate"/>
        </w:r>
        <w:r>
          <w:rPr>
            <w:noProof/>
            <w:webHidden/>
          </w:rPr>
          <w:t>18</w:t>
        </w:r>
        <w:r>
          <w:rPr>
            <w:noProof/>
            <w:webHidden/>
          </w:rPr>
          <w:fldChar w:fldCharType="end"/>
        </w:r>
      </w:hyperlink>
    </w:p>
    <w:p w14:paraId="7FCE5B29" w14:textId="42297E64" w:rsidR="00207524" w:rsidRDefault="00207524">
      <w:pPr>
        <w:pStyle w:val="Innehll1"/>
        <w:rPr>
          <w:rFonts w:asciiTheme="minorHAnsi" w:eastAsiaTheme="minorEastAsia" w:hAnsiTheme="minorHAnsi"/>
          <w:b w:val="0"/>
          <w:noProof/>
          <w:kern w:val="2"/>
          <w:sz w:val="24"/>
          <w:lang w:val="sv-SE" w:eastAsia="sv-SE"/>
          <w14:ligatures w14:val="standardContextual"/>
        </w:rPr>
      </w:pPr>
      <w:hyperlink w:anchor="_Toc211702567" w:history="1">
        <w:r w:rsidRPr="005456E4">
          <w:rPr>
            <w:rStyle w:val="Hyperlnk"/>
            <w:noProof/>
          </w:rPr>
          <w:t>4</w:t>
        </w:r>
        <w:r>
          <w:rPr>
            <w:rFonts w:asciiTheme="minorHAnsi" w:eastAsiaTheme="minorEastAsia" w:hAnsiTheme="minorHAnsi"/>
            <w:b w:val="0"/>
            <w:noProof/>
            <w:kern w:val="2"/>
            <w:sz w:val="24"/>
            <w:lang w:val="sv-SE" w:eastAsia="sv-SE"/>
            <w14:ligatures w14:val="standardContextual"/>
          </w:rPr>
          <w:tab/>
        </w:r>
        <w:r w:rsidRPr="005456E4">
          <w:rPr>
            <w:rStyle w:val="Hyperlnk"/>
            <w:noProof/>
          </w:rPr>
          <w:t>Database Rights and Moral Rights</w:t>
        </w:r>
        <w:r>
          <w:rPr>
            <w:noProof/>
            <w:webHidden/>
          </w:rPr>
          <w:tab/>
        </w:r>
        <w:r>
          <w:rPr>
            <w:noProof/>
            <w:webHidden/>
          </w:rPr>
          <w:fldChar w:fldCharType="begin"/>
        </w:r>
        <w:r>
          <w:rPr>
            <w:noProof/>
            <w:webHidden/>
          </w:rPr>
          <w:instrText xml:space="preserve"> PAGEREF _Toc211702567 \h </w:instrText>
        </w:r>
        <w:r>
          <w:rPr>
            <w:noProof/>
            <w:webHidden/>
          </w:rPr>
        </w:r>
        <w:r>
          <w:rPr>
            <w:noProof/>
            <w:webHidden/>
          </w:rPr>
          <w:fldChar w:fldCharType="separate"/>
        </w:r>
        <w:r>
          <w:rPr>
            <w:noProof/>
            <w:webHidden/>
          </w:rPr>
          <w:t>20</w:t>
        </w:r>
        <w:r>
          <w:rPr>
            <w:noProof/>
            <w:webHidden/>
          </w:rPr>
          <w:fldChar w:fldCharType="end"/>
        </w:r>
      </w:hyperlink>
    </w:p>
    <w:p w14:paraId="2A8C3E24" w14:textId="2D2C082E"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68" w:history="1">
        <w:r w:rsidRPr="005456E4">
          <w:rPr>
            <w:rStyle w:val="Hyperlnk"/>
            <w:noProof/>
          </w:rPr>
          <w:t>4.1</w:t>
        </w:r>
        <w:r>
          <w:rPr>
            <w:rFonts w:asciiTheme="minorHAnsi" w:eastAsiaTheme="minorEastAsia" w:hAnsiTheme="minorHAnsi"/>
            <w:noProof/>
            <w:kern w:val="2"/>
            <w:sz w:val="24"/>
            <w:lang w:val="sv-SE" w:eastAsia="sv-SE"/>
            <w14:ligatures w14:val="standardContextual"/>
          </w:rPr>
          <w:tab/>
        </w:r>
        <w:r w:rsidRPr="005456E4">
          <w:rPr>
            <w:rStyle w:val="Hyperlnk"/>
            <w:noProof/>
          </w:rPr>
          <w:t>The EU Database Directive: Ownership and Relevance to AI Training</w:t>
        </w:r>
        <w:r>
          <w:rPr>
            <w:noProof/>
            <w:webHidden/>
          </w:rPr>
          <w:tab/>
        </w:r>
        <w:r>
          <w:rPr>
            <w:noProof/>
            <w:webHidden/>
          </w:rPr>
          <w:fldChar w:fldCharType="begin"/>
        </w:r>
        <w:r>
          <w:rPr>
            <w:noProof/>
            <w:webHidden/>
          </w:rPr>
          <w:instrText xml:space="preserve"> PAGEREF _Toc211702568 \h </w:instrText>
        </w:r>
        <w:r>
          <w:rPr>
            <w:noProof/>
            <w:webHidden/>
          </w:rPr>
        </w:r>
        <w:r>
          <w:rPr>
            <w:noProof/>
            <w:webHidden/>
          </w:rPr>
          <w:fldChar w:fldCharType="separate"/>
        </w:r>
        <w:r>
          <w:rPr>
            <w:noProof/>
            <w:webHidden/>
          </w:rPr>
          <w:t>20</w:t>
        </w:r>
        <w:r>
          <w:rPr>
            <w:noProof/>
            <w:webHidden/>
          </w:rPr>
          <w:fldChar w:fldCharType="end"/>
        </w:r>
      </w:hyperlink>
    </w:p>
    <w:p w14:paraId="6138A37F" w14:textId="51721B97"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69" w:history="1">
        <w:r w:rsidRPr="005456E4">
          <w:rPr>
            <w:rStyle w:val="Hyperlnk"/>
            <w:noProof/>
          </w:rPr>
          <w:t>4.2</w:t>
        </w:r>
        <w:r>
          <w:rPr>
            <w:rFonts w:asciiTheme="minorHAnsi" w:eastAsiaTheme="minorEastAsia" w:hAnsiTheme="minorHAnsi"/>
            <w:noProof/>
            <w:kern w:val="2"/>
            <w:sz w:val="24"/>
            <w:lang w:val="sv-SE" w:eastAsia="sv-SE"/>
            <w14:ligatures w14:val="standardContextual"/>
          </w:rPr>
          <w:tab/>
        </w:r>
        <w:r w:rsidRPr="005456E4">
          <w:rPr>
            <w:rStyle w:val="Hyperlnk"/>
            <w:noProof/>
          </w:rPr>
          <w:t>Moral Rights</w:t>
        </w:r>
        <w:r>
          <w:rPr>
            <w:noProof/>
            <w:webHidden/>
          </w:rPr>
          <w:tab/>
        </w:r>
        <w:r>
          <w:rPr>
            <w:noProof/>
            <w:webHidden/>
          </w:rPr>
          <w:fldChar w:fldCharType="begin"/>
        </w:r>
        <w:r>
          <w:rPr>
            <w:noProof/>
            <w:webHidden/>
          </w:rPr>
          <w:instrText xml:space="preserve"> PAGEREF _Toc211702569 \h </w:instrText>
        </w:r>
        <w:r>
          <w:rPr>
            <w:noProof/>
            <w:webHidden/>
          </w:rPr>
        </w:r>
        <w:r>
          <w:rPr>
            <w:noProof/>
            <w:webHidden/>
          </w:rPr>
          <w:fldChar w:fldCharType="separate"/>
        </w:r>
        <w:r>
          <w:rPr>
            <w:noProof/>
            <w:webHidden/>
          </w:rPr>
          <w:t>21</w:t>
        </w:r>
        <w:r>
          <w:rPr>
            <w:noProof/>
            <w:webHidden/>
          </w:rPr>
          <w:fldChar w:fldCharType="end"/>
        </w:r>
      </w:hyperlink>
    </w:p>
    <w:p w14:paraId="54E536B9" w14:textId="14087CAC"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70" w:history="1">
        <w:r w:rsidRPr="005456E4">
          <w:rPr>
            <w:rStyle w:val="Hyperlnk"/>
            <w:noProof/>
          </w:rPr>
          <w:t>4.3</w:t>
        </w:r>
        <w:r>
          <w:rPr>
            <w:rFonts w:asciiTheme="minorHAnsi" w:eastAsiaTheme="minorEastAsia" w:hAnsiTheme="minorHAnsi"/>
            <w:noProof/>
            <w:kern w:val="2"/>
            <w:sz w:val="24"/>
            <w:lang w:val="sv-SE" w:eastAsia="sv-SE"/>
            <w14:ligatures w14:val="standardContextual"/>
          </w:rPr>
          <w:tab/>
        </w:r>
        <w:r w:rsidRPr="005456E4">
          <w:rPr>
            <w:rStyle w:val="Hyperlnk"/>
            <w:noProof/>
          </w:rPr>
          <w:t>Are these rights useful when AI takes and mixes up millions of works?</w:t>
        </w:r>
        <w:r>
          <w:rPr>
            <w:noProof/>
            <w:webHidden/>
          </w:rPr>
          <w:tab/>
        </w:r>
        <w:r>
          <w:rPr>
            <w:noProof/>
            <w:webHidden/>
          </w:rPr>
          <w:fldChar w:fldCharType="begin"/>
        </w:r>
        <w:r>
          <w:rPr>
            <w:noProof/>
            <w:webHidden/>
          </w:rPr>
          <w:instrText xml:space="preserve"> PAGEREF _Toc211702570 \h </w:instrText>
        </w:r>
        <w:r>
          <w:rPr>
            <w:noProof/>
            <w:webHidden/>
          </w:rPr>
        </w:r>
        <w:r>
          <w:rPr>
            <w:noProof/>
            <w:webHidden/>
          </w:rPr>
          <w:fldChar w:fldCharType="separate"/>
        </w:r>
        <w:r>
          <w:rPr>
            <w:noProof/>
            <w:webHidden/>
          </w:rPr>
          <w:t>22</w:t>
        </w:r>
        <w:r>
          <w:rPr>
            <w:noProof/>
            <w:webHidden/>
          </w:rPr>
          <w:fldChar w:fldCharType="end"/>
        </w:r>
      </w:hyperlink>
    </w:p>
    <w:p w14:paraId="78712D26" w14:textId="2F9668B5"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71" w:history="1">
        <w:r w:rsidRPr="005456E4">
          <w:rPr>
            <w:rStyle w:val="Hyperlnk"/>
            <w:noProof/>
          </w:rPr>
          <w:t>4.4</w:t>
        </w:r>
        <w:r>
          <w:rPr>
            <w:rFonts w:asciiTheme="minorHAnsi" w:eastAsiaTheme="minorEastAsia" w:hAnsiTheme="minorHAnsi"/>
            <w:noProof/>
            <w:kern w:val="2"/>
            <w:sz w:val="24"/>
            <w:lang w:val="sv-SE" w:eastAsia="sv-SE"/>
            <w14:ligatures w14:val="standardContextual"/>
          </w:rPr>
          <w:tab/>
        </w:r>
        <w:r w:rsidRPr="005456E4">
          <w:rPr>
            <w:rStyle w:val="Hyperlnk"/>
            <w:noProof/>
          </w:rPr>
          <w:t>The Czech Case</w:t>
        </w:r>
        <w:r>
          <w:rPr>
            <w:noProof/>
            <w:webHidden/>
          </w:rPr>
          <w:tab/>
        </w:r>
        <w:r>
          <w:rPr>
            <w:noProof/>
            <w:webHidden/>
          </w:rPr>
          <w:fldChar w:fldCharType="begin"/>
        </w:r>
        <w:r>
          <w:rPr>
            <w:noProof/>
            <w:webHidden/>
          </w:rPr>
          <w:instrText xml:space="preserve"> PAGEREF _Toc211702571 \h </w:instrText>
        </w:r>
        <w:r>
          <w:rPr>
            <w:noProof/>
            <w:webHidden/>
          </w:rPr>
        </w:r>
        <w:r>
          <w:rPr>
            <w:noProof/>
            <w:webHidden/>
          </w:rPr>
          <w:fldChar w:fldCharType="separate"/>
        </w:r>
        <w:r>
          <w:rPr>
            <w:noProof/>
            <w:webHidden/>
          </w:rPr>
          <w:t>24</w:t>
        </w:r>
        <w:r>
          <w:rPr>
            <w:noProof/>
            <w:webHidden/>
          </w:rPr>
          <w:fldChar w:fldCharType="end"/>
        </w:r>
      </w:hyperlink>
    </w:p>
    <w:p w14:paraId="28DDF1C2" w14:textId="62D00BD1" w:rsidR="00207524" w:rsidRDefault="00207524">
      <w:pPr>
        <w:pStyle w:val="Innehll1"/>
        <w:rPr>
          <w:rFonts w:asciiTheme="minorHAnsi" w:eastAsiaTheme="minorEastAsia" w:hAnsiTheme="minorHAnsi"/>
          <w:b w:val="0"/>
          <w:noProof/>
          <w:kern w:val="2"/>
          <w:sz w:val="24"/>
          <w:lang w:val="sv-SE" w:eastAsia="sv-SE"/>
          <w14:ligatures w14:val="standardContextual"/>
        </w:rPr>
      </w:pPr>
      <w:hyperlink w:anchor="_Toc211702572" w:history="1">
        <w:r w:rsidRPr="005456E4">
          <w:rPr>
            <w:rStyle w:val="Hyperlnk"/>
            <w:noProof/>
          </w:rPr>
          <w:t>5</w:t>
        </w:r>
        <w:r>
          <w:rPr>
            <w:rFonts w:asciiTheme="minorHAnsi" w:eastAsiaTheme="minorEastAsia" w:hAnsiTheme="minorHAnsi"/>
            <w:b w:val="0"/>
            <w:noProof/>
            <w:kern w:val="2"/>
            <w:sz w:val="24"/>
            <w:lang w:val="sv-SE" w:eastAsia="sv-SE"/>
            <w14:ligatures w14:val="standardContextual"/>
          </w:rPr>
          <w:tab/>
        </w:r>
        <w:r w:rsidRPr="005456E4">
          <w:rPr>
            <w:rStyle w:val="Hyperlnk"/>
            <w:noProof/>
          </w:rPr>
          <w:t>The EU Copyright Directive: Purpose and Relevance to AI</w:t>
        </w:r>
        <w:r>
          <w:rPr>
            <w:noProof/>
            <w:webHidden/>
          </w:rPr>
          <w:tab/>
        </w:r>
        <w:r>
          <w:rPr>
            <w:noProof/>
            <w:webHidden/>
          </w:rPr>
          <w:fldChar w:fldCharType="begin"/>
        </w:r>
        <w:r>
          <w:rPr>
            <w:noProof/>
            <w:webHidden/>
          </w:rPr>
          <w:instrText xml:space="preserve"> PAGEREF _Toc211702572 \h </w:instrText>
        </w:r>
        <w:r>
          <w:rPr>
            <w:noProof/>
            <w:webHidden/>
          </w:rPr>
        </w:r>
        <w:r>
          <w:rPr>
            <w:noProof/>
            <w:webHidden/>
          </w:rPr>
          <w:fldChar w:fldCharType="separate"/>
        </w:r>
        <w:r>
          <w:rPr>
            <w:noProof/>
            <w:webHidden/>
          </w:rPr>
          <w:t>25</w:t>
        </w:r>
        <w:r>
          <w:rPr>
            <w:noProof/>
            <w:webHidden/>
          </w:rPr>
          <w:fldChar w:fldCharType="end"/>
        </w:r>
      </w:hyperlink>
    </w:p>
    <w:p w14:paraId="659068FB" w14:textId="6F901F03"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73" w:history="1">
        <w:r w:rsidRPr="005456E4">
          <w:rPr>
            <w:rStyle w:val="Hyperlnk"/>
            <w:noProof/>
          </w:rPr>
          <w:t>5.1</w:t>
        </w:r>
        <w:r>
          <w:rPr>
            <w:rFonts w:asciiTheme="minorHAnsi" w:eastAsiaTheme="minorEastAsia" w:hAnsiTheme="minorHAnsi"/>
            <w:noProof/>
            <w:kern w:val="2"/>
            <w:sz w:val="24"/>
            <w:lang w:val="sv-SE" w:eastAsia="sv-SE"/>
            <w14:ligatures w14:val="standardContextual"/>
          </w:rPr>
          <w:tab/>
        </w:r>
        <w:r w:rsidRPr="005456E4">
          <w:rPr>
            <w:rStyle w:val="Hyperlnk"/>
            <w:noProof/>
          </w:rPr>
          <w:t>Background</w:t>
        </w:r>
        <w:r>
          <w:rPr>
            <w:noProof/>
            <w:webHidden/>
          </w:rPr>
          <w:tab/>
        </w:r>
        <w:r>
          <w:rPr>
            <w:noProof/>
            <w:webHidden/>
          </w:rPr>
          <w:fldChar w:fldCharType="begin"/>
        </w:r>
        <w:r>
          <w:rPr>
            <w:noProof/>
            <w:webHidden/>
          </w:rPr>
          <w:instrText xml:space="preserve"> PAGEREF _Toc211702573 \h </w:instrText>
        </w:r>
        <w:r>
          <w:rPr>
            <w:noProof/>
            <w:webHidden/>
          </w:rPr>
        </w:r>
        <w:r>
          <w:rPr>
            <w:noProof/>
            <w:webHidden/>
          </w:rPr>
          <w:fldChar w:fldCharType="separate"/>
        </w:r>
        <w:r>
          <w:rPr>
            <w:noProof/>
            <w:webHidden/>
          </w:rPr>
          <w:t>25</w:t>
        </w:r>
        <w:r>
          <w:rPr>
            <w:noProof/>
            <w:webHidden/>
          </w:rPr>
          <w:fldChar w:fldCharType="end"/>
        </w:r>
      </w:hyperlink>
    </w:p>
    <w:p w14:paraId="7018464A" w14:textId="0D96D2BE"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74" w:history="1">
        <w:r w:rsidRPr="005456E4">
          <w:rPr>
            <w:rStyle w:val="Hyperlnk"/>
            <w:noProof/>
          </w:rPr>
          <w:t>5.2</w:t>
        </w:r>
        <w:r>
          <w:rPr>
            <w:rFonts w:asciiTheme="minorHAnsi" w:eastAsiaTheme="minorEastAsia" w:hAnsiTheme="minorHAnsi"/>
            <w:noProof/>
            <w:kern w:val="2"/>
            <w:sz w:val="24"/>
            <w:lang w:val="sv-SE" w:eastAsia="sv-SE"/>
            <w14:ligatures w14:val="standardContextual"/>
          </w:rPr>
          <w:tab/>
        </w:r>
        <w:r w:rsidRPr="005456E4">
          <w:rPr>
            <w:rStyle w:val="Hyperlnk"/>
            <w:noProof/>
          </w:rPr>
          <w:t>The TDM Exceptions in the EU Copyright Directive</w:t>
        </w:r>
        <w:r>
          <w:rPr>
            <w:noProof/>
            <w:webHidden/>
          </w:rPr>
          <w:tab/>
        </w:r>
        <w:r>
          <w:rPr>
            <w:noProof/>
            <w:webHidden/>
          </w:rPr>
          <w:fldChar w:fldCharType="begin"/>
        </w:r>
        <w:r>
          <w:rPr>
            <w:noProof/>
            <w:webHidden/>
          </w:rPr>
          <w:instrText xml:space="preserve"> PAGEREF _Toc211702574 \h </w:instrText>
        </w:r>
        <w:r>
          <w:rPr>
            <w:noProof/>
            <w:webHidden/>
          </w:rPr>
        </w:r>
        <w:r>
          <w:rPr>
            <w:noProof/>
            <w:webHidden/>
          </w:rPr>
          <w:fldChar w:fldCharType="separate"/>
        </w:r>
        <w:r>
          <w:rPr>
            <w:noProof/>
            <w:webHidden/>
          </w:rPr>
          <w:t>25</w:t>
        </w:r>
        <w:r>
          <w:rPr>
            <w:noProof/>
            <w:webHidden/>
          </w:rPr>
          <w:fldChar w:fldCharType="end"/>
        </w:r>
      </w:hyperlink>
    </w:p>
    <w:p w14:paraId="6E4D6E4E" w14:textId="470C49F1"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75" w:history="1">
        <w:r w:rsidRPr="005456E4">
          <w:rPr>
            <w:rStyle w:val="Hyperlnk"/>
            <w:noProof/>
          </w:rPr>
          <w:t>5.3</w:t>
        </w:r>
        <w:r>
          <w:rPr>
            <w:rFonts w:asciiTheme="minorHAnsi" w:eastAsiaTheme="minorEastAsia" w:hAnsiTheme="minorHAnsi"/>
            <w:noProof/>
            <w:kern w:val="2"/>
            <w:sz w:val="24"/>
            <w:lang w:val="sv-SE" w:eastAsia="sv-SE"/>
            <w14:ligatures w14:val="standardContextual"/>
          </w:rPr>
          <w:tab/>
        </w:r>
        <w:r w:rsidRPr="005456E4">
          <w:rPr>
            <w:rStyle w:val="Hyperlnk"/>
            <w:noProof/>
          </w:rPr>
          <w:t>How do the exceptions apply to AI training?</w:t>
        </w:r>
        <w:r>
          <w:rPr>
            <w:noProof/>
            <w:webHidden/>
          </w:rPr>
          <w:tab/>
        </w:r>
        <w:r>
          <w:rPr>
            <w:noProof/>
            <w:webHidden/>
          </w:rPr>
          <w:fldChar w:fldCharType="begin"/>
        </w:r>
        <w:r>
          <w:rPr>
            <w:noProof/>
            <w:webHidden/>
          </w:rPr>
          <w:instrText xml:space="preserve"> PAGEREF _Toc211702575 \h </w:instrText>
        </w:r>
        <w:r>
          <w:rPr>
            <w:noProof/>
            <w:webHidden/>
          </w:rPr>
        </w:r>
        <w:r>
          <w:rPr>
            <w:noProof/>
            <w:webHidden/>
          </w:rPr>
          <w:fldChar w:fldCharType="separate"/>
        </w:r>
        <w:r>
          <w:rPr>
            <w:noProof/>
            <w:webHidden/>
          </w:rPr>
          <w:t>26</w:t>
        </w:r>
        <w:r>
          <w:rPr>
            <w:noProof/>
            <w:webHidden/>
          </w:rPr>
          <w:fldChar w:fldCharType="end"/>
        </w:r>
      </w:hyperlink>
    </w:p>
    <w:p w14:paraId="2B8D960E" w14:textId="10C0E986"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76" w:history="1">
        <w:r w:rsidRPr="005456E4">
          <w:rPr>
            <w:rStyle w:val="Hyperlnk"/>
            <w:noProof/>
          </w:rPr>
          <w:t>5.4</w:t>
        </w:r>
        <w:r>
          <w:rPr>
            <w:rFonts w:asciiTheme="minorHAnsi" w:eastAsiaTheme="minorEastAsia" w:hAnsiTheme="minorHAnsi"/>
            <w:noProof/>
            <w:kern w:val="2"/>
            <w:sz w:val="24"/>
            <w:lang w:val="sv-SE" w:eastAsia="sv-SE"/>
            <w14:ligatures w14:val="standardContextual"/>
          </w:rPr>
          <w:tab/>
        </w:r>
        <w:r w:rsidRPr="005456E4">
          <w:rPr>
            <w:rStyle w:val="Hyperlnk"/>
            <w:noProof/>
          </w:rPr>
          <w:t>Landmark EU copyright cases</w:t>
        </w:r>
        <w:r>
          <w:rPr>
            <w:noProof/>
            <w:webHidden/>
          </w:rPr>
          <w:tab/>
        </w:r>
        <w:r>
          <w:rPr>
            <w:noProof/>
            <w:webHidden/>
          </w:rPr>
          <w:fldChar w:fldCharType="begin"/>
        </w:r>
        <w:r>
          <w:rPr>
            <w:noProof/>
            <w:webHidden/>
          </w:rPr>
          <w:instrText xml:space="preserve"> PAGEREF _Toc211702576 \h </w:instrText>
        </w:r>
        <w:r>
          <w:rPr>
            <w:noProof/>
            <w:webHidden/>
          </w:rPr>
        </w:r>
        <w:r>
          <w:rPr>
            <w:noProof/>
            <w:webHidden/>
          </w:rPr>
          <w:fldChar w:fldCharType="separate"/>
        </w:r>
        <w:r>
          <w:rPr>
            <w:noProof/>
            <w:webHidden/>
          </w:rPr>
          <w:t>27</w:t>
        </w:r>
        <w:r>
          <w:rPr>
            <w:noProof/>
            <w:webHidden/>
          </w:rPr>
          <w:fldChar w:fldCharType="end"/>
        </w:r>
      </w:hyperlink>
    </w:p>
    <w:p w14:paraId="71C26A54" w14:textId="3D753139"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77" w:history="1">
        <w:r w:rsidRPr="005456E4">
          <w:rPr>
            <w:rStyle w:val="Hyperlnk"/>
            <w:noProof/>
          </w:rPr>
          <w:t>5.5</w:t>
        </w:r>
        <w:r>
          <w:rPr>
            <w:rFonts w:asciiTheme="minorHAnsi" w:eastAsiaTheme="minorEastAsia" w:hAnsiTheme="minorHAnsi"/>
            <w:noProof/>
            <w:kern w:val="2"/>
            <w:sz w:val="24"/>
            <w:lang w:val="sv-SE" w:eastAsia="sv-SE"/>
            <w14:ligatures w14:val="standardContextual"/>
          </w:rPr>
          <w:tab/>
        </w:r>
        <w:r w:rsidRPr="005456E4">
          <w:rPr>
            <w:rStyle w:val="Hyperlnk"/>
            <w:noProof/>
          </w:rPr>
          <w:t>Critique of the TDM Protections</w:t>
        </w:r>
        <w:r>
          <w:rPr>
            <w:noProof/>
            <w:webHidden/>
          </w:rPr>
          <w:tab/>
        </w:r>
        <w:r>
          <w:rPr>
            <w:noProof/>
            <w:webHidden/>
          </w:rPr>
          <w:fldChar w:fldCharType="begin"/>
        </w:r>
        <w:r>
          <w:rPr>
            <w:noProof/>
            <w:webHidden/>
          </w:rPr>
          <w:instrText xml:space="preserve"> PAGEREF _Toc211702577 \h </w:instrText>
        </w:r>
        <w:r>
          <w:rPr>
            <w:noProof/>
            <w:webHidden/>
          </w:rPr>
        </w:r>
        <w:r>
          <w:rPr>
            <w:noProof/>
            <w:webHidden/>
          </w:rPr>
          <w:fldChar w:fldCharType="separate"/>
        </w:r>
        <w:r>
          <w:rPr>
            <w:noProof/>
            <w:webHidden/>
          </w:rPr>
          <w:t>28</w:t>
        </w:r>
        <w:r>
          <w:rPr>
            <w:noProof/>
            <w:webHidden/>
          </w:rPr>
          <w:fldChar w:fldCharType="end"/>
        </w:r>
      </w:hyperlink>
    </w:p>
    <w:p w14:paraId="4A761126" w14:textId="71EA30CF"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78" w:history="1">
        <w:r w:rsidRPr="005456E4">
          <w:rPr>
            <w:rStyle w:val="Hyperlnk"/>
            <w:noProof/>
          </w:rPr>
          <w:t>5.6</w:t>
        </w:r>
        <w:r>
          <w:rPr>
            <w:rFonts w:asciiTheme="minorHAnsi" w:eastAsiaTheme="minorEastAsia" w:hAnsiTheme="minorHAnsi"/>
            <w:noProof/>
            <w:kern w:val="2"/>
            <w:sz w:val="24"/>
            <w:lang w:val="sv-SE" w:eastAsia="sv-SE"/>
            <w14:ligatures w14:val="standardContextual"/>
          </w:rPr>
          <w:tab/>
        </w:r>
        <w:r w:rsidRPr="005456E4">
          <w:rPr>
            <w:rStyle w:val="Hyperlnk"/>
            <w:noProof/>
          </w:rPr>
          <w:t>Summary and conclusions</w:t>
        </w:r>
        <w:r>
          <w:rPr>
            <w:noProof/>
            <w:webHidden/>
          </w:rPr>
          <w:tab/>
        </w:r>
        <w:r>
          <w:rPr>
            <w:noProof/>
            <w:webHidden/>
          </w:rPr>
          <w:fldChar w:fldCharType="begin"/>
        </w:r>
        <w:r>
          <w:rPr>
            <w:noProof/>
            <w:webHidden/>
          </w:rPr>
          <w:instrText xml:space="preserve"> PAGEREF _Toc211702578 \h </w:instrText>
        </w:r>
        <w:r>
          <w:rPr>
            <w:noProof/>
            <w:webHidden/>
          </w:rPr>
        </w:r>
        <w:r>
          <w:rPr>
            <w:noProof/>
            <w:webHidden/>
          </w:rPr>
          <w:fldChar w:fldCharType="separate"/>
        </w:r>
        <w:r>
          <w:rPr>
            <w:noProof/>
            <w:webHidden/>
          </w:rPr>
          <w:t>29</w:t>
        </w:r>
        <w:r>
          <w:rPr>
            <w:noProof/>
            <w:webHidden/>
          </w:rPr>
          <w:fldChar w:fldCharType="end"/>
        </w:r>
      </w:hyperlink>
    </w:p>
    <w:p w14:paraId="2E7CC994" w14:textId="25452EEA" w:rsidR="00207524" w:rsidRDefault="00207524">
      <w:pPr>
        <w:pStyle w:val="Innehll1"/>
        <w:rPr>
          <w:rFonts w:asciiTheme="minorHAnsi" w:eastAsiaTheme="minorEastAsia" w:hAnsiTheme="minorHAnsi"/>
          <w:b w:val="0"/>
          <w:noProof/>
          <w:kern w:val="2"/>
          <w:sz w:val="24"/>
          <w:lang w:val="sv-SE" w:eastAsia="sv-SE"/>
          <w14:ligatures w14:val="standardContextual"/>
        </w:rPr>
      </w:pPr>
      <w:hyperlink w:anchor="_Toc211702579" w:history="1">
        <w:r w:rsidRPr="005456E4">
          <w:rPr>
            <w:rStyle w:val="Hyperlnk"/>
            <w:noProof/>
          </w:rPr>
          <w:t>6</w:t>
        </w:r>
        <w:r>
          <w:rPr>
            <w:rFonts w:asciiTheme="minorHAnsi" w:eastAsiaTheme="minorEastAsia" w:hAnsiTheme="minorHAnsi"/>
            <w:b w:val="0"/>
            <w:noProof/>
            <w:kern w:val="2"/>
            <w:sz w:val="24"/>
            <w:lang w:val="sv-SE" w:eastAsia="sv-SE"/>
            <w14:ligatures w14:val="standardContextual"/>
          </w:rPr>
          <w:tab/>
        </w:r>
        <w:r w:rsidRPr="005456E4">
          <w:rPr>
            <w:rStyle w:val="Hyperlnk"/>
            <w:noProof/>
            <w:shd w:val="clear" w:color="auto" w:fill="FFFFFF"/>
          </w:rPr>
          <w:t>Towards Fair Attribution and Compensation: Ethical Insights and Legal Proposals</w:t>
        </w:r>
        <w:r>
          <w:rPr>
            <w:noProof/>
            <w:webHidden/>
          </w:rPr>
          <w:tab/>
        </w:r>
        <w:r>
          <w:rPr>
            <w:noProof/>
            <w:webHidden/>
          </w:rPr>
          <w:fldChar w:fldCharType="begin"/>
        </w:r>
        <w:r>
          <w:rPr>
            <w:noProof/>
            <w:webHidden/>
          </w:rPr>
          <w:instrText xml:space="preserve"> PAGEREF _Toc211702579 \h </w:instrText>
        </w:r>
        <w:r>
          <w:rPr>
            <w:noProof/>
            <w:webHidden/>
          </w:rPr>
        </w:r>
        <w:r>
          <w:rPr>
            <w:noProof/>
            <w:webHidden/>
          </w:rPr>
          <w:fldChar w:fldCharType="separate"/>
        </w:r>
        <w:r>
          <w:rPr>
            <w:noProof/>
            <w:webHidden/>
          </w:rPr>
          <w:t>31</w:t>
        </w:r>
        <w:r>
          <w:rPr>
            <w:noProof/>
            <w:webHidden/>
          </w:rPr>
          <w:fldChar w:fldCharType="end"/>
        </w:r>
      </w:hyperlink>
    </w:p>
    <w:p w14:paraId="044E0664" w14:textId="3CCA0259"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80" w:history="1">
        <w:r w:rsidRPr="005456E4">
          <w:rPr>
            <w:rStyle w:val="Hyperlnk"/>
            <w:noProof/>
          </w:rPr>
          <w:t>6.1</w:t>
        </w:r>
        <w:r>
          <w:rPr>
            <w:rFonts w:asciiTheme="minorHAnsi" w:eastAsiaTheme="minorEastAsia" w:hAnsiTheme="minorHAnsi"/>
            <w:noProof/>
            <w:kern w:val="2"/>
            <w:sz w:val="24"/>
            <w:lang w:val="sv-SE" w:eastAsia="sv-SE"/>
            <w14:ligatures w14:val="standardContextual"/>
          </w:rPr>
          <w:tab/>
        </w:r>
        <w:r w:rsidRPr="005456E4">
          <w:rPr>
            <w:rStyle w:val="Hyperlnk"/>
            <w:noProof/>
          </w:rPr>
          <w:t>Regardless of the law, is it just to use other people`s work?</w:t>
        </w:r>
        <w:r>
          <w:rPr>
            <w:noProof/>
            <w:webHidden/>
          </w:rPr>
          <w:tab/>
        </w:r>
        <w:r>
          <w:rPr>
            <w:noProof/>
            <w:webHidden/>
          </w:rPr>
          <w:fldChar w:fldCharType="begin"/>
        </w:r>
        <w:r>
          <w:rPr>
            <w:noProof/>
            <w:webHidden/>
          </w:rPr>
          <w:instrText xml:space="preserve"> PAGEREF _Toc211702580 \h </w:instrText>
        </w:r>
        <w:r>
          <w:rPr>
            <w:noProof/>
            <w:webHidden/>
          </w:rPr>
        </w:r>
        <w:r>
          <w:rPr>
            <w:noProof/>
            <w:webHidden/>
          </w:rPr>
          <w:fldChar w:fldCharType="separate"/>
        </w:r>
        <w:r>
          <w:rPr>
            <w:noProof/>
            <w:webHidden/>
          </w:rPr>
          <w:t>31</w:t>
        </w:r>
        <w:r>
          <w:rPr>
            <w:noProof/>
            <w:webHidden/>
          </w:rPr>
          <w:fldChar w:fldCharType="end"/>
        </w:r>
      </w:hyperlink>
    </w:p>
    <w:p w14:paraId="4057D2B7" w14:textId="2F5FB31A"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81" w:history="1">
        <w:r w:rsidRPr="005456E4">
          <w:rPr>
            <w:rStyle w:val="Hyperlnk"/>
            <w:noProof/>
          </w:rPr>
          <w:t>6.2</w:t>
        </w:r>
        <w:r>
          <w:rPr>
            <w:rFonts w:asciiTheme="minorHAnsi" w:eastAsiaTheme="minorEastAsia" w:hAnsiTheme="minorHAnsi"/>
            <w:noProof/>
            <w:kern w:val="2"/>
            <w:sz w:val="24"/>
            <w:lang w:val="sv-SE" w:eastAsia="sv-SE"/>
            <w14:ligatures w14:val="standardContextual"/>
          </w:rPr>
          <w:tab/>
        </w:r>
        <w:r w:rsidRPr="005456E4">
          <w:rPr>
            <w:rStyle w:val="Hyperlnk"/>
            <w:noProof/>
          </w:rPr>
          <w:t>Should creators be compensated when their work is used in generative AI?</w:t>
        </w:r>
        <w:r>
          <w:rPr>
            <w:noProof/>
            <w:webHidden/>
          </w:rPr>
          <w:tab/>
        </w:r>
        <w:r>
          <w:rPr>
            <w:noProof/>
            <w:webHidden/>
          </w:rPr>
          <w:fldChar w:fldCharType="begin"/>
        </w:r>
        <w:r>
          <w:rPr>
            <w:noProof/>
            <w:webHidden/>
          </w:rPr>
          <w:instrText xml:space="preserve"> PAGEREF _Toc211702581 \h </w:instrText>
        </w:r>
        <w:r>
          <w:rPr>
            <w:noProof/>
            <w:webHidden/>
          </w:rPr>
        </w:r>
        <w:r>
          <w:rPr>
            <w:noProof/>
            <w:webHidden/>
          </w:rPr>
          <w:fldChar w:fldCharType="separate"/>
        </w:r>
        <w:r>
          <w:rPr>
            <w:noProof/>
            <w:webHidden/>
          </w:rPr>
          <w:t>31</w:t>
        </w:r>
        <w:r>
          <w:rPr>
            <w:noProof/>
            <w:webHidden/>
          </w:rPr>
          <w:fldChar w:fldCharType="end"/>
        </w:r>
      </w:hyperlink>
    </w:p>
    <w:p w14:paraId="043B8CA7" w14:textId="5164A09D"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82" w:history="1">
        <w:r w:rsidRPr="005456E4">
          <w:rPr>
            <w:rStyle w:val="Hyperlnk"/>
            <w:noProof/>
          </w:rPr>
          <w:t>6.3</w:t>
        </w:r>
        <w:r>
          <w:rPr>
            <w:rFonts w:asciiTheme="minorHAnsi" w:eastAsiaTheme="minorEastAsia" w:hAnsiTheme="minorHAnsi"/>
            <w:noProof/>
            <w:kern w:val="2"/>
            <w:sz w:val="24"/>
            <w:lang w:val="sv-SE" w:eastAsia="sv-SE"/>
            <w14:ligatures w14:val="standardContextual"/>
          </w:rPr>
          <w:tab/>
        </w:r>
        <w:r w:rsidRPr="005456E4">
          <w:rPr>
            <w:rStyle w:val="Hyperlnk"/>
            <w:noProof/>
          </w:rPr>
          <w:t>The Role of the EU AI Act in Shaping Future Copyright</w:t>
        </w:r>
        <w:r>
          <w:rPr>
            <w:noProof/>
            <w:webHidden/>
          </w:rPr>
          <w:tab/>
        </w:r>
        <w:r>
          <w:rPr>
            <w:noProof/>
            <w:webHidden/>
          </w:rPr>
          <w:fldChar w:fldCharType="begin"/>
        </w:r>
        <w:r>
          <w:rPr>
            <w:noProof/>
            <w:webHidden/>
          </w:rPr>
          <w:instrText xml:space="preserve"> PAGEREF _Toc211702582 \h </w:instrText>
        </w:r>
        <w:r>
          <w:rPr>
            <w:noProof/>
            <w:webHidden/>
          </w:rPr>
        </w:r>
        <w:r>
          <w:rPr>
            <w:noProof/>
            <w:webHidden/>
          </w:rPr>
          <w:fldChar w:fldCharType="separate"/>
        </w:r>
        <w:r>
          <w:rPr>
            <w:noProof/>
            <w:webHidden/>
          </w:rPr>
          <w:t>33</w:t>
        </w:r>
        <w:r>
          <w:rPr>
            <w:noProof/>
            <w:webHidden/>
          </w:rPr>
          <w:fldChar w:fldCharType="end"/>
        </w:r>
      </w:hyperlink>
    </w:p>
    <w:p w14:paraId="7B8F91CB" w14:textId="73675946" w:rsidR="00207524" w:rsidRDefault="00207524">
      <w:pPr>
        <w:pStyle w:val="Innehll2"/>
        <w:tabs>
          <w:tab w:val="left" w:pos="1361"/>
          <w:tab w:val="right" w:leader="dot" w:pos="7360"/>
        </w:tabs>
        <w:rPr>
          <w:rFonts w:asciiTheme="minorHAnsi" w:eastAsiaTheme="minorEastAsia" w:hAnsiTheme="minorHAnsi"/>
          <w:noProof/>
          <w:kern w:val="2"/>
          <w:sz w:val="24"/>
          <w:lang w:val="sv-SE" w:eastAsia="sv-SE"/>
          <w14:ligatures w14:val="standardContextual"/>
        </w:rPr>
      </w:pPr>
      <w:hyperlink w:anchor="_Toc211702583" w:history="1">
        <w:r w:rsidRPr="005456E4">
          <w:rPr>
            <w:rStyle w:val="Hyperlnk"/>
            <w:noProof/>
          </w:rPr>
          <w:t>6.4</w:t>
        </w:r>
        <w:r>
          <w:rPr>
            <w:rFonts w:asciiTheme="minorHAnsi" w:eastAsiaTheme="minorEastAsia" w:hAnsiTheme="minorHAnsi"/>
            <w:noProof/>
            <w:kern w:val="2"/>
            <w:sz w:val="24"/>
            <w:lang w:val="sv-SE" w:eastAsia="sv-SE"/>
            <w14:ligatures w14:val="standardContextual"/>
          </w:rPr>
          <w:tab/>
        </w:r>
        <w:r w:rsidRPr="005456E4">
          <w:rPr>
            <w:rStyle w:val="Hyperlnk"/>
            <w:noProof/>
          </w:rPr>
          <w:t>Suggested Changes to EU Law</w:t>
        </w:r>
        <w:r>
          <w:rPr>
            <w:noProof/>
            <w:webHidden/>
          </w:rPr>
          <w:tab/>
        </w:r>
        <w:r>
          <w:rPr>
            <w:noProof/>
            <w:webHidden/>
          </w:rPr>
          <w:fldChar w:fldCharType="begin"/>
        </w:r>
        <w:r>
          <w:rPr>
            <w:noProof/>
            <w:webHidden/>
          </w:rPr>
          <w:instrText xml:space="preserve"> PAGEREF _Toc211702583 \h </w:instrText>
        </w:r>
        <w:r>
          <w:rPr>
            <w:noProof/>
            <w:webHidden/>
          </w:rPr>
        </w:r>
        <w:r>
          <w:rPr>
            <w:noProof/>
            <w:webHidden/>
          </w:rPr>
          <w:fldChar w:fldCharType="separate"/>
        </w:r>
        <w:r>
          <w:rPr>
            <w:noProof/>
            <w:webHidden/>
          </w:rPr>
          <w:t>34</w:t>
        </w:r>
        <w:r>
          <w:rPr>
            <w:noProof/>
            <w:webHidden/>
          </w:rPr>
          <w:fldChar w:fldCharType="end"/>
        </w:r>
      </w:hyperlink>
    </w:p>
    <w:p w14:paraId="4DD9229D" w14:textId="3B01F178" w:rsidR="00207524" w:rsidRDefault="00207524">
      <w:pPr>
        <w:pStyle w:val="Innehll1"/>
        <w:rPr>
          <w:rFonts w:asciiTheme="minorHAnsi" w:eastAsiaTheme="minorEastAsia" w:hAnsiTheme="minorHAnsi"/>
          <w:b w:val="0"/>
          <w:noProof/>
          <w:kern w:val="2"/>
          <w:sz w:val="24"/>
          <w:lang w:val="sv-SE" w:eastAsia="sv-SE"/>
          <w14:ligatures w14:val="standardContextual"/>
        </w:rPr>
      </w:pPr>
      <w:hyperlink w:anchor="_Toc211702584" w:history="1">
        <w:r w:rsidRPr="005456E4">
          <w:rPr>
            <w:rStyle w:val="Hyperlnk"/>
            <w:noProof/>
          </w:rPr>
          <w:t>7</w:t>
        </w:r>
        <w:r>
          <w:rPr>
            <w:rFonts w:asciiTheme="minorHAnsi" w:eastAsiaTheme="minorEastAsia" w:hAnsiTheme="minorHAnsi"/>
            <w:b w:val="0"/>
            <w:noProof/>
            <w:kern w:val="2"/>
            <w:sz w:val="24"/>
            <w:lang w:val="sv-SE" w:eastAsia="sv-SE"/>
            <w14:ligatures w14:val="standardContextual"/>
          </w:rPr>
          <w:tab/>
        </w:r>
        <w:r w:rsidRPr="005456E4">
          <w:rPr>
            <w:rStyle w:val="Hyperlnk"/>
            <w:noProof/>
          </w:rPr>
          <w:t>Conclusion</w:t>
        </w:r>
        <w:r>
          <w:rPr>
            <w:noProof/>
            <w:webHidden/>
          </w:rPr>
          <w:tab/>
        </w:r>
        <w:r>
          <w:rPr>
            <w:noProof/>
            <w:webHidden/>
          </w:rPr>
          <w:fldChar w:fldCharType="begin"/>
        </w:r>
        <w:r>
          <w:rPr>
            <w:noProof/>
            <w:webHidden/>
          </w:rPr>
          <w:instrText xml:space="preserve"> PAGEREF _Toc211702584 \h </w:instrText>
        </w:r>
        <w:r>
          <w:rPr>
            <w:noProof/>
            <w:webHidden/>
          </w:rPr>
        </w:r>
        <w:r>
          <w:rPr>
            <w:noProof/>
            <w:webHidden/>
          </w:rPr>
          <w:fldChar w:fldCharType="separate"/>
        </w:r>
        <w:r>
          <w:rPr>
            <w:noProof/>
            <w:webHidden/>
          </w:rPr>
          <w:t>37</w:t>
        </w:r>
        <w:r>
          <w:rPr>
            <w:noProof/>
            <w:webHidden/>
          </w:rPr>
          <w:fldChar w:fldCharType="end"/>
        </w:r>
      </w:hyperlink>
    </w:p>
    <w:p w14:paraId="1E11C345" w14:textId="1B482F2A" w:rsidR="00207524" w:rsidRDefault="00207524">
      <w:pPr>
        <w:pStyle w:val="Innehll1"/>
        <w:rPr>
          <w:rFonts w:asciiTheme="minorHAnsi" w:eastAsiaTheme="minorEastAsia" w:hAnsiTheme="minorHAnsi"/>
          <w:b w:val="0"/>
          <w:noProof/>
          <w:kern w:val="2"/>
          <w:sz w:val="24"/>
          <w:lang w:val="sv-SE" w:eastAsia="sv-SE"/>
          <w14:ligatures w14:val="standardContextual"/>
        </w:rPr>
      </w:pPr>
      <w:hyperlink w:anchor="_Toc211702585" w:history="1">
        <w:r w:rsidRPr="005456E4">
          <w:rPr>
            <w:rStyle w:val="Hyperlnk"/>
            <w:noProof/>
          </w:rPr>
          <w:t>References</w:t>
        </w:r>
        <w:r>
          <w:rPr>
            <w:noProof/>
            <w:webHidden/>
          </w:rPr>
          <w:tab/>
        </w:r>
        <w:r>
          <w:rPr>
            <w:noProof/>
            <w:webHidden/>
          </w:rPr>
          <w:fldChar w:fldCharType="begin"/>
        </w:r>
        <w:r>
          <w:rPr>
            <w:noProof/>
            <w:webHidden/>
          </w:rPr>
          <w:instrText xml:space="preserve"> PAGEREF _Toc211702585 \h </w:instrText>
        </w:r>
        <w:r>
          <w:rPr>
            <w:noProof/>
            <w:webHidden/>
          </w:rPr>
        </w:r>
        <w:r>
          <w:rPr>
            <w:noProof/>
            <w:webHidden/>
          </w:rPr>
          <w:fldChar w:fldCharType="separate"/>
        </w:r>
        <w:r>
          <w:rPr>
            <w:noProof/>
            <w:webHidden/>
          </w:rPr>
          <w:t>39</w:t>
        </w:r>
        <w:r>
          <w:rPr>
            <w:noProof/>
            <w:webHidden/>
          </w:rPr>
          <w:fldChar w:fldCharType="end"/>
        </w:r>
      </w:hyperlink>
    </w:p>
    <w:p w14:paraId="7C1BBA21" w14:textId="2A7CE690" w:rsidR="00D50B26" w:rsidRDefault="00BC37DB" w:rsidP="00D50B26">
      <w:pPr>
        <w:pStyle w:val="HARNormal"/>
      </w:pPr>
      <w:r>
        <w:fldChar w:fldCharType="end"/>
      </w:r>
    </w:p>
    <w:p w14:paraId="1E65B1FC" w14:textId="77777777" w:rsidR="00D50B26" w:rsidRDefault="00D50B26" w:rsidP="00D50B26">
      <w:pPr>
        <w:pStyle w:val="HARNormal"/>
        <w:sectPr w:rsidR="00D50B26" w:rsidSect="00825BC5">
          <w:footerReference w:type="default" r:id="rId10"/>
          <w:pgSz w:w="11906" w:h="16838"/>
          <w:pgMar w:top="1418" w:right="2268" w:bottom="1418" w:left="2268" w:header="709" w:footer="709" w:gutter="0"/>
          <w:cols w:space="708"/>
          <w:docGrid w:linePitch="360"/>
        </w:sectPr>
      </w:pPr>
    </w:p>
    <w:p w14:paraId="5C93F798" w14:textId="16A9FB3B" w:rsidR="00061684" w:rsidRPr="008A7EB6" w:rsidRDefault="004645F6" w:rsidP="002015DC">
      <w:pPr>
        <w:pStyle w:val="HARHeading"/>
      </w:pPr>
      <w:bookmarkStart w:id="0" w:name="_Toc161573869"/>
      <w:bookmarkStart w:id="1" w:name="_Toc211702547"/>
      <w:r w:rsidRPr="008A7EB6">
        <w:lastRenderedPageBreak/>
        <w:t>Abstract</w:t>
      </w:r>
      <w:bookmarkEnd w:id="0"/>
      <w:bookmarkEnd w:id="1"/>
    </w:p>
    <w:p w14:paraId="3EAD365C" w14:textId="119533F6" w:rsidR="004645F6" w:rsidRPr="00ED3008" w:rsidRDefault="00207EF4" w:rsidP="00ED3008">
      <w:pPr>
        <w:pStyle w:val="HARBodytext"/>
      </w:pPr>
      <w:r>
        <w:t xml:space="preserve">This thesis investigates the legal and ethical implications of generative artificial intelligence (AI) within the European Union copyright framework, with a particular focus on text and data mining (TDM) practices. It explores how AI systems are trained using vast datasets - often scraped from online content - raising concerns around authorship, consent, and the preservation of attribution. The study critically examines the EU Copyright Directive 2019/790 and its TDM exceptions under Articles 3 and 4, assessing their adequacy in regulating AI development. Through doctrinal analysis and academic commentary, it identifies significant gaps in current legislation, particularly around data provenance and the enforceability of moral rights such as attribution and integrity. The thesis further evaluates the feasibility of applying existing copyright doctrines to machine-generated content and reviews proposals advocating for enhanced transparency and governance. Special attention is given to the emerging EU AI Act (2024) copyright law. </w:t>
      </w:r>
      <w:r w:rsidR="00FA4344">
        <w:t xml:space="preserve">The Act primarily focuses on the input and training stage of generative AI. </w:t>
      </w:r>
      <w:r>
        <w:t>Ultimately, the research advocates for a harmonised legal framework that balances innovation with the rights of human creators, suggesting that attribution and licensing must be embedded into the technical and legal architecture of AI development.</w:t>
      </w:r>
    </w:p>
    <w:p w14:paraId="160B4E9A" w14:textId="2915ED54" w:rsidR="004645F6" w:rsidRPr="008A7EB6" w:rsidRDefault="004645F6" w:rsidP="004F2F8B">
      <w:pPr>
        <w:pStyle w:val="HARBodytext"/>
      </w:pPr>
      <w:r w:rsidRPr="008A7EB6">
        <w:rPr>
          <w:b/>
          <w:bCs/>
        </w:rPr>
        <w:t>Keywords</w:t>
      </w:r>
      <w:r w:rsidRPr="008A7EB6">
        <w:t xml:space="preserve">: </w:t>
      </w:r>
      <w:r w:rsidR="00050151">
        <w:t xml:space="preserve">Generative-AI, Copyright, </w:t>
      </w:r>
      <w:r w:rsidR="009E522E">
        <w:t xml:space="preserve">TDM Exceptions, </w:t>
      </w:r>
      <w:r w:rsidR="00207EF4">
        <w:t>Moral Rights, Database Rights, Reform</w:t>
      </w:r>
    </w:p>
    <w:p w14:paraId="5578BCC4" w14:textId="77777777" w:rsidR="009337FB" w:rsidRPr="008A7EB6" w:rsidRDefault="009337FB" w:rsidP="00F621FC">
      <w:pPr>
        <w:pStyle w:val="HARNote"/>
        <w:sectPr w:rsidR="009337FB" w:rsidRPr="008A7EB6" w:rsidSect="00825BC5">
          <w:pgSz w:w="11906" w:h="16838"/>
          <w:pgMar w:top="1418" w:right="2268" w:bottom="1418" w:left="2268" w:header="709" w:footer="709" w:gutter="0"/>
          <w:cols w:space="708"/>
          <w:docGrid w:linePitch="360"/>
        </w:sectPr>
      </w:pPr>
    </w:p>
    <w:p w14:paraId="6B54BFC9" w14:textId="21F58770" w:rsidR="001F6309" w:rsidRPr="008A7EB6" w:rsidRDefault="00BA1B1C" w:rsidP="009337FB">
      <w:pPr>
        <w:pStyle w:val="HARHeading"/>
      </w:pPr>
      <w:bookmarkStart w:id="2" w:name="_Toc161573870"/>
      <w:bookmarkStart w:id="3" w:name="_Toc211702548"/>
      <w:r w:rsidRPr="008A7EB6">
        <w:lastRenderedPageBreak/>
        <w:t>Abbreviations</w:t>
      </w:r>
      <w:bookmarkEnd w:id="2"/>
      <w:bookmarkEnd w:id="3"/>
    </w:p>
    <w:p w14:paraId="21414F3E" w14:textId="39CD54D4" w:rsidR="00332072" w:rsidRPr="002F5878" w:rsidRDefault="00332072" w:rsidP="00A6113B">
      <w:pPr>
        <w:pStyle w:val="HARAbbreviations"/>
        <w:rPr>
          <w:lang w:val="en-IE" w:eastAsia="en-GB"/>
        </w:rPr>
      </w:pPr>
      <w:r w:rsidRPr="002F5878">
        <w:rPr>
          <w:lang w:val="en-IE" w:eastAsia="en-GB"/>
        </w:rPr>
        <w:t>AI</w:t>
      </w:r>
      <w:r w:rsidR="00273A86">
        <w:rPr>
          <w:lang w:val="en-IE" w:eastAsia="en-GB"/>
        </w:rPr>
        <w:tab/>
      </w:r>
      <w:r w:rsidRPr="002F5878">
        <w:rPr>
          <w:lang w:val="en-IE" w:eastAsia="en-GB"/>
        </w:rPr>
        <w:t>Artificial Intelligence</w:t>
      </w:r>
    </w:p>
    <w:p w14:paraId="6189B737" w14:textId="3DCE3C96" w:rsidR="00332072" w:rsidRPr="002F5878" w:rsidRDefault="00332072" w:rsidP="00A6113B">
      <w:pPr>
        <w:pStyle w:val="HARAbbreviations"/>
        <w:rPr>
          <w:lang w:val="en-IE" w:eastAsia="en-GB"/>
        </w:rPr>
      </w:pPr>
      <w:r w:rsidRPr="002F5878">
        <w:rPr>
          <w:lang w:val="en-IE" w:eastAsia="en-GB"/>
        </w:rPr>
        <w:t>TDM</w:t>
      </w:r>
      <w:r w:rsidR="00273A86">
        <w:rPr>
          <w:lang w:val="en-IE" w:eastAsia="en-GB"/>
        </w:rPr>
        <w:tab/>
      </w:r>
      <w:r w:rsidRPr="002F5878">
        <w:rPr>
          <w:lang w:val="en-IE" w:eastAsia="en-GB"/>
        </w:rPr>
        <w:t>Text and Data Mining</w:t>
      </w:r>
    </w:p>
    <w:p w14:paraId="178CB936" w14:textId="6DCB8D63" w:rsidR="00C64253" w:rsidRPr="002F5878" w:rsidRDefault="00332072" w:rsidP="00A6113B">
      <w:pPr>
        <w:pStyle w:val="HARAbbreviations"/>
        <w:rPr>
          <w:lang w:val="en-IE" w:eastAsia="en-GB"/>
        </w:rPr>
      </w:pPr>
      <w:r w:rsidRPr="002F5878">
        <w:rPr>
          <w:lang w:val="en-IE" w:eastAsia="en-GB"/>
        </w:rPr>
        <w:t>CJEU</w:t>
      </w:r>
      <w:r w:rsidR="00273A86">
        <w:rPr>
          <w:lang w:val="en-IE" w:eastAsia="en-GB"/>
        </w:rPr>
        <w:tab/>
      </w:r>
      <w:r w:rsidRPr="002F5878">
        <w:rPr>
          <w:lang w:val="en-IE" w:eastAsia="en-GB"/>
        </w:rPr>
        <w:t>Court of Justice of the European Union</w:t>
      </w:r>
    </w:p>
    <w:p w14:paraId="6271DACC" w14:textId="7379A3D2" w:rsidR="00332072" w:rsidRPr="002F5878" w:rsidRDefault="00332072" w:rsidP="00A6113B">
      <w:pPr>
        <w:pStyle w:val="HARAbbreviations"/>
        <w:rPr>
          <w:lang w:val="en-IE" w:eastAsia="en-GB"/>
        </w:rPr>
      </w:pPr>
      <w:r w:rsidRPr="002F5878">
        <w:rPr>
          <w:lang w:val="en-IE" w:eastAsia="en-GB"/>
        </w:rPr>
        <w:t>EU</w:t>
      </w:r>
      <w:r w:rsidR="00273A86">
        <w:rPr>
          <w:lang w:val="en-IE" w:eastAsia="en-GB"/>
        </w:rPr>
        <w:tab/>
      </w:r>
      <w:r w:rsidRPr="002F5878">
        <w:rPr>
          <w:lang w:val="en-IE" w:eastAsia="en-GB"/>
        </w:rPr>
        <w:t>European Union</w:t>
      </w:r>
    </w:p>
    <w:p w14:paraId="44E3B16E" w14:textId="00C54564" w:rsidR="00332072" w:rsidRPr="002F5878" w:rsidRDefault="00332072" w:rsidP="00A6113B">
      <w:pPr>
        <w:pStyle w:val="HARAbbreviations"/>
        <w:rPr>
          <w:lang w:val="en-IE" w:eastAsia="en-GB"/>
        </w:rPr>
      </w:pPr>
      <w:r w:rsidRPr="002F5878">
        <w:rPr>
          <w:lang w:val="en-IE" w:eastAsia="en-GB"/>
        </w:rPr>
        <w:t>DSM</w:t>
      </w:r>
      <w:r w:rsidR="00273A86">
        <w:rPr>
          <w:lang w:val="en-IE" w:eastAsia="en-GB"/>
        </w:rPr>
        <w:tab/>
      </w:r>
      <w:r w:rsidRPr="002F5878">
        <w:rPr>
          <w:lang w:val="en-IE" w:eastAsia="en-GB"/>
        </w:rPr>
        <w:t>Digital Single Market</w:t>
      </w:r>
    </w:p>
    <w:p w14:paraId="6E1AA352" w14:textId="28568C29" w:rsidR="00332072" w:rsidRPr="002F5878" w:rsidRDefault="00332072" w:rsidP="00A6113B">
      <w:pPr>
        <w:pStyle w:val="HARAbbreviations"/>
        <w:rPr>
          <w:lang w:val="en-IE" w:eastAsia="en-GB"/>
        </w:rPr>
      </w:pPr>
      <w:r w:rsidRPr="002F5878">
        <w:rPr>
          <w:lang w:val="en-IE" w:eastAsia="en-GB"/>
        </w:rPr>
        <w:t>IP</w:t>
      </w:r>
      <w:r w:rsidR="00273A86">
        <w:rPr>
          <w:lang w:val="en-IE" w:eastAsia="en-GB"/>
        </w:rPr>
        <w:tab/>
      </w:r>
      <w:r w:rsidRPr="002F5878">
        <w:rPr>
          <w:lang w:val="en-IE" w:eastAsia="en-GB"/>
        </w:rPr>
        <w:t>Intellectual Property</w:t>
      </w:r>
    </w:p>
    <w:p w14:paraId="6ECF9E23" w14:textId="73FC5D32" w:rsidR="00332072" w:rsidRPr="002F5878" w:rsidRDefault="00332072" w:rsidP="00A6113B">
      <w:pPr>
        <w:pStyle w:val="HARAbbreviations"/>
        <w:rPr>
          <w:lang w:val="en-IE" w:eastAsia="en-GB"/>
        </w:rPr>
      </w:pPr>
      <w:r w:rsidRPr="002F5878">
        <w:rPr>
          <w:lang w:val="en-IE" w:eastAsia="en-GB"/>
        </w:rPr>
        <w:t>GPT</w:t>
      </w:r>
      <w:r w:rsidR="00273A86">
        <w:rPr>
          <w:lang w:val="en-IE" w:eastAsia="en-GB"/>
        </w:rPr>
        <w:tab/>
      </w:r>
      <w:r w:rsidRPr="002F5878">
        <w:rPr>
          <w:lang w:val="en-IE" w:eastAsia="en-GB"/>
        </w:rPr>
        <w:t>Generative Pre-trained Transformer</w:t>
      </w:r>
    </w:p>
    <w:p w14:paraId="50600089" w14:textId="642BFD88" w:rsidR="00332072" w:rsidRPr="002F5878" w:rsidRDefault="00332072" w:rsidP="00A6113B">
      <w:pPr>
        <w:pStyle w:val="HARAbbreviations"/>
        <w:rPr>
          <w:lang w:val="en-IE" w:eastAsia="en-GB"/>
        </w:rPr>
      </w:pPr>
      <w:r w:rsidRPr="002F5878">
        <w:rPr>
          <w:lang w:val="en-IE" w:eastAsia="en-GB"/>
        </w:rPr>
        <w:t>ML</w:t>
      </w:r>
      <w:r w:rsidR="00273A86">
        <w:rPr>
          <w:lang w:val="en-IE" w:eastAsia="en-GB"/>
        </w:rPr>
        <w:tab/>
      </w:r>
      <w:r w:rsidRPr="002F5878">
        <w:rPr>
          <w:lang w:val="en-IE" w:eastAsia="en-GB"/>
        </w:rPr>
        <w:t>Machine Learning</w:t>
      </w:r>
    </w:p>
    <w:p w14:paraId="0E015D57" w14:textId="496E8207" w:rsidR="00332072" w:rsidRPr="00332072" w:rsidRDefault="00332072" w:rsidP="00A6113B">
      <w:pPr>
        <w:pStyle w:val="HARAbbreviations"/>
        <w:rPr>
          <w:lang w:val="en-IE" w:eastAsia="en-GB"/>
        </w:rPr>
      </w:pPr>
      <w:r w:rsidRPr="002F5878">
        <w:rPr>
          <w:lang w:val="en-IE" w:eastAsia="en-GB"/>
        </w:rPr>
        <w:t>LAION</w:t>
      </w:r>
      <w:r w:rsidR="00311A2E">
        <w:rPr>
          <w:lang w:val="en-IE" w:eastAsia="en-GB"/>
        </w:rPr>
        <w:tab/>
      </w:r>
      <w:r w:rsidRPr="002F5878">
        <w:rPr>
          <w:lang w:val="en-IE" w:eastAsia="en-GB"/>
        </w:rPr>
        <w:t>Large-scale Artificial Intelligence Open</w:t>
      </w:r>
      <w:r w:rsidRPr="00332072">
        <w:rPr>
          <w:lang w:val="en-IE" w:eastAsia="en-GB"/>
        </w:rPr>
        <w:t xml:space="preserve"> Network</w:t>
      </w:r>
    </w:p>
    <w:p w14:paraId="35A1A876" w14:textId="77777777" w:rsidR="00F621FC" w:rsidRPr="008A7EB6" w:rsidRDefault="00F621FC" w:rsidP="009066EB">
      <w:pPr>
        <w:pStyle w:val="HARNormal"/>
      </w:pPr>
    </w:p>
    <w:p w14:paraId="4777CD6C" w14:textId="77777777" w:rsidR="00F621FC" w:rsidRPr="008A7EB6" w:rsidRDefault="00F621FC" w:rsidP="004F2F8B">
      <w:pPr>
        <w:pStyle w:val="HARBodytext"/>
        <w:sectPr w:rsidR="00F621FC" w:rsidRPr="008A7EB6" w:rsidSect="00825BC5">
          <w:pgSz w:w="11906" w:h="16838"/>
          <w:pgMar w:top="1418" w:right="2268" w:bottom="1418" w:left="2268" w:header="709" w:footer="709" w:gutter="0"/>
          <w:cols w:space="708"/>
          <w:docGrid w:linePitch="360"/>
        </w:sectPr>
      </w:pPr>
    </w:p>
    <w:p w14:paraId="7C124866" w14:textId="2CD425DD" w:rsidR="007D698B" w:rsidRPr="008A7EB6" w:rsidRDefault="00BA1B1C" w:rsidP="0081012E">
      <w:pPr>
        <w:pStyle w:val="HARHeading1"/>
      </w:pPr>
      <w:bookmarkStart w:id="4" w:name="_Toc161573871"/>
      <w:bookmarkStart w:id="5" w:name="_Toc211702549"/>
      <w:r w:rsidRPr="008A7EB6">
        <w:lastRenderedPageBreak/>
        <w:t>Introduction</w:t>
      </w:r>
      <w:bookmarkEnd w:id="4"/>
      <w:bookmarkEnd w:id="5"/>
    </w:p>
    <w:p w14:paraId="2EF868B2" w14:textId="19295BD9" w:rsidR="001B292B" w:rsidRPr="008A7EB6" w:rsidRDefault="00BA1B1C" w:rsidP="00F34698">
      <w:pPr>
        <w:pStyle w:val="HARHeading2"/>
      </w:pPr>
      <w:bookmarkStart w:id="6" w:name="_Toc161573872"/>
      <w:bookmarkStart w:id="7" w:name="_Toc211702550"/>
      <w:r w:rsidRPr="008A7EB6">
        <w:t>Background</w:t>
      </w:r>
      <w:bookmarkEnd w:id="6"/>
      <w:bookmarkEnd w:id="7"/>
    </w:p>
    <w:p w14:paraId="0A612ECC" w14:textId="37573936" w:rsidR="00BA1B1C" w:rsidRPr="000A606A" w:rsidRDefault="00EB5985" w:rsidP="000A606A">
      <w:pPr>
        <w:pStyle w:val="HARBodytext"/>
      </w:pPr>
      <w:r w:rsidRPr="000A606A">
        <w:t>The rise of generative Artificial Intelligence (AI) has introduced complex questions surrounding copyright law in the European Union with unprecedented situations of AI systems using pre-existing creative works that belong to rightsholders. AI models are fundamentally reliant on vast amounts of human-created content data, often obtained through methods such as web-scraping or curated collections, to learn patterns and generate new outputs. However, these works are often utilised in training datasets without the explicit permission of the original copyright holders. This training process involves making</w:t>
      </w:r>
      <w:r w:rsidR="00D17E95">
        <w:rPr>
          <w:rStyle w:val="apple-converted-space"/>
        </w:rPr>
        <w:t xml:space="preserve"> </w:t>
      </w:r>
      <w:r w:rsidRPr="000A606A">
        <w:rPr>
          <w:rStyle w:val="Stark"/>
          <w:b w:val="0"/>
          <w:bCs w:val="0"/>
        </w:rPr>
        <w:t>extensive temporary copies</w:t>
      </w:r>
      <w:r w:rsidR="00D17E95">
        <w:rPr>
          <w:rStyle w:val="apple-converted-space"/>
        </w:rPr>
        <w:t xml:space="preserve"> </w:t>
      </w:r>
      <w:r w:rsidRPr="000A606A">
        <w:t>of these copyrighted works, potentially engaging the</w:t>
      </w:r>
      <w:r w:rsidR="00D17E95">
        <w:rPr>
          <w:rStyle w:val="apple-converted-space"/>
        </w:rPr>
        <w:t xml:space="preserve"> </w:t>
      </w:r>
      <w:r w:rsidRPr="000A606A">
        <w:rPr>
          <w:rStyle w:val="Stark"/>
          <w:b w:val="0"/>
          <w:bCs w:val="0"/>
        </w:rPr>
        <w:t>reproduction right</w:t>
      </w:r>
      <w:r w:rsidR="00D17E95">
        <w:rPr>
          <w:rStyle w:val="apple-converted-space"/>
        </w:rPr>
        <w:t xml:space="preserve"> </w:t>
      </w:r>
      <w:r w:rsidRPr="000A606A">
        <w:t xml:space="preserve">under EU law (Article 2 </w:t>
      </w:r>
      <w:proofErr w:type="spellStart"/>
      <w:r w:rsidRPr="000A606A">
        <w:t>InfoSoc</w:t>
      </w:r>
      <w:proofErr w:type="spellEnd"/>
      <w:r w:rsidRPr="000A606A">
        <w:t xml:space="preserve"> Directive).</w:t>
      </w:r>
      <w:r w:rsidR="00706D73">
        <w:rPr>
          <w:rStyle w:val="Fotnotsreferens"/>
        </w:rPr>
        <w:footnoteReference w:id="1"/>
      </w:r>
      <w:r w:rsidRPr="000A606A">
        <w:t xml:space="preserve"> A key challenge lies in the</w:t>
      </w:r>
      <w:r w:rsidR="00FF0479">
        <w:rPr>
          <w:rStyle w:val="apple-converted-space"/>
        </w:rPr>
        <w:t xml:space="preserve"> </w:t>
      </w:r>
      <w:r w:rsidRPr="000A606A">
        <w:rPr>
          <w:rStyle w:val="Stark"/>
          <w:b w:val="0"/>
          <w:bCs w:val="0"/>
        </w:rPr>
        <w:t>lack of transparency</w:t>
      </w:r>
      <w:r w:rsidRPr="000A606A">
        <w:t xml:space="preserve"> regarding the specific copyrighted content used in large training datasets, making it difficult for creators to track the inclusion of their work. While certain aspects of current EU copyright law, such as the</w:t>
      </w:r>
      <w:r w:rsidR="00FF0479">
        <w:rPr>
          <w:rStyle w:val="apple-converted-space"/>
        </w:rPr>
        <w:t xml:space="preserve"> </w:t>
      </w:r>
      <w:r w:rsidRPr="000A606A">
        <w:rPr>
          <w:rStyle w:val="Stark"/>
          <w:b w:val="0"/>
          <w:bCs w:val="0"/>
        </w:rPr>
        <w:t>Text and Data Mining (TDM) exceptions</w:t>
      </w:r>
      <w:r w:rsidR="00FF0479">
        <w:rPr>
          <w:rStyle w:val="apple-converted-space"/>
        </w:rPr>
        <w:t xml:space="preserve"> </w:t>
      </w:r>
      <w:r w:rsidRPr="000A606A">
        <w:t>under the DSM Directive</w:t>
      </w:r>
      <w:r w:rsidR="004F05D4">
        <w:rPr>
          <w:rStyle w:val="Fotnotsreferens"/>
        </w:rPr>
        <w:footnoteReference w:id="2"/>
      </w:r>
      <w:r w:rsidRPr="000A606A">
        <w:t>, aim to permit such uses under certain conditions, their sufficiency or whether they undermine creators’ rights in the context of large-scale commercial AI training is subject to significant legal and ethical debate. This prompts an examination of whether the existing legal frameworks within the EU provide adequate protection for rightsholders in the evolving technological landscape. The thesis aims to explore how current EU copyright and database laws regulate the use of content in AI training, assess the sufficiency of TDM exceptions, and investigate alternative models for fair attribution or compensation for data contributors. The legal status of the AI-generated outputs also influences this debate, shaping the discussion around potential frameworks for compensating those whose work contributed to the AI's capabilities. The scope of this thesis is intentionally broad, reflecting the complex and multifaceted nature of the legal and ethical challenges posed by generative AI. Rather than focusing narrowly on a single legal doctrine, it aims to analyse the extent to which the current EU frameworks overall are equipped to respond to the systematic implications of generative AI on copyrighted content.</w:t>
      </w:r>
    </w:p>
    <w:p w14:paraId="39E8402C" w14:textId="5289BD52" w:rsidR="00FA1AC0" w:rsidRPr="008A7EB6" w:rsidRDefault="00BA1B1C" w:rsidP="00F34698">
      <w:pPr>
        <w:pStyle w:val="HARHeading2"/>
      </w:pPr>
      <w:bookmarkStart w:id="8" w:name="_Toc161573873"/>
      <w:bookmarkStart w:id="9" w:name="_Toc211702551"/>
      <w:r w:rsidRPr="008A7EB6">
        <w:t>Purpose and research questions</w:t>
      </w:r>
      <w:bookmarkEnd w:id="8"/>
      <w:bookmarkEnd w:id="9"/>
    </w:p>
    <w:p w14:paraId="76526C31" w14:textId="1E148F44" w:rsidR="0027720E" w:rsidRDefault="0027720E" w:rsidP="00456A0B">
      <w:pPr>
        <w:pStyle w:val="HARBodytext"/>
        <w:rPr>
          <w:lang w:val="en-US"/>
        </w:rPr>
      </w:pPr>
      <w:r w:rsidRPr="00E67B31">
        <w:t xml:space="preserve">The purpose of this thesis is to explore the legal and ethical implications of using copyrighted content for generative AI training under current EU law and to assess </w:t>
      </w:r>
      <w:r>
        <w:t xml:space="preserve">how and to what extent </w:t>
      </w:r>
      <w:r w:rsidRPr="00E67B31">
        <w:t>the existing framework</w:t>
      </w:r>
      <w:r>
        <w:t>s</w:t>
      </w:r>
      <w:r w:rsidRPr="00E67B31">
        <w:t xml:space="preserve">, particularly regarding </w:t>
      </w:r>
      <w:r>
        <w:t xml:space="preserve">copyright </w:t>
      </w:r>
      <w:r>
        <w:lastRenderedPageBreak/>
        <w:t xml:space="preserve">law, database rights, </w:t>
      </w:r>
      <w:r w:rsidRPr="00E67B31">
        <w:t>TDM exceptions,</w:t>
      </w:r>
      <w:r>
        <w:t xml:space="preserve"> moral rights, and the EU AI Act 2024</w:t>
      </w:r>
      <w:r w:rsidR="00FE7DE9">
        <w:rPr>
          <w:rStyle w:val="Fotnotsreferens"/>
        </w:rPr>
        <w:footnoteReference w:id="3"/>
      </w:r>
      <w:r>
        <w:t>,</w:t>
      </w:r>
      <w:r w:rsidRPr="00E67B31">
        <w:t xml:space="preserve"> </w:t>
      </w:r>
      <w:r>
        <w:t>are</w:t>
      </w:r>
      <w:r w:rsidRPr="00E67B31">
        <w:t xml:space="preserve"> adapted to ensure fair recognition and compensation for creators, considering the legal status of AI-generated works.</w:t>
      </w:r>
    </w:p>
    <w:p w14:paraId="530D9BF2" w14:textId="77777777" w:rsidR="0027720E" w:rsidRPr="00420668" w:rsidRDefault="0027720E" w:rsidP="00420668">
      <w:pPr>
        <w:pStyle w:val="HARBodytext"/>
        <w:keepNext/>
      </w:pPr>
      <w:r w:rsidRPr="00420668">
        <w:t>The research questions are as follows:</w:t>
      </w:r>
    </w:p>
    <w:p w14:paraId="4C246E67" w14:textId="0057FA9C" w:rsidR="0027720E" w:rsidRPr="00420668" w:rsidRDefault="00F21DA3" w:rsidP="007523E7">
      <w:pPr>
        <w:pStyle w:val="HARBodytext"/>
        <w:ind w:left="454" w:hanging="454"/>
      </w:pPr>
      <w:r>
        <w:t>(1)</w:t>
      </w:r>
      <w:r w:rsidR="001B7412">
        <w:tab/>
      </w:r>
      <w:r w:rsidR="0027720E" w:rsidRPr="00420668">
        <w:t>How do current EU copyright and database laws - including moral rights and authorship principles - regulate and protect the use of human-created content in AI training?</w:t>
      </w:r>
    </w:p>
    <w:p w14:paraId="2CAC36F1" w14:textId="4D961E4E" w:rsidR="0027720E" w:rsidRPr="00420668" w:rsidRDefault="00F21DA3" w:rsidP="007523E7">
      <w:pPr>
        <w:pStyle w:val="HARBodytext"/>
        <w:ind w:left="454" w:hanging="454"/>
      </w:pPr>
      <w:r>
        <w:t>(2)</w:t>
      </w:r>
      <w:r w:rsidR="007523E7">
        <w:tab/>
      </w:r>
      <w:r w:rsidR="0027720E" w:rsidRPr="00420668">
        <w:t>Are the existing text and data mining (TDM) exceptions sufficient to balance innovation with the rights of creators?</w:t>
      </w:r>
    </w:p>
    <w:p w14:paraId="41EF99BB" w14:textId="36F9317B" w:rsidR="002F715D" w:rsidRPr="00420668" w:rsidRDefault="00F21DA3" w:rsidP="007523E7">
      <w:pPr>
        <w:pStyle w:val="HARBodytext"/>
        <w:ind w:left="454" w:hanging="454"/>
      </w:pPr>
      <w:r>
        <w:t>(3)</w:t>
      </w:r>
      <w:r w:rsidR="007523E7">
        <w:tab/>
      </w:r>
      <w:r w:rsidR="00CF3780" w:rsidRPr="00420668">
        <w:t>What alternative legal or ethical frameworks could ensure fair attribution or compensation for data contributors, and how does the legal status of AI-generated outputs influence the need for reform?</w:t>
      </w:r>
    </w:p>
    <w:p w14:paraId="66DFC1F7" w14:textId="49C38663" w:rsidR="00FA1AC0" w:rsidRPr="008A7EB6" w:rsidRDefault="00BA1B1C" w:rsidP="00F34698">
      <w:pPr>
        <w:pStyle w:val="HARHeading2"/>
      </w:pPr>
      <w:bookmarkStart w:id="10" w:name="_Toc161573874"/>
      <w:bookmarkStart w:id="11" w:name="_Toc211702552"/>
      <w:r w:rsidRPr="008A7EB6">
        <w:t>Delimitations</w:t>
      </w:r>
      <w:bookmarkEnd w:id="10"/>
      <w:bookmarkEnd w:id="11"/>
    </w:p>
    <w:p w14:paraId="2DC8038A" w14:textId="1F0FE0CC" w:rsidR="00C70207" w:rsidRDefault="00C70207" w:rsidP="00456A0B">
      <w:pPr>
        <w:pStyle w:val="HARBodytext"/>
        <w:rPr>
          <w:lang w:val="en-US"/>
        </w:rPr>
      </w:pPr>
      <w:r>
        <w:rPr>
          <w:lang w:val="en-US"/>
        </w:rPr>
        <w:t>This thesis focuses primarily on the legal challenge</w:t>
      </w:r>
      <w:r w:rsidR="00816CE0">
        <w:rPr>
          <w:lang w:val="en-US"/>
        </w:rPr>
        <w:t>s concerning</w:t>
      </w:r>
      <w:r>
        <w:rPr>
          <w:lang w:val="en-US"/>
        </w:rPr>
        <w:t xml:space="preserve"> the use of pre-existing works within the EU. While it is acknowledged that </w:t>
      </w:r>
      <w:r w:rsidR="001B048B">
        <w:rPr>
          <w:lang w:val="en-US"/>
        </w:rPr>
        <w:t xml:space="preserve">other </w:t>
      </w:r>
      <w:r>
        <w:rPr>
          <w:lang w:val="en-US"/>
        </w:rPr>
        <w:t xml:space="preserve">jurisdictions have insightful approaches to the topic </w:t>
      </w:r>
      <w:r w:rsidR="006728BE">
        <w:rPr>
          <w:lang w:val="en-US"/>
        </w:rPr>
        <w:t>in question</w:t>
      </w:r>
      <w:r>
        <w:rPr>
          <w:lang w:val="en-US"/>
        </w:rPr>
        <w:t>, the extensive quantity of scholarly discussions, case law, and legislation warranted limiting the scope to the EU.</w:t>
      </w:r>
    </w:p>
    <w:p w14:paraId="5353E0F9" w14:textId="6942C94E" w:rsidR="00FA1AC0" w:rsidRPr="008A7EB6" w:rsidRDefault="00BA1B1C" w:rsidP="00F34698">
      <w:pPr>
        <w:pStyle w:val="HARHeading2"/>
      </w:pPr>
      <w:bookmarkStart w:id="12" w:name="_Toc161573875"/>
      <w:bookmarkStart w:id="13" w:name="_Toc211702553"/>
      <w:r w:rsidRPr="008A7EB6">
        <w:t>Method and materials</w:t>
      </w:r>
      <w:bookmarkEnd w:id="12"/>
      <w:bookmarkEnd w:id="13"/>
    </w:p>
    <w:p w14:paraId="0B2AAC76" w14:textId="3F2FB9F7" w:rsidR="00FB0029" w:rsidRPr="00C3763B" w:rsidRDefault="00FB0029" w:rsidP="00C3763B">
      <w:pPr>
        <w:pStyle w:val="HARBodytext"/>
      </w:pPr>
      <w:r w:rsidRPr="00C3763B">
        <w:t xml:space="preserve">The methods and materials employed in this thesis are grounded in an EU legal method combined with the legal dogmatic method. These approaches are crucial for examining the complex and rapidly evolving intersection of generative AI and EU copyright law. </w:t>
      </w:r>
    </w:p>
    <w:p w14:paraId="12351BBF" w14:textId="4337CFE8" w:rsidR="00FB0029" w:rsidRPr="00C3763B" w:rsidRDefault="00FB0029" w:rsidP="00C3763B">
      <w:pPr>
        <w:pStyle w:val="HARBodytext"/>
        <w:rPr>
          <w:rStyle w:val="ng-star-inserted"/>
        </w:rPr>
      </w:pPr>
      <w:r w:rsidRPr="00C3763B">
        <w:rPr>
          <w:rStyle w:val="ng-star-inserted"/>
        </w:rPr>
        <w:t xml:space="preserve">The </w:t>
      </w:r>
      <w:r w:rsidRPr="00C3763B">
        <w:rPr>
          <w:rStyle w:val="bold"/>
        </w:rPr>
        <w:t>legal dogmatic method</w:t>
      </w:r>
      <w:r w:rsidRPr="00C3763B">
        <w:rPr>
          <w:rStyle w:val="ng-star-inserted"/>
        </w:rPr>
        <w:t xml:space="preserve"> systematically describes and justifies legislation and case law within the legal system, drawing on </w:t>
      </w:r>
      <w:r w:rsidR="000377C1">
        <w:rPr>
          <w:rStyle w:val="ng-star-inserted"/>
        </w:rPr>
        <w:t xml:space="preserve">legal </w:t>
      </w:r>
      <w:r w:rsidRPr="00C3763B">
        <w:rPr>
          <w:rStyle w:val="ng-star-inserted"/>
        </w:rPr>
        <w:t xml:space="preserve">sources such as </w:t>
      </w:r>
      <w:r w:rsidR="00A65D29">
        <w:rPr>
          <w:rStyle w:val="ng-star-inserted"/>
        </w:rPr>
        <w:t>legislation</w:t>
      </w:r>
      <w:r w:rsidRPr="00C3763B">
        <w:rPr>
          <w:rStyle w:val="ng-star-inserted"/>
        </w:rPr>
        <w:t xml:space="preserve">, case law, and legal doctrine. </w:t>
      </w:r>
      <w:r w:rsidRPr="00C3763B">
        <w:t xml:space="preserve">It provides a framework for understanding the existing legal situation (lex </w:t>
      </w:r>
      <w:proofErr w:type="spellStart"/>
      <w:r w:rsidRPr="00C3763B">
        <w:t>lata</w:t>
      </w:r>
      <w:proofErr w:type="spellEnd"/>
      <w:r w:rsidR="000377C1" w:rsidRPr="00C3763B">
        <w:t>) and</w:t>
      </w:r>
      <w:r w:rsidRPr="00C3763B">
        <w:t xml:space="preserve"> suggest how the law should be applied or developed (lex ferenda). </w:t>
      </w:r>
      <w:r w:rsidRPr="00C3763B">
        <w:rPr>
          <w:rStyle w:val="ng-star-inserted"/>
        </w:rPr>
        <w:t xml:space="preserve">This thesis primarily utilises binding secondary EU law, specifically the </w:t>
      </w:r>
      <w:proofErr w:type="spellStart"/>
      <w:r w:rsidRPr="00C3763B">
        <w:rPr>
          <w:rStyle w:val="bold"/>
        </w:rPr>
        <w:t>InfoSoc</w:t>
      </w:r>
      <w:proofErr w:type="spellEnd"/>
      <w:r w:rsidRPr="00C3763B">
        <w:rPr>
          <w:rStyle w:val="bold"/>
        </w:rPr>
        <w:t xml:space="preserve"> Directive</w:t>
      </w:r>
      <w:r w:rsidRPr="00C3763B">
        <w:rPr>
          <w:rStyle w:val="ng-star-inserted"/>
        </w:rPr>
        <w:t xml:space="preserve"> and the </w:t>
      </w:r>
      <w:r w:rsidRPr="00C3763B">
        <w:rPr>
          <w:rStyle w:val="bold"/>
        </w:rPr>
        <w:t>DSM Directive</w:t>
      </w:r>
      <w:r w:rsidRPr="00C3763B">
        <w:rPr>
          <w:rStyle w:val="ng-star-inserted"/>
        </w:rPr>
        <w:t xml:space="preserve">, alongside the recently introduced </w:t>
      </w:r>
      <w:r w:rsidRPr="00C3763B">
        <w:rPr>
          <w:rStyle w:val="bold"/>
        </w:rPr>
        <w:t>AI Act</w:t>
      </w:r>
      <w:r w:rsidR="00C62A15">
        <w:rPr>
          <w:rStyle w:val="bold"/>
        </w:rPr>
        <w:t>,</w:t>
      </w:r>
      <w:r w:rsidRPr="00C3763B">
        <w:rPr>
          <w:rStyle w:val="ng-star-inserted"/>
        </w:rPr>
        <w:t xml:space="preserve"> as these directives contain the core provisions relevant to copyright and data use in the EU. </w:t>
      </w:r>
    </w:p>
    <w:p w14:paraId="419EE5B7" w14:textId="68ECAAD6" w:rsidR="00FB0029" w:rsidRPr="00C3763B" w:rsidRDefault="00FB0029" w:rsidP="00C3763B">
      <w:pPr>
        <w:pStyle w:val="HARBodytext"/>
        <w:rPr>
          <w:rStyle w:val="ng-star-inserted"/>
        </w:rPr>
      </w:pPr>
      <w:r w:rsidRPr="00C3763B">
        <w:rPr>
          <w:rStyle w:val="bold"/>
        </w:rPr>
        <w:lastRenderedPageBreak/>
        <w:t xml:space="preserve">Case law from the </w:t>
      </w:r>
      <w:r w:rsidR="00D34545">
        <w:rPr>
          <w:rStyle w:val="bold"/>
        </w:rPr>
        <w:t>Court of Justice of the European Union (</w:t>
      </w:r>
      <w:r w:rsidRPr="00C3763B">
        <w:rPr>
          <w:rStyle w:val="bold"/>
        </w:rPr>
        <w:t>CJEU</w:t>
      </w:r>
      <w:r w:rsidR="00D34545">
        <w:rPr>
          <w:rStyle w:val="bold"/>
        </w:rPr>
        <w:t>)</w:t>
      </w:r>
      <w:r w:rsidRPr="00C3763B">
        <w:rPr>
          <w:rStyle w:val="ng-star-inserted"/>
        </w:rPr>
        <w:t xml:space="preserve"> and national courts, such as the </w:t>
      </w:r>
      <w:r w:rsidRPr="00C3763B">
        <w:rPr>
          <w:rStyle w:val="bold"/>
        </w:rPr>
        <w:t>Infopaq</w:t>
      </w:r>
      <w:r w:rsidR="00F32E88">
        <w:rPr>
          <w:rStyle w:val="Fotnotsreferens"/>
        </w:rPr>
        <w:footnoteReference w:id="4"/>
      </w:r>
      <w:r w:rsidRPr="00C3763B">
        <w:rPr>
          <w:rStyle w:val="ng-star-inserted"/>
        </w:rPr>
        <w:t xml:space="preserve">, </w:t>
      </w:r>
      <w:r w:rsidRPr="00C3763B">
        <w:rPr>
          <w:rStyle w:val="bold"/>
        </w:rPr>
        <w:t>Svensson</w:t>
      </w:r>
      <w:r w:rsidR="00BE381C">
        <w:rPr>
          <w:rStyle w:val="Fotnotsreferens"/>
        </w:rPr>
        <w:footnoteReference w:id="5"/>
      </w:r>
      <w:r w:rsidRPr="00C3763B">
        <w:rPr>
          <w:rStyle w:val="ng-star-inserted"/>
        </w:rPr>
        <w:t xml:space="preserve">, </w:t>
      </w:r>
      <w:r w:rsidRPr="00C3763B">
        <w:rPr>
          <w:rStyle w:val="bold"/>
        </w:rPr>
        <w:t>GS Media</w:t>
      </w:r>
      <w:r w:rsidR="007902FB">
        <w:rPr>
          <w:rStyle w:val="Fotnotsreferens"/>
        </w:rPr>
        <w:footnoteReference w:id="6"/>
      </w:r>
      <w:r w:rsidRPr="00C3763B">
        <w:rPr>
          <w:rStyle w:val="ng-star-inserted"/>
        </w:rPr>
        <w:t xml:space="preserve">, and </w:t>
      </w:r>
      <w:r w:rsidR="00181CE0">
        <w:rPr>
          <w:rStyle w:val="ng-star-inserted"/>
        </w:rPr>
        <w:t>a</w:t>
      </w:r>
      <w:r w:rsidR="00181CE0" w:rsidRPr="00C3763B">
        <w:rPr>
          <w:rStyle w:val="ng-star-inserted"/>
        </w:rPr>
        <w:t xml:space="preserve"> </w:t>
      </w:r>
      <w:r w:rsidRPr="00C3763B">
        <w:rPr>
          <w:rStyle w:val="ng-star-inserted"/>
        </w:rPr>
        <w:t xml:space="preserve">recent </w:t>
      </w:r>
      <w:r w:rsidRPr="00C3763B">
        <w:rPr>
          <w:rStyle w:val="bold"/>
        </w:rPr>
        <w:t>Czech case</w:t>
      </w:r>
      <w:r w:rsidR="00FC2D31">
        <w:rPr>
          <w:rStyle w:val="Fotnotsreferens"/>
        </w:rPr>
        <w:footnoteReference w:id="7"/>
      </w:r>
      <w:r w:rsidRPr="00C3763B">
        <w:rPr>
          <w:rStyle w:val="ng-star-inserted"/>
        </w:rPr>
        <w:t xml:space="preserve">, are vital materials used to interpret these directives and illustrate how traditional copyright concepts are being applied and </w:t>
      </w:r>
      <w:r w:rsidR="000F569D">
        <w:rPr>
          <w:rStyle w:val="ng-star-inserted"/>
        </w:rPr>
        <w:t>challenged</w:t>
      </w:r>
      <w:r w:rsidR="000F569D" w:rsidRPr="00C3763B">
        <w:rPr>
          <w:rStyle w:val="ng-star-inserted"/>
        </w:rPr>
        <w:t xml:space="preserve"> </w:t>
      </w:r>
      <w:r w:rsidRPr="00C3763B">
        <w:rPr>
          <w:rStyle w:val="ng-star-inserted"/>
        </w:rPr>
        <w:t>in the digital environment, revealing potential weaknesses or gaps in the current framework.</w:t>
      </w:r>
    </w:p>
    <w:p w14:paraId="22C91846" w14:textId="11171BC8" w:rsidR="00FB0029" w:rsidRPr="00C3763B" w:rsidRDefault="00FB0029" w:rsidP="00C3763B">
      <w:pPr>
        <w:pStyle w:val="HARBodytext"/>
      </w:pPr>
      <w:r w:rsidRPr="00C3763B">
        <w:rPr>
          <w:rStyle w:val="bold"/>
        </w:rPr>
        <w:t>Legal doctrine</w:t>
      </w:r>
      <w:r w:rsidRPr="00C3763B">
        <w:rPr>
          <w:rStyle w:val="ng-star-inserted"/>
        </w:rPr>
        <w:t>, comprising academic papers and books, serves as a persuasive source, offering arguments and viewpoints from researchers on how copyright considerations apply to AI training input</w:t>
      </w:r>
      <w:r w:rsidR="000F569D">
        <w:rPr>
          <w:rStyle w:val="ng-star-inserted"/>
        </w:rPr>
        <w:t xml:space="preserve"> data</w:t>
      </w:r>
      <w:r w:rsidRPr="00C3763B">
        <w:rPr>
          <w:rStyle w:val="ng-star-inserted"/>
        </w:rPr>
        <w:t>. T</w:t>
      </w:r>
      <w:r w:rsidRPr="00C3763B">
        <w:t>his is essential for analysing the relationships between principles and rules, identifying unclarities, and proposing solutions.</w:t>
      </w:r>
    </w:p>
    <w:p w14:paraId="53EA9E60" w14:textId="5A62B8D2" w:rsidR="00FA1AC0" w:rsidRPr="00C3763B" w:rsidRDefault="0000378B" w:rsidP="00C3763B">
      <w:pPr>
        <w:pStyle w:val="HARBodytext"/>
      </w:pPr>
      <w:r>
        <w:rPr>
          <w:rStyle w:val="ng-star-inserted"/>
        </w:rPr>
        <w:t xml:space="preserve">EU </w:t>
      </w:r>
      <w:r w:rsidR="009A7B09">
        <w:rPr>
          <w:rStyle w:val="ng-star-inserted"/>
        </w:rPr>
        <w:t>main methods for interpreting EU law are</w:t>
      </w:r>
      <w:r w:rsidR="00156074">
        <w:rPr>
          <w:rStyle w:val="ng-star-inserted"/>
        </w:rPr>
        <w:t xml:space="preserve"> linguistic</w:t>
      </w:r>
      <w:r w:rsidR="00853F6A">
        <w:rPr>
          <w:rStyle w:val="ng-star-inserted"/>
        </w:rPr>
        <w:t xml:space="preserve"> (wording)</w:t>
      </w:r>
      <w:r w:rsidR="00156074">
        <w:rPr>
          <w:rStyle w:val="ng-star-inserted"/>
        </w:rPr>
        <w:t xml:space="preserve">, systemic </w:t>
      </w:r>
      <w:r w:rsidR="00853F6A">
        <w:rPr>
          <w:rStyle w:val="ng-star-inserted"/>
        </w:rPr>
        <w:t xml:space="preserve">(context) </w:t>
      </w:r>
      <w:r w:rsidR="00156074">
        <w:rPr>
          <w:rStyle w:val="ng-star-inserted"/>
        </w:rPr>
        <w:t>and teleological</w:t>
      </w:r>
      <w:r w:rsidR="00641C6B">
        <w:rPr>
          <w:rStyle w:val="ng-star-inserted"/>
        </w:rPr>
        <w:t xml:space="preserve">. </w:t>
      </w:r>
      <w:r w:rsidR="00853F6A">
        <w:rPr>
          <w:rStyle w:val="ng-star-inserted"/>
        </w:rPr>
        <w:t xml:space="preserve">The Court typically uses a combination. </w:t>
      </w:r>
      <w:r w:rsidR="00FB0029" w:rsidRPr="00C3763B">
        <w:rPr>
          <w:rStyle w:val="ng-star-inserted"/>
        </w:rPr>
        <w:t xml:space="preserve">The </w:t>
      </w:r>
      <w:r w:rsidR="00FB0029" w:rsidRPr="00C3763B">
        <w:rPr>
          <w:rStyle w:val="bold"/>
        </w:rPr>
        <w:t>teleological interpretation method</w:t>
      </w:r>
      <w:r w:rsidR="00FB0029" w:rsidRPr="00C3763B">
        <w:rPr>
          <w:rStyle w:val="ng-star-inserted"/>
        </w:rPr>
        <w:t xml:space="preserve"> is used to understand the purpose and goals of legal provisions, particularly when wording is unclear or to fill gaps. This method is applied by interpreting directives </w:t>
      </w:r>
      <w:r w:rsidR="00DF48EA">
        <w:rPr>
          <w:rStyle w:val="ng-star-inserted"/>
        </w:rPr>
        <w:t xml:space="preserve">or other legal acts </w:t>
      </w:r>
      <w:r w:rsidR="00FB0029" w:rsidRPr="00C3763B">
        <w:rPr>
          <w:rStyle w:val="ng-star-inserted"/>
        </w:rPr>
        <w:t xml:space="preserve">based on their purpose, with assistance from recitals and relevant CJEU case law, directly addressing the ambiguity surrounding the application of existing laws like the TDM exceptions to generative AI training. Together, these methods and materials </w:t>
      </w:r>
      <w:proofErr w:type="gramStart"/>
      <w:r w:rsidR="00C0701A">
        <w:rPr>
          <w:rStyle w:val="ng-star-inserted"/>
        </w:rPr>
        <w:t>makes</w:t>
      </w:r>
      <w:proofErr w:type="gramEnd"/>
      <w:r w:rsidR="00C0701A">
        <w:rPr>
          <w:rStyle w:val="ng-star-inserted"/>
        </w:rPr>
        <w:t xml:space="preserve"> it possible</w:t>
      </w:r>
      <w:r w:rsidR="00FB0029" w:rsidRPr="00C3763B">
        <w:rPr>
          <w:rStyle w:val="ng-star-inserted"/>
        </w:rPr>
        <w:t xml:space="preserve"> to describe the current legal landscape, critically assess its sufficiency, and explore </w:t>
      </w:r>
      <w:r w:rsidR="00070F7C">
        <w:rPr>
          <w:rStyle w:val="ng-star-inserted"/>
        </w:rPr>
        <w:t xml:space="preserve">the need for </w:t>
      </w:r>
      <w:r w:rsidR="00FB0029" w:rsidRPr="00C3763B">
        <w:rPr>
          <w:rStyle w:val="ng-star-inserted"/>
        </w:rPr>
        <w:t>potential reforms.</w:t>
      </w:r>
    </w:p>
    <w:p w14:paraId="4B82471F" w14:textId="0AD9F056" w:rsidR="00FA1AC0" w:rsidRPr="008A7EB6" w:rsidRDefault="00BA1B1C" w:rsidP="00F34698">
      <w:pPr>
        <w:pStyle w:val="HARHeading2"/>
      </w:pPr>
      <w:bookmarkStart w:id="14" w:name="_Toc161573876"/>
      <w:bookmarkStart w:id="15" w:name="_Toc211702554"/>
      <w:r w:rsidRPr="008A7EB6">
        <w:t>Outline</w:t>
      </w:r>
      <w:bookmarkEnd w:id="14"/>
      <w:bookmarkEnd w:id="15"/>
    </w:p>
    <w:p w14:paraId="01C1DC7F" w14:textId="53BE91EF" w:rsidR="00A355F1" w:rsidRPr="00B0121B" w:rsidRDefault="00A355F1" w:rsidP="00B0121B">
      <w:pPr>
        <w:pStyle w:val="HARBodytext"/>
      </w:pPr>
      <w:r w:rsidRPr="00B0121B">
        <w:t xml:space="preserve">This thesis is structured into seven chapters, each designed to progressively address the research questions concerning the sufficiency of EU copyright and database law in the context of generative AI. </w:t>
      </w:r>
    </w:p>
    <w:p w14:paraId="4D4BE386" w14:textId="77777777" w:rsidR="00A355F1" w:rsidRPr="00B0121B" w:rsidRDefault="00A355F1" w:rsidP="00B0121B">
      <w:pPr>
        <w:pStyle w:val="HARBodytext"/>
      </w:pPr>
      <w:r w:rsidRPr="00B0121B">
        <w:t>Chapter 1 introduces the background, research questions, methodology, and scope of the thesis. It explains the growing reliance of generative AI systems on copyrighted content and outlines the legal and ethical tensions that arise from this use.</w:t>
      </w:r>
    </w:p>
    <w:p w14:paraId="73646608" w14:textId="77777777" w:rsidR="00A355F1" w:rsidRPr="00B0121B" w:rsidRDefault="00A355F1" w:rsidP="00B0121B">
      <w:pPr>
        <w:pStyle w:val="HARBodytext"/>
      </w:pPr>
      <w:r w:rsidRPr="00B0121B">
        <w:t>Chapter 2 reviews academic literature that frames the debates around transparency, liability, and licensing in AI development. It offers critical perspectives on current proposals and highlights scholarly gaps regarding the attribution and compensation of creators whose content is used in training datasets.</w:t>
      </w:r>
    </w:p>
    <w:p w14:paraId="6DAB3412" w14:textId="77777777" w:rsidR="00A355F1" w:rsidRPr="00B0121B" w:rsidRDefault="00A355F1" w:rsidP="00B0121B">
      <w:pPr>
        <w:pStyle w:val="HARBodytext"/>
      </w:pPr>
      <w:r w:rsidRPr="00B0121B">
        <w:t>Chapter 3 explains the technical function of generative AI, with a focus on how training data is sourced and how such data use intersects with copyright law. It raises foundational concerns about ownership, provenance, and consent.</w:t>
      </w:r>
    </w:p>
    <w:p w14:paraId="0C673ED5" w14:textId="7FE7B11B" w:rsidR="00A355F1" w:rsidRDefault="00A355F1" w:rsidP="00B0121B">
      <w:pPr>
        <w:pStyle w:val="HARBodytext"/>
      </w:pPr>
      <w:r w:rsidRPr="00B0121B">
        <w:lastRenderedPageBreak/>
        <w:t xml:space="preserve">Chapter </w:t>
      </w:r>
      <w:r w:rsidR="00031AF6">
        <w:t>4</w:t>
      </w:r>
      <w:r w:rsidRPr="00B0121B">
        <w:t xml:space="preserve"> assesses the role of database rights and moral rights in the protection of human-created content. It evaluates how these rights apply to AI training and whether they are enforceable in practice.</w:t>
      </w:r>
    </w:p>
    <w:p w14:paraId="2826F1E4" w14:textId="258ABE70" w:rsidR="00031AF6" w:rsidRPr="00B0121B" w:rsidRDefault="00031AF6" w:rsidP="00B0121B">
      <w:pPr>
        <w:pStyle w:val="HARBodytext"/>
      </w:pPr>
      <w:r w:rsidRPr="00B0121B">
        <w:t xml:space="preserve">Chapter </w:t>
      </w:r>
      <w:r>
        <w:t>5</w:t>
      </w:r>
      <w:r w:rsidRPr="00B0121B">
        <w:t xml:space="preserve"> examines the EU Copyright Directive (2019/790), particularly the TDM exceptions under Articles 3 and 4. It analyses their applicability to AI training and critiques their practical and conceptual limitations.</w:t>
      </w:r>
    </w:p>
    <w:p w14:paraId="621D3014" w14:textId="35C0B8D3" w:rsidR="00A355F1" w:rsidRPr="00B0121B" w:rsidRDefault="00A355F1" w:rsidP="00B0121B">
      <w:pPr>
        <w:pStyle w:val="HARBodytext"/>
      </w:pPr>
      <w:r w:rsidRPr="00B0121B">
        <w:t xml:space="preserve">Chapter </w:t>
      </w:r>
      <w:r w:rsidR="00A01895">
        <w:t>6</w:t>
      </w:r>
      <w:r w:rsidRPr="00B0121B">
        <w:t xml:space="preserve"> explores ethical considerations and legal reform proposals aimed at ensuring fair attribution and compensation, concluding with a critical evaluation of the current legal framework’s adequacy.</w:t>
      </w:r>
    </w:p>
    <w:p w14:paraId="382A1F1F" w14:textId="030C4860" w:rsidR="004F561D" w:rsidRPr="008A7EB6" w:rsidRDefault="00A355F1" w:rsidP="00392B83">
      <w:pPr>
        <w:pStyle w:val="HARBodytext"/>
      </w:pPr>
      <w:r w:rsidRPr="00B0121B">
        <w:t xml:space="preserve">Finally, Chapter </w:t>
      </w:r>
      <w:r w:rsidR="00A01895">
        <w:t>7</w:t>
      </w:r>
      <w:r w:rsidRPr="00B0121B">
        <w:t xml:space="preserve"> presents a conclusion from the findings explored throughout the thesis.</w:t>
      </w:r>
    </w:p>
    <w:p w14:paraId="2E3A539C" w14:textId="77777777" w:rsidR="00FA1AC0" w:rsidRPr="008A7EB6" w:rsidRDefault="00FA1AC0" w:rsidP="00FA1AC0">
      <w:pPr>
        <w:sectPr w:rsidR="00FA1AC0" w:rsidRPr="008A7EB6" w:rsidSect="00825BC5">
          <w:footerReference w:type="default" r:id="rId11"/>
          <w:type w:val="oddPage"/>
          <w:pgSz w:w="11906" w:h="16838"/>
          <w:pgMar w:top="1418" w:right="2268" w:bottom="1418" w:left="2268" w:header="709" w:footer="709" w:gutter="0"/>
          <w:cols w:space="708"/>
          <w:docGrid w:linePitch="360"/>
        </w:sectPr>
      </w:pPr>
    </w:p>
    <w:p w14:paraId="31B22843" w14:textId="18592B68" w:rsidR="00FA1AC0" w:rsidRPr="008A7EB6" w:rsidRDefault="00E3466E" w:rsidP="00FA1AC0">
      <w:pPr>
        <w:pStyle w:val="HARHeading1"/>
      </w:pPr>
      <w:bookmarkStart w:id="16" w:name="_Toc211702555"/>
      <w:r w:rsidRPr="00E3466E">
        <w:lastRenderedPageBreak/>
        <w:t>Transparency, the AI supply chain, and data provenance</w:t>
      </w:r>
      <w:bookmarkEnd w:id="16"/>
    </w:p>
    <w:p w14:paraId="0375FDBB" w14:textId="6AE5F39A" w:rsidR="00FA1AC0" w:rsidRPr="008A7EB6" w:rsidRDefault="001A608C" w:rsidP="00F34698">
      <w:pPr>
        <w:pStyle w:val="HARHeading2"/>
      </w:pPr>
      <w:bookmarkStart w:id="17" w:name="_Toc211702556"/>
      <w:r>
        <w:t>Introduction</w:t>
      </w:r>
      <w:bookmarkEnd w:id="17"/>
    </w:p>
    <w:p w14:paraId="04EFCFC7" w14:textId="3BC99F6F" w:rsidR="002F715D" w:rsidRPr="008A7EB6" w:rsidRDefault="006F193A" w:rsidP="004F2F8B">
      <w:pPr>
        <w:pStyle w:val="HARBodytext"/>
      </w:pPr>
      <w:r w:rsidRPr="00456A0B">
        <w:t>The rapid development of generative AI systems has raised complex legal and ethical questions, specifically around copyright and ownership. AI models rely on substantial amounts of online data, some of which are protected works, the question arises as to who should be granted ownership rights over AI-generated outputs. This literature review will analyse three academic contributions that critically examine the role of transparency, liability, and licensing concerning generative AI. Adam Buick states the importance of transparency in AI training practices and adds that while transparency is necessary for the enforcement of copyright protection, it cannot entirely solve the legal ambiguities that flow from the current legal climate around unauthorised data usage.</w:t>
      </w:r>
      <w:r w:rsidR="00960F19">
        <w:rPr>
          <w:rStyle w:val="Fotnotsreferens"/>
        </w:rPr>
        <w:footnoteReference w:id="8"/>
      </w:r>
      <w:r w:rsidRPr="00456A0B">
        <w:t xml:space="preserve"> Katherine et al., propose a framework related to the generative AI development process by outlining eight distinct stages and argue that legal liability should be dispensed among multiple contributors rather than focusing on one single actor.</w:t>
      </w:r>
      <w:r w:rsidR="00EA390B">
        <w:rPr>
          <w:rStyle w:val="Fotnotsreferens"/>
        </w:rPr>
        <w:footnoteReference w:id="9"/>
      </w:r>
      <w:r w:rsidRPr="00456A0B">
        <w:t xml:space="preserve"> The final scholars discussed are Shayne Longpre et al., who offer empirical evidence of comprehensive licensing issues in AI training datasets and propose a tool that aims to support dataset transparency.</w:t>
      </w:r>
      <w:r w:rsidR="005450D0">
        <w:rPr>
          <w:rStyle w:val="Fotnotsreferens"/>
        </w:rPr>
        <w:footnoteReference w:id="10"/>
      </w:r>
      <w:r w:rsidRPr="00456A0B">
        <w:t xml:space="preserve"> The literature review ends with a comparison of the three sources discussed with </w:t>
      </w:r>
      <w:r w:rsidR="004E632F" w:rsidRPr="00456A0B">
        <w:t>critical commentary</w:t>
      </w:r>
      <w:r w:rsidR="00FD517D" w:rsidRPr="008A7EB6">
        <w:t>.</w:t>
      </w:r>
    </w:p>
    <w:p w14:paraId="4DC3F39F" w14:textId="3E6147EA" w:rsidR="004F601B" w:rsidRPr="008A7EB6" w:rsidRDefault="00E33239" w:rsidP="00F34698">
      <w:pPr>
        <w:pStyle w:val="HARHeading2"/>
      </w:pPr>
      <w:bookmarkStart w:id="18" w:name="_Toc211702557"/>
      <w:r>
        <w:t>Transparency</w:t>
      </w:r>
      <w:bookmarkEnd w:id="18"/>
    </w:p>
    <w:p w14:paraId="486FC7DE" w14:textId="32CB4CCF" w:rsidR="00D413BC" w:rsidRDefault="00D413BC" w:rsidP="00456A0B">
      <w:pPr>
        <w:pStyle w:val="HARBodytext"/>
        <w:rPr>
          <w:lang w:val="en-US"/>
        </w:rPr>
      </w:pPr>
      <w:r>
        <w:rPr>
          <w:lang w:val="en-US"/>
        </w:rPr>
        <w:t xml:space="preserve">Adam Buick </w:t>
      </w:r>
      <w:r w:rsidR="00EE773C">
        <w:rPr>
          <w:lang w:val="en-US"/>
        </w:rPr>
        <w:t xml:space="preserve">published </w:t>
      </w:r>
      <w:r>
        <w:rPr>
          <w:lang w:val="en-US"/>
        </w:rPr>
        <w:t>an article in 202</w:t>
      </w:r>
      <w:r w:rsidR="00EE773C">
        <w:rPr>
          <w:lang w:val="en-US"/>
        </w:rPr>
        <w:t>4</w:t>
      </w:r>
      <w:r>
        <w:rPr>
          <w:lang w:val="en-US"/>
        </w:rPr>
        <w:t xml:space="preserve"> critically examining the role of transparency in addressing the complex intersection of copyright law and AI training data. Buick argues that while transparency is a necessary step, it is insufficient on its own to resolve the challenges posed by generative AI models that utilize copyrighted materials without authorization. Buick discusses that generative AI models, such as those created by OpenAI, are trained on vast datasets, a significant portion of which comprises copyrighted content. Regardless of the legal protections in place, AI developers often proceed without receiving permission from rights holders, which consequently leads to a rise in legal disputes globally. This use of unauthorized work brings fundamental questions regarding the enforcement of copyright law in the digital landscape. In alliance with these questions, the EUs AI Act</w:t>
      </w:r>
      <w:r w:rsidR="00054AE6">
        <w:rPr>
          <w:rStyle w:val="Fotnotsreferens"/>
          <w:lang w:val="en-US"/>
        </w:rPr>
        <w:footnoteReference w:id="11"/>
      </w:r>
      <w:r>
        <w:rPr>
          <w:lang w:val="en-US"/>
        </w:rPr>
        <w:t xml:space="preserve"> introduces provisions that target transparency. Article 53 says that providers of general-purpose </w:t>
      </w:r>
      <w:r>
        <w:rPr>
          <w:lang w:val="en-US"/>
        </w:rPr>
        <w:lastRenderedPageBreak/>
        <w:t xml:space="preserve">AI models disclose summaries of the training data used. Even though this can be seen as a step toward accountability, Buick argues that the effectiveness of such measures is contingent upon the robustness of existing copyright laws. Buick adds that transparency facilitates enforcement only to the extent that the underlying legal framework supports rights holders` claims. In addition, Buick talks about the practical challenges associated with implementing transparency requirements. Buick states how AI developers often bring up </w:t>
      </w:r>
      <w:r w:rsidR="007F5D1E">
        <w:rPr>
          <w:lang w:val="en-US"/>
        </w:rPr>
        <w:t>skepticism</w:t>
      </w:r>
      <w:r>
        <w:rPr>
          <w:lang w:val="en-US"/>
        </w:rPr>
        <w:t xml:space="preserve"> over trade secrets and competitive advantage as reasons for reducing disclosure. The conflict between the desire for openness and the protection of proprietary information restricts efforts to have a transparent AI ecosystem. </w:t>
      </w:r>
    </w:p>
    <w:p w14:paraId="31C0950F" w14:textId="77777777" w:rsidR="00D413BC" w:rsidRDefault="00D413BC" w:rsidP="00456A0B">
      <w:pPr>
        <w:pStyle w:val="HARBodytext"/>
        <w:rPr>
          <w:lang w:val="en-US"/>
        </w:rPr>
      </w:pPr>
      <w:r>
        <w:rPr>
          <w:lang w:val="en-US"/>
        </w:rPr>
        <w:t xml:space="preserve">As a final comment, Buick brings forth the argument that even though transparency is essential, it cannot entirely solve the complex issues surrounding AI and copyright law. Buick suggests a deeper comprehensive approach that addresses legal reform and stakeholder collaboration is needed for the adequate rights of creators to be upheld in the technological era. </w:t>
      </w:r>
    </w:p>
    <w:p w14:paraId="1363D562" w14:textId="256F12DF" w:rsidR="00D413BC" w:rsidRPr="00792012" w:rsidRDefault="00D413BC" w:rsidP="00176DD3">
      <w:pPr>
        <w:pStyle w:val="HARHeading2"/>
        <w:rPr>
          <w:lang w:val="en-US"/>
        </w:rPr>
      </w:pPr>
      <w:bookmarkStart w:id="19" w:name="_Toc208154482"/>
      <w:bookmarkStart w:id="20" w:name="_Toc210418451"/>
      <w:bookmarkStart w:id="21" w:name="_Toc211702558"/>
      <w:bookmarkEnd w:id="19"/>
      <w:bookmarkEnd w:id="20"/>
      <w:r w:rsidRPr="00792012">
        <w:rPr>
          <w:lang w:val="en-US"/>
        </w:rPr>
        <w:t>Copyright and the Generative-AI Supply Chain</w:t>
      </w:r>
      <w:bookmarkEnd w:id="21"/>
    </w:p>
    <w:p w14:paraId="77FDD78E" w14:textId="7100C47A" w:rsidR="00D413BC" w:rsidRDefault="00D413BC" w:rsidP="00456A0B">
      <w:pPr>
        <w:pStyle w:val="HARBodytext"/>
        <w:rPr>
          <w:lang w:val="en-US"/>
        </w:rPr>
      </w:pPr>
      <w:r>
        <w:rPr>
          <w:lang w:val="en-US"/>
        </w:rPr>
        <w:t>The second set of scholars that now are to be discussed are Katerine Lee et el. The scholars suggest a novel framework for understanding copyright liability in generative AI systems by dissecting the “generative – AI supply chain”.</w:t>
      </w:r>
      <w:r w:rsidR="002D4328">
        <w:rPr>
          <w:rStyle w:val="Fotnotsreferens"/>
          <w:lang w:val="en-US"/>
        </w:rPr>
        <w:footnoteReference w:id="12"/>
      </w:r>
      <w:r>
        <w:rPr>
          <w:lang w:val="en-US"/>
        </w:rPr>
        <w:t xml:space="preserve"> They argue that AI-generated outputs are not a mere product of a singular actor, instead they are an outcome of an intricate pattern of steps. These steps range from dataset construction to model training to user prompting, each of which has varying distinct legal implications.</w:t>
      </w:r>
      <w:r w:rsidR="004D0C75">
        <w:rPr>
          <w:rStyle w:val="Fotnotsreferens"/>
          <w:lang w:val="en-US"/>
        </w:rPr>
        <w:footnoteReference w:id="13"/>
      </w:r>
      <w:r>
        <w:rPr>
          <w:lang w:val="en-US"/>
        </w:rPr>
        <w:t xml:space="preserve"> The scholars </w:t>
      </w:r>
      <w:r w:rsidR="0017203B">
        <w:rPr>
          <w:lang w:val="en-US"/>
        </w:rPr>
        <w:t>highlight</w:t>
      </w:r>
      <w:r>
        <w:rPr>
          <w:lang w:val="en-US"/>
        </w:rPr>
        <w:t xml:space="preserve"> this by breaking down the supply chain into eight stages. The stages are as follows:</w:t>
      </w:r>
    </w:p>
    <w:p w14:paraId="74C43ABF" w14:textId="5ED8ADB4" w:rsidR="0095060C" w:rsidRDefault="00CB1EC7" w:rsidP="00456A0B">
      <w:pPr>
        <w:pStyle w:val="HARBodytext"/>
        <w:rPr>
          <w:lang w:val="en-US"/>
        </w:rPr>
      </w:pPr>
      <w:r>
        <w:rPr>
          <w:noProof/>
          <w:lang w:val="en-US"/>
        </w:rPr>
        <w:drawing>
          <wp:inline distT="0" distB="0" distL="0" distR="0" wp14:anchorId="398CBC91" wp14:editId="01624CF3">
            <wp:extent cx="4679950" cy="2729865"/>
            <wp:effectExtent l="0" t="0" r="0" b="13335"/>
            <wp:docPr id="554395817"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0A24B804" w14:textId="2826E55C" w:rsidR="00D413BC" w:rsidRDefault="00D413BC" w:rsidP="00456A0B">
      <w:pPr>
        <w:pStyle w:val="HARBodytext"/>
        <w:rPr>
          <w:lang w:val="en-US"/>
        </w:rPr>
      </w:pPr>
      <w:r>
        <w:rPr>
          <w:lang w:val="en-US"/>
        </w:rPr>
        <w:lastRenderedPageBreak/>
        <w:t>This amplifies how copyright issues can appear at various points, specifically during dataset curation and training, and this is where the copyrighted content is most likely to be used without the permission of the copyright holder. Furthermore, the scholars emphasized the responsibility being distributed across the supply chain. In other words, liability cannot be only placed on developers or users, but all contributing actors</w:t>
      </w:r>
      <w:r w:rsidR="0017203B">
        <w:rPr>
          <w:lang w:val="en-US"/>
        </w:rPr>
        <w:t>.</w:t>
      </w:r>
      <w:r w:rsidR="0017203B">
        <w:rPr>
          <w:rStyle w:val="Fotnotsreferens"/>
          <w:lang w:val="en-US"/>
        </w:rPr>
        <w:footnoteReference w:id="14"/>
      </w:r>
      <w:r>
        <w:rPr>
          <w:lang w:val="en-US"/>
        </w:rPr>
        <w:t xml:space="preserve"> This stance from the scholars can be said to contrast against models that solely focus on the final result or the training phase, which in turn, according to Katerine et al., creates difficulty for legal efforts to pinpoint authorship or infringement.</w:t>
      </w:r>
      <w:r w:rsidR="0017203B">
        <w:rPr>
          <w:rStyle w:val="Fotnotsreferens"/>
          <w:lang w:val="en-US"/>
        </w:rPr>
        <w:footnoteReference w:id="15"/>
      </w:r>
      <w:r>
        <w:rPr>
          <w:lang w:val="en-US"/>
        </w:rPr>
        <w:t xml:space="preserve">  The scholars also add that the current framework for copyright law is ill-suited to adhere to these eight stages and therefore argue legal reform is needed to address the complex nature of AI systems adequately.</w:t>
      </w:r>
      <w:r w:rsidR="00B86A25">
        <w:rPr>
          <w:rStyle w:val="Fotnotsreferens"/>
          <w:lang w:val="en-US"/>
        </w:rPr>
        <w:footnoteReference w:id="16"/>
      </w:r>
      <w:r>
        <w:rPr>
          <w:lang w:val="en-US"/>
        </w:rPr>
        <w:t xml:space="preserve"> By addressing the full structure of the supply chain, the scholars argue that this will consequently create more effective regulation which will be better suited to identifying fair allocation of rights and responsibilities.</w:t>
      </w:r>
      <w:r w:rsidR="00B86A25">
        <w:rPr>
          <w:rStyle w:val="Fotnotsreferens"/>
          <w:lang w:val="en-US"/>
        </w:rPr>
        <w:footnoteReference w:id="17"/>
      </w:r>
      <w:r>
        <w:rPr>
          <w:lang w:val="en-US"/>
        </w:rPr>
        <w:t xml:space="preserve"> Lee et al. framework can be said to push legal scholars and policymakers to delve deeper than the idea that there is only one clear author and instead consider that the responsibility has the potential to be shared or spread across different stages of the AI process.</w:t>
      </w:r>
      <w:r w:rsidR="00F23F4E">
        <w:rPr>
          <w:rStyle w:val="Fotnotsreferens"/>
          <w:lang w:val="en-US"/>
        </w:rPr>
        <w:footnoteReference w:id="18"/>
      </w:r>
      <w:r>
        <w:rPr>
          <w:lang w:val="en-US"/>
        </w:rPr>
        <w:t xml:space="preserve"> </w:t>
      </w:r>
    </w:p>
    <w:p w14:paraId="458BD284" w14:textId="2BB6863D" w:rsidR="00D413BC" w:rsidRDefault="00D413BC" w:rsidP="004E5DC0">
      <w:pPr>
        <w:pStyle w:val="HARHeading2"/>
        <w:rPr>
          <w:lang w:val="en-US"/>
        </w:rPr>
      </w:pPr>
      <w:bookmarkStart w:id="22" w:name="_Toc211702559"/>
      <w:r w:rsidRPr="00BB6084">
        <w:rPr>
          <w:lang w:val="en-US"/>
        </w:rPr>
        <w:t>The Data Provenance Initiative</w:t>
      </w:r>
      <w:bookmarkEnd w:id="22"/>
      <w:r>
        <w:rPr>
          <w:lang w:val="en-US"/>
        </w:rPr>
        <w:t xml:space="preserve"> </w:t>
      </w:r>
    </w:p>
    <w:p w14:paraId="2017FAB5" w14:textId="1358C9E4" w:rsidR="00D413BC" w:rsidRPr="00B259A2" w:rsidRDefault="00D413BC" w:rsidP="00456A0B">
      <w:pPr>
        <w:pStyle w:val="HARBodytext"/>
      </w:pPr>
      <w:r>
        <w:rPr>
          <w:lang w:val="en-US"/>
        </w:rPr>
        <w:t>The final scholar’s article to be reviewed is Shayne Longpre et al. In their article, the scholars present over 1,800 text datasets commonly used in AI model training and examine the accuracy of their licensing and attribution.</w:t>
      </w:r>
      <w:r w:rsidR="00777957">
        <w:rPr>
          <w:rStyle w:val="Fotnotsreferens"/>
          <w:lang w:val="en-US"/>
        </w:rPr>
        <w:footnoteReference w:id="19"/>
      </w:r>
      <w:r>
        <w:rPr>
          <w:lang w:val="en-US"/>
        </w:rPr>
        <w:t xml:space="preserve"> The scholars found that around 70% of these datasets had either no license or did not say who originally created the content they included.</w:t>
      </w:r>
      <w:r w:rsidR="000B4D83">
        <w:rPr>
          <w:rStyle w:val="Fotnotsreferens"/>
          <w:lang w:val="en-US"/>
        </w:rPr>
        <w:footnoteReference w:id="20"/>
      </w:r>
      <w:r>
        <w:rPr>
          <w:lang w:val="en-US"/>
        </w:rPr>
        <w:t xml:space="preserve"> Even among the datasets that included licensing terms, many were found to have inaccuracies. These inaccuracies were areas surrounding mislabeled licenses or license types that appeared incompatible with open use.</w:t>
      </w:r>
      <w:r w:rsidR="000B4D83">
        <w:rPr>
          <w:lang w:val="en-US"/>
        </w:rPr>
        <w:t xml:space="preserve"> </w:t>
      </w:r>
      <w:r>
        <w:rPr>
          <w:lang w:val="en-US"/>
        </w:rPr>
        <w:t xml:space="preserve">The scholars argue that these types of licensing gaps create legal and ethical </w:t>
      </w:r>
      <w:r w:rsidR="000B4D83">
        <w:rPr>
          <w:lang w:val="en-US"/>
        </w:rPr>
        <w:t>risks and</w:t>
      </w:r>
      <w:r>
        <w:rPr>
          <w:lang w:val="en-US"/>
        </w:rPr>
        <w:t xml:space="preserve"> specifically state that as large language models rely heavily on third-party consent during training data this further adds to the problem of unauthorized use, potential copyright infringement, and lack of accountability in AI development.</w:t>
      </w:r>
      <w:r w:rsidR="00086CE3">
        <w:rPr>
          <w:rStyle w:val="Fotnotsreferens"/>
          <w:lang w:val="en-US"/>
        </w:rPr>
        <w:footnoteReference w:id="21"/>
      </w:r>
      <w:r w:rsidR="00086CE3">
        <w:rPr>
          <w:lang w:val="en-US"/>
        </w:rPr>
        <w:t xml:space="preserve"> </w:t>
      </w:r>
      <w:r>
        <w:rPr>
          <w:lang w:val="en-US"/>
        </w:rPr>
        <w:t xml:space="preserve">One of the key contributions to the scholar’s paper is the introduction of </w:t>
      </w:r>
      <w:r w:rsidRPr="001B48CD">
        <w:rPr>
          <w:lang w:val="en-US"/>
        </w:rPr>
        <w:t>Data Provenance Explorer</w:t>
      </w:r>
      <w:r>
        <w:rPr>
          <w:lang w:val="en-US"/>
        </w:rPr>
        <w:t>, which is a tool that allows users to trace and inspect the licensing history of AI training datasets. With this tool, it can promote a greater level of transparency and also assist developers in ensuring they are using data that is legally sourced and ultimately reduce the risk of copyright violations.</w:t>
      </w:r>
      <w:r w:rsidR="00D679D9">
        <w:rPr>
          <w:rStyle w:val="Fotnotsreferens"/>
          <w:lang w:val="en-US"/>
        </w:rPr>
        <w:footnoteReference w:id="22"/>
      </w:r>
      <w:r>
        <w:rPr>
          <w:lang w:val="en-US"/>
        </w:rPr>
        <w:t xml:space="preserve"> It is highlighted in the study how opaque and inconsistent data practices can lead to misuse of copyrighted materials, and this can often occur without developers </w:t>
      </w:r>
      <w:proofErr w:type="spellStart"/>
      <w:r>
        <w:rPr>
          <w:lang w:val="en-US"/>
        </w:rPr>
        <w:t>realising</w:t>
      </w:r>
      <w:proofErr w:type="spellEnd"/>
      <w:r>
        <w:rPr>
          <w:lang w:val="en-US"/>
        </w:rPr>
        <w:t xml:space="preserve"> it. The scholars argue that transparency in dataset curation is not just a </w:t>
      </w:r>
      <w:r>
        <w:rPr>
          <w:lang w:val="en-US"/>
        </w:rPr>
        <w:lastRenderedPageBreak/>
        <w:t>technical matter, but rather a mix of legal compliance, ethical responsibility, and trustworthiness in AI development. From this information, the scholars propose an industry-wide adoption of adequate documentation standards and more accurate metadata to ensure that rightsholders are credited and that the datasets adhere to legal licensing requirements.</w:t>
      </w:r>
      <w:r w:rsidR="00D679D9">
        <w:rPr>
          <w:rStyle w:val="Fotnotsreferens"/>
          <w:lang w:val="en-US"/>
        </w:rPr>
        <w:footnoteReference w:id="23"/>
      </w:r>
      <w:r>
        <w:rPr>
          <w:lang w:val="en-US"/>
        </w:rPr>
        <w:t xml:space="preserve"> To conclude Longpre et al., overall perspective, the scholars can be regarded as supporting a broader push in the AI community toward responsible data governance. Accountability begins with knowing exactly what data is being used and how it was obtained.</w:t>
      </w:r>
    </w:p>
    <w:p w14:paraId="006B8643" w14:textId="03D64215" w:rsidR="00901CE9" w:rsidRPr="008A7EB6" w:rsidRDefault="00BC7905" w:rsidP="006737B5">
      <w:pPr>
        <w:pStyle w:val="HARHeading2"/>
      </w:pPr>
      <w:bookmarkStart w:id="23" w:name="_Toc211702560"/>
      <w:r>
        <w:t>Summary and conclusions</w:t>
      </w:r>
      <w:bookmarkEnd w:id="23"/>
    </w:p>
    <w:p w14:paraId="30883CDF" w14:textId="6D61A25E" w:rsidR="0000130D" w:rsidRDefault="0000130D" w:rsidP="00456A0B">
      <w:pPr>
        <w:pStyle w:val="HARBodytext"/>
      </w:pPr>
      <w:r>
        <w:t xml:space="preserve">The three </w:t>
      </w:r>
      <w:r w:rsidR="000C5C48">
        <w:t>studies</w:t>
      </w:r>
      <w:r>
        <w:t xml:space="preserve"> by Adam Buick, Katerine Lee et al., and Shayne Longpre et al., have offered a multilayered insight into understanding copyright and ownership in generative AI. Buick addressed the transparency aspect as an ethical and legal necessity</w:t>
      </w:r>
      <w:r w:rsidR="00201D8C">
        <w:t xml:space="preserve">, </w:t>
      </w:r>
      <w:r>
        <w:t xml:space="preserve">Lee et al., proposed a supply chain model of liability that distributes responsibility throughout various stages of AI development, and Longpre et al., with empirical evidence, illustrated the widespread licensing gaps in training data. </w:t>
      </w:r>
    </w:p>
    <w:p w14:paraId="4A94012C" w14:textId="42106907" w:rsidR="0000130D" w:rsidRDefault="0000130D" w:rsidP="00456A0B">
      <w:pPr>
        <w:pStyle w:val="HARBodytext"/>
      </w:pPr>
      <w:r>
        <w:t xml:space="preserve">Buick`s theoretical argument for transparency aligns with Longpre et al., findings which show that 72.2% of datasets lacked either proper licensing or attribution. In addition, Longpre et al., suggest a practical solution with the previously mentioned </w:t>
      </w:r>
      <w:r w:rsidRPr="00F4739D">
        <w:rPr>
          <w:i/>
          <w:iCs/>
        </w:rPr>
        <w:t>Data Provenance Explorer</w:t>
      </w:r>
      <w:r w:rsidR="00E85A1C">
        <w:t xml:space="preserve">. </w:t>
      </w:r>
      <w:r>
        <w:t xml:space="preserve">In contrast, Lee et al., move away from focusing on the datasets to instead the generative AI development process and argue that liability should be context-specific and placed in accordance with different actors. </w:t>
      </w:r>
    </w:p>
    <w:p w14:paraId="3392DE15" w14:textId="77777777" w:rsidR="00BC7905" w:rsidRDefault="0000130D" w:rsidP="00456A0B">
      <w:pPr>
        <w:pStyle w:val="HARBodytext"/>
        <w:sectPr w:rsidR="00BC7905" w:rsidSect="00825BC5">
          <w:footerReference w:type="default" r:id="rId17"/>
          <w:pgSz w:w="11906" w:h="16838"/>
          <w:pgMar w:top="1418" w:right="2268" w:bottom="1418" w:left="2268" w:header="709" w:footer="709" w:gutter="0"/>
          <w:cols w:space="708"/>
          <w:docGrid w:linePitch="360"/>
        </w:sectPr>
      </w:pPr>
      <w:r>
        <w:t>While both Buick and Longpre et al., argue the issue of transparency and legal compliance, Lee et al., dissect this further and from a different angle by challenging traditional notions of authorship, arguing for collaborative and more distributed contributions to AI outputs. This contrast is essential to remember throughout this thesis, as while transparency and correct data licensing are important, they may not entirely be the solution to resolving disputes over ownership</w:t>
      </w:r>
      <w:r w:rsidR="009D6144" w:rsidRPr="008A7EB6">
        <w:t>.</w:t>
      </w:r>
    </w:p>
    <w:p w14:paraId="066290F2" w14:textId="41474537" w:rsidR="0081012E" w:rsidRDefault="00B6471D" w:rsidP="003F64D8">
      <w:pPr>
        <w:pStyle w:val="HARHeading1"/>
      </w:pPr>
      <w:bookmarkStart w:id="24" w:name="_Toc211702561"/>
      <w:r>
        <w:lastRenderedPageBreak/>
        <w:t xml:space="preserve">How AI </w:t>
      </w:r>
      <w:r w:rsidR="00124019">
        <w:t>uses Training Data</w:t>
      </w:r>
      <w:bookmarkEnd w:id="24"/>
    </w:p>
    <w:p w14:paraId="02AA3BF9" w14:textId="1D33C39A" w:rsidR="00FE73B4" w:rsidRDefault="00FE73B4" w:rsidP="00FE73B4">
      <w:pPr>
        <w:pStyle w:val="HARHeading2"/>
      </w:pPr>
      <w:bookmarkStart w:id="25" w:name="_Toc211702562"/>
      <w:r>
        <w:t>What is Generative AI?</w:t>
      </w:r>
      <w:bookmarkEnd w:id="25"/>
      <w:r>
        <w:t xml:space="preserve"> </w:t>
      </w:r>
    </w:p>
    <w:p w14:paraId="01C6821D" w14:textId="7094DD7E" w:rsidR="002A0EA3" w:rsidRDefault="002A0EA3" w:rsidP="00456A0B">
      <w:pPr>
        <w:pStyle w:val="HARBodytext"/>
      </w:pPr>
      <w:r>
        <w:t xml:space="preserve"> Generative AI can be defined as an artificial intelligence system that can create new content. This content can range from text, images, music, and so on. This is conducted through patterns that were learned from pre-existing datasets. In comparison to traditional AI, which focuses on classification or prediction, generative AI models are programmed to generate unprecedented or novel outputs that resemble the original training data but not identical copies.</w:t>
      </w:r>
      <w:r w:rsidR="005C2513">
        <w:rPr>
          <w:rStyle w:val="Fotnotsreferens"/>
        </w:rPr>
        <w:footnoteReference w:id="24"/>
      </w:r>
      <w:r w:rsidR="005C2513">
        <w:t xml:space="preserve"> </w:t>
      </w:r>
      <w:r>
        <w:t>The models are trained by using various amounts of data and identifying structures, patterns, and correlations that lay within the data to generate content. GPT-</w:t>
      </w:r>
      <w:r w:rsidR="000C674E">
        <w:t>3,</w:t>
      </w:r>
      <w:r>
        <w:t xml:space="preserve"> which is a language model developed by OpenAI, functions by obtaining and learning language patterns from large text corpora and then applies this to generate contextually relevant text.</w:t>
      </w:r>
      <w:r w:rsidR="000C674E">
        <w:rPr>
          <w:rStyle w:val="Fotnotsreferens"/>
        </w:rPr>
        <w:footnoteReference w:id="25"/>
      </w:r>
      <w:r w:rsidR="000C674E">
        <w:t xml:space="preserve"> </w:t>
      </w:r>
      <w:r>
        <w:t>Similar to this, image-generating models like DALL-E use text descriptions to generate detailed and realistic images that are also based on the same underlying methods that the language model runs.</w:t>
      </w:r>
      <w:r w:rsidR="000C674E">
        <w:rPr>
          <w:rStyle w:val="Fotnotsreferens"/>
        </w:rPr>
        <w:footnoteReference w:id="26"/>
      </w:r>
    </w:p>
    <w:p w14:paraId="6A07A550" w14:textId="09C4A8E3" w:rsidR="002A0EA3" w:rsidRDefault="002A0EA3" w:rsidP="00456A0B">
      <w:pPr>
        <w:pStyle w:val="HARBodytext"/>
      </w:pPr>
      <w:r>
        <w:t>Generative AI covers an extensive range of applications. In text-generated works, AI platforms such as GPT-3 can write articles, create poetry, and generate computer code.</w:t>
      </w:r>
      <w:r w:rsidR="00DF20E9">
        <w:rPr>
          <w:rStyle w:val="Fotnotsreferens"/>
        </w:rPr>
        <w:footnoteReference w:id="27"/>
      </w:r>
      <w:r w:rsidR="00DF20E9">
        <w:t xml:space="preserve"> </w:t>
      </w:r>
      <w:r>
        <w:t>In the fine arts realm, AI can generate artwork from written prompts. This action can unravel unprecedented possibilities for creative expression and design.</w:t>
      </w:r>
      <w:r w:rsidR="00962655">
        <w:rPr>
          <w:rStyle w:val="Fotnotsreferens"/>
        </w:rPr>
        <w:footnoteReference w:id="28"/>
      </w:r>
      <w:r>
        <w:t xml:space="preserve"> Notwithstanding the potential, generative AI brings forth questions concerning copyright and ownership, particularly when AI models use human-created content during the training phase since the AI models learn from existing copyrighted works which leads to the question of who owns the generated content and </w:t>
      </w:r>
      <w:r w:rsidR="003D0B2C">
        <w:t xml:space="preserve">whether </w:t>
      </w:r>
      <w:r>
        <w:t xml:space="preserve">creators of the original works be credited or compensated. </w:t>
      </w:r>
    </w:p>
    <w:p w14:paraId="252EFF0C" w14:textId="06D982B2" w:rsidR="002A0EA3" w:rsidRDefault="002A0EA3" w:rsidP="00456A0B">
      <w:pPr>
        <w:pStyle w:val="HARBodytext"/>
      </w:pPr>
      <w:r>
        <w:t>In addition, generative AI holds the capacity to generate realistic content, which has downsides around deepfakes. This also adds to the ethical and legal issues surrounding generative AI as the risk of deception and privacy violations is heightened.</w:t>
      </w:r>
      <w:r w:rsidR="003E50AC">
        <w:rPr>
          <w:rStyle w:val="Fotnotsreferens"/>
        </w:rPr>
        <w:footnoteReference w:id="29"/>
      </w:r>
      <w:r>
        <w:t xml:space="preserve"> This issue highlights the necessity of a regulatory framework that can focus on both the potential harms and opportunities that AI can create. </w:t>
      </w:r>
    </w:p>
    <w:p w14:paraId="3C12564D" w14:textId="14F6E4E5" w:rsidR="002A0EA3" w:rsidRDefault="002A0EA3" w:rsidP="00456A0B">
      <w:pPr>
        <w:pStyle w:val="HARBodytext"/>
      </w:pPr>
      <w:r>
        <w:t xml:space="preserve">To summarise, generative AI refers to systems capable of generating new content by learning from various datasets. Applications such as ChatGPT (based on GPT-3) and DALL-E create new material that reflects human creativity by identifying patterns in the inputted training data. It is acknowledged that this process can produce </w:t>
      </w:r>
      <w:r>
        <w:lastRenderedPageBreak/>
        <w:t xml:space="preserve">positive outcomes for creative </w:t>
      </w:r>
      <w:r w:rsidR="00BF26E0">
        <w:t>industries,</w:t>
      </w:r>
      <w:r>
        <w:t xml:space="preserve"> but </w:t>
      </w:r>
      <w:r w:rsidR="00BF26E0">
        <w:t xml:space="preserve">it </w:t>
      </w:r>
      <w:r>
        <w:t>raises questions surrounding copyright and ownership.</w:t>
      </w:r>
      <w:r w:rsidR="005474AA">
        <w:rPr>
          <w:rStyle w:val="Fotnotsreferens"/>
        </w:rPr>
        <w:footnoteReference w:id="30"/>
      </w:r>
      <w:r>
        <w:t xml:space="preserve"> Alongside these legal issues, ethical issues can arise from the generative AI`s ability to create deepfakes.</w:t>
      </w:r>
      <w:r w:rsidR="005474AA">
        <w:rPr>
          <w:rStyle w:val="Fotnotsreferens"/>
        </w:rPr>
        <w:footnoteReference w:id="31"/>
      </w:r>
      <w:r>
        <w:t xml:space="preserve"> This is a snippet of the significance of reforming the legal realm for both the positive and innovative side of AI and the negative detrimental side of AI. To dismantle these challenges in-depth, the following section addresses how training data is implemented in generative AI and the implications this creates surrounding copyright law. </w:t>
      </w:r>
    </w:p>
    <w:p w14:paraId="4CBD468F" w14:textId="6E5B93A9" w:rsidR="00DD6121" w:rsidRPr="00872517" w:rsidRDefault="00DD6121" w:rsidP="00456A0B">
      <w:pPr>
        <w:pStyle w:val="HARHeading2"/>
      </w:pPr>
      <w:bookmarkStart w:id="26" w:name="_Toc211702563"/>
      <w:r w:rsidRPr="00872517">
        <w:t>What is Training Data?</w:t>
      </w:r>
      <w:bookmarkEnd w:id="26"/>
    </w:p>
    <w:p w14:paraId="03B467FA" w14:textId="4409661A" w:rsidR="004F2F8B" w:rsidRPr="00456A0B" w:rsidRDefault="004F2F8B" w:rsidP="00456A0B">
      <w:pPr>
        <w:pStyle w:val="HARBodytext"/>
      </w:pPr>
      <w:r w:rsidRPr="00456A0B">
        <w:t>Training data is the datasets used to train AI systems how to observe patterns and generate outputs. In generative AI, the data collected is usually texts, images, audio, or video that the system analyses to learn structures and familiarity within the content.</w:t>
      </w:r>
      <w:r w:rsidR="002A1810">
        <w:rPr>
          <w:rStyle w:val="Fotnotsreferens"/>
        </w:rPr>
        <w:footnoteReference w:id="32"/>
      </w:r>
      <w:r w:rsidR="002A1810">
        <w:t xml:space="preserve"> </w:t>
      </w:r>
      <w:r w:rsidRPr="00456A0B">
        <w:t>Unlike traditional programs that follow fixed rules, generative AI does not solely store and repeat information, rather it learns patterns from the data and functions on the knowledge given to output new content that is alike but not identical.</w:t>
      </w:r>
      <w:r w:rsidR="002A1810">
        <w:rPr>
          <w:rStyle w:val="Fotnotsreferens"/>
        </w:rPr>
        <w:footnoteReference w:id="33"/>
      </w:r>
      <w:r w:rsidRPr="00456A0B">
        <w:t xml:space="preserve"> An example of this is large language models like GPT-3 that are trained on extensive text corpora such as books, articles, and websites, which aids generative AI </w:t>
      </w:r>
      <w:r w:rsidR="002A1810">
        <w:t>in</w:t>
      </w:r>
      <w:r w:rsidRPr="00456A0B">
        <w:t xml:space="preserve"> comprehend</w:t>
      </w:r>
      <w:r w:rsidR="002A1810">
        <w:t>ing</w:t>
      </w:r>
      <w:r w:rsidRPr="00456A0B">
        <w:t xml:space="preserve"> syntax, grammar, and overall context.</w:t>
      </w:r>
      <w:r w:rsidR="006B3724">
        <w:rPr>
          <w:rStyle w:val="Fotnotsreferens"/>
        </w:rPr>
        <w:footnoteReference w:id="34"/>
      </w:r>
      <w:r w:rsidRPr="00456A0B">
        <w:t xml:space="preserve"> Models, such as DALL-E, that output images use various images and captions to associate visual aspects with descriptive language. The main contributor to this process is the quality and diversity of the training data that aims to produce realistic outputs</w:t>
      </w:r>
      <w:r w:rsidR="0038022B">
        <w:t>.</w:t>
      </w:r>
      <w:r w:rsidR="0038022B">
        <w:rPr>
          <w:rStyle w:val="Fotnotsreferens"/>
        </w:rPr>
        <w:footnoteReference w:id="35"/>
      </w:r>
    </w:p>
    <w:p w14:paraId="3B059AFE" w14:textId="1F624D72" w:rsidR="004F2F8B" w:rsidRPr="00456A0B" w:rsidRDefault="004F2F8B" w:rsidP="00456A0B">
      <w:pPr>
        <w:pStyle w:val="HARBodytext"/>
      </w:pPr>
      <w:r w:rsidRPr="00456A0B">
        <w:t>However, large amounts of data are taken from online sources that include copyrighted material and are often used without the consent of the rights holder.</w:t>
      </w:r>
      <w:r w:rsidR="0038022B">
        <w:rPr>
          <w:rStyle w:val="Fotnotsreferens"/>
        </w:rPr>
        <w:footnoteReference w:id="36"/>
      </w:r>
      <w:r w:rsidR="007405DD">
        <w:t xml:space="preserve"> </w:t>
      </w:r>
      <w:r w:rsidRPr="00456A0B">
        <w:t xml:space="preserve">This omission leads to questions about legal and ethical issues in terms of rightful ownership and fair compensation.  AI currently continues to depend on human-created content which can emphasise how the role of training data is key to conflicts surrounding ownership and fairness in AI development. </w:t>
      </w:r>
    </w:p>
    <w:p w14:paraId="4A90B9C4" w14:textId="2A194599" w:rsidR="005804EE" w:rsidRDefault="005804EE" w:rsidP="005804EE">
      <w:pPr>
        <w:pStyle w:val="HARHeading2"/>
      </w:pPr>
      <w:bookmarkStart w:id="27" w:name="_Toc211702564"/>
      <w:r>
        <w:t>Sources of Training Data</w:t>
      </w:r>
      <w:bookmarkEnd w:id="27"/>
    </w:p>
    <w:p w14:paraId="2D33711E" w14:textId="3B0B8296" w:rsidR="005804EE" w:rsidRPr="00BE7F5E" w:rsidRDefault="005804EE" w:rsidP="003A0797">
      <w:pPr>
        <w:pStyle w:val="HARBodytext"/>
      </w:pPr>
      <w:r>
        <w:t xml:space="preserve">The quality and variety of training data have a direct effect on how generative AI models produce work. As a result, developers seek out large-scale datasets that are diverse and </w:t>
      </w:r>
      <w:r w:rsidR="002C3058">
        <w:t>information heavy</w:t>
      </w:r>
      <w:r>
        <w:t>.  The datasets can vary globally and include digital books, online encyclopaedias, user-generated content, academic publications, and images from the web.</w:t>
      </w:r>
      <w:r w:rsidR="008912A9">
        <w:rPr>
          <w:rStyle w:val="Fotnotsreferens"/>
        </w:rPr>
        <w:footnoteReference w:id="37"/>
      </w:r>
      <w:r w:rsidR="008912A9">
        <w:t xml:space="preserve"> </w:t>
      </w:r>
      <w:r>
        <w:t xml:space="preserve">Some datasets are specifically curated for AI training, such as </w:t>
      </w:r>
      <w:r w:rsidRPr="00C47854">
        <w:rPr>
          <w:i/>
          <w:iCs/>
        </w:rPr>
        <w:t>The Pile,</w:t>
      </w:r>
      <w:r>
        <w:t xml:space="preserve"> which is a collection of diverse texts, or </w:t>
      </w:r>
      <w:r w:rsidRPr="00752506">
        <w:rPr>
          <w:i/>
          <w:iCs/>
        </w:rPr>
        <w:t>C4</w:t>
      </w:r>
      <w:r>
        <w:rPr>
          <w:i/>
          <w:iCs/>
        </w:rPr>
        <w:t xml:space="preserve">, </w:t>
      </w:r>
      <w:r>
        <w:t xml:space="preserve">which compiles large </w:t>
      </w:r>
      <w:r>
        <w:lastRenderedPageBreak/>
        <w:t>amounts of publicly available text.</w:t>
      </w:r>
      <w:r w:rsidR="004B1473">
        <w:rPr>
          <w:rStyle w:val="Fotnotsreferens"/>
        </w:rPr>
        <w:footnoteReference w:id="38"/>
      </w:r>
      <w:r>
        <w:t xml:space="preserve"> Whereas other datasets such as </w:t>
      </w:r>
      <w:r w:rsidRPr="00D9062E">
        <w:rPr>
          <w:i/>
          <w:iCs/>
        </w:rPr>
        <w:t>LAION-5B</w:t>
      </w:r>
      <w:r>
        <w:t xml:space="preserve">, operate by automatically collecting content from platforms like </w:t>
      </w:r>
      <w:r w:rsidRPr="00D9062E">
        <w:rPr>
          <w:i/>
          <w:iCs/>
        </w:rPr>
        <w:t>Flickr</w:t>
      </w:r>
      <w:r>
        <w:t xml:space="preserve">. </w:t>
      </w:r>
      <w:r w:rsidRPr="00BE7F5E">
        <w:rPr>
          <w:i/>
          <w:iCs/>
        </w:rPr>
        <w:t xml:space="preserve">LAION </w:t>
      </w:r>
      <w:r>
        <w:t>scraps datasets from image-hosting sites using web crawlers, and this practice is often carried out without the consent of the original creators.</w:t>
      </w:r>
      <w:r w:rsidR="004B1473">
        <w:rPr>
          <w:rStyle w:val="Fotnotsreferens"/>
        </w:rPr>
        <w:footnoteReference w:id="39"/>
      </w:r>
      <w:r>
        <w:t xml:space="preserve"> The process of dataset construction often blurs the line between public access and lawful use. Openly available data online does not always constitute legal authorisation for reuse, specifically for commercial AI training. This results in datasets lacking clear documentation on what was included, where it derived from, or whether permission was obtained. This lack of transparency contributes to what Longpre et al. 2023 describe as “data provenance debt”, an evolving disconnect between data usage and accountability.</w:t>
      </w:r>
      <w:r w:rsidR="00DC1548">
        <w:rPr>
          <w:rStyle w:val="Fotnotsreferens"/>
        </w:rPr>
        <w:footnoteReference w:id="40"/>
      </w:r>
    </w:p>
    <w:p w14:paraId="2470D221" w14:textId="07F93D05" w:rsidR="005804EE" w:rsidRDefault="005804EE" w:rsidP="003A0797">
      <w:pPr>
        <w:pStyle w:val="HARBodytext"/>
      </w:pPr>
      <w:r>
        <w:t>A better understanding of these sources for training data is essential because they do not exclusively determine what AI generates, but also carry implications surrounding bias, representation fairness, and legal exposure. The nature of the training data mirrors the social, cultural, and legal assumptions engraved within, which can influence the output and the risks surrounding generative AI models. Understanding the operations of training data is fundamental for taking the first step in addressing how human-created content within these datasets intersects with ownership within copyright law.</w:t>
      </w:r>
    </w:p>
    <w:p w14:paraId="173A10CF" w14:textId="62409954" w:rsidR="005804EE" w:rsidRDefault="005804EE" w:rsidP="003574AE">
      <w:pPr>
        <w:pStyle w:val="HARHeading2"/>
      </w:pPr>
      <w:bookmarkStart w:id="28" w:name="_Toc211702565"/>
      <w:r>
        <w:t>Human-Created Content and Copyright Concerns</w:t>
      </w:r>
      <w:bookmarkEnd w:id="28"/>
    </w:p>
    <w:p w14:paraId="29A3A05B" w14:textId="7C5B8F3F" w:rsidR="005804EE" w:rsidRDefault="005804EE" w:rsidP="00456A0B">
      <w:pPr>
        <w:pStyle w:val="HARBodytext"/>
      </w:pPr>
      <w:r>
        <w:t>As previously discussed, generative AI models are heavily reliant on pre-existing human-created work, some of which is copyrighted material. This dependency on human-created content has formed significant questions surrounding how copyright law applies to AI-generated output. A notable concern is the issue of whether AI`s use of copyright materials can be justified under current copyright exceptions. Under EU law, copyright protection extends to any original work, including literary, artistic, and musical creations, which are automatically protected once they are created and fixed in a tangible medium.</w:t>
      </w:r>
      <w:r w:rsidR="005E364D">
        <w:rPr>
          <w:rStyle w:val="Fotnotsreferens"/>
        </w:rPr>
        <w:footnoteReference w:id="41"/>
      </w:r>
      <w:r>
        <w:t xml:space="preserve"> From this protection, creators are granted exclusive rights to use, distribute, and authorise the use of their works. Even though, as previously discussed, AI models often learn from datasets that contain large amounts of copyrighted material, and this is where it is questioned whether such use constitutes infringement. </w:t>
      </w:r>
    </w:p>
    <w:p w14:paraId="3DF00F0E" w14:textId="4351F785" w:rsidR="005804EE" w:rsidRDefault="005804EE" w:rsidP="00456A0B">
      <w:pPr>
        <w:pStyle w:val="HARBodytext"/>
      </w:pPr>
      <w:r>
        <w:t>Under EU law, the use of copyrighted works for AI training could potentially fall under the TDM</w:t>
      </w:r>
      <w:r w:rsidR="00FA0E82">
        <w:t xml:space="preserve"> </w:t>
      </w:r>
      <w:r>
        <w:t>exceptions</w:t>
      </w:r>
      <w:r w:rsidR="00B478DF">
        <w:t>.</w:t>
      </w:r>
      <w:r w:rsidR="00B478DF">
        <w:rPr>
          <w:rStyle w:val="Fotnotsreferens"/>
        </w:rPr>
        <w:footnoteReference w:id="42"/>
      </w:r>
      <w:r w:rsidR="00B478DF">
        <w:t xml:space="preserve"> </w:t>
      </w:r>
      <w:r>
        <w:t xml:space="preserve">This exception permits the use of copyrighted material in specific circumstances for research and analysis once it is conducted free from commercial intent and by entities that have lawful access to the data. It can be </w:t>
      </w:r>
      <w:r>
        <w:lastRenderedPageBreak/>
        <w:t>regarded as a grey area because these exceptions do not automatically extend to all AI training scenarios. Additionally, when training data involves the reproduction of copyrighted works on a large scale like generative AI models, the boundaries and limits of these exceptions are often unclear.</w:t>
      </w:r>
      <w:r w:rsidR="00B9303F">
        <w:rPr>
          <w:rStyle w:val="Fotnotsreferens"/>
        </w:rPr>
        <w:footnoteReference w:id="43"/>
      </w:r>
      <w:r>
        <w:t xml:space="preserve"> As mentioned, the grey area is enhanced in situations where the AI systems are trained by datasets that contain copyrighted works, which makes it difficult for creators to assert their rights and ultimately leads to the potential for copyright infringement.</w:t>
      </w:r>
      <w:r w:rsidR="00B93FE8">
        <w:t xml:space="preserve"> </w:t>
      </w:r>
      <w:r>
        <w:t>Therefore, as generative AI progresses, it is of paramount importance to assess whether EU law is adequately addressing the challenges presented by generative AI with the potential for legal reform if the rights of the original copyright holders are not being met.</w:t>
      </w:r>
    </w:p>
    <w:p w14:paraId="3D7E578A" w14:textId="34632628" w:rsidR="005804EE" w:rsidRDefault="005804EE" w:rsidP="002F7A7A">
      <w:pPr>
        <w:pStyle w:val="HARHeading2"/>
      </w:pPr>
      <w:bookmarkStart w:id="29" w:name="_Toc211702566"/>
      <w:r>
        <w:t>Implications for Creators and the Need for Transparency</w:t>
      </w:r>
      <w:bookmarkEnd w:id="29"/>
      <w:r>
        <w:t xml:space="preserve"> </w:t>
      </w:r>
    </w:p>
    <w:p w14:paraId="675621F2" w14:textId="14EAAFEE" w:rsidR="005804EE" w:rsidRDefault="005804EE" w:rsidP="00456A0B">
      <w:pPr>
        <w:pStyle w:val="HARBodytext"/>
      </w:pPr>
      <w:r>
        <w:t>The widespread use of copyrighted content in AI training poses serious implications for creators surrounding issues of recognition, consent, and compensation. When rightsholders find their work included in large datasets without their consent, it challenges the core principles of EU copyright law, which also protects moral rights such as attribution and the right to control the use of such work.</w:t>
      </w:r>
      <w:r w:rsidR="00FA3D83">
        <w:rPr>
          <w:rStyle w:val="Fotnotsreferens"/>
        </w:rPr>
        <w:footnoteReference w:id="44"/>
      </w:r>
      <w:r w:rsidR="00FA3D83">
        <w:t xml:space="preserve"> </w:t>
      </w:r>
      <w:r>
        <w:t>The lack of recognition for rightsholders poses a threat on a personal level, alongside the threat to the innovative and creative landscape.</w:t>
      </w:r>
    </w:p>
    <w:p w14:paraId="6E613A4C" w14:textId="0B5E3F6D" w:rsidR="005804EE" w:rsidRDefault="005804EE" w:rsidP="00456A0B">
      <w:pPr>
        <w:pStyle w:val="HARBodytext"/>
      </w:pPr>
      <w:r>
        <w:t>One solution to this challenge is the request for transparency in AI development. The EU AI Act and the Copyright Directive reflect this by requiring providers of general-purpose AI systems to sufficiently disclose detailed summaries of the content used in training datasets.</w:t>
      </w:r>
      <w:r w:rsidR="003D5FD2">
        <w:rPr>
          <w:rStyle w:val="Fotnotsreferens"/>
        </w:rPr>
        <w:footnoteReference w:id="45"/>
      </w:r>
      <w:r>
        <w:t xml:space="preserve"> The EU AI Act defines general-purpose AI as one that is trained by large datasets, often using self-supervision, that can perform a wide range of different tasks and be integrated into many different applications, except when used solely for research, development, or prototyping before being put on the market.</w:t>
      </w:r>
      <w:r w:rsidR="00193E42">
        <w:rPr>
          <w:rStyle w:val="Fotnotsreferens"/>
        </w:rPr>
        <w:footnoteReference w:id="46"/>
      </w:r>
      <w:r>
        <w:t xml:space="preserve"> While transparency can aid rightsholders in identifying when and how their work has been used, the effectiveness of transparency is dependent on the quality and accessibility of the information disclosed. In the absence of sufficient transparency, rightsholders are left unable to determine if their work has been infringed and whether they are entitled to compensation.</w:t>
      </w:r>
    </w:p>
    <w:p w14:paraId="0A16157D" w14:textId="0BF1FD30" w:rsidR="000949BB" w:rsidRDefault="005804EE" w:rsidP="00456A0B">
      <w:pPr>
        <w:pStyle w:val="HARBodytext"/>
        <w:rPr>
          <w:color w:val="000000" w:themeColor="text1"/>
        </w:rPr>
        <w:sectPr w:rsidR="000949BB" w:rsidSect="00825BC5">
          <w:pgSz w:w="11906" w:h="16838"/>
          <w:pgMar w:top="1418" w:right="2268" w:bottom="1418" w:left="2268" w:header="709" w:footer="709" w:gutter="0"/>
          <w:cols w:space="708"/>
          <w:docGrid w:linePitch="360"/>
        </w:sectPr>
      </w:pPr>
      <w:r>
        <w:t xml:space="preserve">This chapter has examined the mechanics of generative AI and the complexities surrounding training data and consequently established the legal and ethical stakes for rightsholders. It has sought to create the baseline for inquiring into how EU copyright law should adapt to preserve the rights of original creators of works whilst simultaneously enabling responsible innovation in the digital landscape. The basics of how generative AI relies on human-created content have aimed to provide a better </w:t>
      </w:r>
      <w:r>
        <w:lastRenderedPageBreak/>
        <w:t>understanding</w:t>
      </w:r>
      <w:r w:rsidR="00C14A36">
        <w:t xml:space="preserve"> </w:t>
      </w:r>
      <w:r w:rsidR="00C24998">
        <w:t xml:space="preserve">of how the </w:t>
      </w:r>
      <w:r w:rsidR="00D8434F">
        <w:t xml:space="preserve">EU </w:t>
      </w:r>
      <w:r w:rsidR="00957A6C">
        <w:t xml:space="preserve">operates </w:t>
      </w:r>
      <w:r w:rsidR="00F32C9E">
        <w:t>d</w:t>
      </w:r>
      <w:r w:rsidR="008C2D65">
        <w:t>atabase rights and their ex</w:t>
      </w:r>
      <w:r w:rsidR="00F32C9E">
        <w:t>ceptions which will now be discussed in chapter 4.</w:t>
      </w:r>
    </w:p>
    <w:p w14:paraId="1CF925FA" w14:textId="66D6CDD6" w:rsidR="0041598D" w:rsidRDefault="0041598D" w:rsidP="0041598D">
      <w:pPr>
        <w:pStyle w:val="HARHeading1"/>
      </w:pPr>
      <w:bookmarkStart w:id="30" w:name="_Toc211702567"/>
      <w:r>
        <w:lastRenderedPageBreak/>
        <w:t>Database Rights and Moral Rights</w:t>
      </w:r>
      <w:bookmarkEnd w:id="30"/>
    </w:p>
    <w:p w14:paraId="1D32B287" w14:textId="0924F3DD" w:rsidR="0041598D" w:rsidRPr="00934DA4" w:rsidRDefault="0041598D" w:rsidP="0041598D">
      <w:pPr>
        <w:pStyle w:val="HARHeading2"/>
      </w:pPr>
      <w:bookmarkStart w:id="31" w:name="_Toc211702568"/>
      <w:r w:rsidRPr="00934DA4">
        <w:t>The EU Database Directive: Ownership and Relevance to AI Training</w:t>
      </w:r>
      <w:bookmarkEnd w:id="31"/>
      <w:r w:rsidRPr="00934DA4">
        <w:t xml:space="preserve"> </w:t>
      </w:r>
    </w:p>
    <w:p w14:paraId="022FD1A8" w14:textId="61D119FB" w:rsidR="0041598D" w:rsidRPr="00934DA4" w:rsidRDefault="0041598D" w:rsidP="00456A0B">
      <w:pPr>
        <w:pStyle w:val="HARBodytext"/>
      </w:pPr>
      <w:r w:rsidRPr="00934DA4">
        <w:t xml:space="preserve">This section will address the first research question by exploring how the EU Database Directive defines ownership and protection of databases and further examine the effectiveness of these provisions in regulating the use of database content in AI training. Copyright protection for original databases and sui generis protection for database makers who invest a substantial amount in creating their work are protected under Directive 96/9/EC. Copyright will only be applicable if the database can show originality in the selection or arrangement of its content, as stated in the case, Football </w:t>
      </w:r>
      <w:proofErr w:type="spellStart"/>
      <w:r w:rsidRPr="00934DA4">
        <w:t>Dataco</w:t>
      </w:r>
      <w:proofErr w:type="spellEnd"/>
      <w:r w:rsidRPr="00934DA4">
        <w:t xml:space="preserve"> Ltd v Yahoo! UK Ltd</w:t>
      </w:r>
      <w:r w:rsidR="007631D1">
        <w:rPr>
          <w:rStyle w:val="Fotnotsreferens"/>
        </w:rPr>
        <w:footnoteReference w:id="47"/>
      </w:r>
      <w:r w:rsidRPr="00934DA4">
        <w:t>, where the must work reflect the author`s own intellectual creation. However, it is possible for many datasets used in AI training to not meet this requirement and consequently fall outside copyright protection. This is another situation of data being scraped online.</w:t>
      </w:r>
    </w:p>
    <w:p w14:paraId="14BEA65E" w14:textId="61620002" w:rsidR="0041598D" w:rsidRPr="00934DA4" w:rsidRDefault="0041598D" w:rsidP="00456A0B">
      <w:pPr>
        <w:pStyle w:val="HARBodytext"/>
      </w:pPr>
      <w:r w:rsidRPr="00934DA4">
        <w:t>If the database is not protected by copyright, sui generis protection could be applicable, which grants exclusive rights to the database maker to prevent the extraction or re-utilisation of a substantial part of the contents.</w:t>
      </w:r>
      <w:r w:rsidR="00646347">
        <w:rPr>
          <w:rStyle w:val="Fotnotsreferens"/>
        </w:rPr>
        <w:footnoteReference w:id="48"/>
      </w:r>
      <w:r w:rsidR="00646347">
        <w:t xml:space="preserve"> </w:t>
      </w:r>
      <w:r w:rsidRPr="00934DA4">
        <w:t>Economic investment is the subject matter being protected when the sui generis right is applied. It is aimed at protecting investment in obtaining, verifying, or presenting the database`s contents</w:t>
      </w:r>
      <w:r w:rsidR="00900612">
        <w:t xml:space="preserve"> and is</w:t>
      </w:r>
      <w:r w:rsidRPr="00934DA4">
        <w:t xml:space="preserve"> relevant to AI developers who repurpose web-scale data collections. Albeit the application of these rights to AI training is debated among scholars. </w:t>
      </w:r>
      <w:r w:rsidR="00274CB2">
        <w:t>D</w:t>
      </w:r>
      <w:r w:rsidRPr="00934DA4">
        <w:t>atasets assembled for machine learning often lack the structured, curated format typical of traditional databases, and may fall outside the scope of Directive 96/9/EC.</w:t>
      </w:r>
      <w:r w:rsidR="00274CB2">
        <w:rPr>
          <w:rStyle w:val="Fotnotsreferens"/>
        </w:rPr>
        <w:footnoteReference w:id="49"/>
      </w:r>
      <w:r w:rsidRPr="00934DA4">
        <w:t xml:space="preserve"> Additionally, web-crawled data tends to be assembled from disparate sources without the type of investment the sui generis right aims to protect.</w:t>
      </w:r>
      <w:r w:rsidR="00274CB2">
        <w:rPr>
          <w:rStyle w:val="Fotnotsreferens"/>
        </w:rPr>
        <w:footnoteReference w:id="50"/>
      </w:r>
      <w:r w:rsidRPr="00934DA4">
        <w:t xml:space="preserve"> However, when datasets used in AI training are extracted from structured online databases, such as scientific repositories or curated archives, the sui generis right could be argued since the extraction of a substantial portion of content without authorisation could equal infringement regardless of the data itself not being copyrighted.</w:t>
      </w:r>
      <w:r w:rsidR="009A2E5A">
        <w:rPr>
          <w:rStyle w:val="Fotnotsreferens"/>
        </w:rPr>
        <w:footnoteReference w:id="51"/>
      </w:r>
      <w:r w:rsidRPr="00934DA4">
        <w:t xml:space="preserve"> These speculations mirror the first research question in the thesis</w:t>
      </w:r>
      <w:r w:rsidR="00963595">
        <w:t xml:space="preserve"> </w:t>
      </w:r>
      <w:r w:rsidR="00C54E3E">
        <w:t>on h</w:t>
      </w:r>
      <w:r w:rsidRPr="00934DA4">
        <w:t xml:space="preserve">ow current EU copyright and database laws regulate the use of content in AI training. Directive 96/9/EC could be argued to provide an additional layer of protection to database creators whose structured data is used in AI training without consent. However, the lines appear blurred between a protected database and a loosely structured dataset, creating legal ambiguity. Alongside this, Article 9 of the </w:t>
      </w:r>
      <w:r w:rsidRPr="00934DA4">
        <w:lastRenderedPageBreak/>
        <w:t xml:space="preserve">Directive permits users of a database to extract or reutilise insubstantial parts of its contents for any purpose. </w:t>
      </w:r>
    </w:p>
    <w:p w14:paraId="245502E0" w14:textId="37C087CD" w:rsidR="0041598D" w:rsidRDefault="0041598D" w:rsidP="00456A0B">
      <w:pPr>
        <w:pStyle w:val="HARBodytext"/>
      </w:pPr>
      <w:r w:rsidRPr="00934DA4">
        <w:t xml:space="preserve">From the above, it is submitted that while Directive 96/9/EC aims to offer protection for content holders, its practical application towards AI training remains ambiguous regarding its true effectiveness. This query also relates to the second research question, “Are existing legal frameworks sufficient, or do they undermine creator rights?”. If database makers are unable to prevent automated extraction for AI purposes </w:t>
      </w:r>
      <w:proofErr w:type="gramStart"/>
      <w:r w:rsidRPr="00934DA4">
        <w:t>as a result of</w:t>
      </w:r>
      <w:proofErr w:type="gramEnd"/>
      <w:r w:rsidRPr="00934DA4">
        <w:t xml:space="preserve"> vague definitions and enforcement difficulties, the legal frameworks at present appear to fall short of offering meaningful protection in their practical application.</w:t>
      </w:r>
    </w:p>
    <w:p w14:paraId="6C5C0A50" w14:textId="2D5329F2" w:rsidR="0041598D" w:rsidRDefault="0041598D" w:rsidP="0041598D">
      <w:pPr>
        <w:pStyle w:val="HARHeading2"/>
      </w:pPr>
      <w:r>
        <w:t xml:space="preserve"> </w:t>
      </w:r>
      <w:bookmarkStart w:id="32" w:name="_Toc211702569"/>
      <w:r>
        <w:t>Moral Rights</w:t>
      </w:r>
      <w:bookmarkEnd w:id="32"/>
    </w:p>
    <w:p w14:paraId="23F1E163" w14:textId="13CBBF5C" w:rsidR="0041598D" w:rsidRDefault="0041598D" w:rsidP="00456A0B">
      <w:pPr>
        <w:pStyle w:val="HARBodytext"/>
      </w:pPr>
      <w:r>
        <w:t>This section focuses on the second research question surrounding EU copyright and TDM exceptions and whether they adequately protect creators` rights. It also paves the way for the third research question by exploring the potential role of moral rights in future legal reforms to ensure fair attribution and recognition. Moral rights are enshrined within copyright law and are separate from economic rights as they aim to protect the personal and reputational connection between an author and their work. This is found in Article 6bis of the Berne Convention and is implemented in several national laws of the EU Member States. Specifically, the right of attribution (to be identified as the author) and the right of integrity (to object to derogatory treatment of the work) will be relevant henceforth.</w:t>
      </w:r>
      <w:r w:rsidR="00E1619F">
        <w:rPr>
          <w:rStyle w:val="Fotnotsreferens"/>
        </w:rPr>
        <w:footnoteReference w:id="52"/>
      </w:r>
      <w:r>
        <w:t xml:space="preserve"> </w:t>
      </w:r>
    </w:p>
    <w:p w14:paraId="116054C1" w14:textId="67796E00" w:rsidR="0041598D" w:rsidRDefault="0041598D" w:rsidP="00456A0B">
      <w:pPr>
        <w:pStyle w:val="HARBodytext"/>
      </w:pPr>
      <w:r>
        <w:t xml:space="preserve">The EU focuses primarily on economic rights, such as </w:t>
      </w:r>
      <w:r w:rsidR="005A1C4C">
        <w:t>the Infosoc Directive</w:t>
      </w:r>
      <w:r>
        <w:t>, yet moral rights are to be continuously applied under national law as stated in Recital 19:</w:t>
      </w:r>
    </w:p>
    <w:p w14:paraId="37A03606" w14:textId="77777777" w:rsidR="0041598D" w:rsidRDefault="0041598D" w:rsidP="005F4BEE">
      <w:pPr>
        <w:pStyle w:val="HARBlockquote"/>
      </w:pPr>
      <w:r>
        <w:t xml:space="preserve">“The moral rights of rightsholders should be exercised according to the legislation of the Member States and the provisions of the Berne Convention… Such moral rights remain outside the scope of this Directive”. </w:t>
      </w:r>
    </w:p>
    <w:p w14:paraId="3529BA89" w14:textId="343CE131" w:rsidR="0041598D" w:rsidRDefault="0041598D" w:rsidP="00456A0B">
      <w:pPr>
        <w:pStyle w:val="HARBodytext"/>
      </w:pPr>
      <w:r>
        <w:t>This feature of EU law where Directives do not have direct effect leads to inconsistency among Member States which can be seen in countries such as France having strong moral rights relating to copyright concerns compared to Ireland.</w:t>
      </w:r>
      <w:r w:rsidR="00D735D9">
        <w:rPr>
          <w:rStyle w:val="Fotnotsreferens"/>
        </w:rPr>
        <w:footnoteReference w:id="53"/>
      </w:r>
    </w:p>
    <w:p w14:paraId="1CE5F76F" w14:textId="5C685ED4" w:rsidR="0041598D" w:rsidRDefault="0041598D" w:rsidP="00456A0B">
      <w:pPr>
        <w:pStyle w:val="HARBodytext"/>
      </w:pPr>
      <w:r>
        <w:t>The right of attribution concerning AI training is paramount for the second research question in this thesis. The moral rights of authors, when generative AI systems are trained on human-created works, are argued to be infringed when the authors are absent from granting permission, being named, or acknowledged. The models used for the AI training have shown to not trace outputs to inputs, inputs here being the author’s work.</w:t>
      </w:r>
      <w:r w:rsidR="00311226">
        <w:rPr>
          <w:rStyle w:val="Fotnotsreferens"/>
        </w:rPr>
        <w:footnoteReference w:id="54"/>
      </w:r>
      <w:r>
        <w:t xml:space="preserve"> Therefore, this may conclude as a violation of Article 6bis of the Berne Convention which guarantees attribution regardless of economic use. </w:t>
      </w:r>
      <w:r>
        <w:lastRenderedPageBreak/>
        <w:t xml:space="preserve">However, AI-generated works are generally not considered as adaptions or derivative works which can result in enforcement remaining obscure. </w:t>
      </w:r>
    </w:p>
    <w:p w14:paraId="10A616C9" w14:textId="48EB52BE" w:rsidR="0041598D" w:rsidRDefault="0041598D" w:rsidP="00456A0B">
      <w:pPr>
        <w:pStyle w:val="HARBodytext"/>
      </w:pPr>
      <w:r>
        <w:t xml:space="preserve">Under Articles 3 and 4 of the </w:t>
      </w:r>
      <w:r w:rsidR="005F4BEE">
        <w:t>DSM</w:t>
      </w:r>
      <w:r>
        <w:t xml:space="preserve"> Directive, the EU text and data mining procedure permits the use of copyrighted content in certain circumstances without obligating the identification of original authors. In this regard, Articles 3 and 4 enable innovation, yet disturb the right of attribution by leaving creators unable to assert their moral rights in the AI training process. This can undermine authors` moral rights when they are not credited, violating the attribution right, and the prohibition to object to uses that may distort their work, violating the integrity right. </w:t>
      </w:r>
    </w:p>
    <w:p w14:paraId="6D1CA026" w14:textId="022890B0" w:rsidR="0041598D" w:rsidRDefault="0041598D" w:rsidP="00456A0B">
      <w:pPr>
        <w:pStyle w:val="HARBodytext"/>
      </w:pPr>
      <w:r>
        <w:t>It is important to consider that many AI training datasets operate by scraping large amounts of online content frequently without any mechanism to preserve authorial metadata or trace provenance. This implies that even if attribution was mandatory under fixed laws, it may prove technically unfeasible under current approaches. This elimination of the original author impairs the spirit of moral rights alongside creating an “accountability vacuum” where no individual author can be credited.</w:t>
      </w:r>
      <w:r w:rsidR="00AD36BE">
        <w:rPr>
          <w:rStyle w:val="Fotnotsreferens"/>
        </w:rPr>
        <w:footnoteReference w:id="55"/>
      </w:r>
      <w:r>
        <w:t xml:space="preserve"> </w:t>
      </w:r>
    </w:p>
    <w:p w14:paraId="63D4F45F" w14:textId="220AD6DE" w:rsidR="0041598D" w:rsidRDefault="0041598D" w:rsidP="00456A0B">
      <w:pPr>
        <w:pStyle w:val="HARBodytext"/>
      </w:pPr>
      <w:r>
        <w:t>To conclude, it is submitted that the EU enjoys a strong moral rights framework, nevertheless, with the rise of AI, these moral rights can be viewed as a muddled protection concerning AI training. As a result, this impedes the objectives of the right to attribution and integrity that moral rights aim to protect. Therefore, in response to the second research question, these findings have demonstrated that the current TDM exceptions may undermine authors` rights in the moral rights category. This subsequently lays the baseline for the third research question of examining how legal or ethical frameworks could advance fair recognition and attribution relating to generative AI.</w:t>
      </w:r>
    </w:p>
    <w:p w14:paraId="7BAFBC72" w14:textId="1F65ED66" w:rsidR="0041598D" w:rsidRDefault="0041598D" w:rsidP="0041598D">
      <w:pPr>
        <w:pStyle w:val="HARHeading2"/>
      </w:pPr>
      <w:bookmarkStart w:id="33" w:name="_Toc211702570"/>
      <w:r>
        <w:t>Are these rights useful when AI takes and mixes up millions of works?</w:t>
      </w:r>
      <w:bookmarkEnd w:id="33"/>
    </w:p>
    <w:p w14:paraId="1FDD5CC0" w14:textId="51EE6FDA" w:rsidR="0041598D" w:rsidRDefault="0041598D" w:rsidP="00456A0B">
      <w:pPr>
        <w:pStyle w:val="HARBodytext"/>
      </w:pPr>
      <w:r>
        <w:t xml:space="preserve">As stated in Recital 11 of </w:t>
      </w:r>
      <w:r w:rsidR="005A1C4C">
        <w:t>the Infosoc Directive:</w:t>
      </w:r>
    </w:p>
    <w:p w14:paraId="0A3BE4A1" w14:textId="77777777" w:rsidR="0041598D" w:rsidRDefault="0041598D" w:rsidP="005F4BEE">
      <w:pPr>
        <w:pStyle w:val="HARBlockquote"/>
      </w:pPr>
      <w:r>
        <w:t xml:space="preserve">“A rigorous, effective system for the protection of copyright and related rights is one of the main ways of ensuring that European cultural creativity and production receive the necessary resources and of safeguarding the independence and dignity of artistic creators and performers”. </w:t>
      </w:r>
    </w:p>
    <w:p w14:paraId="4D2A0A49" w14:textId="404AFAB9" w:rsidR="0041598D" w:rsidRDefault="0041598D" w:rsidP="00456A0B">
      <w:pPr>
        <w:pStyle w:val="HARBodytext"/>
      </w:pPr>
      <w:r>
        <w:t xml:space="preserve">While moral rights are not harmonised within EU Regulations, Recital 11 underscores that robust copyright protection is necessary to preserve the “independence and dignity of artistic creators and performers.” Although moral rights are not explicitly mentioned, the language aligns with the aims of moral rights including the right to attribution and integrity which seek to uphold the personal and reputational interests of authors. Thus, the position taken here is that while moral rights are not harmonised at the EU level, Recital 11 can be regarded as implicitly supporting moral rights concerning authors and generative AI.  Regardless of moral rights within the EU not having a uniform application, these rights can be argued to be practically unenforceable when millions of works are ingested into AI models at </w:t>
      </w:r>
      <w:r>
        <w:lastRenderedPageBreak/>
        <w:t>a large volume. Due to the enormous amount of content being scraped online from a variety of sources, it is argued</w:t>
      </w:r>
      <w:r w:rsidR="006A3378">
        <w:t xml:space="preserve"> </w:t>
      </w:r>
      <w:r>
        <w:t>that this makes it almost impossible to track the use of one singular author`s contribution.</w:t>
      </w:r>
      <w:r w:rsidR="006A3378">
        <w:rPr>
          <w:rStyle w:val="Fotnotsreferens"/>
        </w:rPr>
        <w:footnoteReference w:id="56"/>
      </w:r>
      <w:r>
        <w:t xml:space="preserve"> Additionally, the right to attribution is specifically strained by the function of generative AI, which is free from retaining specific works, instead, generative AI preserves abstract patterns across datasets. In a similar way, the sui generis right when there is a lack of copyright protection, under Article 7(1) of Directive 96/9/EC that grants exclusive rights to database creators to prohibit the extraction or re-utilisation of a substantial part of the contents, builds challenges as to its effectiveness when generative AI extracts work from large-scale datasets.</w:t>
      </w:r>
      <w:r w:rsidR="00390DCA">
        <w:rPr>
          <w:rStyle w:val="Fotnotsreferens"/>
        </w:rPr>
        <w:footnoteReference w:id="57"/>
      </w:r>
      <w:r>
        <w:t xml:space="preserve"> Since generative AI outputs are not exact replicates of works, it is challenging to show moral infringement under EU laws at present. Including situations where works are substantially used in AI training, the indirect character of outputs means moral rights “may not be triggered at all”.</w:t>
      </w:r>
      <w:r w:rsidR="00D468EC">
        <w:rPr>
          <w:rStyle w:val="Fotnotsreferens"/>
        </w:rPr>
        <w:footnoteReference w:id="58"/>
      </w:r>
    </w:p>
    <w:p w14:paraId="60D9841C" w14:textId="61371533" w:rsidR="0041598D" w:rsidRDefault="0041598D" w:rsidP="00456A0B">
      <w:pPr>
        <w:pStyle w:val="HARBodytext"/>
      </w:pPr>
      <w:r>
        <w:t xml:space="preserve">To advance the claim of the right to attribution being a legally intricate area of law, this also collides with the lack of transparency in dataset construction. When training data is undocumented, authors are not only deprived of recognition but also cannot go so far as to identify that their work has been used. Since the Berne Convention on moral rights is not consistently enforced among Member States, EU-based creators may also come into conflict with practical enforcement barriers, especially if an AI system is operated outside of the EU. </w:t>
      </w:r>
    </w:p>
    <w:p w14:paraId="175FAC74" w14:textId="01ED4AC0" w:rsidR="0041598D" w:rsidRDefault="0041598D" w:rsidP="00456A0B">
      <w:pPr>
        <w:pStyle w:val="HARBodytext"/>
      </w:pPr>
      <w:r>
        <w:t>A further point to consider is the role of algorithmic stability features in generative AI models which aim to ensure that AI does not replicate creators’ works directly. Differential privacy, which seeks to avert the unintentional use of identifiable work in AI outputs is a component of algorithmic stability. However, as previously discussed, generative AI typically does not produce exact replicates of works, therefore it could prove difficult to adequately tackle the issue of works being reused.  Furthermore, while this function aims to limit infringement, it produces a collateral effect of undermining the foundational objectives of copyright law, which are to promote innovation.</w:t>
      </w:r>
      <w:r w:rsidR="00682A19">
        <w:rPr>
          <w:rStyle w:val="Fotnotsreferens"/>
        </w:rPr>
        <w:footnoteReference w:id="59"/>
      </w:r>
      <w:r>
        <w:t xml:space="preserve"> It is acknowledged that this is a “balance of interests” argument, but it is a balance that must be achieved by including, but not relying entirely on the algorithmic function, as it is not wholly capable of accounting for the nuanced and contextual aspects of authorship and credibility that rightsholders wish to receive.  This perspective relates to the third research question of the future of ownership and generative AI under legal reform. </w:t>
      </w:r>
    </w:p>
    <w:p w14:paraId="57CEA363" w14:textId="77777777" w:rsidR="004332B4" w:rsidRDefault="0041598D" w:rsidP="00456A0B">
      <w:pPr>
        <w:pStyle w:val="HARBodytext"/>
      </w:pPr>
      <w:r>
        <w:t xml:space="preserve">As a concluding point, moral rights and the sui generis database right face substantial limitations when utilised in AI systems that gather large quantities of creators` works. The volume alone, of data extraction is acknowledged to make it exceptionally difficult for authors and database creators to assert their rights effectively. While methods, such as algorithmic safeguards, seek to deter direct </w:t>
      </w:r>
      <w:r>
        <w:lastRenderedPageBreak/>
        <w:t>replication, they cannot guarantee the right to attribution or integrity.</w:t>
      </w:r>
      <w:r w:rsidR="000E2620">
        <w:rPr>
          <w:rStyle w:val="Fotnotsreferens"/>
        </w:rPr>
        <w:footnoteReference w:id="60"/>
      </w:r>
      <w:r>
        <w:t xml:space="preserve"> Similarly, the EU Database Directive 96/9/EC specifically regarding substantial use, appears to prove subpar when applied to AI training with datasets often lacking the structure and investment the Directive aims to protect</w:t>
      </w:r>
      <w:r w:rsidR="000E2620">
        <w:t>.</w:t>
      </w:r>
      <w:r w:rsidR="000E2620">
        <w:rPr>
          <w:rStyle w:val="Fotnotsreferens"/>
        </w:rPr>
        <w:footnoteReference w:id="61"/>
      </w:r>
      <w:r w:rsidR="000E2620">
        <w:t xml:space="preserve"> </w:t>
      </w:r>
      <w:r>
        <w:t>These findings indicate that the sui generis database right and moral rights are, at times at least, ineffective concerning generative AI. Relating to the third research question, the current framework is far from impeccable, with TDM exceptions impairing moral rights.</w:t>
      </w:r>
    </w:p>
    <w:p w14:paraId="4B92AF5A" w14:textId="77777777" w:rsidR="001326FB" w:rsidRPr="006B0F99" w:rsidRDefault="001326FB" w:rsidP="001326FB">
      <w:pPr>
        <w:pStyle w:val="HARHeading2"/>
      </w:pPr>
      <w:bookmarkStart w:id="34" w:name="_Toc211702571"/>
      <w:r w:rsidRPr="006B0F99">
        <w:t>The Czech Case</w:t>
      </w:r>
      <w:bookmarkEnd w:id="34"/>
      <w:r w:rsidRPr="006B0F99">
        <w:t xml:space="preserve"> </w:t>
      </w:r>
    </w:p>
    <w:p w14:paraId="555DDF58" w14:textId="69857C6A" w:rsidR="001326FB" w:rsidRPr="0072293A" w:rsidRDefault="001326FB" w:rsidP="001326FB">
      <w:pPr>
        <w:pStyle w:val="HARBodytext"/>
        <w:rPr>
          <w:color w:val="000000" w:themeColor="text1"/>
        </w:rPr>
      </w:pPr>
      <w:r w:rsidRPr="006B0F99">
        <w:t xml:space="preserve">A recent case in the Czech Republic involving the question of the eligibility of AI-generated images for copyright protection and the attribution of authorship to the human user constructing the prompts was S. Š. v. TAUBEL LEGAL, </w:t>
      </w:r>
      <w:proofErr w:type="spellStart"/>
      <w:r w:rsidRPr="006B0F99">
        <w:t>advokátní</w:t>
      </w:r>
      <w:proofErr w:type="spellEnd"/>
      <w:r w:rsidRPr="006B0F99">
        <w:t xml:space="preserve"> </w:t>
      </w:r>
      <w:proofErr w:type="spellStart"/>
      <w:r w:rsidRPr="006B0F99">
        <w:t>kancelář</w:t>
      </w:r>
      <w:proofErr w:type="spellEnd"/>
      <w:r w:rsidRPr="006B0F99">
        <w:t xml:space="preserve"> </w:t>
      </w:r>
      <w:proofErr w:type="spellStart"/>
      <w:r w:rsidRPr="006B0F99">
        <w:t>s.r.o.</w:t>
      </w:r>
      <w:proofErr w:type="spellEnd"/>
      <w:r w:rsidRPr="006B0F99">
        <w:t>, Case No. 13/2023.</w:t>
      </w:r>
      <w:r w:rsidRPr="006B0F99">
        <w:rPr>
          <w:color w:val="000000"/>
        </w:rPr>
        <w:t xml:space="preserve"> The claimant brought an action to the Municipal Court in Prague claiming copyright infringement by the defendant who published copyrighted content without consent, consisting of a visual representation of two people signing a contract that was created with a textual prompt using a generative AI system. The claimant sought to be identified as the author and to prohibit the defendant from using the work. The court could not grant this for two main reasons. The first reason was that the claimant could not provide evidence to show how the image was created. The claimant failed to prove how the AI was instructed and what exact prompt was used since it was claimed that it was a specific prompt that generated this image. The second reasoning of the court was referencing Article 5(1) of the Czech Copyright Act, declaring that an image outputted by generative AI cannot be regarded as a creation of a natural person, i.e. an author, which is an incontestable element in copyright protection. While it is recognised that the Member States of the EU are consistent with the author being a natural person requirement set out in legislation, it is important to note</w:t>
      </w:r>
      <w:r w:rsidRPr="006B0F99">
        <w:rPr>
          <w:color w:val="000000" w:themeColor="text1"/>
        </w:rPr>
        <w:t xml:space="preserve"> </w:t>
      </w:r>
      <w:r w:rsidRPr="006B0F99">
        <w:rPr>
          <w:color w:val="000000"/>
        </w:rPr>
        <w:t>the Czech case entailed a simple prompt and with unknown times ahead it remains unclear whether this strict approach will remain prosperous and relevant in situations of detailed prompts submitted with great amounts of human input.</w:t>
      </w:r>
      <w:r w:rsidR="002B29CD">
        <w:rPr>
          <w:color w:val="000000"/>
        </w:rPr>
        <w:t xml:space="preserve"> Nonetheless, </w:t>
      </w:r>
      <w:r w:rsidR="00730372">
        <w:rPr>
          <w:color w:val="000000"/>
        </w:rPr>
        <w:t xml:space="preserve">this case </w:t>
      </w:r>
      <w:r w:rsidR="007B2577">
        <w:rPr>
          <w:color w:val="000000"/>
        </w:rPr>
        <w:t xml:space="preserve">queries around database rights since the use of large datasets to train and generate outputs </w:t>
      </w:r>
      <w:r w:rsidR="00487205">
        <w:rPr>
          <w:color w:val="000000"/>
        </w:rPr>
        <w:t xml:space="preserve">amount to extraction or re-utilisation under the Database Directive. In addition, </w:t>
      </w:r>
      <w:r w:rsidR="00D64D02">
        <w:rPr>
          <w:color w:val="000000"/>
        </w:rPr>
        <w:t>moral rights</w:t>
      </w:r>
      <w:r w:rsidR="00FD3998">
        <w:rPr>
          <w:color w:val="000000"/>
        </w:rPr>
        <w:t xml:space="preserve"> </w:t>
      </w:r>
      <w:r w:rsidR="00D64D02">
        <w:rPr>
          <w:color w:val="000000"/>
        </w:rPr>
        <w:t>of authors</w:t>
      </w:r>
      <w:r w:rsidR="00FD3998">
        <w:rPr>
          <w:color w:val="000000"/>
        </w:rPr>
        <w:t xml:space="preserve">, such as right to attribution and integrity, </w:t>
      </w:r>
      <w:r w:rsidR="00D64D02">
        <w:rPr>
          <w:color w:val="000000"/>
        </w:rPr>
        <w:t xml:space="preserve">may be undermined </w:t>
      </w:r>
      <w:r w:rsidR="00AA690C">
        <w:rPr>
          <w:color w:val="000000"/>
        </w:rPr>
        <w:t>when AI outputs limit or distort existing works</w:t>
      </w:r>
      <w:r w:rsidR="00FD3998">
        <w:rPr>
          <w:color w:val="000000"/>
        </w:rPr>
        <w:t xml:space="preserve">. </w:t>
      </w:r>
    </w:p>
    <w:p w14:paraId="2BEED3CD" w14:textId="77777777" w:rsidR="00C14A36" w:rsidRDefault="00C14A36" w:rsidP="00456A0B">
      <w:pPr>
        <w:pStyle w:val="HARBodytext"/>
      </w:pPr>
    </w:p>
    <w:p w14:paraId="6B5B47E5" w14:textId="6B479DDB" w:rsidR="00C14A36" w:rsidRDefault="00C14A36" w:rsidP="00456A0B">
      <w:pPr>
        <w:pStyle w:val="HARBodytext"/>
      </w:pPr>
    </w:p>
    <w:p w14:paraId="357FC449" w14:textId="77777777" w:rsidR="00C14A36" w:rsidRDefault="00C14A36">
      <w:pPr>
        <w:rPr>
          <w:rFonts w:ascii="Times New Roman" w:hAnsi="Times New Roman"/>
          <w:sz w:val="22"/>
        </w:rPr>
      </w:pPr>
      <w:r>
        <w:br w:type="page"/>
      </w:r>
    </w:p>
    <w:p w14:paraId="07CD226B" w14:textId="06D22FD3" w:rsidR="00C14A36" w:rsidRDefault="00C14A36" w:rsidP="00C14A36">
      <w:pPr>
        <w:pStyle w:val="HARHeading1"/>
      </w:pPr>
      <w:bookmarkStart w:id="35" w:name="_Toc211702572"/>
      <w:r>
        <w:lastRenderedPageBreak/>
        <w:t>The EU Copyright Directive: Purpose and Relevance to AI</w:t>
      </w:r>
      <w:bookmarkEnd w:id="35"/>
    </w:p>
    <w:p w14:paraId="63AE0C4E" w14:textId="77777777" w:rsidR="00C14A36" w:rsidRDefault="00C14A36" w:rsidP="00C14A36">
      <w:pPr>
        <w:pStyle w:val="HARHeading2"/>
      </w:pPr>
      <w:bookmarkStart w:id="36" w:name="_Toc211702573"/>
      <w:r>
        <w:t>Background</w:t>
      </w:r>
      <w:bookmarkEnd w:id="36"/>
    </w:p>
    <w:p w14:paraId="271AF756" w14:textId="6F59E67B" w:rsidR="00C14A36" w:rsidRPr="00456A0B" w:rsidRDefault="00C14A36" w:rsidP="00C14A36">
      <w:pPr>
        <w:pStyle w:val="HARBodytext"/>
      </w:pPr>
      <w:r w:rsidRPr="00456A0B">
        <w:t>The Directive (EU) 2019/790 on Copyright and Related Rights in the Digital Single Market (DSM Directive) was adopted to harmonise copyright law across EU Member States and to adapt existing frameworks to the rapidly evolving digital era. Copyright under EU law protects “original works of authorship” that are the “author`s own intellectual creation” a protection introduced by the CJEU in Infopaq</w:t>
      </w:r>
      <w:r w:rsidR="00392292">
        <w:t xml:space="preserve"> case.</w:t>
      </w:r>
      <w:r w:rsidR="00392292">
        <w:rPr>
          <w:rStyle w:val="Fotnotsreferens"/>
        </w:rPr>
        <w:footnoteReference w:id="62"/>
      </w:r>
      <w:r w:rsidR="00392292">
        <w:t xml:space="preserve"> </w:t>
      </w:r>
      <w:r w:rsidRPr="00456A0B">
        <w:t>The Directive`s main objective is to reinforce the position of rightsholders while encouraging access to and use of content in the digital realm. It seeks to balance the interests of creators, users, and online platforms while considering technological advancements, particularly the use of content through automated digital tools such as AI.</w:t>
      </w:r>
      <w:r>
        <w:rPr>
          <w:rStyle w:val="Fotnotsreferens"/>
        </w:rPr>
        <w:footnoteReference w:id="63"/>
      </w:r>
      <w:r w:rsidRPr="00456A0B">
        <w:t xml:space="preserve"> This Directive is relevant to the development and use of generative AI, which often depends on copyrighted works for training. The Directive is the current provision that creators rely on to address the legal challenges surrounding generative AI systems processing and extracting patterns from existing copyrighted works by implementing specific exceptions and limitations that permit TDM under certain conditions. The Directive includes two distinct TDM exceptions which will now be examined. </w:t>
      </w:r>
    </w:p>
    <w:p w14:paraId="508F6067" w14:textId="1BAF7E59" w:rsidR="00C14A36" w:rsidRDefault="00C14A36" w:rsidP="00C14A36">
      <w:pPr>
        <w:pStyle w:val="HARHeading2"/>
      </w:pPr>
      <w:bookmarkStart w:id="37" w:name="_Toc211702574"/>
      <w:r>
        <w:t>The TDM Exceptions in the EU Copyright Directive</w:t>
      </w:r>
      <w:bookmarkEnd w:id="37"/>
    </w:p>
    <w:p w14:paraId="2772382B" w14:textId="77777777" w:rsidR="00C14A36" w:rsidRDefault="00C14A36" w:rsidP="00C14A36">
      <w:pPr>
        <w:pStyle w:val="HARBodytext"/>
      </w:pPr>
      <w:r>
        <w:t>The EU acknowledged that technological advancements such as machine learning require access to large datasets and recognised that legal uncertainty could hinder innovation in the technological landscape.</w:t>
      </w:r>
      <w:r>
        <w:rPr>
          <w:rStyle w:val="Fotnotsreferens"/>
        </w:rPr>
        <w:footnoteReference w:id="64"/>
      </w:r>
      <w:r>
        <w:t xml:space="preserve"> Consequently, the Directive distinguishes between two types of TDM. One is permitted for research organisations and cultural heritage institutions which falls under Article 3, and the other is subject to an opt-out feature for rightsholders which falls under Article 4 and can be used more broadly including commercial applications.</w:t>
      </w:r>
      <w:r>
        <w:rPr>
          <w:rStyle w:val="Fotnotsreferens"/>
        </w:rPr>
        <w:footnoteReference w:id="65"/>
      </w:r>
      <w:r>
        <w:t xml:space="preserve"> </w:t>
      </w:r>
    </w:p>
    <w:p w14:paraId="63E1A0E9" w14:textId="77777777" w:rsidR="00C14A36" w:rsidRDefault="00C14A36" w:rsidP="00C14A36">
      <w:pPr>
        <w:pStyle w:val="HARBodytext"/>
      </w:pPr>
      <w:r>
        <w:t>Although the Directive does not specifically cite AI, its content directly impacts how developers and entities legally use copyrighted work to train AI systems. The bounded and conditional nature of the two TDM exceptions results in several areas of training data remaining in ambiguous territory, especially concerning works scraped from the public web.</w:t>
      </w:r>
      <w:r>
        <w:rPr>
          <w:rStyle w:val="Fotnotsreferens"/>
        </w:rPr>
        <w:footnoteReference w:id="66"/>
      </w:r>
      <w:r>
        <w:t xml:space="preserve"> Therefore, this Directive is being dismantled to find </w:t>
      </w:r>
      <w:r>
        <w:lastRenderedPageBreak/>
        <w:t>out if the existing copyright frameworks appropriately tackle the realities of generative AI training.</w:t>
      </w:r>
      <w:r>
        <w:rPr>
          <w:rStyle w:val="Fotnotsreferens"/>
        </w:rPr>
        <w:footnoteReference w:id="67"/>
      </w:r>
    </w:p>
    <w:p w14:paraId="61E6FBEF" w14:textId="77777777" w:rsidR="00C14A36" w:rsidRDefault="00C14A36" w:rsidP="00C14A36">
      <w:pPr>
        <w:pStyle w:val="HARBodytext"/>
      </w:pPr>
      <w:r>
        <w:t>Article 3 presents a mandatory exception for TDM conducted by specific entities once they have lawful access to the data. This is in place to remove prior legal uncertainty that may have discouraged research-based data analysis. Furthermore, Article 3(3) goes as far as to prevent this exception from being contractually overridden. This section magnifies legal certainty for non-commercial scientific research.</w:t>
      </w:r>
    </w:p>
    <w:p w14:paraId="755BF23D" w14:textId="77777777" w:rsidR="00C14A36" w:rsidRDefault="00C14A36" w:rsidP="00C14A36">
      <w:pPr>
        <w:pStyle w:val="HARBodytext"/>
      </w:pPr>
      <w:r>
        <w:t>Article 4 introduces an optional exception that grants TDM by any person or organisation, including commercial intent, if the content has been lawfully sought. Article 4 introduces an opt-out provision for rightsholders, as discussed in Recital 18. However, this can create a casualty for AI developers who rely on large-scale datasets collected from the open web where the developers may be unaware of any rights reservation in the metadata.</w:t>
      </w:r>
    </w:p>
    <w:p w14:paraId="6368F602" w14:textId="77777777" w:rsidR="00C14A36" w:rsidRDefault="00C14A36" w:rsidP="00C14A36">
      <w:pPr>
        <w:pStyle w:val="HARBodytext"/>
      </w:pPr>
      <w:r>
        <w:t>The difference in the practicality between Articles 3 and 4 has ignited criticism from the perspective of creators. Whilst the Directive aims to strike a balance between innovation and copyrighted protection, the opt-out possibility may lead to further legal uncertainty in implementation, where the datasets are composed of various unverified sources.</w:t>
      </w:r>
      <w:r>
        <w:rPr>
          <w:rStyle w:val="Fotnotsreferens"/>
        </w:rPr>
        <w:footnoteReference w:id="68"/>
      </w:r>
      <w:r>
        <w:t xml:space="preserve"> Therefore, it is argued that these exceptions build more of a legal patchwork as opposed to a robust framework for AI governance leaving both creators with restricted options for recourse and AI developers with adherence difficulties.</w:t>
      </w:r>
    </w:p>
    <w:p w14:paraId="4CB2A1A3" w14:textId="368ECE03" w:rsidR="00C14A36" w:rsidRDefault="00C14A36" w:rsidP="00C14A36">
      <w:pPr>
        <w:pStyle w:val="HARHeading2"/>
      </w:pPr>
      <w:r>
        <w:t xml:space="preserve"> </w:t>
      </w:r>
      <w:bookmarkStart w:id="38" w:name="_Toc211702575"/>
      <w:r>
        <w:t>How do the exceptions apply to AI training?</w:t>
      </w:r>
      <w:bookmarkEnd w:id="38"/>
      <w:r>
        <w:t xml:space="preserve"> </w:t>
      </w:r>
    </w:p>
    <w:p w14:paraId="7BEFCE2A" w14:textId="5564ECBC" w:rsidR="00C14A36" w:rsidRDefault="00C14A36" w:rsidP="00C14A36">
      <w:pPr>
        <w:pStyle w:val="HARBodytext"/>
      </w:pPr>
      <w:r>
        <w:t xml:space="preserve">Articles 3 and 4 of the DSM Directive generate a legal framework that controls the use of copyrighted content for TDM, which includes AI training. Although the extent of the two articles remains narrow, they produce implications for how AI models are trained on copyrighted material, even though AI applications are rapidly advancing. </w:t>
      </w:r>
    </w:p>
    <w:p w14:paraId="39C52D4D" w14:textId="77777777" w:rsidR="00C14A36" w:rsidRDefault="00C14A36" w:rsidP="00C14A36">
      <w:pPr>
        <w:pStyle w:val="HARBodytext"/>
      </w:pPr>
      <w:r>
        <w:t>Research institutions and cultural heritage organisations are the entities at play for Article 3, allowing them to lawfully carry out TDM without permission from the rightsholder in the context of meeting certain conditions. However, the content within Article 3 does not directly circumscribe to commercial AI development. This in turn presents a challenge for private companies that are searching for copyrighted materials for AI training. Furthermore, the language in Article 3, which states the use as being “non-commercial” may unintentionally restrict the application of AI models for profit-making purposes, regardless of the primary goal being research or technological development. The ambiguity of “non-commercial use” provides a key issue when applying these provisions to AI models by raising scepticism about what exactly constitutes commercial versus non-commercial use in AI training factors.</w:t>
      </w:r>
    </w:p>
    <w:p w14:paraId="5C67A92E" w14:textId="77777777" w:rsidR="00C14A36" w:rsidRDefault="00C14A36" w:rsidP="00C14A36">
      <w:pPr>
        <w:pStyle w:val="HARBodytext"/>
      </w:pPr>
      <w:r>
        <w:lastRenderedPageBreak/>
        <w:t xml:space="preserve">The opt-out safeguard in Article 4 could create complications surrounding AI developers scraping data from publicly available sources, such as websites or social media platforms, where it is not always feasible to monitor and adhere to individual opt-out requests. In addition to this downside, the opt-out mechanism adds a multilayered factor of complication to training data transparency, especially when the data is obtained from sources that do not explicitly state whether their materials are free for TDM use. </w:t>
      </w:r>
    </w:p>
    <w:p w14:paraId="0FD22B1F" w14:textId="77777777" w:rsidR="00C14A36" w:rsidRDefault="00C14A36" w:rsidP="00C14A36">
      <w:pPr>
        <w:pStyle w:val="HARBodytext"/>
      </w:pPr>
      <w:r>
        <w:t>Even with these challenges, Articles 3 and 4 could facilitate innovation by granting access to data that would be off-limits because of copyright concerns. Nevertheless, as AI development continues to advance at an unprecedented level, it begins to become clear that these TDM exceptions were created with traditional forms of research in mind and not the current multiplex state of AI and its familiarity of requiring large datasets which often include copyrighted works.</w:t>
      </w:r>
      <w:r>
        <w:rPr>
          <w:rStyle w:val="Fotnotsreferens"/>
        </w:rPr>
        <w:footnoteReference w:id="69"/>
      </w:r>
      <w:r>
        <w:t xml:space="preserve"> From the findings presented, it is argued that this section of the current legal framework at least, is calling for legal reform and growth to ensure the interests of creators and AI developers equally.</w:t>
      </w:r>
    </w:p>
    <w:p w14:paraId="141FC56A" w14:textId="77777777" w:rsidR="00947ED2" w:rsidRDefault="00947ED2" w:rsidP="00947ED2">
      <w:pPr>
        <w:pStyle w:val="HARHeading2"/>
      </w:pPr>
      <w:bookmarkStart w:id="39" w:name="_Toc211702576"/>
      <w:r>
        <w:t>Landmark EU copyright cases</w:t>
      </w:r>
      <w:bookmarkEnd w:id="39"/>
      <w:r>
        <w:t xml:space="preserve"> </w:t>
      </w:r>
    </w:p>
    <w:p w14:paraId="21E54136" w14:textId="5EFE9A42" w:rsidR="00947ED2" w:rsidRPr="007D4126" w:rsidRDefault="00947ED2" w:rsidP="00947ED2">
      <w:pPr>
        <w:pStyle w:val="HARBodytext"/>
      </w:pPr>
      <w:r w:rsidRPr="007D4126">
        <w:t xml:space="preserve">Traditional copyright law in the EU has had a variety of cases brought before the national courts and the CJEU. This section will examine the rights of authors of copyrighted works to authorise or prohibit the use of their works. This falls under the </w:t>
      </w:r>
      <w:proofErr w:type="spellStart"/>
      <w:r w:rsidRPr="007D4126">
        <w:t>InfoSoc</w:t>
      </w:r>
      <w:proofErr w:type="spellEnd"/>
      <w:r w:rsidRPr="007D4126">
        <w:t xml:space="preserve"> Directive which entails two rights that will be applied in the cases to soon follow, namely, the right of reproduction (Article 2) and the right of communication to the public (Article 3). The right of reproduction was a feature in the Infopaq</w:t>
      </w:r>
      <w:r w:rsidR="008410C4">
        <w:t xml:space="preserve"> case</w:t>
      </w:r>
      <w:r w:rsidRPr="007D4126">
        <w:t xml:space="preserve">, where a Danish company that provided media monitoring services by scanning newspaper articles, converting them into text, and storing 11-word extracts for analysis was accused by The Danish Newspaper Association of needing to require authorisation from copyright holders as it involved a reproduction of copyrighted material. The Danish court referred two main questions to the CJEU, firstly questioning if using 11 words from a newspaper article constituted a partial reproduction of the work under Article 2 of the </w:t>
      </w:r>
      <w:proofErr w:type="spellStart"/>
      <w:r w:rsidRPr="007D4126">
        <w:t>Infosoq</w:t>
      </w:r>
      <w:proofErr w:type="spellEnd"/>
      <w:r w:rsidRPr="007D4126">
        <w:t xml:space="preserve"> Directive, and secondly, if such an act could fall under the temporary copying exception under Article 5(1). The CJEU found that copying parts of a work, even 11 words can constitute reproduction. This arises when the copyrighted work reflects the author`s own intellectual creation. The court further clarified that for the exceptions in Article 5(1) to apply, all conditions must be met, and the copying of 11 words was not purely transient, was retained, and had economic value. This was a landmark case that dealt with the concept of “originality” being the author`s own intellectual creation. </w:t>
      </w:r>
    </w:p>
    <w:p w14:paraId="5CD371AF" w14:textId="7AAFE1F5" w:rsidR="006709FC" w:rsidRDefault="00947ED2" w:rsidP="00C14A36">
      <w:pPr>
        <w:pStyle w:val="HARBodytext"/>
      </w:pPr>
      <w:r w:rsidRPr="007D4126">
        <w:t xml:space="preserve">The right to a communication to the public has several cases that have small but distinct facts. The case Svensson v. Retriever Sverige AB C-466/12 involved Retriever posting hyperlinks on a website to freely accessible newspaper articles on another website. The CJEU held that providing clickable hyperlinks to copyrighted </w:t>
      </w:r>
      <w:r w:rsidRPr="007D4126">
        <w:lastRenderedPageBreak/>
        <w:t xml:space="preserve">works is an act of communication under Article 3(1) </w:t>
      </w:r>
      <w:r w:rsidR="009B55B6">
        <w:t xml:space="preserve">of the </w:t>
      </w:r>
      <w:proofErr w:type="spellStart"/>
      <w:r w:rsidR="009B55B6">
        <w:t>InfoSoc</w:t>
      </w:r>
      <w:proofErr w:type="spellEnd"/>
      <w:r w:rsidR="009B55B6">
        <w:t xml:space="preserve"> Directive</w:t>
      </w:r>
      <w:r w:rsidRPr="007D4126">
        <w:t>, however, infringement only occurs when the work is made available to a “new public” which did not arise here since the copyrighted work was already freely accessible.</w:t>
      </w:r>
      <w:r>
        <w:rPr>
          <w:rStyle w:val="Fotnotsreferens"/>
        </w:rPr>
        <w:footnoteReference w:id="70"/>
      </w:r>
      <w:r w:rsidRPr="007D4126">
        <w:t xml:space="preserve"> A similar issue arose in the case GS Media BV v. Sanoma Media Netherlands BV and Other</w:t>
      </w:r>
      <w:r w:rsidR="00193C77">
        <w:t>s</w:t>
      </w:r>
      <w:r w:rsidR="00193C77">
        <w:rPr>
          <w:rStyle w:val="Fotnotsreferens"/>
        </w:rPr>
        <w:footnoteReference w:id="71"/>
      </w:r>
      <w:r w:rsidRPr="007D4126">
        <w:t>, where GS Media posted hyperlinks to another website that had unauthorised material</w:t>
      </w:r>
      <w:r>
        <w:t xml:space="preserve">. </w:t>
      </w:r>
      <w:r w:rsidRPr="007D4126">
        <w:t>The difference in this case to Svensson was that the CJEU had to consider if unauthorised works constituted a communication. The CJEU found that this was a component as a new public was created alongside the hyperlink being made available without the permission of the rights holder with GS Media knowing or ought to have known this. The CJEU added that if the hyperlink is posted for profit, GS Media is presumed to have knowledge that the content is unauthorised</w:t>
      </w:r>
      <w:r>
        <w:t xml:space="preserve">. </w:t>
      </w:r>
      <w:r w:rsidRPr="007D4126">
        <w:t xml:space="preserve">This ruling differs from Svensson’s in that the work was not publicly accessible and introduced the knowledge and profit-based liability aspect. </w:t>
      </w:r>
    </w:p>
    <w:p w14:paraId="0CCCFCD6" w14:textId="77777777" w:rsidR="00C14A36" w:rsidRPr="00691C32" w:rsidRDefault="00C14A36" w:rsidP="00C14A36">
      <w:pPr>
        <w:pStyle w:val="HARHeading2"/>
      </w:pPr>
      <w:bookmarkStart w:id="40" w:name="_Toc211702577"/>
      <w:r w:rsidRPr="00691C32">
        <w:t>Critique of the TDM Protections</w:t>
      </w:r>
      <w:bookmarkEnd w:id="40"/>
    </w:p>
    <w:p w14:paraId="2F0C568A" w14:textId="77777777" w:rsidR="00C14A36" w:rsidRDefault="00C14A36" w:rsidP="00C14A36">
      <w:pPr>
        <w:pStyle w:val="HARBodytext"/>
      </w:pPr>
      <w:r>
        <w:t xml:space="preserve">While there are some positives around the TDM protections such as the potential to encourage innovation and balance the rights of creators, it also possesses negative aspects that do not currently account for the reality of generative AI training. This can be seen in, vagueness and legal ambiguity, disproportionate impact on smaller AI developers, failure to anticipate large-scale AI, lack of technological enforcement mechanisms, and creator disempowerment. These drawbacks will now be discussed. </w:t>
      </w:r>
    </w:p>
    <w:p w14:paraId="0760B9D6" w14:textId="77777777" w:rsidR="00C14A36" w:rsidRDefault="00C14A36" w:rsidP="00C14A36">
      <w:pPr>
        <w:pStyle w:val="HARBodytext"/>
      </w:pPr>
      <w:r>
        <w:t>In response to the vagueness and legal ambiguity surrounding the TDM exceptions, the opt-out function under Article 4 has been criticised for its obscurity and enforceability which leads to the potential to undermine how reliable the protective element it claims to dispense. As scholar Rosati uncovers, the Directive “allows rightsholders to opt out of TDM uses by any means, including machine-readable means”, but does not state or guide how developers should efficiently identify or comply with these signals when scraping large amounts of online datasets.</w:t>
      </w:r>
      <w:r>
        <w:rPr>
          <w:rStyle w:val="Fotnotsreferens"/>
        </w:rPr>
        <w:footnoteReference w:id="72"/>
      </w:r>
      <w:r>
        <w:t xml:space="preserve"> In addition, Recital 18 suggests that works that are made available online can be rightfully used for TDM unless opted out, but it remains unclear as to whether temporary access, meaning the situation of publicly available but password-free content, would still satisfy the lawful access requirement. </w:t>
      </w:r>
      <w:proofErr w:type="spellStart"/>
      <w:r>
        <w:t>Margoni</w:t>
      </w:r>
      <w:proofErr w:type="spellEnd"/>
      <w:r>
        <w:t xml:space="preserve"> and Kretschmer argue that this area of vagueness “risks chilling legitimate uses and deterring innovation” because developers could avoid using the data due to a reluctance to unknowingly fall into infringement territory.</w:t>
      </w:r>
      <w:r>
        <w:rPr>
          <w:rStyle w:val="Fotnotsreferens"/>
        </w:rPr>
        <w:footnoteReference w:id="73"/>
      </w:r>
      <w:r>
        <w:t xml:space="preserve"> This possibility is of greater importance when it involves smaller companies and researchers who may not obtain knowledge of the legal resources to interpret unclear thresholds. </w:t>
      </w:r>
      <w:r w:rsidRPr="00F173FB">
        <w:rPr>
          <w:color w:val="000000" w:themeColor="text1"/>
        </w:rPr>
        <w:t>The Directive also does not address AI as a specific use case</w:t>
      </w:r>
      <w:r w:rsidRPr="00C04344">
        <w:rPr>
          <w:color w:val="000000" w:themeColor="text1"/>
        </w:rPr>
        <w:t>,</w:t>
      </w:r>
      <w:r>
        <w:t xml:space="preserve"> which further proves troublesome for its application. The TDM exceptions were considered with traditional methods of </w:t>
      </w:r>
      <w:r>
        <w:lastRenderedPageBreak/>
        <w:t xml:space="preserve">research, such as biomedical or academic text analysis, and not the continuous input and output of creative works required for training generative AI models. This dissonance between legal intention and technological reality raises questions about whether the Directive is already outdated. </w:t>
      </w:r>
    </w:p>
    <w:p w14:paraId="24C60815" w14:textId="77777777" w:rsidR="00C14A36" w:rsidRPr="009B7018" w:rsidRDefault="00C14A36" w:rsidP="00C14A36">
      <w:pPr>
        <w:pStyle w:val="HARBodytext"/>
        <w:rPr>
          <w:color w:val="000000" w:themeColor="text1"/>
        </w:rPr>
      </w:pPr>
      <w:r>
        <w:t>Article 4 remains optional for Member States which fragments the internal market. Member States can choose not to implement the exception or have the choice of transposing it with layers of stringency, leaning towards legal uncertainty for cross-border AI developers.</w:t>
      </w:r>
      <w:r>
        <w:rPr>
          <w:rStyle w:val="Fotnotsreferens"/>
        </w:rPr>
        <w:footnoteReference w:id="74"/>
      </w:r>
      <w:r>
        <w:t xml:space="preserve"> This optional aspect of Article 4 undermines the Directive`s aim of harmonisation across the Digital Single Market and may promote regulatory arbitrage with AI developers having the potential to locate operations in a Member State that has transposed more lenient versions of Article 4.</w:t>
      </w:r>
      <w:r>
        <w:rPr>
          <w:rStyle w:val="Fotnotsreferens"/>
        </w:rPr>
        <w:footnoteReference w:id="75"/>
      </w:r>
    </w:p>
    <w:p w14:paraId="5C30D017" w14:textId="168EA6FD" w:rsidR="00C14A36" w:rsidRDefault="00C14A36" w:rsidP="00C14A36">
      <w:pPr>
        <w:pStyle w:val="HARBodytext"/>
      </w:pPr>
      <w:r>
        <w:t xml:space="preserve">One final critique of the TDM exception is from a creator`s perspective and how the opt-out system places the burden on the rightsholders to be the first to take action to prevent their works from being used, which could for some individuals prove financially or technologically unfeasible. Creators can be completely unaware that their work has been used in AI training datasets and be insufficiently equipped to enforce their rights under the current framework. This would conflict with the broader objectives of copyright law, which is to ensure authorial control and fair remuneration, as stated in Recital 3 of </w:t>
      </w:r>
      <w:r w:rsidR="0084560C">
        <w:t>the DSM Directive.</w:t>
      </w:r>
    </w:p>
    <w:p w14:paraId="57ABE09D" w14:textId="77777777" w:rsidR="00C14A36" w:rsidRDefault="00C14A36" w:rsidP="00C14A36">
      <w:pPr>
        <w:pStyle w:val="HARBodytext"/>
      </w:pPr>
      <w:r>
        <w:t xml:space="preserve">To summarise, the TDM exceptions under Articles 3 and 4 suggest a step in the right direction for promoting innovation, but the practical execution is argued to not adequately ensure a fair and balanced approach. The above legal scholars submit that the current generative AI climate is not well-suited, with legal reform needed to be free of its vague nature, ensure adequate opt-outs, and more appropriately align copyright law with the unique mechanisms of generative AI. If the frameworks in the EU remain the same alongside generative AI continuing to advance, this could prove consequential for both AI developers and rightsholders. </w:t>
      </w:r>
    </w:p>
    <w:p w14:paraId="77D4D434" w14:textId="1BDACC41" w:rsidR="00C14A36" w:rsidRDefault="00C14A36" w:rsidP="00C14A36">
      <w:pPr>
        <w:pStyle w:val="HARHeading2"/>
      </w:pPr>
      <w:bookmarkStart w:id="41" w:name="_Toc211702578"/>
      <w:r>
        <w:t>Summary and conclusions</w:t>
      </w:r>
      <w:bookmarkEnd w:id="41"/>
    </w:p>
    <w:p w14:paraId="2E90277C" w14:textId="101E3626" w:rsidR="00C14A36" w:rsidRDefault="00C14A36" w:rsidP="00C14A36">
      <w:pPr>
        <w:pStyle w:val="HARBodytext"/>
      </w:pPr>
      <w:r>
        <w:t xml:space="preserve">This chapter has examined the TDM exceptions under Articles 3 and 4 of the DSM Directive in alignment with their application to generative AI training. While Article 3 presents a mandatory exception for non-commercial research, it prohibits private-sector AI development and adds ambiguity to the definition of “non-commercial” use. Despite Article 4 offering broader applicability, it permits rightsholders to opt out while not mandating any specific implementation standards, evidently fabricating legal certainty. Equally worrisome, is the optional nature of Article 4`s transposition for Member States that pose the risk of regulatory arbitrage in the Digital Single Market. The overall take from this chapter was the findings illustrating how Articles 3 and 4 were drafted with traditional research in mind, and not the accurate reality of generative AI. Amending current TDM exceptions may resolve </w:t>
      </w:r>
      <w:r>
        <w:lastRenderedPageBreak/>
        <w:t>the challenges of working alongside rightsholders and the expanding realities of generative AI.</w:t>
      </w:r>
    </w:p>
    <w:p w14:paraId="39BF3560" w14:textId="77777777" w:rsidR="00C14A36" w:rsidRDefault="00C14A36">
      <w:pPr>
        <w:rPr>
          <w:rFonts w:ascii="Times New Roman" w:hAnsi="Times New Roman"/>
          <w:sz w:val="22"/>
        </w:rPr>
      </w:pPr>
      <w:r>
        <w:br w:type="page"/>
      </w:r>
    </w:p>
    <w:p w14:paraId="715D119A" w14:textId="77777777" w:rsidR="00C14A36" w:rsidRDefault="00C14A36" w:rsidP="00456A0B">
      <w:pPr>
        <w:pStyle w:val="HARBodytext"/>
        <w:sectPr w:rsidR="00C14A36" w:rsidSect="00825BC5">
          <w:pgSz w:w="11906" w:h="16838"/>
          <w:pgMar w:top="1418" w:right="2268" w:bottom="1418" w:left="2268" w:header="709" w:footer="709" w:gutter="0"/>
          <w:cols w:space="708"/>
          <w:docGrid w:linePitch="360"/>
        </w:sectPr>
      </w:pPr>
    </w:p>
    <w:p w14:paraId="41A463EC" w14:textId="09981B38" w:rsidR="0041598D" w:rsidRPr="00F32BDE" w:rsidRDefault="0041598D" w:rsidP="00456A0B">
      <w:pPr>
        <w:pStyle w:val="HARHeading1"/>
      </w:pPr>
      <w:bookmarkStart w:id="42" w:name="_Toc211702579"/>
      <w:r w:rsidRPr="00F32BDE">
        <w:rPr>
          <w:shd w:val="clear" w:color="auto" w:fill="FFFFFF"/>
        </w:rPr>
        <w:lastRenderedPageBreak/>
        <w:t>Towards Fair Attribution and Compensation: Ethical Insights and Legal Proposals</w:t>
      </w:r>
      <w:bookmarkEnd w:id="42"/>
    </w:p>
    <w:p w14:paraId="5A9A33BE" w14:textId="01BEBC1E" w:rsidR="0041598D" w:rsidRDefault="0041598D" w:rsidP="00456A0B">
      <w:pPr>
        <w:pStyle w:val="HARHeading2"/>
      </w:pPr>
      <w:bookmarkStart w:id="43" w:name="_Toc211702580"/>
      <w:r>
        <w:t>Regardless of the law, is it just to use other people`s work?</w:t>
      </w:r>
      <w:bookmarkEnd w:id="43"/>
    </w:p>
    <w:p w14:paraId="68BFE626" w14:textId="6F11C3A6" w:rsidR="0041598D" w:rsidRPr="00832D16" w:rsidRDefault="0041598D" w:rsidP="004805D6">
      <w:pPr>
        <w:pStyle w:val="HARBodytext"/>
      </w:pPr>
      <w:r w:rsidRPr="00832D16">
        <w:t xml:space="preserve">In </w:t>
      </w:r>
      <w:r>
        <w:t xml:space="preserve">the </w:t>
      </w:r>
      <w:r w:rsidRPr="00832D16">
        <w:t xml:space="preserve">paper </w:t>
      </w:r>
      <w:r w:rsidRPr="00832D16">
        <w:rPr>
          <w:i/>
          <w:iCs/>
        </w:rPr>
        <w:t>The Forgotten Creator: Towards a Statutory Remuneration Right for Machine Learning of Generative AI</w:t>
      </w:r>
      <w:r>
        <w:rPr>
          <w:i/>
          <w:iCs/>
        </w:rPr>
        <w:t>,</w:t>
      </w:r>
      <w:r>
        <w:rPr>
          <w:rFonts w:ascii="TimesNewRomanPS" w:hAnsi="TimesNewRomanPS"/>
          <w:b/>
          <w:bCs/>
          <w:sz w:val="28"/>
          <w:szCs w:val="28"/>
        </w:rPr>
        <w:t xml:space="preserve"> </w:t>
      </w:r>
      <w:r>
        <w:t xml:space="preserve">the authors argue that the current framework risks marginalising human authors. The paper takes an approach from a fundamental rights perspective, whilst aiming to strike a balance between the right to science and culture and the freedom of artistic expression which are rights found in Articles 11 and 13 of the EU Charter of Fundamental Rights (EUCF). Additionally, the authors reference the creator`s basic right to benefit from the material interests that result from their intellectual property, as found in Article 17.2 of the EUCF. Citing these fundamental rights, the authors state how the free use of copyrighted works for commercial AI training could potentially undermine these </w:t>
      </w:r>
      <w:r w:rsidR="00825016">
        <w:t>rights and</w:t>
      </w:r>
      <w:r>
        <w:t xml:space="preserve"> further argue that the EU TDM exceptions are ill-fitted for generative AI training. The authors appear to prioritise rightsholders by suggesting statutory licensing procedures with payment obligations to guarantee rightsholders are </w:t>
      </w:r>
      <w:r w:rsidR="00825016">
        <w:t>remunerated</w:t>
      </w:r>
      <w:r>
        <w:t xml:space="preserve">. This would also “encourage human beings to still produce new works while securing the use of their works by AI systems generates a fair return”, a framework that protects creators and promotes innovation. The authors discuss how the goal is to keep the “human creator at the centre of the copyright system”.  Therefore, the author’s paper can be regarded as attempting to reconcile just and fair protection of creators that encourages innovation within copyright law. </w:t>
      </w:r>
    </w:p>
    <w:p w14:paraId="3A4D9A76" w14:textId="2C7C5B46" w:rsidR="0041598D" w:rsidRDefault="0041598D" w:rsidP="00456A0B">
      <w:pPr>
        <w:pStyle w:val="HARHeading2"/>
      </w:pPr>
      <w:bookmarkStart w:id="44" w:name="_Toc211702581"/>
      <w:r>
        <w:t>Should creators be compensated when their work is used in generative AI?</w:t>
      </w:r>
      <w:bookmarkEnd w:id="44"/>
    </w:p>
    <w:p w14:paraId="4E2B862B" w14:textId="73DC89F7" w:rsidR="0041598D" w:rsidRDefault="0041598D" w:rsidP="004805D6">
      <w:pPr>
        <w:pStyle w:val="HARBodytext"/>
      </w:pPr>
      <w:r>
        <w:t xml:space="preserve">This question can be answered from several different perspectives. By simply referring to copyright law in the EU, it is not unreasonable to suggest that the exclusive right under Article 2 of </w:t>
      </w:r>
      <w:r w:rsidR="003C6BFF">
        <w:t xml:space="preserve">the Infosoc </w:t>
      </w:r>
      <w:r>
        <w:t>Directive, could apply to generative AI where the ingestion of copyrighted content into an AI system may involve an act of reproduction. “It appears that if you do TDM on copyrighted protected content, you are doing a reproduction of a work. As such, in order to do it lawfully, you either get authorization from the rights holder or benefit from a copyright exception, e.g. in Articles 3 and 4 CDSMD”.</w:t>
      </w:r>
      <w:r w:rsidR="00CC18F8">
        <w:rPr>
          <w:rStyle w:val="Fotnotsreferens"/>
        </w:rPr>
        <w:footnoteReference w:id="76"/>
      </w:r>
      <w:r>
        <w:t xml:space="preserve"> However, </w:t>
      </w:r>
      <w:r w:rsidR="00AB3CB4">
        <w:t xml:space="preserve"> </w:t>
      </w:r>
      <w:r>
        <w:t>the TDM exceptions may pose an obstacle for rightsholders as they do for traditional copyright law creators, in not requiring compensation where use is non-commercial or when rightsholders do not opt-out,</w:t>
      </w:r>
      <w:r w:rsidR="00C57A28">
        <w:t xml:space="preserve"> and as previously discussed,</w:t>
      </w:r>
      <w:r>
        <w:t xml:space="preserve"> the opt-out feature is not entirely dependable </w:t>
      </w:r>
      <w:r>
        <w:lastRenderedPageBreak/>
        <w:t>specifically with generative AI when rightsholders may be unaware that their work has been used.</w:t>
      </w:r>
      <w:r w:rsidR="00AB3CB4">
        <w:rPr>
          <w:rStyle w:val="Fotnotsreferens"/>
        </w:rPr>
        <w:footnoteReference w:id="77"/>
      </w:r>
      <w:r>
        <w:t xml:space="preserve"> </w:t>
      </w:r>
    </w:p>
    <w:p w14:paraId="4DAFCF42" w14:textId="49E59941" w:rsidR="0041598D" w:rsidRDefault="0041598D" w:rsidP="004805D6">
      <w:pPr>
        <w:pStyle w:val="HARBodytext"/>
      </w:pPr>
      <w:r>
        <w:t>The “value gap” issue, arises when generative AI systems benefit from human-created works but the creators are not credited.</w:t>
      </w:r>
      <w:r w:rsidR="00252B60">
        <w:rPr>
          <w:rStyle w:val="Fotnotsreferens"/>
        </w:rPr>
        <w:footnoteReference w:id="78"/>
      </w:r>
      <w:r>
        <w:t xml:space="preserve"> Even though the EU and its Member States do not recognise authorship in work created by generative AI, as found in the Czech case, the fact remains that human-created work, whether by the input of specific prompts or pre-existing copyrighted work, was facilitated in the production of the work produced in the AI system. Without this human-created input of data, the work generated by AI would cease to exist. </w:t>
      </w:r>
    </w:p>
    <w:p w14:paraId="0F78C6AB" w14:textId="571DA6D8" w:rsidR="0041598D" w:rsidRDefault="0041598D" w:rsidP="004805D6">
      <w:pPr>
        <w:pStyle w:val="HARBodytext"/>
      </w:pPr>
      <w:r>
        <w:t xml:space="preserve">Copyright law serves as a layered protection for all parties involved and develops a chain reaction towards promoting innovation. This chain reaction is mirrored in Recital 2 of the DSM Directive, which states that the harmonised legal framework “contributes to the proper functioning of the internal market, and stimulates innovation, creativity, investment and the production of new content, also in the digital environment”. Through the implementation of frameworks, creators can rely on their works being recognised which encourages innovation that challenges established norms, takes risks, and shares their work with a global audience. Copyright protection allows creators to monetise their work, thereby resulting in more time, dedication, and resources being applied and consequently enhancing innovation. In applying this structure to the lack of clarity on generative AI and copyright protection, Geiger 2025 states how the opt-out protection in Article 4 of </w:t>
      </w:r>
      <w:r w:rsidR="00BE290D">
        <w:t xml:space="preserve">the DSM Directive </w:t>
      </w:r>
      <w:r>
        <w:t>“creates legal uncertainties, posing an obstacle to AI innovation, and is likely to fail to secure fair remuneration to creators”.</w:t>
      </w:r>
      <w:r w:rsidR="00F26DFF">
        <w:rPr>
          <w:rStyle w:val="Fotnotsreferens"/>
        </w:rPr>
        <w:footnoteReference w:id="79"/>
      </w:r>
      <w:r>
        <w:t xml:space="preserve"> The potential for creators to not be attributed for the incorporation of their works in generative AI raises a critical concern for the future of copyright dependability where human creators may be sceptical to publish their findings which threatens economic and moral incentives to produce original works. </w:t>
      </w:r>
    </w:p>
    <w:p w14:paraId="33D34BB4" w14:textId="39AAFC01" w:rsidR="0041598D" w:rsidRDefault="0041598D" w:rsidP="004805D6">
      <w:pPr>
        <w:pStyle w:val="HARBodytext"/>
      </w:pPr>
      <w:r>
        <w:t xml:space="preserve">Should creators be compensated when their work is used in generative AI? Irrespective of the current legal complexities in the EU surrounding authorship and generative AI, the inclusion of the reproduction right in copyright law has aimed to show that it is not without merit to apply this to creators and generative AI. However, as acknowledged in traditional copyright law, the TDM exceptions specifically Article </w:t>
      </w:r>
      <w:r w:rsidRPr="00BE290D">
        <w:t>4</w:t>
      </w:r>
      <w:r w:rsidR="00BE290D">
        <w:t xml:space="preserve"> of the DSM Directive</w:t>
      </w:r>
      <w:r>
        <w:t xml:space="preserve">, present challenges for rightsholders, and generative AI that processes large amounts of various data may be more significantly impacted in that it could prove more difficult to identify individual copyrighted material. This provokes consideration of the need for separate copyright protection and generative AI. The need for a separate category of copyright protection lies in the observation that creators should be compensated because of the “value gap” between generative AI benefiting from human-created work and creators not receiving remuneration. The final consideration is the innovation issue. With creators currently not being </w:t>
      </w:r>
      <w:r>
        <w:lastRenderedPageBreak/>
        <w:t xml:space="preserve">labelled as authors of generative AI-produced work alongside copyrighted work being utilised, there is a risk that future innovation may be distorted. </w:t>
      </w:r>
    </w:p>
    <w:p w14:paraId="01C3258C" w14:textId="59A458D9" w:rsidR="0041598D" w:rsidRDefault="0041598D" w:rsidP="00456A0B">
      <w:pPr>
        <w:pStyle w:val="HARHeading2"/>
      </w:pPr>
      <w:bookmarkStart w:id="45" w:name="_Toc211702582"/>
      <w:r>
        <w:t>The Role of the EU AI Act in Shaping Future Copyright</w:t>
      </w:r>
      <w:bookmarkEnd w:id="45"/>
      <w:r>
        <w:t xml:space="preserve"> </w:t>
      </w:r>
    </w:p>
    <w:p w14:paraId="05067FAE" w14:textId="0164DAB8" w:rsidR="0041598D" w:rsidRDefault="0041598D" w:rsidP="003C26FA">
      <w:pPr>
        <w:pStyle w:val="HARBodytext"/>
      </w:pPr>
      <w:r>
        <w:t xml:space="preserve">The rapid advancement of AI can be said to be regulated by the EU at its highest authorial level with the creation of the first AI legal framework, namely, the EU AI Act Regulation. </w:t>
      </w:r>
      <w:r w:rsidR="00AE14DF">
        <w:t>Policymakers</w:t>
      </w:r>
      <w:r>
        <w:t xml:space="preserve"> aimed to provide blanket harmonisation for member states with a “human-centric” approach to AI.</w:t>
      </w:r>
      <w:r w:rsidR="00AE14DF">
        <w:rPr>
          <w:rStyle w:val="Fotnotsreferens"/>
        </w:rPr>
        <w:footnoteReference w:id="80"/>
      </w:r>
      <w:r>
        <w:t xml:space="preserve"> The act was signed into law in June 2024, officially entered into force in August 2024, and will become fully applicable after 24 months, with certain aspects, such as the ban on unacceptable risk systems, to be applicable before 2026. The Act primarily focuses on the input and training stage of generative AI. The Act establishes that authorisation is required when copyrighted material is used for training AI models unless TDM exceptions, as found in Articles 3 and</w:t>
      </w:r>
      <w:r w:rsidR="00BE290D">
        <w:t xml:space="preserve"> 4 DSM Directive </w:t>
      </w:r>
      <w:r>
        <w:t>are at play. Providers of general-purpose AI models have an obligation to incorporate policies that respect EU copyright law and must provide a summary of the training content used. This transparency requirement aims to help rightsholders identify infringements and enforce their rights.</w:t>
      </w:r>
      <w:r w:rsidR="006A777B">
        <w:rPr>
          <w:rStyle w:val="Fotnotsreferens"/>
        </w:rPr>
        <w:footnoteReference w:id="81"/>
      </w:r>
      <w:r>
        <w:t xml:space="preserve"> Therefore, the EU AI Act appears to be a constructive advancement for copyright holders whose works are used in the generative AI training </w:t>
      </w:r>
      <w:proofErr w:type="gramStart"/>
      <w:r>
        <w:t>stage,</w:t>
      </w:r>
      <w:proofErr w:type="gramEnd"/>
      <w:r>
        <w:t xml:space="preserve"> however, the Act does not touch upon the possibility of authorship of outputs when creative and specific prompts are inputted. </w:t>
      </w:r>
    </w:p>
    <w:p w14:paraId="38AEB469" w14:textId="152B134A" w:rsidR="0041598D" w:rsidRDefault="0041598D" w:rsidP="003C26FA">
      <w:pPr>
        <w:pStyle w:val="HARBodytext"/>
      </w:pPr>
      <w:r>
        <w:t>The AI Act has sparked different critical debates among scholars due to its loopholes and inadequacy in meeting the nature of copyright law. Guadamuz 2024, while asserting that the Act is a step in the right direction, remarks on how the Act was not initially intended to cover copyright issues with the provisions being included at a later stage and can be viewed as “relatively weak” alongside not meeting “the calls for more stringent changes to copyright law”.</w:t>
      </w:r>
      <w:r w:rsidR="008C7058">
        <w:rPr>
          <w:rStyle w:val="Fotnotsreferens"/>
        </w:rPr>
        <w:footnoteReference w:id="82"/>
      </w:r>
      <w:r>
        <w:t xml:space="preserve"> Quintais, in their paper </w:t>
      </w:r>
      <w:r w:rsidRPr="00E03748">
        <w:rPr>
          <w:i/>
          <w:iCs/>
        </w:rPr>
        <w:t>Generative AI, copyright and the AI Act</w:t>
      </w:r>
      <w:r w:rsidRPr="000C5307">
        <w:t>,</w:t>
      </w:r>
      <w:r w:rsidRPr="00E03748">
        <w:rPr>
          <w:i/>
          <w:iCs/>
        </w:rPr>
        <w:t xml:space="preserve"> </w:t>
      </w:r>
      <w:r>
        <w:t>explains how the Act connects with copyright through TDM exceptions found in the Digital Single Market Directive. The new procedures outlined in the prior section are argued by Quintais to “fall short of being sufficient” to appropriately confront the complexities surrounding generative AI and copyright.</w:t>
      </w:r>
      <w:r w:rsidR="002760F0">
        <w:rPr>
          <w:rStyle w:val="Fotnotsreferens"/>
        </w:rPr>
        <w:footnoteReference w:id="83"/>
      </w:r>
      <w:r w:rsidR="00402921">
        <w:t xml:space="preserve"> </w:t>
      </w:r>
      <w:r>
        <w:t>The key weakness of the Act is how it targets the providers of AI systems and fails to address the legitimate interests of rightsholders. Quintais states there is a “conceptual dissonance” in that the Act centres on the input and training stage of AI model development and Quintais argues that rightsholders place greater emphasis on the “potential for AI-generated outputs to compete with and negatively affect the commercial exploitation of their creative works”.</w:t>
      </w:r>
      <w:r w:rsidR="002760F0">
        <w:rPr>
          <w:rStyle w:val="Fotnotsreferens"/>
        </w:rPr>
        <w:footnoteReference w:id="84"/>
      </w:r>
      <w:r>
        <w:t xml:space="preserve"> This indicates that the Act creates obligations related to </w:t>
      </w:r>
      <w:r w:rsidRPr="00E7078C">
        <w:rPr>
          <w:i/>
          <w:iCs/>
        </w:rPr>
        <w:t>how</w:t>
      </w:r>
      <w:r>
        <w:t xml:space="preserve"> AI models are trained at the input stage, notwithstanding the copyright holder’s concerns about the </w:t>
      </w:r>
      <w:r w:rsidRPr="008D7BDC">
        <w:rPr>
          <w:i/>
          <w:iCs/>
        </w:rPr>
        <w:t>results</w:t>
      </w:r>
      <w:r>
        <w:rPr>
          <w:i/>
          <w:iCs/>
        </w:rPr>
        <w:t xml:space="preserve"> </w:t>
      </w:r>
      <w:r>
        <w:t>at the output stage</w:t>
      </w:r>
      <w:r>
        <w:rPr>
          <w:i/>
          <w:iCs/>
        </w:rPr>
        <w:t xml:space="preserve"> </w:t>
      </w:r>
      <w:r>
        <w:lastRenderedPageBreak/>
        <w:t xml:space="preserve">produced and the market impact. </w:t>
      </w:r>
      <w:r w:rsidR="00617765">
        <w:t>A</w:t>
      </w:r>
      <w:r>
        <w:t>lthough the Act enhances a standardization of TDM opt-outs, this does not necessarily improve fair remuneration for rightsholders as there are now incentives for providers to enter licensing deals, which tend to benefit large rights aggregators, as opposed to individual creators.</w:t>
      </w:r>
      <w:r w:rsidR="00617765">
        <w:rPr>
          <w:rStyle w:val="Fotnotsreferens"/>
        </w:rPr>
        <w:footnoteReference w:id="85"/>
      </w:r>
      <w:r>
        <w:t xml:space="preserve"> Therefore, that it is debatable whether the AI Act sufficiently tackles the challenges that generative AI presents to EU copyright law. </w:t>
      </w:r>
    </w:p>
    <w:p w14:paraId="214C0034" w14:textId="2158F841" w:rsidR="0041598D" w:rsidRDefault="0041598D" w:rsidP="004805D6">
      <w:pPr>
        <w:pStyle w:val="HARBodytext"/>
      </w:pPr>
      <w:r>
        <w:t>Building on Quintais` line of thought, Novelli et al., similarly argue that the current EU framework remains underdeveloped in addressing the various legal challenges posed by “creative” outputs of generative AI</w:t>
      </w:r>
      <w:r w:rsidR="00A73B5E">
        <w:t>.</w:t>
      </w:r>
      <w:r w:rsidR="00A73B5E">
        <w:rPr>
          <w:rStyle w:val="Fotnotsreferens"/>
        </w:rPr>
        <w:footnoteReference w:id="86"/>
      </w:r>
      <w:r w:rsidR="00D624F7">
        <w:t xml:space="preserve"> There are </w:t>
      </w:r>
      <w:r>
        <w:t>concerns surrounding the legal relationship between the work incorporated in AI training and the outputs.</w:t>
      </w:r>
      <w:r w:rsidR="00502F81">
        <w:rPr>
          <w:rStyle w:val="Fotnotsreferens"/>
        </w:rPr>
        <w:footnoteReference w:id="87"/>
      </w:r>
      <w:r>
        <w:t xml:space="preserve"> The authors question whether generated outputs are considered derivative works or legally autonomous creations. Novelli et al., explain that determining infringement presents difficulties and requires a “case-by-case assessment” that compares specific outputs to specific pre-existing works.</w:t>
      </w:r>
      <w:r w:rsidR="00685336">
        <w:rPr>
          <w:rStyle w:val="Fotnotsreferens"/>
        </w:rPr>
        <w:footnoteReference w:id="88"/>
      </w:r>
      <w:r w:rsidR="00685336">
        <w:t xml:space="preserve"> </w:t>
      </w:r>
      <w:r>
        <w:t>The authors discuss a solution for copyrighting outputs that involve “significant modifications by a human”, yet argue against protection for outputs formed substantially autonomously.</w:t>
      </w:r>
      <w:r w:rsidR="00685336">
        <w:rPr>
          <w:rStyle w:val="Fotnotsreferens"/>
        </w:rPr>
        <w:footnoteReference w:id="89"/>
      </w:r>
    </w:p>
    <w:p w14:paraId="41E334A9" w14:textId="402C4ECB" w:rsidR="0041598D" w:rsidRDefault="0041598D" w:rsidP="00456A0B">
      <w:pPr>
        <w:pStyle w:val="HARHeading2"/>
      </w:pPr>
      <w:bookmarkStart w:id="46" w:name="_Toc211702583"/>
      <w:r>
        <w:t>Suggested Changes to EU Law</w:t>
      </w:r>
      <w:bookmarkEnd w:id="46"/>
    </w:p>
    <w:p w14:paraId="4467FE5A" w14:textId="77777777" w:rsidR="0041598D" w:rsidRDefault="0041598D" w:rsidP="004805D6">
      <w:pPr>
        <w:pStyle w:val="HARBodytext"/>
      </w:pPr>
      <w:r>
        <w:t xml:space="preserve">Rather than proposing one unified framework, this thesis has briefly incorporated multiple avenues for responding to the copyright implications of generative AI and will now be analysed. </w:t>
      </w:r>
    </w:p>
    <w:p w14:paraId="5AB72489" w14:textId="4D496421" w:rsidR="0041598D" w:rsidRDefault="0041598D" w:rsidP="004805D6">
      <w:pPr>
        <w:pStyle w:val="HARBodytext"/>
      </w:pPr>
      <w:r>
        <w:t xml:space="preserve">A possible remedy for the shortcomings of generative AI and copyright challenges is an AI output levy system imposed on the providers of AI systems that </w:t>
      </w:r>
      <w:proofErr w:type="gramStart"/>
      <w:r>
        <w:t>are capable of replacing</w:t>
      </w:r>
      <w:proofErr w:type="gramEnd"/>
      <w:r>
        <w:t xml:space="preserve"> human creations. </w:t>
      </w:r>
      <w:proofErr w:type="spellStart"/>
      <w:r>
        <w:t>Senfleben</w:t>
      </w:r>
      <w:proofErr w:type="spellEnd"/>
      <w:r w:rsidR="004665A1">
        <w:t xml:space="preserve"> 2023</w:t>
      </w:r>
      <w:r>
        <w:t xml:space="preserve"> posits that a levy system would intervene where there is a “potential of the AI output to substitute human creativity” rather than the use of copyrighted work at the output stage.</w:t>
      </w:r>
      <w:r w:rsidR="004665A1">
        <w:rPr>
          <w:rStyle w:val="Fotnotsreferens"/>
        </w:rPr>
        <w:footnoteReference w:id="90"/>
      </w:r>
      <w:r>
        <w:t xml:space="preserve"> The levy amount would be determined based on a proportion of the AI provider`s revenue. It would create a new collective right for the “community of authors”. This would function with the assistance of collective management organisations which will use the gathered revenue to support human authors. The objective is intended to ensure that the monetary gains obtained by AI outputs are fairly converted to human creators, thereby supporting the continued production of socially valuable creative work.</w:t>
      </w:r>
      <w:r w:rsidR="004665A1">
        <w:rPr>
          <w:rStyle w:val="Fotnotsreferens"/>
        </w:rPr>
        <w:footnoteReference w:id="91"/>
      </w:r>
      <w:r w:rsidR="004665A1">
        <w:t xml:space="preserve"> </w:t>
      </w:r>
      <w:r>
        <w:t xml:space="preserve">However, the practicality of implementing such a levy remains uncertain. Adequately finding the amount of the output to the AI system provider`s revenue is likely to prove technically and legally challenging. </w:t>
      </w:r>
    </w:p>
    <w:p w14:paraId="376583B2" w14:textId="20AF73BA" w:rsidR="0041598D" w:rsidRDefault="0041598D" w:rsidP="004805D6">
      <w:pPr>
        <w:pStyle w:val="HARBodytext"/>
      </w:pPr>
      <w:r>
        <w:lastRenderedPageBreak/>
        <w:t xml:space="preserve">Another proposed remedy, put forward by Geiger and Iaia (2023), is the implementation of statutory licensing. This solution would function as a compromise solution by enabling a conducive environment for AI development by permitting access to works for training whilst also ensuring that human creators are renumerated for their works. This provides a balance between the fundamental rights of rightsholders, users, and developers. As </w:t>
      </w:r>
      <w:r w:rsidR="003E0186">
        <w:t>discussed,</w:t>
      </w:r>
      <w:r>
        <w:t xml:space="preserve"> prior in </w:t>
      </w:r>
      <w:r w:rsidR="007C12C1">
        <w:t xml:space="preserve">the </w:t>
      </w:r>
      <w:r>
        <w:t xml:space="preserve">section </w:t>
      </w:r>
      <w:r w:rsidR="003E0186">
        <w:t xml:space="preserve">titled; </w:t>
      </w:r>
      <w:r>
        <w:t xml:space="preserve">Should creators be compensated when their work is used in generative AI?, Geiger and Iaia criticise the EU TDM exceptions and propose statutory licensing for commercial TDM activities not covered by Article 3 </w:t>
      </w:r>
      <w:r w:rsidR="00BE290D">
        <w:t xml:space="preserve">DSM Directive </w:t>
      </w:r>
      <w:r>
        <w:t>and replace the opt-out feature in Article 4(3).</w:t>
      </w:r>
      <w:r w:rsidR="003E0186">
        <w:rPr>
          <w:rStyle w:val="Fotnotsreferens"/>
        </w:rPr>
        <w:footnoteReference w:id="92"/>
      </w:r>
      <w:r>
        <w:t xml:space="preserve"> Under a statutory licensing framework, remuneration would be collected and distributed through mandatory collective management monitored by the introduction of a new EU authority or existing national supervisory authorities. Alternatively, the appointed authorities could administer statutory licensing by laying the criteria to appropriately calculate compensation, influenced by, for example, provisions found in Article 18 “appropriate and proportionate remuneration”, while considering the economic value and industry standards.</w:t>
      </w:r>
      <w:r w:rsidR="007C12C1">
        <w:rPr>
          <w:rStyle w:val="Fotnotsreferens"/>
        </w:rPr>
        <w:footnoteReference w:id="93"/>
      </w:r>
      <w:r>
        <w:t xml:space="preserve"> </w:t>
      </w:r>
      <w:r w:rsidR="00D520CA">
        <w:t>A</w:t>
      </w:r>
      <w:r>
        <w:t xml:space="preserve"> statutory licensing approach is preferable to the current opt-out system and seeks to compensate rightsholders fairly. A concern of replacing the opt-out right is the potential of reducing rightsholders` control and the right to attribution. </w:t>
      </w:r>
    </w:p>
    <w:p w14:paraId="57003594" w14:textId="55BDC324" w:rsidR="00506E5D" w:rsidRDefault="0041598D" w:rsidP="00506E5D">
      <w:pPr>
        <w:pStyle w:val="HARBodytext"/>
        <w:sectPr w:rsidR="00506E5D" w:rsidSect="00825BC5">
          <w:pgSz w:w="11906" w:h="16838"/>
          <w:pgMar w:top="1418" w:right="2268" w:bottom="1418" w:left="2268" w:header="709" w:footer="709" w:gutter="0"/>
          <w:cols w:space="708"/>
          <w:docGrid w:linePitch="360"/>
        </w:sectPr>
      </w:pPr>
      <w:r>
        <w:t xml:space="preserve">Collective licensing is a mechanism that allows Member States flexibility in implanting various forms of collective licensing under EU copyright law </w:t>
      </w:r>
      <w:r w:rsidR="00EF6885">
        <w:t xml:space="preserve">in the </w:t>
      </w:r>
      <w:proofErr w:type="spellStart"/>
      <w:r>
        <w:t>InfoSoc</w:t>
      </w:r>
      <w:proofErr w:type="spellEnd"/>
      <w:r w:rsidR="00EF6885">
        <w:t xml:space="preserve"> Directive</w:t>
      </w:r>
      <w:r>
        <w:t>, enabling collective management organisations (CMO) to manage rights on behalf of multiple rightsholders. The DSM Directive</w:t>
      </w:r>
      <w:r w:rsidR="00EF6885">
        <w:t xml:space="preserve"> </w:t>
      </w:r>
      <w:r>
        <w:t>introduces mechanisms of collective licensing with an extended effect, where the CMO has not received direct permission from the rightsholders but can enter licensing agreements for the exploitation of works.</w:t>
      </w:r>
      <w:r w:rsidR="00107DFC">
        <w:rPr>
          <w:rStyle w:val="Fotnotsreferens"/>
        </w:rPr>
        <w:footnoteReference w:id="94"/>
      </w:r>
      <w:r>
        <w:t xml:space="preserve"> Collective licensing is an accelerated means to gain lawful access to works, especially when seeking several works at once where obtaining individual permission would prove onerous. Article 53(1)(c) of the EU AI Act requires providers of general-purpose AI models to have policies that comply with EU copyright law, namely the op-out right found in Article 4(3) </w:t>
      </w:r>
      <w:r w:rsidR="00EF6885">
        <w:t>DSM Directive</w:t>
      </w:r>
      <w:r>
        <w:t>. Collective licensing and generative AI may initially be perceived as an effective remedy, however, the recently withdrawn extended collective licensing (ECL) proposal for AI training in Spain reflects the concerns and perspectives of creators.</w:t>
      </w:r>
      <w:r w:rsidR="004F318E">
        <w:rPr>
          <w:rStyle w:val="Fotnotsreferens"/>
        </w:rPr>
        <w:footnoteReference w:id="95"/>
      </w:r>
      <w:r>
        <w:t xml:space="preserve"> The introduction of ECL would place liability on rightsholders to opt out of Article 4(3)</w:t>
      </w:r>
      <w:r w:rsidR="00EF6885">
        <w:t xml:space="preserve"> DSM Directive</w:t>
      </w:r>
      <w:r>
        <w:t xml:space="preserve"> in addition to ECLs. A survey created in Spain, targeting writers with over 800 respondents, found that 96.5% of rightsholders believe the use of their works for training generative AI should require prior authorisation.</w:t>
      </w:r>
      <w:r w:rsidR="00F3575A">
        <w:rPr>
          <w:rStyle w:val="Fotnotsreferens"/>
        </w:rPr>
        <w:footnoteReference w:id="96"/>
      </w:r>
      <w:r>
        <w:t xml:space="preserve"> Notably, 49.9% stated they would refuse permission even if offered remuneration. Therefore, while </w:t>
      </w:r>
      <w:r>
        <w:lastRenderedPageBreak/>
        <w:t>collective licensing aims to balance the interests of rightsholders and the evolution of AI, compensation, (at least for the 49.9% of respondents in the survey), is not a primary concern. This could be due to 52% of respondents stating that they believe generative AI erodes the quality of creative work.</w:t>
      </w:r>
      <w:r w:rsidR="00142F87">
        <w:rPr>
          <w:rStyle w:val="Fotnotsreferens"/>
        </w:rPr>
        <w:footnoteReference w:id="97"/>
      </w:r>
    </w:p>
    <w:p w14:paraId="14DAA35C" w14:textId="2B10C3E7" w:rsidR="0041598D" w:rsidRDefault="0041598D" w:rsidP="00456A0B">
      <w:pPr>
        <w:pStyle w:val="HARHeading1"/>
      </w:pPr>
      <w:bookmarkStart w:id="47" w:name="_Toc211702584"/>
      <w:r>
        <w:lastRenderedPageBreak/>
        <w:t>Conclusion</w:t>
      </w:r>
      <w:bookmarkEnd w:id="47"/>
      <w:r>
        <w:t xml:space="preserve"> </w:t>
      </w:r>
    </w:p>
    <w:p w14:paraId="22B9AA16" w14:textId="77777777" w:rsidR="0041598D" w:rsidRPr="00C021B7" w:rsidRDefault="0041598D" w:rsidP="00C021B7">
      <w:pPr>
        <w:pStyle w:val="HARBodytext"/>
      </w:pPr>
      <w:r w:rsidRPr="00C021B7">
        <w:t xml:space="preserve">This thesis has attempted to examine whether the existing EU legal framework is sufficient in responding to the legal and ethical challenges posed by generative AI, specifically the use of copyrighted and human-created content. Using a doctrinal and teleological method, it explored core EU instruments, namely, the </w:t>
      </w:r>
      <w:proofErr w:type="spellStart"/>
      <w:r w:rsidRPr="00C021B7">
        <w:t>InfoSoc</w:t>
      </w:r>
      <w:proofErr w:type="spellEnd"/>
      <w:r w:rsidRPr="00C021B7">
        <w:t xml:space="preserve"> Directive, the Digital Single Market Directive, the Database Directive, and the recent EU AI Act 2024, in addition to landmark decisions by the CJEU, and scholarly commentary. The findings have highlighted legal ambiguity, fragmented protections, and normative gaps that produce a framework currently unfit to administer adequate recognition, attribution, and compensation for rightsholders whose works are reused in generative AI training. </w:t>
      </w:r>
    </w:p>
    <w:p w14:paraId="7C056AC8" w14:textId="66190AD7" w:rsidR="0041598D" w:rsidRPr="00C021B7" w:rsidRDefault="0041598D" w:rsidP="00C021B7">
      <w:pPr>
        <w:pStyle w:val="HARBodytext"/>
      </w:pPr>
      <w:r w:rsidRPr="00C021B7">
        <w:t xml:space="preserve">Research Question 1 asked: How do current EU copyright and database laws – including moral rights and authorship principles – regulate and protect the use of human-created content in AI training? The thesis found that although EU copyright law possesses a strong theoretical foundation, i.e., the reproduction right found in Article 2 of the </w:t>
      </w:r>
      <w:proofErr w:type="spellStart"/>
      <w:r w:rsidRPr="00C021B7">
        <w:t>InfoSoc</w:t>
      </w:r>
      <w:proofErr w:type="spellEnd"/>
      <w:r w:rsidRPr="00C021B7">
        <w:t xml:space="preserve"> Directive, alongside moral rights under national laws inspired by the Berne Convention, these protections do not transpose to rightsholders in the context of AI training. With AI systems scraping large amounts of work online, often without the permission of creators, moral rights such as the right of attribution, are disregarded when technical mechanisms neglect the preservation of metadata. While it was highlighted that even small inclusions of text, such as 11 words in the Infopaq case, can equate to a reproduction of the work, however enforcement of partial or temporary acts of reproduction for acts of AI training proves impractical without competent data provenance. Similarly, the Database Directive</w:t>
      </w:r>
      <w:r w:rsidR="00BE290D">
        <w:t xml:space="preserve"> </w:t>
      </w:r>
      <w:r w:rsidRPr="00C021B7">
        <w:t xml:space="preserve">provides limited protection with several unstructured AI datasets used in generative AI failing to qualify for copyright or sui generis protection arising from a lack of originality or substantial investment. </w:t>
      </w:r>
    </w:p>
    <w:p w14:paraId="4CC38235" w14:textId="77777777" w:rsidR="0041598D" w:rsidRPr="00C021B7" w:rsidRDefault="0041598D" w:rsidP="00C021B7">
      <w:pPr>
        <w:pStyle w:val="HARBodytext"/>
      </w:pPr>
      <w:r w:rsidRPr="00C021B7">
        <w:t xml:space="preserve">Research Question 2 asked: Are the existing TDM exceptions sufficient to balance innovation with the rights of creators? The findings showed that while Article 3 incorporates a mandatory exception for non-commercial research entities with lawful access, Article 4 proves problematic with the burden of protection being placed on the rightsholders for the opt-out mechanism. It is also worth noting that the directive was drafted with traditional copyright issues in mind, not the unprecedented, </w:t>
      </w:r>
      <w:proofErr w:type="gramStart"/>
      <w:r w:rsidRPr="00C021B7">
        <w:t>continuously-expanding</w:t>
      </w:r>
      <w:proofErr w:type="gramEnd"/>
      <w:r w:rsidRPr="00C021B7">
        <w:t xml:space="preserve"> nature of generative AI. Furthermore, the choice by Member States to transpose Article 4 into national law fragments legal uncertainty across the EU. Therefore, while Articles 3 and 4 provide a foundation, their application to large-scale AI training is misaligned and ineffective for safeguarding the rights of creators and promoting clarity for AI developers. </w:t>
      </w:r>
    </w:p>
    <w:p w14:paraId="23496F3C" w14:textId="376DC179" w:rsidR="0041598D" w:rsidRPr="00C021B7" w:rsidRDefault="0041598D" w:rsidP="00C021B7">
      <w:pPr>
        <w:pStyle w:val="HARBodytext"/>
      </w:pPr>
      <w:r w:rsidRPr="00C021B7">
        <w:t xml:space="preserve">Research Question 3 asked: What alternative legal or ethical frameworks could ensure fair attribution or compensation for data contributors, and how does the legal status of AI-generated outputs influence the need for reform? By examining the </w:t>
      </w:r>
      <w:r w:rsidRPr="00C021B7">
        <w:lastRenderedPageBreak/>
        <w:t xml:space="preserve">refusal from the national courts within the EU to qualify AI outputs eligible for copyright protection in addition to the obscureness of training processes, the thesis submits that this creates legal loopholes and gaps. The thesis has not set out to solve or determine how or if human input should be protected under EU law, instead, it was included to highlight the pressing concerns of human creators, AI developers, the future of human innovation, and the reality that an output was generated by individuals whose work or specific prompts made the output possible. The thesis has explored different reform proposals, such as statutory licensing schemes, remuneration rights, enhanced transparency requirements specifically corresponding to the EU AI Act, and the creation of new sui generis rights for data contributors. </w:t>
      </w:r>
    </w:p>
    <w:p w14:paraId="6BF88820" w14:textId="6D225371" w:rsidR="0041598D" w:rsidRPr="009A5026" w:rsidRDefault="0041598D" w:rsidP="009A5026">
      <w:pPr>
        <w:pStyle w:val="HARBodytext"/>
      </w:pPr>
      <w:r w:rsidRPr="009A5026">
        <w:t xml:space="preserve">Arguably the EU framework does not adequately address conceptual clarity, which is visible in the boundary between inspiration and acts of reproduction, and further lacks enforceability in areas such as licensing metadata. The recent AI Act 2024 is a step in the right direction with the inclusion of transparency obligations in Article 53, </w:t>
      </w:r>
      <w:proofErr w:type="gramStart"/>
      <w:r w:rsidRPr="009A5026">
        <w:t>yet,</w:t>
      </w:r>
      <w:proofErr w:type="gramEnd"/>
      <w:r w:rsidRPr="009A5026">
        <w:t xml:space="preserve"> several challenges remain such as the mandating a registry of individual works used and compensation queries. It is contended that the AI Act primarily covers AI safety rather than creators’ rights. By the same token, the cases analysed such as Infopaq,</w:t>
      </w:r>
      <w:r w:rsidR="009A5026">
        <w:t xml:space="preserve"> </w:t>
      </w:r>
      <w:r w:rsidRPr="009A5026">
        <w:t>Svensson,</w:t>
      </w:r>
      <w:r w:rsidR="009A5026">
        <w:t xml:space="preserve"> </w:t>
      </w:r>
      <w:r w:rsidRPr="009A5026">
        <w:t xml:space="preserve">GS Media, and S. Š. v. Taubel Legal, illustrated how applying traditional copyright decisions is arguably unsuited to address the unique challenges presented by generative AI. Ultimately, reputable judicial reasoning may be insufficient with legislative reform appearing more appealing. </w:t>
      </w:r>
    </w:p>
    <w:p w14:paraId="4F55DD81" w14:textId="77777777" w:rsidR="0041598D" w:rsidRPr="009A5026" w:rsidRDefault="0041598D" w:rsidP="009A5026">
      <w:pPr>
        <w:pStyle w:val="HARBodytext"/>
      </w:pPr>
      <w:r w:rsidRPr="009A5026">
        <w:t>Beyond legal insufficiencies, the unauthorised use of works raises ethical concerns. The use of creators’ works without attribution or compensation undermines their moral and material interests. This concern is established in the EU Charter of Fundamental Rights where Articles 11, 13, and 17(2) protect creative freedom and the right to benefit from works. The literature review uncovered the consensus among scholars that legal frameworks cannot entirely ensure fairness. Ethical principles must be incorporated into legal mechanisms to ensure creators are not mere inputs that assist commercially valuable systems. Transparency is not only a legal requirement, but an ethical obligation that values fair attribution and compensation and sustains a creative digital ecosystem.</w:t>
      </w:r>
    </w:p>
    <w:p w14:paraId="5A8924A5" w14:textId="6B660B32" w:rsidR="004F561D" w:rsidRPr="009A5026" w:rsidRDefault="0041598D" w:rsidP="009A5026">
      <w:pPr>
        <w:pStyle w:val="HARBodytext"/>
      </w:pPr>
      <w:r w:rsidRPr="009A5026">
        <w:t>The thesis has attempted to examine whether the current copyright frameworks in the EU are equipped to apply established rules and practices against the complexities that arise from generative AI. It is submitted that the findings throughout the thesis lean towards a deficiency in the EU framework to fulfil this question. There is no singular solution, instead, via means such as reforming copyright, developing new rights, or enhancing transparency, the EU has an opportunity to lead in regulating generative AI. The future of CJEU rulings, the AI Act, and international debates will shape the answer to these questions.</w:t>
      </w:r>
    </w:p>
    <w:p w14:paraId="26ED0852" w14:textId="77777777" w:rsidR="00261A7C" w:rsidRPr="008A7EB6" w:rsidRDefault="00261A7C" w:rsidP="004F2F8B">
      <w:pPr>
        <w:pStyle w:val="HARBodytext"/>
        <w:sectPr w:rsidR="00261A7C" w:rsidRPr="008A7EB6" w:rsidSect="00825BC5">
          <w:pgSz w:w="11906" w:h="16838"/>
          <w:pgMar w:top="1418" w:right="2268" w:bottom="1418" w:left="2268" w:header="709" w:footer="709" w:gutter="0"/>
          <w:cols w:space="708"/>
          <w:docGrid w:linePitch="360"/>
        </w:sectPr>
      </w:pPr>
    </w:p>
    <w:p w14:paraId="452915B1" w14:textId="5D9CFC52" w:rsidR="0081012E" w:rsidRPr="008A7EB6" w:rsidRDefault="00D230BF" w:rsidP="00D230BF">
      <w:pPr>
        <w:pStyle w:val="HARHeading"/>
      </w:pPr>
      <w:bookmarkStart w:id="48" w:name="_Toc161573881"/>
      <w:bookmarkStart w:id="49" w:name="_Toc211702585"/>
      <w:r w:rsidRPr="008A7EB6">
        <w:lastRenderedPageBreak/>
        <w:t>References</w:t>
      </w:r>
      <w:bookmarkEnd w:id="48"/>
      <w:bookmarkEnd w:id="49"/>
    </w:p>
    <w:p w14:paraId="2DD342E8" w14:textId="11F3777A" w:rsidR="00D633BC" w:rsidRPr="008A7EB6" w:rsidRDefault="00D633BC" w:rsidP="00D633BC">
      <w:pPr>
        <w:pStyle w:val="HARHeading1ReferenceList"/>
      </w:pPr>
      <w:r w:rsidRPr="008A7EB6">
        <w:t>Li</w:t>
      </w:r>
      <w:r w:rsidR="006F0E9E" w:rsidRPr="008A7EB6">
        <w:t>terature</w:t>
      </w:r>
    </w:p>
    <w:p w14:paraId="1DF6834E" w14:textId="35788FDD" w:rsidR="00BE2F51" w:rsidRDefault="00BE2F51" w:rsidP="00BE2FC9">
      <w:pPr>
        <w:pStyle w:val="HARHeading2ReferenceList"/>
      </w:pPr>
      <w:r>
        <w:t>Articles</w:t>
      </w:r>
    </w:p>
    <w:p w14:paraId="7F8CC070" w14:textId="476A0D26" w:rsidR="00BA721F" w:rsidRPr="003A6CDC" w:rsidRDefault="00BA721F" w:rsidP="003A6CDC">
      <w:pPr>
        <w:pStyle w:val="HARReferenceList"/>
      </w:pPr>
      <w:r w:rsidRPr="003A6CDC">
        <w:t xml:space="preserve">Brown TB </w:t>
      </w:r>
      <w:r w:rsidR="000E3C88">
        <w:t>et al.</w:t>
      </w:r>
      <w:r w:rsidRPr="003A6CDC">
        <w:t>, ‘Language Models Are Few-Shot Learners’ (2020) 4 arxiv.org &lt;https://arxiv.org/abs/2005.14165&gt;</w:t>
      </w:r>
    </w:p>
    <w:p w14:paraId="55BF8478" w14:textId="77777777" w:rsidR="00BA721F" w:rsidRPr="003A6CDC" w:rsidRDefault="00BA721F" w:rsidP="003A6CDC">
      <w:pPr>
        <w:pStyle w:val="HARReferenceList"/>
      </w:pPr>
      <w:r w:rsidRPr="003A6CDC">
        <w:t>Buick A, ‘Copyright and AI Training Data—Transparency to the Rescue?’ (2024) 20 Journal of Intellectual Property Law &amp; Practice &lt;https://doi.org/10.1093/jiplp/jpae102&gt;</w:t>
      </w:r>
    </w:p>
    <w:p w14:paraId="2F49CC22" w14:textId="77777777" w:rsidR="00BA721F" w:rsidRPr="003A6CDC" w:rsidRDefault="00BA721F" w:rsidP="003A6CDC">
      <w:pPr>
        <w:pStyle w:val="HARReferenceList"/>
      </w:pPr>
      <w:r w:rsidRPr="003A6CDC">
        <w:t>Chesney R and Citron DK, ‘Deep Fakes: A Looming Challenge for Privacy, Democracy, and National Security’ (2019) 107 SSRN Electronic Journal &lt;https://papers.ssrn.com/sol3/Delivery.cfm/SSRN_ID3213954_code119080.pdf?abstractid=3213954&amp;mirid=1&amp;type=2&gt;</w:t>
      </w:r>
    </w:p>
    <w:p w14:paraId="3D28F457" w14:textId="2103A4C9" w:rsidR="00BA721F" w:rsidRPr="003A6CDC" w:rsidRDefault="00BA721F" w:rsidP="003A6CDC">
      <w:pPr>
        <w:pStyle w:val="HARReferenceList"/>
      </w:pPr>
      <w:r w:rsidRPr="003A6CDC">
        <w:t xml:space="preserve">Chloupek V, ‘Czech Court Denies Copyright Protection of AI-Generated Work in First Ever Ruling’ (Twobirds.com2024) &lt;https://cm.twobirds.com/en/insights/2024/czech-republic/czech-court-denies-copyright-protection-of-ai-generated-work-in-first-ever-ruling?utm_source=chatgpt.com&gt; </w:t>
      </w:r>
    </w:p>
    <w:p w14:paraId="67328C17" w14:textId="4321D6F3" w:rsidR="00BA721F" w:rsidRPr="003A6CDC" w:rsidRDefault="00BA721F" w:rsidP="003A6CDC">
      <w:pPr>
        <w:pStyle w:val="HARReferenceList"/>
      </w:pPr>
      <w:proofErr w:type="spellStart"/>
      <w:r w:rsidRPr="003A6CDC">
        <w:t>Elgammal</w:t>
      </w:r>
      <w:proofErr w:type="spellEnd"/>
      <w:r w:rsidRPr="003A6CDC">
        <w:t xml:space="preserve"> A </w:t>
      </w:r>
      <w:r w:rsidR="000E3C88">
        <w:t>et al.</w:t>
      </w:r>
      <w:r w:rsidRPr="003A6CDC">
        <w:t xml:space="preserve">, ‘CAN: Creative Adversarial Networks, </w:t>
      </w:r>
      <w:proofErr w:type="gramStart"/>
      <w:r w:rsidRPr="003A6CDC">
        <w:t>Generating</w:t>
      </w:r>
      <w:proofErr w:type="gramEnd"/>
      <w:r w:rsidRPr="003A6CDC">
        <w:t xml:space="preserve"> “Art” by Learning about Styles and Deviating from Style Norms’ [2017] arXiv:1706.07068 [cs] &lt;https://arxiv.org/abs/1706.07068&gt;</w:t>
      </w:r>
    </w:p>
    <w:p w14:paraId="19352A12" w14:textId="256A7869" w:rsidR="00BA721F" w:rsidRPr="003A6CDC" w:rsidRDefault="00BA721F" w:rsidP="003A6CDC">
      <w:pPr>
        <w:pStyle w:val="HARReferenceList"/>
      </w:pPr>
      <w:r w:rsidRPr="003A6CDC">
        <w:t xml:space="preserve">Elkin-Koren N </w:t>
      </w:r>
      <w:r w:rsidR="000E3C88">
        <w:t>et al.</w:t>
      </w:r>
      <w:r w:rsidRPr="003A6CDC">
        <w:t>, ‘Can Copyright Be Reduced to Privacy?’ (arXiv.org2023) &lt;https://arxiv.org/abs/2305.14822&gt;</w:t>
      </w:r>
    </w:p>
    <w:p w14:paraId="279BB49B" w14:textId="77777777" w:rsidR="00BA721F" w:rsidRPr="003A6CDC" w:rsidRDefault="00BA721F" w:rsidP="003A6CDC">
      <w:pPr>
        <w:pStyle w:val="HARReferenceList"/>
      </w:pPr>
      <w:r w:rsidRPr="003A6CDC">
        <w:t>Geiger C, ‘EU Copyright Needs Reform to Spur Fair AI’ (CEPA25 February 2025) &lt;https://cepa.org/article/eu-copyright-needs-reform-to-spur-fair-ai/&gt;</w:t>
      </w:r>
    </w:p>
    <w:p w14:paraId="1B6C5D67" w14:textId="37F726BF" w:rsidR="00BA721F" w:rsidRPr="003A6CDC" w:rsidRDefault="00BA721F" w:rsidP="003A6CDC">
      <w:pPr>
        <w:pStyle w:val="HARReferenceList"/>
      </w:pPr>
      <w:r w:rsidRPr="003A6CDC">
        <w:t xml:space="preserve">Geiger C and Iaia V, ‘The Forgotten Creator: Towards a Statutory Remuneration Right for Machine Learning of Generative AI’ (Ssrn.com6 October 2023) &lt;https://papers.ssrn.com/sol3/papers.cfm?abstract_id=4594873&gt; </w:t>
      </w:r>
    </w:p>
    <w:p w14:paraId="2747E9A6" w14:textId="32E9307E" w:rsidR="00BA721F" w:rsidRPr="003A6CDC" w:rsidRDefault="00BA721F" w:rsidP="003A6CDC">
      <w:pPr>
        <w:pStyle w:val="HARReferenceList"/>
      </w:pPr>
      <w:r w:rsidRPr="003A6CDC">
        <w:t xml:space="preserve">Goodfellow </w:t>
      </w:r>
      <w:proofErr w:type="spellStart"/>
      <w:r w:rsidRPr="003A6CDC">
        <w:t>IJ</w:t>
      </w:r>
      <w:proofErr w:type="spellEnd"/>
      <w:r w:rsidRPr="003A6CDC">
        <w:t xml:space="preserve"> </w:t>
      </w:r>
      <w:r w:rsidR="000E3C88">
        <w:t>et al.</w:t>
      </w:r>
      <w:r w:rsidRPr="003A6CDC">
        <w:t>, ‘Generative Adversarial Nets’ (2025) 27 Advances in Neural Information Processing Systems &lt;https://proceedings.neurips.cc/paper_files/paper/2014/hash/f033ed80deb0234979a61f95710dbe25-Abstract.html&gt;</w:t>
      </w:r>
    </w:p>
    <w:p w14:paraId="0CDB45BF" w14:textId="77777777" w:rsidR="00BA721F" w:rsidRPr="003A6CDC" w:rsidRDefault="00BA721F" w:rsidP="003A6CDC">
      <w:pPr>
        <w:pStyle w:val="HARReferenceList"/>
      </w:pPr>
      <w:r w:rsidRPr="003A6CDC">
        <w:t>Guadamuz A, ‘The EU AI Act and Copyright’ (TechnoLlama14 March 2024) &lt;https://www.technollama.co.uk/the-eu-ai-act-and-copyright&gt;</w:t>
      </w:r>
    </w:p>
    <w:p w14:paraId="530F6BF4" w14:textId="399CD365" w:rsidR="00BA721F" w:rsidRPr="003A6CDC" w:rsidRDefault="00BA721F" w:rsidP="003A6CDC">
      <w:pPr>
        <w:pStyle w:val="HARReferenceList"/>
      </w:pPr>
      <w:proofErr w:type="spellStart"/>
      <w:r w:rsidRPr="003A6CDC">
        <w:t>Szkalej</w:t>
      </w:r>
      <w:proofErr w:type="spellEnd"/>
      <w:r w:rsidR="000E3C88">
        <w:t xml:space="preserve"> K</w:t>
      </w:r>
      <w:r w:rsidRPr="003A6CDC">
        <w:t xml:space="preserve">, ‘Copyright Liability and Generative AI: What’s the Way Forward?’ &lt;https://papers.ssrn.com/sol3/papers.cfm?abstract_id=5117603&gt; </w:t>
      </w:r>
    </w:p>
    <w:p w14:paraId="11AD58FE" w14:textId="61DB7D64" w:rsidR="00BA721F" w:rsidRPr="003A6CDC" w:rsidRDefault="00BA721F" w:rsidP="003A6CDC">
      <w:pPr>
        <w:pStyle w:val="HARReferenceList"/>
      </w:pPr>
      <w:r w:rsidRPr="003A6CDC">
        <w:t xml:space="preserve">Kendall S, ‘Publishing in Europe: Freelancers, Copyright and the Information Society’ (vLex2025) &lt;https://vlex.com/vid/publishing-europe-freelancers-society-29347480&gt; </w:t>
      </w:r>
    </w:p>
    <w:p w14:paraId="423BCA96" w14:textId="77777777" w:rsidR="00BA721F" w:rsidRPr="003A6CDC" w:rsidRDefault="00BA721F" w:rsidP="003A6CDC">
      <w:pPr>
        <w:pStyle w:val="HARReferenceList"/>
      </w:pPr>
      <w:r w:rsidRPr="003A6CDC">
        <w:t xml:space="preserve">Lee K, A. Feder Cooper and </w:t>
      </w:r>
      <w:proofErr w:type="spellStart"/>
      <w:r w:rsidRPr="003A6CDC">
        <w:t>Grimmelmann</w:t>
      </w:r>
      <w:proofErr w:type="spellEnd"/>
      <w:r w:rsidRPr="003A6CDC">
        <w:t xml:space="preserve"> J, ‘Talkin’ ‘Bout AI Generation: Copyright and the Generative AI Supply Chain’ [2023] Social Science Research Network</w:t>
      </w:r>
    </w:p>
    <w:p w14:paraId="0AD7ACD2" w14:textId="19D2074B" w:rsidR="00BA721F" w:rsidRPr="003A6CDC" w:rsidRDefault="00BA721F" w:rsidP="003A6CDC">
      <w:pPr>
        <w:pStyle w:val="HARReferenceList"/>
      </w:pPr>
      <w:r w:rsidRPr="003A6CDC">
        <w:lastRenderedPageBreak/>
        <w:t xml:space="preserve">Longpre S </w:t>
      </w:r>
      <w:r w:rsidR="000E3C88">
        <w:t>et al.</w:t>
      </w:r>
      <w:r w:rsidRPr="003A6CDC">
        <w:t>, ‘A Large-Scale Audit of Dataset Licensing and Attribution in AI’ (2024) 6 Nature Machine Intelligence 975</w:t>
      </w:r>
    </w:p>
    <w:p w14:paraId="0F0D9CFA" w14:textId="77777777" w:rsidR="00BA721F" w:rsidRPr="003A6CDC" w:rsidRDefault="00BA721F" w:rsidP="003A6CDC">
      <w:pPr>
        <w:pStyle w:val="HARReferenceList"/>
      </w:pPr>
      <w:r w:rsidRPr="003A6CDC">
        <w:t>Madeira T, ‘Artificial Intelligence Act | Think Tank | European Parliament’ (www.europarl.europa.eu11 March 2024) &lt;https://www.europarl.europa.eu/thinktank/en/document/EPRS_BRI(2021)698792&gt;</w:t>
      </w:r>
    </w:p>
    <w:p w14:paraId="184BEE80" w14:textId="77777777" w:rsidR="00BA721F" w:rsidRPr="003A6CDC" w:rsidRDefault="00BA721F" w:rsidP="003A6CDC">
      <w:pPr>
        <w:pStyle w:val="HARReferenceList"/>
      </w:pPr>
      <w:r w:rsidRPr="003A6CDC">
        <w:t>Miernicki M and Ng (Huang Ying) I, ‘Artificial Intelligence and Moral Rights’ (2020) 36 AI &amp; SOCIETY</w:t>
      </w:r>
    </w:p>
    <w:p w14:paraId="34096983" w14:textId="10844340" w:rsidR="00BA721F" w:rsidRPr="003A6CDC" w:rsidRDefault="00BA721F" w:rsidP="003A6CDC">
      <w:pPr>
        <w:pStyle w:val="HARReferenceList"/>
      </w:pPr>
      <w:r w:rsidRPr="003A6CDC">
        <w:t xml:space="preserve">Novelli C </w:t>
      </w:r>
      <w:r w:rsidR="000E3C88">
        <w:t>et al.</w:t>
      </w:r>
      <w:r w:rsidRPr="003A6CDC">
        <w:t>, ‘A Robust Governance for the AI Act: AI Office, AI Board, Scientific Panel, and National Authorities’ [2024] Social Science Research Network</w:t>
      </w:r>
    </w:p>
    <w:p w14:paraId="6821853A" w14:textId="77777777" w:rsidR="00BA721F" w:rsidRPr="003A6CDC" w:rsidRDefault="00BA721F" w:rsidP="003A6CDC">
      <w:pPr>
        <w:pStyle w:val="HARReferenceList"/>
      </w:pPr>
      <w:r w:rsidRPr="003A6CDC">
        <w:t>Pedro QJ, ‘Generative AI, Copyright and the AI Act’ (</w:t>
      </w:r>
      <w:proofErr w:type="spellStart"/>
      <w:r w:rsidRPr="003A6CDC">
        <w:t>Ssrn.comAugust</w:t>
      </w:r>
      <w:proofErr w:type="spellEnd"/>
      <w:r w:rsidRPr="003A6CDC">
        <w:t xml:space="preserve"> 2024) &lt;https://papers.ssrn.com/sol3/papers.cfm?abstract_id=4912701&gt;</w:t>
      </w:r>
    </w:p>
    <w:p w14:paraId="6900FC93" w14:textId="77777777" w:rsidR="00BA721F" w:rsidRPr="003A6CDC" w:rsidRDefault="00BA721F" w:rsidP="003A6CDC">
      <w:pPr>
        <w:pStyle w:val="HARReferenceList"/>
      </w:pPr>
      <w:proofErr w:type="spellStart"/>
      <w:r w:rsidRPr="003A6CDC">
        <w:t>QBO</w:t>
      </w:r>
      <w:proofErr w:type="spellEnd"/>
      <w:r w:rsidRPr="003A6CDC">
        <w:t xml:space="preserve"> </w:t>
      </w:r>
      <w:proofErr w:type="spellStart"/>
      <w:r w:rsidRPr="003A6CDC">
        <w:t>Investigación</w:t>
      </w:r>
      <w:proofErr w:type="spellEnd"/>
      <w:r w:rsidRPr="003A6CDC">
        <w:t>, ‘</w:t>
      </w:r>
      <w:proofErr w:type="spellStart"/>
      <w:r w:rsidRPr="003A6CDC">
        <w:t>Principales</w:t>
      </w:r>
      <w:proofErr w:type="spellEnd"/>
      <w:r w:rsidRPr="003A6CDC">
        <w:t xml:space="preserve"> </w:t>
      </w:r>
      <w:proofErr w:type="spellStart"/>
      <w:r w:rsidRPr="003A6CDC">
        <w:t>Preocupaciones</w:t>
      </w:r>
      <w:proofErr w:type="spellEnd"/>
      <w:r w:rsidRPr="003A6CDC">
        <w:t xml:space="preserve"> Por El Uso de Las Obras Para El </w:t>
      </w:r>
      <w:proofErr w:type="spellStart"/>
      <w:r w:rsidRPr="003A6CDC">
        <w:t>Entrenamiento</w:t>
      </w:r>
      <w:proofErr w:type="spellEnd"/>
      <w:r w:rsidRPr="003A6CDC">
        <w:t xml:space="preserve"> de Los </w:t>
      </w:r>
      <w:proofErr w:type="spellStart"/>
      <w:r w:rsidRPr="003A6CDC">
        <w:t>Modelos</w:t>
      </w:r>
      <w:proofErr w:type="spellEnd"/>
      <w:r w:rsidRPr="003A6CDC">
        <w:t xml:space="preserve"> de La IA </w:t>
      </w:r>
      <w:proofErr w:type="spellStart"/>
      <w:r w:rsidRPr="003A6CDC">
        <w:t>Estudio</w:t>
      </w:r>
      <w:proofErr w:type="spellEnd"/>
      <w:r w:rsidRPr="003A6CDC">
        <w:t xml:space="preserve"> </w:t>
      </w:r>
      <w:proofErr w:type="spellStart"/>
      <w:r w:rsidRPr="003A6CDC">
        <w:t>Desarrollado</w:t>
      </w:r>
      <w:proofErr w:type="spellEnd"/>
      <w:r w:rsidRPr="003A6CDC">
        <w:t xml:space="preserve"> a </w:t>
      </w:r>
      <w:proofErr w:type="spellStart"/>
      <w:r w:rsidRPr="003A6CDC">
        <w:t>Iniciativa</w:t>
      </w:r>
      <w:proofErr w:type="spellEnd"/>
      <w:r w:rsidRPr="003A6CDC">
        <w:t xml:space="preserve"> de Las </w:t>
      </w:r>
      <w:proofErr w:type="spellStart"/>
      <w:r w:rsidRPr="003A6CDC">
        <w:t>Entidades</w:t>
      </w:r>
      <w:proofErr w:type="spellEnd"/>
      <w:r w:rsidRPr="003A6CDC">
        <w:t xml:space="preserve"> </w:t>
      </w:r>
      <w:proofErr w:type="spellStart"/>
      <w:r w:rsidRPr="003A6CDC">
        <w:t>Autorales</w:t>
      </w:r>
      <w:proofErr w:type="spellEnd"/>
      <w:r w:rsidRPr="003A6CDC">
        <w:t xml:space="preserve"> ACE, </w:t>
      </w:r>
      <w:proofErr w:type="spellStart"/>
      <w:r w:rsidRPr="003A6CDC">
        <w:t>AELC</w:t>
      </w:r>
      <w:proofErr w:type="spellEnd"/>
      <w:r w:rsidRPr="003A6CDC">
        <w:t xml:space="preserve">, ACEC, AELG Y ACTA, Con La </w:t>
      </w:r>
      <w:proofErr w:type="spellStart"/>
      <w:r w:rsidRPr="003A6CDC">
        <w:t>Colaboración</w:t>
      </w:r>
      <w:proofErr w:type="spellEnd"/>
      <w:r w:rsidRPr="003A6CDC">
        <w:t xml:space="preserve"> de Las </w:t>
      </w:r>
      <w:proofErr w:type="spellStart"/>
      <w:r w:rsidRPr="003A6CDC">
        <w:t>Integrantes</w:t>
      </w:r>
      <w:proofErr w:type="spellEnd"/>
      <w:r w:rsidRPr="003A6CDC">
        <w:t xml:space="preserve"> de La </w:t>
      </w:r>
      <w:proofErr w:type="spellStart"/>
      <w:r w:rsidRPr="003A6CDC">
        <w:t>Conferencia</w:t>
      </w:r>
      <w:proofErr w:type="spellEnd"/>
      <w:r w:rsidRPr="003A6CDC">
        <w:t xml:space="preserve"> de </w:t>
      </w:r>
      <w:proofErr w:type="spellStart"/>
      <w:r w:rsidRPr="003A6CDC">
        <w:t>Asociaciones</w:t>
      </w:r>
      <w:proofErr w:type="spellEnd"/>
      <w:r w:rsidRPr="003A6CDC">
        <w:t xml:space="preserve"> de </w:t>
      </w:r>
      <w:proofErr w:type="spellStart"/>
      <w:r w:rsidRPr="003A6CDC">
        <w:t>Escritoras</w:t>
      </w:r>
      <w:proofErr w:type="spellEnd"/>
      <w:r w:rsidRPr="003A6CDC">
        <w:t xml:space="preserve"> Y </w:t>
      </w:r>
      <w:proofErr w:type="spellStart"/>
      <w:r w:rsidRPr="003A6CDC">
        <w:t>Escritores</w:t>
      </w:r>
      <w:proofErr w:type="spellEnd"/>
      <w:r w:rsidRPr="003A6CDC">
        <w:t>’ (2024) &lt;https://www.acescritores.com/wp-content/uploads/Qbo-ENCUESTA-USO-DE-LAS-OBRAS-PARA-EL-ENTRENAMIENTO-IAG1.pdf&gt; accessed 26 May 2025</w:t>
      </w:r>
    </w:p>
    <w:p w14:paraId="65E692EE" w14:textId="5CA401B2" w:rsidR="00BA721F" w:rsidRPr="003A6CDC" w:rsidRDefault="00BA721F" w:rsidP="003A6CDC">
      <w:pPr>
        <w:pStyle w:val="HARReferenceList"/>
      </w:pPr>
      <w:r w:rsidRPr="003A6CDC">
        <w:t xml:space="preserve">Ramesh A </w:t>
      </w:r>
      <w:r w:rsidR="000E3C88">
        <w:t>et al.</w:t>
      </w:r>
      <w:r w:rsidRPr="003A6CDC">
        <w:t>, ‘Zero-Shot Text-To-Image Generation’ (arXiv.org26 February 2021) &lt;http://arxiv.org/abs/2102.12092&gt;</w:t>
      </w:r>
    </w:p>
    <w:p w14:paraId="599F9425" w14:textId="77777777" w:rsidR="00BA721F" w:rsidRPr="003A6CDC" w:rsidRDefault="00BA721F" w:rsidP="003A6CDC">
      <w:pPr>
        <w:pStyle w:val="HARReferenceList"/>
      </w:pPr>
      <w:r w:rsidRPr="003A6CDC">
        <w:t>Rosati E, ‘The Role, Responsibility and Liability of Online Intermediaries under EU IP Law’ (Ssrn.com31 July 2023) &lt;https://papers.ssrn.com/sol3/papers.cfm?abstract_id=4526326&gt;</w:t>
      </w:r>
    </w:p>
    <w:p w14:paraId="5A03278E" w14:textId="77777777" w:rsidR="00BA721F" w:rsidRPr="003A6CDC" w:rsidRDefault="00BA721F" w:rsidP="003A6CDC">
      <w:pPr>
        <w:pStyle w:val="HARReferenceList"/>
      </w:pPr>
      <w:proofErr w:type="spellStart"/>
      <w:r w:rsidRPr="003A6CDC">
        <w:t>Sapi</w:t>
      </w:r>
      <w:proofErr w:type="spellEnd"/>
      <w:r w:rsidRPr="003A6CDC">
        <w:t xml:space="preserve"> E, ‘Authors’ Moral Rights in the Digital Environment’ (Research Gate2024) &lt;https://www.researchgate.net/publication/379200742_Authors'_Moral_Rights_in_the_Digital_Environment&gt;</w:t>
      </w:r>
    </w:p>
    <w:p w14:paraId="461163CD" w14:textId="77777777" w:rsidR="00BA721F" w:rsidRPr="003A6CDC" w:rsidRDefault="00BA721F" w:rsidP="003A6CDC">
      <w:pPr>
        <w:pStyle w:val="HARReferenceList"/>
      </w:pPr>
      <w:proofErr w:type="spellStart"/>
      <w:r w:rsidRPr="003A6CDC">
        <w:t>Senftleben</w:t>
      </w:r>
      <w:proofErr w:type="spellEnd"/>
      <w:r w:rsidRPr="003A6CDC">
        <w:t xml:space="preserve"> M, ‘EU Copyright 20 Years after the </w:t>
      </w:r>
      <w:proofErr w:type="spellStart"/>
      <w:r w:rsidRPr="003A6CDC">
        <w:t>InfoSoc</w:t>
      </w:r>
      <w:proofErr w:type="spellEnd"/>
      <w:r w:rsidRPr="003A6CDC">
        <w:t xml:space="preserve"> Directive – Flexibility Needed More than Ever’ [2021] SSRN Electronic Journal</w:t>
      </w:r>
    </w:p>
    <w:p w14:paraId="242E9AEC" w14:textId="77777777" w:rsidR="00BA721F" w:rsidRPr="003A6CDC" w:rsidRDefault="00BA721F" w:rsidP="003A6CDC">
      <w:pPr>
        <w:pStyle w:val="HARReferenceList"/>
      </w:pPr>
      <w:r w:rsidRPr="003A6CDC">
        <w:t>——, ‘Generative AI and Author Remuneration’ (2023) 54 IIC - International Review of Intellectual Property and Competition Law</w:t>
      </w:r>
    </w:p>
    <w:p w14:paraId="2AFA1558" w14:textId="77777777" w:rsidR="00BA721F" w:rsidRPr="003A6CDC" w:rsidRDefault="00BA721F" w:rsidP="003A6CDC">
      <w:pPr>
        <w:pStyle w:val="HARReferenceList"/>
      </w:pPr>
      <w:proofErr w:type="spellStart"/>
      <w:r w:rsidRPr="003A6CDC">
        <w:t>valérie</w:t>
      </w:r>
      <w:proofErr w:type="spellEnd"/>
      <w:r w:rsidRPr="003A6CDC">
        <w:t xml:space="preserve"> </w:t>
      </w:r>
      <w:proofErr w:type="spellStart"/>
      <w:r w:rsidRPr="003A6CDC">
        <w:t>laure</w:t>
      </w:r>
      <w:proofErr w:type="spellEnd"/>
      <w:r w:rsidRPr="003A6CDC">
        <w:t xml:space="preserve"> </w:t>
      </w:r>
      <w:proofErr w:type="spellStart"/>
      <w:r w:rsidRPr="003A6CDC">
        <w:t>benabou</w:t>
      </w:r>
      <w:proofErr w:type="spellEnd"/>
      <w:r w:rsidRPr="003A6CDC">
        <w:t xml:space="preserve"> and others, ‘Comment of the European Copyright Society Addressing Selected Aspects of the Implementation of Articles 18 to 22 of the Directive (EU) 2019/790 on Copyright in the Digital Single Market’ [2020] SSRN Electronic Journal</w:t>
      </w:r>
    </w:p>
    <w:p w14:paraId="5711A0FE" w14:textId="6A2617E6" w:rsidR="00BA721F" w:rsidRPr="003A6CDC" w:rsidRDefault="00BA721F" w:rsidP="003A6CDC">
      <w:pPr>
        <w:pStyle w:val="HARReferenceList"/>
      </w:pPr>
      <w:r w:rsidRPr="003A6CDC">
        <w:t xml:space="preserve">Vaswani A </w:t>
      </w:r>
      <w:r w:rsidR="000E3C88">
        <w:t>et al.</w:t>
      </w:r>
      <w:r w:rsidRPr="003A6CDC">
        <w:t>, ‘Attention Is All You Need’ (arXiv.org5 December 2017) &lt;https://arxiv.org/abs/1706.03762&gt;</w:t>
      </w:r>
    </w:p>
    <w:p w14:paraId="5A5A09D0" w14:textId="77777777" w:rsidR="00BA721F" w:rsidRPr="003A6CDC" w:rsidRDefault="00BA721F" w:rsidP="003A6CDC">
      <w:pPr>
        <w:pStyle w:val="HARReferenceList"/>
      </w:pPr>
      <w:r w:rsidRPr="003A6CDC">
        <w:t>Vesala J, ‘Developing Artificial Intelligence-Based Content Creation: Are EU Copyright and Antitrust Law Fit for Purpose?’ [2023] IIC - International Review of Intellectual Property and Competition Law</w:t>
      </w:r>
    </w:p>
    <w:p w14:paraId="7BEF8A0A" w14:textId="77777777" w:rsidR="00BA721F" w:rsidRPr="00BA721F" w:rsidRDefault="00BA721F" w:rsidP="00BA721F">
      <w:pPr>
        <w:pStyle w:val="HARReferenceList"/>
      </w:pPr>
    </w:p>
    <w:p w14:paraId="7630E4AF" w14:textId="77777777" w:rsidR="000E3C88" w:rsidRDefault="000E3C88">
      <w:pPr>
        <w:rPr>
          <w:rFonts w:ascii="Arial" w:hAnsi="Arial"/>
          <w:b/>
        </w:rPr>
      </w:pPr>
      <w:r>
        <w:br w:type="page"/>
      </w:r>
    </w:p>
    <w:p w14:paraId="2F4B2242" w14:textId="7754403A" w:rsidR="00C93344" w:rsidRPr="008A7EB6" w:rsidRDefault="008A7EB6" w:rsidP="00C93344">
      <w:pPr>
        <w:pStyle w:val="HARHeading1ReferenceList"/>
      </w:pPr>
      <w:r w:rsidRPr="008A7EB6">
        <w:lastRenderedPageBreak/>
        <w:t>Case law</w:t>
      </w:r>
    </w:p>
    <w:p w14:paraId="0915EAB1" w14:textId="08689379" w:rsidR="004A75F3" w:rsidRDefault="00176DD3" w:rsidP="004A75F3">
      <w:pPr>
        <w:pStyle w:val="Normalwebb"/>
        <w:rPr>
          <w:color w:val="000000"/>
        </w:rPr>
      </w:pPr>
      <w:r>
        <w:rPr>
          <w:color w:val="000000"/>
        </w:rPr>
        <w:t xml:space="preserve">CJEU </w:t>
      </w:r>
      <w:r w:rsidR="004A75F3">
        <w:rPr>
          <w:color w:val="000000"/>
        </w:rPr>
        <w:t>Judgment of 16 July 2009,</w:t>
      </w:r>
      <w:r w:rsidR="004A75F3">
        <w:rPr>
          <w:rStyle w:val="apple-converted-space"/>
          <w:color w:val="000000"/>
        </w:rPr>
        <w:t> </w:t>
      </w:r>
      <w:r w:rsidR="004A75F3">
        <w:rPr>
          <w:rStyle w:val="Betoning"/>
          <w:color w:val="000000"/>
        </w:rPr>
        <w:t xml:space="preserve">Infopaq International A/S v Danske </w:t>
      </w:r>
      <w:proofErr w:type="spellStart"/>
      <w:r w:rsidR="004A75F3">
        <w:rPr>
          <w:rStyle w:val="Betoning"/>
          <w:color w:val="000000"/>
        </w:rPr>
        <w:t>Dagblades</w:t>
      </w:r>
      <w:proofErr w:type="spellEnd"/>
      <w:r w:rsidR="004A75F3">
        <w:rPr>
          <w:rStyle w:val="Betoning"/>
          <w:color w:val="000000"/>
        </w:rPr>
        <w:t xml:space="preserve"> </w:t>
      </w:r>
      <w:proofErr w:type="spellStart"/>
      <w:r w:rsidR="004A75F3">
        <w:rPr>
          <w:rStyle w:val="Betoning"/>
          <w:color w:val="000000"/>
        </w:rPr>
        <w:t>Forening</w:t>
      </w:r>
      <w:proofErr w:type="spellEnd"/>
      <w:r w:rsidR="004A75F3">
        <w:rPr>
          <w:color w:val="000000"/>
        </w:rPr>
        <w:t xml:space="preserve">, </w:t>
      </w:r>
      <w:r>
        <w:rPr>
          <w:color w:val="000000"/>
        </w:rPr>
        <w:t>C-5/08</w:t>
      </w:r>
      <w:r>
        <w:rPr>
          <w:color w:val="000000"/>
        </w:rPr>
        <w:t xml:space="preserve">, </w:t>
      </w:r>
      <w:r w:rsidR="004A75F3">
        <w:rPr>
          <w:color w:val="000000"/>
        </w:rPr>
        <w:t>ECLI:EU:C:2009:465.</w:t>
      </w:r>
    </w:p>
    <w:p w14:paraId="28D94CDD" w14:textId="4C24845A" w:rsidR="004A75F3" w:rsidRDefault="00176DD3" w:rsidP="004A75F3">
      <w:pPr>
        <w:pStyle w:val="Normalwebb"/>
        <w:rPr>
          <w:color w:val="000000"/>
        </w:rPr>
      </w:pPr>
      <w:r>
        <w:rPr>
          <w:color w:val="000000"/>
        </w:rPr>
        <w:t xml:space="preserve">CJEU </w:t>
      </w:r>
      <w:r w:rsidR="004A75F3">
        <w:rPr>
          <w:color w:val="000000"/>
        </w:rPr>
        <w:t>Judgment 13 February 2014,</w:t>
      </w:r>
      <w:r w:rsidR="004A75F3">
        <w:rPr>
          <w:rStyle w:val="apple-converted-space"/>
          <w:color w:val="000000"/>
        </w:rPr>
        <w:t> </w:t>
      </w:r>
      <w:r w:rsidR="004A75F3">
        <w:rPr>
          <w:rStyle w:val="Betoning"/>
          <w:color w:val="000000"/>
        </w:rPr>
        <w:t>Nils Svensson and Others v Retriever Sverige AB</w:t>
      </w:r>
      <w:r w:rsidR="004A75F3">
        <w:rPr>
          <w:color w:val="000000"/>
        </w:rPr>
        <w:t xml:space="preserve">, </w:t>
      </w:r>
      <w:r>
        <w:rPr>
          <w:color w:val="000000"/>
        </w:rPr>
        <w:t>C-466/12</w:t>
      </w:r>
      <w:r>
        <w:rPr>
          <w:color w:val="000000"/>
        </w:rPr>
        <w:t xml:space="preserve">, </w:t>
      </w:r>
      <w:r w:rsidR="004A75F3">
        <w:rPr>
          <w:color w:val="000000"/>
        </w:rPr>
        <w:t>ECLI:EU:C:2014:76.</w:t>
      </w:r>
    </w:p>
    <w:p w14:paraId="3366757B" w14:textId="0CE72CC3" w:rsidR="004A75F3" w:rsidRDefault="00176DD3" w:rsidP="004A75F3">
      <w:pPr>
        <w:pStyle w:val="Normalwebb"/>
        <w:rPr>
          <w:color w:val="000000"/>
        </w:rPr>
      </w:pPr>
      <w:r>
        <w:rPr>
          <w:color w:val="000000"/>
        </w:rPr>
        <w:t xml:space="preserve">CJEU </w:t>
      </w:r>
      <w:r w:rsidR="004A75F3">
        <w:rPr>
          <w:color w:val="000000"/>
        </w:rPr>
        <w:t>Judgment of 8 September 2016,</w:t>
      </w:r>
      <w:r w:rsidR="004A75F3">
        <w:rPr>
          <w:rStyle w:val="apple-converted-space"/>
          <w:color w:val="000000"/>
        </w:rPr>
        <w:t> </w:t>
      </w:r>
      <w:r w:rsidR="004A75F3">
        <w:rPr>
          <w:rStyle w:val="Betoning"/>
          <w:color w:val="000000"/>
        </w:rPr>
        <w:t>GS Media BV v Sanoma Media Netherlands BV and Others</w:t>
      </w:r>
      <w:r w:rsidR="004A75F3">
        <w:rPr>
          <w:color w:val="000000"/>
        </w:rPr>
        <w:t xml:space="preserve">, </w:t>
      </w:r>
      <w:r>
        <w:rPr>
          <w:color w:val="000000"/>
        </w:rPr>
        <w:t>C-160/15</w:t>
      </w:r>
      <w:r>
        <w:rPr>
          <w:color w:val="000000"/>
        </w:rPr>
        <w:t xml:space="preserve">, </w:t>
      </w:r>
      <w:r w:rsidR="004A75F3">
        <w:rPr>
          <w:color w:val="000000"/>
        </w:rPr>
        <w:t>ECLI:EU:C:2016:644.</w:t>
      </w:r>
    </w:p>
    <w:p w14:paraId="7CB5B630" w14:textId="2349C09C" w:rsidR="004A75F3" w:rsidRDefault="00176DD3" w:rsidP="004A75F3">
      <w:pPr>
        <w:pStyle w:val="Normalwebb"/>
        <w:rPr>
          <w:color w:val="000000"/>
        </w:rPr>
      </w:pPr>
      <w:r>
        <w:rPr>
          <w:color w:val="000000"/>
        </w:rPr>
        <w:t xml:space="preserve">CJEU </w:t>
      </w:r>
      <w:r w:rsidR="004A75F3">
        <w:rPr>
          <w:color w:val="000000"/>
        </w:rPr>
        <w:t>Judgment of 1 March 2012,</w:t>
      </w:r>
      <w:r w:rsidR="004A75F3">
        <w:rPr>
          <w:rStyle w:val="apple-converted-space"/>
          <w:color w:val="000000"/>
        </w:rPr>
        <w:t> </w:t>
      </w:r>
      <w:r w:rsidR="004A75F3">
        <w:rPr>
          <w:rStyle w:val="Betoning"/>
          <w:color w:val="000000"/>
        </w:rPr>
        <w:t xml:space="preserve">Football </w:t>
      </w:r>
      <w:proofErr w:type="spellStart"/>
      <w:r w:rsidR="004A75F3">
        <w:rPr>
          <w:rStyle w:val="Betoning"/>
          <w:color w:val="000000"/>
        </w:rPr>
        <w:t>Dataco</w:t>
      </w:r>
      <w:proofErr w:type="spellEnd"/>
      <w:r w:rsidR="004A75F3">
        <w:rPr>
          <w:rStyle w:val="Betoning"/>
          <w:color w:val="000000"/>
        </w:rPr>
        <w:t xml:space="preserve"> Ltd and Others v Yahoo! UK Ltd and Others</w:t>
      </w:r>
      <w:r w:rsidR="004A75F3">
        <w:rPr>
          <w:color w:val="000000"/>
        </w:rPr>
        <w:t xml:space="preserve">, </w:t>
      </w:r>
      <w:r>
        <w:rPr>
          <w:color w:val="000000"/>
        </w:rPr>
        <w:t>C-604/10</w:t>
      </w:r>
      <w:r>
        <w:rPr>
          <w:color w:val="000000"/>
        </w:rPr>
        <w:t xml:space="preserve">, </w:t>
      </w:r>
      <w:r w:rsidR="004A75F3">
        <w:rPr>
          <w:color w:val="000000"/>
        </w:rPr>
        <w:t>ECLI:EU:C:2012:115.</w:t>
      </w:r>
    </w:p>
    <w:p w14:paraId="621B4CB7" w14:textId="1E78BB4C" w:rsidR="004A75F3" w:rsidRDefault="00176DD3" w:rsidP="004A75F3">
      <w:pPr>
        <w:pStyle w:val="Normalwebb"/>
        <w:rPr>
          <w:color w:val="000000"/>
        </w:rPr>
      </w:pPr>
      <w:r>
        <w:rPr>
          <w:color w:val="000000"/>
        </w:rPr>
        <w:t xml:space="preserve">CJEU </w:t>
      </w:r>
      <w:r w:rsidR="004A75F3">
        <w:rPr>
          <w:color w:val="000000"/>
        </w:rPr>
        <w:t>Judgment of 7 December 2006,</w:t>
      </w:r>
      <w:r w:rsidR="004A75F3">
        <w:rPr>
          <w:rStyle w:val="apple-converted-space"/>
          <w:color w:val="000000"/>
        </w:rPr>
        <w:t> </w:t>
      </w:r>
      <w:proofErr w:type="spellStart"/>
      <w:r w:rsidR="004A75F3">
        <w:rPr>
          <w:rStyle w:val="Betoning"/>
          <w:color w:val="000000"/>
        </w:rPr>
        <w:t>SGAE</w:t>
      </w:r>
      <w:proofErr w:type="spellEnd"/>
      <w:r w:rsidR="004A75F3">
        <w:rPr>
          <w:rStyle w:val="Betoning"/>
          <w:color w:val="000000"/>
        </w:rPr>
        <w:t xml:space="preserve"> v Rafael Hoteles SA</w:t>
      </w:r>
      <w:r w:rsidR="004A75F3">
        <w:rPr>
          <w:color w:val="000000"/>
        </w:rPr>
        <w:t xml:space="preserve">, </w:t>
      </w:r>
      <w:r>
        <w:rPr>
          <w:color w:val="000000"/>
        </w:rPr>
        <w:t>C-306/05</w:t>
      </w:r>
      <w:r>
        <w:rPr>
          <w:color w:val="000000"/>
        </w:rPr>
        <w:t xml:space="preserve">, </w:t>
      </w:r>
      <w:r w:rsidR="004A75F3">
        <w:rPr>
          <w:color w:val="000000"/>
        </w:rPr>
        <w:t>ECLI:EU:C:2006:764.</w:t>
      </w:r>
    </w:p>
    <w:p w14:paraId="4C5AFD4B" w14:textId="4ABD9166" w:rsidR="004A75F3" w:rsidRDefault="00176DD3" w:rsidP="004A75F3">
      <w:pPr>
        <w:pStyle w:val="Normalwebb"/>
        <w:rPr>
          <w:color w:val="000000"/>
        </w:rPr>
      </w:pPr>
      <w:r>
        <w:rPr>
          <w:color w:val="000000"/>
        </w:rPr>
        <w:t xml:space="preserve">CJEU </w:t>
      </w:r>
      <w:r w:rsidR="004A75F3">
        <w:rPr>
          <w:color w:val="000000"/>
        </w:rPr>
        <w:t>Judgment of 2 April 2020,</w:t>
      </w:r>
      <w:r w:rsidR="004A75F3">
        <w:rPr>
          <w:rStyle w:val="apple-converted-space"/>
          <w:color w:val="000000"/>
        </w:rPr>
        <w:t> </w:t>
      </w:r>
      <w:r w:rsidR="004A75F3">
        <w:rPr>
          <w:rStyle w:val="Betoning"/>
          <w:color w:val="000000"/>
        </w:rPr>
        <w:t xml:space="preserve">STIM and SAMI v </w:t>
      </w:r>
      <w:proofErr w:type="spellStart"/>
      <w:r w:rsidR="004A75F3">
        <w:rPr>
          <w:rStyle w:val="Betoning"/>
          <w:color w:val="000000"/>
        </w:rPr>
        <w:t>Fleetmanager</w:t>
      </w:r>
      <w:proofErr w:type="spellEnd"/>
      <w:r w:rsidR="004A75F3">
        <w:rPr>
          <w:rStyle w:val="Betoning"/>
          <w:color w:val="000000"/>
        </w:rPr>
        <w:t xml:space="preserve"> Sweden AB</w:t>
      </w:r>
      <w:r w:rsidR="004A75F3">
        <w:rPr>
          <w:color w:val="000000"/>
        </w:rPr>
        <w:t xml:space="preserve">, </w:t>
      </w:r>
      <w:r>
        <w:rPr>
          <w:color w:val="000000"/>
        </w:rPr>
        <w:t>C-753/18</w:t>
      </w:r>
      <w:r>
        <w:rPr>
          <w:color w:val="000000"/>
        </w:rPr>
        <w:t xml:space="preserve">, </w:t>
      </w:r>
      <w:r w:rsidR="004A75F3">
        <w:rPr>
          <w:color w:val="000000"/>
        </w:rPr>
        <w:t>ECLI:EU:C:2020:268.</w:t>
      </w:r>
    </w:p>
    <w:p w14:paraId="59B406E7" w14:textId="4906570F" w:rsidR="004A75F3" w:rsidRDefault="00176DD3" w:rsidP="004A75F3">
      <w:pPr>
        <w:pStyle w:val="Normalwebb"/>
        <w:rPr>
          <w:color w:val="000000"/>
        </w:rPr>
      </w:pPr>
      <w:r>
        <w:rPr>
          <w:color w:val="000000"/>
        </w:rPr>
        <w:t xml:space="preserve">CJEU </w:t>
      </w:r>
      <w:r w:rsidR="004A75F3">
        <w:rPr>
          <w:color w:val="000000"/>
        </w:rPr>
        <w:t>Judgment of 22 January 2015,</w:t>
      </w:r>
      <w:r w:rsidR="004A75F3">
        <w:rPr>
          <w:rStyle w:val="apple-converted-space"/>
          <w:color w:val="000000"/>
        </w:rPr>
        <w:t> </w:t>
      </w:r>
      <w:r w:rsidR="004A75F3">
        <w:rPr>
          <w:rStyle w:val="Betoning"/>
          <w:color w:val="000000"/>
        </w:rPr>
        <w:t xml:space="preserve">Art &amp; </w:t>
      </w:r>
      <w:proofErr w:type="spellStart"/>
      <w:r w:rsidR="004A75F3">
        <w:rPr>
          <w:rStyle w:val="Betoning"/>
          <w:color w:val="000000"/>
        </w:rPr>
        <w:t>Allposters</w:t>
      </w:r>
      <w:proofErr w:type="spellEnd"/>
      <w:r w:rsidR="004A75F3">
        <w:rPr>
          <w:rStyle w:val="Betoning"/>
          <w:color w:val="000000"/>
        </w:rPr>
        <w:t xml:space="preserve"> International BV v </w:t>
      </w:r>
      <w:proofErr w:type="spellStart"/>
      <w:r w:rsidR="004A75F3">
        <w:rPr>
          <w:rStyle w:val="Betoning"/>
          <w:color w:val="000000"/>
        </w:rPr>
        <w:t>Stichting</w:t>
      </w:r>
      <w:proofErr w:type="spellEnd"/>
      <w:r w:rsidR="004A75F3">
        <w:rPr>
          <w:rStyle w:val="Betoning"/>
          <w:color w:val="000000"/>
        </w:rPr>
        <w:t xml:space="preserve"> </w:t>
      </w:r>
      <w:proofErr w:type="spellStart"/>
      <w:r w:rsidR="004A75F3">
        <w:rPr>
          <w:rStyle w:val="Betoning"/>
          <w:color w:val="000000"/>
        </w:rPr>
        <w:t>Pictoright</w:t>
      </w:r>
      <w:proofErr w:type="spellEnd"/>
      <w:r w:rsidR="004A75F3">
        <w:rPr>
          <w:color w:val="000000"/>
        </w:rPr>
        <w:t xml:space="preserve">, </w:t>
      </w:r>
      <w:r>
        <w:rPr>
          <w:color w:val="000000"/>
        </w:rPr>
        <w:t>C-419/13</w:t>
      </w:r>
      <w:r>
        <w:rPr>
          <w:color w:val="000000"/>
        </w:rPr>
        <w:t xml:space="preserve">, </w:t>
      </w:r>
      <w:r w:rsidR="004A75F3">
        <w:rPr>
          <w:color w:val="000000"/>
        </w:rPr>
        <w:t>ECLI:EU:C:2015:27.</w:t>
      </w:r>
    </w:p>
    <w:p w14:paraId="6A79B1E5" w14:textId="77777777" w:rsidR="004A75F3" w:rsidRDefault="004A75F3" w:rsidP="004A75F3">
      <w:pPr>
        <w:pStyle w:val="Normalwebb"/>
        <w:rPr>
          <w:color w:val="000000"/>
        </w:rPr>
      </w:pPr>
      <w:r>
        <w:rPr>
          <w:color w:val="000000"/>
        </w:rPr>
        <w:t>Municipal Court of Prague, Case No. 13/2023,</w:t>
      </w:r>
      <w:r>
        <w:rPr>
          <w:rStyle w:val="apple-converted-space"/>
          <w:color w:val="000000"/>
        </w:rPr>
        <w:t> </w:t>
      </w:r>
      <w:r>
        <w:rPr>
          <w:rStyle w:val="Betoning"/>
          <w:color w:val="000000"/>
        </w:rPr>
        <w:t xml:space="preserve">S. Š. v TAUBEL LEGAL, </w:t>
      </w:r>
      <w:proofErr w:type="spellStart"/>
      <w:r>
        <w:rPr>
          <w:rStyle w:val="Betoning"/>
          <w:color w:val="000000"/>
        </w:rPr>
        <w:t>advokátní</w:t>
      </w:r>
      <w:proofErr w:type="spellEnd"/>
      <w:r>
        <w:rPr>
          <w:rStyle w:val="Betoning"/>
          <w:color w:val="000000"/>
        </w:rPr>
        <w:t xml:space="preserve"> </w:t>
      </w:r>
      <w:proofErr w:type="spellStart"/>
      <w:r>
        <w:rPr>
          <w:rStyle w:val="Betoning"/>
          <w:color w:val="000000"/>
        </w:rPr>
        <w:t>kancelář</w:t>
      </w:r>
      <w:proofErr w:type="spellEnd"/>
      <w:r>
        <w:rPr>
          <w:rStyle w:val="Betoning"/>
          <w:color w:val="000000"/>
        </w:rPr>
        <w:t xml:space="preserve"> </w:t>
      </w:r>
      <w:proofErr w:type="spellStart"/>
      <w:r>
        <w:rPr>
          <w:rStyle w:val="Betoning"/>
          <w:color w:val="000000"/>
        </w:rPr>
        <w:t>s.r.o.</w:t>
      </w:r>
      <w:proofErr w:type="spellEnd"/>
      <w:r>
        <w:rPr>
          <w:rStyle w:val="apple-converted-space"/>
          <w:color w:val="000000"/>
        </w:rPr>
        <w:t> </w:t>
      </w:r>
      <w:r>
        <w:rPr>
          <w:color w:val="000000"/>
        </w:rPr>
        <w:t>(Czech Republic).</w:t>
      </w:r>
    </w:p>
    <w:p w14:paraId="57F536DF" w14:textId="79CF9294" w:rsidR="0099187D" w:rsidRPr="003A6CDC" w:rsidRDefault="0099187D" w:rsidP="003A6CDC">
      <w:pPr>
        <w:pStyle w:val="HARReferenceList"/>
      </w:pPr>
    </w:p>
    <w:sectPr w:rsidR="0099187D" w:rsidRPr="003A6CDC" w:rsidSect="00825BC5">
      <w:pgSz w:w="11906" w:h="16838"/>
      <w:pgMar w:top="1418" w:right="2268" w:bottom="1418"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9495F" w14:textId="77777777" w:rsidR="00C354C3" w:rsidRDefault="00C354C3" w:rsidP="009337FB">
      <w:r>
        <w:separator/>
      </w:r>
    </w:p>
  </w:endnote>
  <w:endnote w:type="continuationSeparator" w:id="0">
    <w:p w14:paraId="5F5C740E" w14:textId="77777777" w:rsidR="00C354C3" w:rsidRDefault="00C354C3" w:rsidP="009337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webkit-standard">
    <w:altName w:val="Cambria"/>
    <w:panose1 w:val="020B0604020202020204"/>
    <w:charset w:val="00"/>
    <w:family w:val="roman"/>
    <w:pitch w:val="default"/>
  </w:font>
  <w:font w:name="TimesNewRomanPS">
    <w:altName w:val="Times New Roman"/>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382988105"/>
      <w:docPartObj>
        <w:docPartGallery w:val="Page Numbers (Bottom of Page)"/>
        <w:docPartUnique/>
      </w:docPartObj>
    </w:sdtPr>
    <w:sdtContent>
      <w:p w14:paraId="48A5D7C5" w14:textId="5AC45BDB" w:rsidR="009337FB" w:rsidRDefault="009337FB" w:rsidP="002E603E">
        <w:pPr>
          <w:pStyle w:val="Sidfot"/>
          <w:framePr w:wrap="none" w:vAnchor="text" w:hAnchor="margin" w:xAlign="center" w:y="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7</w:t>
        </w:r>
        <w:r>
          <w:rPr>
            <w:rStyle w:val="Sidnummer"/>
          </w:rPr>
          <w:fldChar w:fldCharType="end"/>
        </w:r>
      </w:p>
    </w:sdtContent>
  </w:sdt>
  <w:p w14:paraId="73754187" w14:textId="77777777" w:rsidR="009337FB" w:rsidRDefault="009337FB">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438063442"/>
      <w:docPartObj>
        <w:docPartGallery w:val="Page Numbers (Bottom of Page)"/>
        <w:docPartUnique/>
      </w:docPartObj>
    </w:sdtPr>
    <w:sdtContent>
      <w:p w14:paraId="2803C2CF" w14:textId="1A89CD6B" w:rsidR="002E603E" w:rsidRDefault="002E603E" w:rsidP="00EA7EA2">
        <w:pPr>
          <w:pStyle w:val="Sidfot"/>
          <w:framePr w:wrap="none" w:vAnchor="text" w:hAnchor="margin" w:xAlign="center" w:y="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3</w:t>
        </w:r>
        <w:r>
          <w:rPr>
            <w:rStyle w:val="Sidnummer"/>
          </w:rPr>
          <w:fldChar w:fldCharType="end"/>
        </w:r>
      </w:p>
    </w:sdtContent>
  </w:sdt>
  <w:p w14:paraId="5CF28F61" w14:textId="77777777" w:rsidR="002E603E" w:rsidRDefault="002E603E">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1074203907"/>
      <w:docPartObj>
        <w:docPartGallery w:val="Page Numbers (Bottom of Page)"/>
        <w:docPartUnique/>
      </w:docPartObj>
    </w:sdtPr>
    <w:sdtContent>
      <w:p w14:paraId="185D3734" w14:textId="77777777" w:rsidR="009337FB" w:rsidRDefault="009337FB" w:rsidP="005A74A1">
        <w:pPr>
          <w:pStyle w:val="Sidfot"/>
          <w:framePr w:wrap="none" w:vAnchor="text" w:hAnchor="margin" w:xAlign="center" w:y="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7</w:t>
        </w:r>
        <w:r>
          <w:rPr>
            <w:rStyle w:val="Sidnummer"/>
          </w:rPr>
          <w:fldChar w:fldCharType="end"/>
        </w:r>
      </w:p>
    </w:sdtContent>
  </w:sdt>
  <w:p w14:paraId="4B1B722C" w14:textId="77777777" w:rsidR="009337FB" w:rsidRDefault="009337FB">
    <w:pPr>
      <w:pStyle w:val="Sidfo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1631326505"/>
      <w:docPartObj>
        <w:docPartGallery w:val="Page Numbers (Bottom of Page)"/>
        <w:docPartUnique/>
      </w:docPartObj>
    </w:sdtPr>
    <w:sdtContent>
      <w:p w14:paraId="172125CA" w14:textId="77777777" w:rsidR="007F7EB3" w:rsidRDefault="007F7EB3" w:rsidP="005A74A1">
        <w:pPr>
          <w:pStyle w:val="Sidfot"/>
          <w:framePr w:wrap="none" w:vAnchor="text" w:hAnchor="margin" w:xAlign="center" w:y="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7</w:t>
        </w:r>
        <w:r>
          <w:rPr>
            <w:rStyle w:val="Sidnummer"/>
          </w:rPr>
          <w:fldChar w:fldCharType="end"/>
        </w:r>
      </w:p>
    </w:sdtContent>
  </w:sdt>
  <w:p w14:paraId="6DB38308" w14:textId="77777777" w:rsidR="007F7EB3" w:rsidRDefault="007F7EB3">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06038A" w14:textId="77777777" w:rsidR="00C354C3" w:rsidRDefault="00C354C3" w:rsidP="009337FB">
      <w:r>
        <w:separator/>
      </w:r>
    </w:p>
  </w:footnote>
  <w:footnote w:type="continuationSeparator" w:id="0">
    <w:p w14:paraId="3E3B1A1F" w14:textId="77777777" w:rsidR="00C354C3" w:rsidRDefault="00C354C3" w:rsidP="009337FB">
      <w:r>
        <w:continuationSeparator/>
      </w:r>
    </w:p>
  </w:footnote>
  <w:footnote w:id="1">
    <w:p w14:paraId="1F029760" w14:textId="251C2F96" w:rsidR="00706D73" w:rsidRPr="00706D73" w:rsidRDefault="00706D73">
      <w:pPr>
        <w:pStyle w:val="Fotnotstext"/>
        <w:rPr>
          <w:lang w:val="sv-SE"/>
        </w:rPr>
      </w:pPr>
      <w:r>
        <w:rPr>
          <w:rStyle w:val="Fotnotsreferens"/>
        </w:rPr>
        <w:footnoteRef/>
      </w:r>
      <w:r>
        <w:t xml:space="preserve"> </w:t>
      </w:r>
      <w:r w:rsidRPr="00706D73">
        <w:t>Directive 2001/29/EC of the European Parliament and of the Council of 22 May 2001 on the harmonisation of certain aspects of copyright and related rights in the information society</w:t>
      </w:r>
      <w:r>
        <w:t xml:space="preserve"> (</w:t>
      </w:r>
      <w:r w:rsidR="00474310" w:rsidRPr="00474310">
        <w:t>OJ L 167, 22.6.2001, s. 10–19</w:t>
      </w:r>
      <w:r>
        <w:t>).</w:t>
      </w:r>
    </w:p>
  </w:footnote>
  <w:footnote w:id="2">
    <w:p w14:paraId="283AA75B" w14:textId="388EA819" w:rsidR="004F05D4" w:rsidRPr="004F05D4" w:rsidRDefault="004F05D4">
      <w:pPr>
        <w:pStyle w:val="Fotnotstext"/>
        <w:rPr>
          <w:rFonts w:cs="Times New Roman"/>
          <w:sz w:val="20"/>
          <w:lang w:val="en-US"/>
        </w:rPr>
      </w:pPr>
      <w:r>
        <w:rPr>
          <w:rStyle w:val="Fotnotsreferens"/>
        </w:rPr>
        <w:footnoteRef/>
      </w:r>
      <w:r>
        <w:t xml:space="preserve"> </w:t>
      </w:r>
      <w:r w:rsidRPr="004F05D4">
        <w:rPr>
          <w:rFonts w:cs="Times New Roman"/>
          <w:color w:val="000000"/>
          <w:szCs w:val="16"/>
        </w:rPr>
        <w:t>Directive (EU) 2019/790 of the European Parliament and of the Council of 17 April 2019 on copyright and related rights in the Digital Single Market and amending Directives 96/9/EC and 2001/29/EC [2019] OJ L130/92</w:t>
      </w:r>
      <w:r w:rsidR="00875486">
        <w:rPr>
          <w:rFonts w:cs="Times New Roman"/>
          <w:color w:val="000000"/>
          <w:szCs w:val="16"/>
        </w:rPr>
        <w:t xml:space="preserve">, arts </w:t>
      </w:r>
      <w:r w:rsidR="00CB286B">
        <w:rPr>
          <w:rFonts w:cs="Times New Roman"/>
          <w:color w:val="000000"/>
          <w:szCs w:val="16"/>
        </w:rPr>
        <w:t xml:space="preserve">3(1) – (2), and 4. </w:t>
      </w:r>
    </w:p>
  </w:footnote>
  <w:footnote w:id="3">
    <w:p w14:paraId="15C8E305" w14:textId="162A90C2" w:rsidR="00FE7DE9" w:rsidRPr="00302567" w:rsidRDefault="00FE7DE9">
      <w:pPr>
        <w:pStyle w:val="Fotnotstext"/>
        <w:rPr>
          <w:rFonts w:cs="Times New Roman"/>
          <w:szCs w:val="16"/>
          <w:lang w:val="en-US"/>
        </w:rPr>
      </w:pPr>
      <w:r>
        <w:rPr>
          <w:rStyle w:val="Fotnotsreferens"/>
        </w:rPr>
        <w:footnoteRef/>
      </w:r>
      <w:r>
        <w:t xml:space="preserve"> </w:t>
      </w:r>
      <w:r w:rsidR="00302567" w:rsidRPr="00302567">
        <w:rPr>
          <w:rFonts w:cs="Times New Roman"/>
          <w:color w:val="000000"/>
          <w:szCs w:val="16"/>
        </w:rPr>
        <w:t>Regulation (EU) 2024/1689 of the European Parliament and of the Council of 13 June 2024 laying down harmonised rules on artificial intelligence and amending Regulations (EC) No 300/2008, (EU) No 167/2013, (EU) No 168/2013, (EU) 2018/858, (EU) 2018/1139 and (EU) 2019/2144 and Directives 2014/90/EU, (EU) 2016/797 and (EU) 2020/1828 (Artificial Intelligence Act) [2024] OJ L168/1.</w:t>
      </w:r>
    </w:p>
  </w:footnote>
  <w:footnote w:id="4">
    <w:p w14:paraId="29EAA273" w14:textId="339BE5F9" w:rsidR="00F32E88" w:rsidRPr="00FC2D31" w:rsidRDefault="00F32E88">
      <w:pPr>
        <w:pStyle w:val="Fotnotstext"/>
        <w:rPr>
          <w:rFonts w:cs="Times New Roman"/>
          <w:szCs w:val="16"/>
          <w:lang w:val="en-US"/>
        </w:rPr>
      </w:pPr>
      <w:r>
        <w:rPr>
          <w:rStyle w:val="Fotnotsreferens"/>
        </w:rPr>
        <w:footnoteRef/>
      </w:r>
      <w:r>
        <w:t xml:space="preserve"> </w:t>
      </w:r>
      <w:r w:rsidR="00BE381C" w:rsidRPr="00FC2D31">
        <w:rPr>
          <w:rFonts w:cs="Times New Roman"/>
          <w:color w:val="000000"/>
          <w:szCs w:val="16"/>
        </w:rPr>
        <w:t>Case C</w:t>
      </w:r>
      <w:r w:rsidR="00BE381C" w:rsidRPr="00FC2D31">
        <w:rPr>
          <w:rFonts w:cs="Times New Roman"/>
          <w:color w:val="000000"/>
          <w:szCs w:val="16"/>
        </w:rPr>
        <w:noBreakHyphen/>
        <w:t>5/08,</w:t>
      </w:r>
      <w:r w:rsidR="00BE381C" w:rsidRPr="00FC2D31">
        <w:rPr>
          <w:rStyle w:val="apple-converted-space"/>
          <w:rFonts w:cs="Times New Roman"/>
          <w:color w:val="000000"/>
          <w:szCs w:val="16"/>
        </w:rPr>
        <w:t> </w:t>
      </w:r>
      <w:r w:rsidR="00BE381C" w:rsidRPr="00FC2D31">
        <w:rPr>
          <w:rStyle w:val="Betoning"/>
          <w:rFonts w:cs="Times New Roman"/>
          <w:color w:val="000000"/>
          <w:szCs w:val="16"/>
        </w:rPr>
        <w:t xml:space="preserve">Infopaq International A/S v Danske </w:t>
      </w:r>
      <w:proofErr w:type="spellStart"/>
      <w:r w:rsidR="00BE381C" w:rsidRPr="00FC2D31">
        <w:rPr>
          <w:rStyle w:val="Betoning"/>
          <w:rFonts w:cs="Times New Roman"/>
          <w:color w:val="000000"/>
          <w:szCs w:val="16"/>
        </w:rPr>
        <w:t>Dagblades</w:t>
      </w:r>
      <w:proofErr w:type="spellEnd"/>
      <w:r w:rsidR="00BE381C" w:rsidRPr="00FC2D31">
        <w:rPr>
          <w:rStyle w:val="Betoning"/>
          <w:rFonts w:cs="Times New Roman"/>
          <w:color w:val="000000"/>
          <w:szCs w:val="16"/>
        </w:rPr>
        <w:t xml:space="preserve"> </w:t>
      </w:r>
      <w:proofErr w:type="spellStart"/>
      <w:r w:rsidR="00BE381C" w:rsidRPr="00FC2D31">
        <w:rPr>
          <w:rStyle w:val="Betoning"/>
          <w:rFonts w:cs="Times New Roman"/>
          <w:color w:val="000000"/>
          <w:szCs w:val="16"/>
        </w:rPr>
        <w:t>Forening</w:t>
      </w:r>
      <w:proofErr w:type="spellEnd"/>
      <w:r w:rsidR="00BE381C" w:rsidRPr="00FC2D31">
        <w:rPr>
          <w:rFonts w:cs="Times New Roman"/>
          <w:color w:val="000000"/>
          <w:szCs w:val="16"/>
        </w:rPr>
        <w:t>, ECLI:EU:C:2009:465.</w:t>
      </w:r>
    </w:p>
  </w:footnote>
  <w:footnote w:id="5">
    <w:p w14:paraId="009E5F4E" w14:textId="10CB1572" w:rsidR="00BE381C" w:rsidRPr="00FC2D31" w:rsidRDefault="00BE381C">
      <w:pPr>
        <w:pStyle w:val="Fotnotstext"/>
        <w:rPr>
          <w:rFonts w:cs="Times New Roman"/>
          <w:szCs w:val="16"/>
          <w:lang w:val="en-US"/>
        </w:rPr>
      </w:pPr>
      <w:r>
        <w:rPr>
          <w:rStyle w:val="Fotnotsreferens"/>
        </w:rPr>
        <w:footnoteRef/>
      </w:r>
      <w:r>
        <w:t xml:space="preserve"> </w:t>
      </w:r>
      <w:r w:rsidR="007902FB" w:rsidRPr="00FC2D31">
        <w:rPr>
          <w:rFonts w:cs="Times New Roman"/>
          <w:color w:val="000000"/>
          <w:szCs w:val="16"/>
        </w:rPr>
        <w:t>Case C</w:t>
      </w:r>
      <w:r w:rsidR="007902FB" w:rsidRPr="00FC2D31">
        <w:rPr>
          <w:rFonts w:cs="Times New Roman"/>
          <w:color w:val="000000"/>
          <w:szCs w:val="16"/>
        </w:rPr>
        <w:noBreakHyphen/>
        <w:t>466/12,</w:t>
      </w:r>
      <w:r w:rsidR="007902FB" w:rsidRPr="00FC2D31">
        <w:rPr>
          <w:rStyle w:val="apple-converted-space"/>
          <w:rFonts w:cs="Times New Roman"/>
          <w:color w:val="000000"/>
          <w:szCs w:val="16"/>
        </w:rPr>
        <w:t> </w:t>
      </w:r>
      <w:r w:rsidR="007902FB" w:rsidRPr="00FC2D31">
        <w:rPr>
          <w:rStyle w:val="Betoning"/>
          <w:rFonts w:cs="Times New Roman"/>
          <w:color w:val="000000"/>
          <w:szCs w:val="16"/>
        </w:rPr>
        <w:t>Nils Svensson and Others v Retriever Sverige AB</w:t>
      </w:r>
      <w:r w:rsidR="007902FB" w:rsidRPr="00FC2D31">
        <w:rPr>
          <w:rFonts w:cs="Times New Roman"/>
          <w:color w:val="000000"/>
          <w:szCs w:val="16"/>
        </w:rPr>
        <w:t>, ECLI:EU:C:2014:76.</w:t>
      </w:r>
    </w:p>
  </w:footnote>
  <w:footnote w:id="6">
    <w:p w14:paraId="181331F4" w14:textId="25B55309" w:rsidR="007902FB" w:rsidRPr="00FC2D31" w:rsidRDefault="007902FB">
      <w:pPr>
        <w:pStyle w:val="Fotnotstext"/>
        <w:rPr>
          <w:rFonts w:cs="Times New Roman"/>
          <w:szCs w:val="16"/>
          <w:lang w:val="en-US"/>
        </w:rPr>
      </w:pPr>
      <w:r w:rsidRPr="00FC2D31">
        <w:rPr>
          <w:rStyle w:val="Fotnotsreferens"/>
          <w:rFonts w:cs="Times New Roman"/>
          <w:szCs w:val="16"/>
        </w:rPr>
        <w:footnoteRef/>
      </w:r>
      <w:r w:rsidRPr="00FC2D31">
        <w:rPr>
          <w:rFonts w:cs="Times New Roman"/>
          <w:szCs w:val="16"/>
        </w:rPr>
        <w:t xml:space="preserve"> </w:t>
      </w:r>
      <w:r w:rsidRPr="00FC2D31">
        <w:rPr>
          <w:rFonts w:cs="Times New Roman"/>
          <w:color w:val="000000"/>
          <w:szCs w:val="16"/>
        </w:rPr>
        <w:t>Case C</w:t>
      </w:r>
      <w:r w:rsidRPr="00FC2D31">
        <w:rPr>
          <w:rFonts w:cs="Times New Roman"/>
          <w:color w:val="000000"/>
          <w:szCs w:val="16"/>
        </w:rPr>
        <w:noBreakHyphen/>
        <w:t>160/15,</w:t>
      </w:r>
      <w:r w:rsidRPr="00FC2D31">
        <w:rPr>
          <w:rStyle w:val="apple-converted-space"/>
          <w:rFonts w:cs="Times New Roman"/>
          <w:color w:val="000000"/>
          <w:szCs w:val="16"/>
        </w:rPr>
        <w:t> </w:t>
      </w:r>
      <w:r w:rsidRPr="00FC2D31">
        <w:rPr>
          <w:rStyle w:val="Betoning"/>
          <w:rFonts w:cs="Times New Roman"/>
          <w:color w:val="000000"/>
          <w:szCs w:val="16"/>
        </w:rPr>
        <w:t>GS Media BV v Sanoma Media Netherlands BV and Others</w:t>
      </w:r>
      <w:r w:rsidRPr="00FC2D31">
        <w:rPr>
          <w:rFonts w:cs="Times New Roman"/>
          <w:color w:val="000000"/>
          <w:szCs w:val="16"/>
        </w:rPr>
        <w:t>, ECLI:EU:C:2016:644.</w:t>
      </w:r>
    </w:p>
  </w:footnote>
  <w:footnote w:id="7">
    <w:p w14:paraId="3B6EEF07" w14:textId="57323AFB" w:rsidR="00FC2D31" w:rsidRPr="00FC2D31" w:rsidRDefault="00FC2D31">
      <w:pPr>
        <w:pStyle w:val="Fotnotstext"/>
        <w:rPr>
          <w:rFonts w:cs="Times New Roman"/>
          <w:szCs w:val="16"/>
          <w:lang w:val="en-US"/>
        </w:rPr>
      </w:pPr>
      <w:r>
        <w:rPr>
          <w:rStyle w:val="Fotnotsreferens"/>
        </w:rPr>
        <w:footnoteRef/>
      </w:r>
      <w:r>
        <w:t xml:space="preserve"> </w:t>
      </w:r>
      <w:r w:rsidRPr="00FC2D31">
        <w:rPr>
          <w:rFonts w:cs="Times New Roman"/>
          <w:color w:val="000000"/>
          <w:szCs w:val="16"/>
        </w:rPr>
        <w:t>Municipal Court of Prague, Case No. 13/2023,</w:t>
      </w:r>
      <w:r w:rsidRPr="00FC2D31">
        <w:rPr>
          <w:rStyle w:val="apple-converted-space"/>
          <w:rFonts w:cs="Times New Roman"/>
          <w:color w:val="000000"/>
          <w:szCs w:val="16"/>
        </w:rPr>
        <w:t> </w:t>
      </w:r>
      <w:r w:rsidRPr="00FC2D31">
        <w:rPr>
          <w:rStyle w:val="Betoning"/>
          <w:rFonts w:cs="Times New Roman"/>
          <w:color w:val="000000"/>
          <w:szCs w:val="16"/>
        </w:rPr>
        <w:t xml:space="preserve">S. Š. v TAUBEL LEGAL, </w:t>
      </w:r>
      <w:proofErr w:type="spellStart"/>
      <w:r w:rsidRPr="00FC2D31">
        <w:rPr>
          <w:rStyle w:val="Betoning"/>
          <w:rFonts w:cs="Times New Roman"/>
          <w:color w:val="000000"/>
          <w:szCs w:val="16"/>
        </w:rPr>
        <w:t>advokátní</w:t>
      </w:r>
      <w:proofErr w:type="spellEnd"/>
      <w:r w:rsidRPr="00FC2D31">
        <w:rPr>
          <w:rStyle w:val="Betoning"/>
          <w:rFonts w:cs="Times New Roman"/>
          <w:color w:val="000000"/>
          <w:szCs w:val="16"/>
        </w:rPr>
        <w:t xml:space="preserve"> </w:t>
      </w:r>
      <w:proofErr w:type="spellStart"/>
      <w:r w:rsidRPr="00FC2D31">
        <w:rPr>
          <w:rStyle w:val="Betoning"/>
          <w:rFonts w:cs="Times New Roman"/>
          <w:color w:val="000000"/>
          <w:szCs w:val="16"/>
        </w:rPr>
        <w:t>kancelář</w:t>
      </w:r>
      <w:proofErr w:type="spellEnd"/>
      <w:r w:rsidRPr="00FC2D31">
        <w:rPr>
          <w:rStyle w:val="Betoning"/>
          <w:rFonts w:cs="Times New Roman"/>
          <w:color w:val="000000"/>
          <w:szCs w:val="16"/>
        </w:rPr>
        <w:t xml:space="preserve"> </w:t>
      </w:r>
      <w:proofErr w:type="spellStart"/>
      <w:r w:rsidRPr="00FC2D31">
        <w:rPr>
          <w:rStyle w:val="Betoning"/>
          <w:rFonts w:cs="Times New Roman"/>
          <w:color w:val="000000"/>
          <w:szCs w:val="16"/>
        </w:rPr>
        <w:t>s.r.o.</w:t>
      </w:r>
      <w:proofErr w:type="spellEnd"/>
      <w:r w:rsidRPr="00FC2D31">
        <w:rPr>
          <w:rStyle w:val="apple-converted-space"/>
          <w:rFonts w:cs="Times New Roman"/>
          <w:color w:val="000000"/>
          <w:szCs w:val="16"/>
        </w:rPr>
        <w:t> </w:t>
      </w:r>
      <w:r w:rsidRPr="00FC2D31">
        <w:rPr>
          <w:rFonts w:cs="Times New Roman"/>
          <w:color w:val="000000"/>
          <w:szCs w:val="16"/>
        </w:rPr>
        <w:t>(Czech Republic).</w:t>
      </w:r>
    </w:p>
  </w:footnote>
  <w:footnote w:id="8">
    <w:p w14:paraId="211E5D3C" w14:textId="18CF781A" w:rsidR="00960F19" w:rsidRPr="00C64253" w:rsidRDefault="00960F19">
      <w:pPr>
        <w:pStyle w:val="Fotnotstext"/>
        <w:rPr>
          <w:szCs w:val="16"/>
          <w:lang w:val="en-US"/>
        </w:rPr>
      </w:pPr>
      <w:r>
        <w:rPr>
          <w:rStyle w:val="Fotnotsreferens"/>
        </w:rPr>
        <w:footnoteRef/>
      </w:r>
      <w:r>
        <w:t xml:space="preserve"> </w:t>
      </w:r>
      <w:r w:rsidRPr="00C64253">
        <w:rPr>
          <w:rFonts w:ascii="-webkit-standard" w:hAnsi="-webkit-standard"/>
          <w:color w:val="000000"/>
          <w:szCs w:val="16"/>
        </w:rPr>
        <w:t>Adam Buick, ‘Copyright and AI Training Data—Transparency to the Rescue?’ (2025) 20(2)</w:t>
      </w:r>
      <w:r w:rsidRPr="00C64253">
        <w:rPr>
          <w:rStyle w:val="apple-converted-space"/>
          <w:rFonts w:ascii="-webkit-standard" w:hAnsi="-webkit-standard"/>
          <w:color w:val="000000"/>
          <w:szCs w:val="16"/>
        </w:rPr>
        <w:t> </w:t>
      </w:r>
      <w:r w:rsidRPr="00C64253">
        <w:rPr>
          <w:rStyle w:val="Betoning"/>
          <w:color w:val="000000"/>
          <w:szCs w:val="16"/>
        </w:rPr>
        <w:t>Journal of Intellectual Property Law &amp; Practice</w:t>
      </w:r>
      <w:r w:rsidRPr="00C64253">
        <w:rPr>
          <w:rStyle w:val="apple-converted-space"/>
          <w:rFonts w:ascii="-webkit-standard" w:hAnsi="-webkit-standard"/>
          <w:color w:val="000000"/>
          <w:szCs w:val="16"/>
        </w:rPr>
        <w:t> </w:t>
      </w:r>
      <w:r w:rsidRPr="00C64253">
        <w:rPr>
          <w:rFonts w:ascii="-webkit-standard" w:hAnsi="-webkit-standard"/>
          <w:color w:val="000000"/>
          <w:szCs w:val="16"/>
        </w:rPr>
        <w:t>182</w:t>
      </w:r>
      <w:r w:rsidR="00BE0AE8" w:rsidRPr="00C64253">
        <w:rPr>
          <w:rFonts w:ascii="-webkit-standard" w:hAnsi="-webkit-standard"/>
          <w:color w:val="000000"/>
          <w:szCs w:val="16"/>
        </w:rPr>
        <w:t>, p. 12</w:t>
      </w:r>
    </w:p>
  </w:footnote>
  <w:footnote w:id="9">
    <w:p w14:paraId="69EC8111" w14:textId="1AA0619D" w:rsidR="00EA390B" w:rsidRPr="00C64253" w:rsidRDefault="00EA390B">
      <w:pPr>
        <w:pStyle w:val="Fotnotstext"/>
        <w:rPr>
          <w:szCs w:val="16"/>
          <w:lang w:val="en-US"/>
        </w:rPr>
      </w:pPr>
      <w:r w:rsidRPr="00C64253">
        <w:rPr>
          <w:rStyle w:val="Fotnotsreferens"/>
          <w:szCs w:val="16"/>
        </w:rPr>
        <w:footnoteRef/>
      </w:r>
      <w:r w:rsidRPr="00C64253">
        <w:rPr>
          <w:szCs w:val="16"/>
        </w:rPr>
        <w:t xml:space="preserve"> </w:t>
      </w:r>
      <w:r w:rsidRPr="00C64253">
        <w:rPr>
          <w:rFonts w:ascii="-webkit-standard" w:hAnsi="-webkit-standard"/>
          <w:color w:val="000000"/>
          <w:szCs w:val="16"/>
        </w:rPr>
        <w:t>Katherine Lee, A Feder Cooper and James Grimmelmann, ‘Talkin’ ‘Bout AI Generation: Copyright and the Generative-AI Supply Chain’ (2024)</w:t>
      </w:r>
      <w:r w:rsidRPr="00C64253">
        <w:rPr>
          <w:rStyle w:val="apple-converted-space"/>
          <w:rFonts w:ascii="-webkit-standard" w:hAnsi="-webkit-standard"/>
          <w:color w:val="000000"/>
          <w:szCs w:val="16"/>
        </w:rPr>
        <w:t> </w:t>
      </w:r>
      <w:r w:rsidRPr="00C64253">
        <w:rPr>
          <w:rStyle w:val="Betoning"/>
          <w:color w:val="000000"/>
          <w:szCs w:val="16"/>
        </w:rPr>
        <w:t>Journal of the Copyright Society</w:t>
      </w:r>
      <w:r w:rsidR="0006675C" w:rsidRPr="00C64253">
        <w:rPr>
          <w:rStyle w:val="Betoning"/>
          <w:color w:val="000000"/>
          <w:szCs w:val="16"/>
        </w:rPr>
        <w:t>, p.6</w:t>
      </w:r>
    </w:p>
  </w:footnote>
  <w:footnote w:id="10">
    <w:p w14:paraId="40F646E2" w14:textId="3CACC94B" w:rsidR="005450D0" w:rsidRPr="00C64253" w:rsidRDefault="005450D0">
      <w:pPr>
        <w:pStyle w:val="Fotnotstext"/>
        <w:rPr>
          <w:szCs w:val="16"/>
          <w:lang w:val="en-US"/>
        </w:rPr>
      </w:pPr>
      <w:r w:rsidRPr="00C64253">
        <w:rPr>
          <w:rStyle w:val="Fotnotsreferens"/>
          <w:szCs w:val="16"/>
        </w:rPr>
        <w:footnoteRef/>
      </w:r>
      <w:r w:rsidRPr="00C64253">
        <w:rPr>
          <w:szCs w:val="16"/>
        </w:rPr>
        <w:t xml:space="preserve"> </w:t>
      </w:r>
      <w:r w:rsidR="00DF3655" w:rsidRPr="00C64253">
        <w:rPr>
          <w:rFonts w:ascii="-webkit-standard" w:hAnsi="-webkit-standard"/>
          <w:color w:val="000000"/>
          <w:szCs w:val="16"/>
        </w:rPr>
        <w:t>Shayne Longpre and others, ‘The Data Provenance Initiative: A Large Scale Audit of Dataset Licensing &amp; Attribution in AI’ (2023)</w:t>
      </w:r>
      <w:r w:rsidR="00DF3655" w:rsidRPr="00C64253">
        <w:rPr>
          <w:rStyle w:val="apple-converted-space"/>
          <w:rFonts w:ascii="-webkit-standard" w:hAnsi="-webkit-standard"/>
          <w:color w:val="000000"/>
          <w:szCs w:val="16"/>
        </w:rPr>
        <w:t> </w:t>
      </w:r>
      <w:r w:rsidR="00DF3655" w:rsidRPr="00C64253">
        <w:rPr>
          <w:rStyle w:val="Betoning"/>
          <w:color w:val="000000"/>
          <w:szCs w:val="16"/>
        </w:rPr>
        <w:t>arXiv, p.7</w:t>
      </w:r>
    </w:p>
  </w:footnote>
  <w:footnote w:id="11">
    <w:p w14:paraId="690FB76C" w14:textId="02590CE3" w:rsidR="00054AE6" w:rsidRPr="00C64253" w:rsidRDefault="00054AE6">
      <w:pPr>
        <w:pStyle w:val="Fotnotstext"/>
        <w:rPr>
          <w:szCs w:val="16"/>
          <w:lang w:val="en-US"/>
        </w:rPr>
      </w:pPr>
      <w:r>
        <w:rPr>
          <w:rStyle w:val="Fotnotsreferens"/>
        </w:rPr>
        <w:footnoteRef/>
      </w:r>
      <w:r>
        <w:t xml:space="preserve"> </w:t>
      </w:r>
      <w:r w:rsidR="00A514F5" w:rsidRPr="00C64253">
        <w:rPr>
          <w:szCs w:val="16"/>
          <w:lang w:val="en-US"/>
        </w:rPr>
        <w:t xml:space="preserve">See </w:t>
      </w:r>
      <w:r w:rsidR="00A514F5" w:rsidRPr="00C64253">
        <w:rPr>
          <w:rFonts w:ascii="-webkit-standard" w:hAnsi="-webkit-standard"/>
          <w:color w:val="000000"/>
          <w:szCs w:val="16"/>
        </w:rPr>
        <w:t>Regulation (EU) 2024/1689 of the European Parliament and of the Council of 13 June 2024 l</w:t>
      </w:r>
    </w:p>
  </w:footnote>
  <w:footnote w:id="12">
    <w:p w14:paraId="1B1DCCA2" w14:textId="0EC91076" w:rsidR="002D4328" w:rsidRPr="00C64253" w:rsidRDefault="002D4328">
      <w:pPr>
        <w:pStyle w:val="Fotnotstext"/>
        <w:rPr>
          <w:szCs w:val="16"/>
          <w:lang w:val="en-US"/>
        </w:rPr>
      </w:pPr>
      <w:r w:rsidRPr="00C64253">
        <w:rPr>
          <w:rStyle w:val="Fotnotsreferens"/>
          <w:szCs w:val="16"/>
        </w:rPr>
        <w:footnoteRef/>
      </w:r>
      <w:r w:rsidRPr="00C64253">
        <w:rPr>
          <w:szCs w:val="16"/>
        </w:rPr>
        <w:t xml:space="preserve"> </w:t>
      </w:r>
      <w:r w:rsidR="004D0C75" w:rsidRPr="00C64253">
        <w:rPr>
          <w:szCs w:val="16"/>
        </w:rPr>
        <w:t xml:space="preserve">Lee et al., </w:t>
      </w:r>
      <w:r w:rsidR="0072162D" w:rsidRPr="00C64253">
        <w:rPr>
          <w:szCs w:val="16"/>
        </w:rPr>
        <w:t>p.</w:t>
      </w:r>
      <w:r w:rsidR="004D0C75" w:rsidRPr="00C64253">
        <w:rPr>
          <w:szCs w:val="16"/>
          <w:lang w:val="en-US"/>
        </w:rPr>
        <w:t>4</w:t>
      </w:r>
    </w:p>
  </w:footnote>
  <w:footnote w:id="13">
    <w:p w14:paraId="356CFA55" w14:textId="4B60B1B0" w:rsidR="004D0C75" w:rsidRPr="004D0C75" w:rsidRDefault="004D0C75">
      <w:pPr>
        <w:pStyle w:val="Fotnotstext"/>
        <w:rPr>
          <w:lang w:val="en-US"/>
        </w:rPr>
      </w:pPr>
      <w:r w:rsidRPr="00C64253">
        <w:rPr>
          <w:rStyle w:val="Fotnotsreferens"/>
          <w:szCs w:val="16"/>
        </w:rPr>
        <w:footnoteRef/>
      </w:r>
      <w:r w:rsidRPr="00C64253">
        <w:rPr>
          <w:szCs w:val="16"/>
        </w:rPr>
        <w:t xml:space="preserve"> </w:t>
      </w:r>
      <w:r w:rsidR="00EF5F11" w:rsidRPr="00C64253">
        <w:rPr>
          <w:szCs w:val="16"/>
        </w:rPr>
        <w:t xml:space="preserve">Lee et al., </w:t>
      </w:r>
      <w:r w:rsidR="0072162D" w:rsidRPr="00C64253">
        <w:rPr>
          <w:szCs w:val="16"/>
        </w:rPr>
        <w:t>p.</w:t>
      </w:r>
      <w:r w:rsidR="00EF5F11">
        <w:rPr>
          <w:lang w:val="en-US"/>
        </w:rPr>
        <w:t>5</w:t>
      </w:r>
    </w:p>
  </w:footnote>
  <w:footnote w:id="14">
    <w:p w14:paraId="2ECE53EA" w14:textId="5BB8EB03" w:rsidR="0017203B" w:rsidRPr="0017203B" w:rsidRDefault="0017203B">
      <w:pPr>
        <w:pStyle w:val="Fotnotstext"/>
        <w:rPr>
          <w:lang w:val="en-US"/>
        </w:rPr>
      </w:pPr>
      <w:r>
        <w:rPr>
          <w:rStyle w:val="Fotnotsreferens"/>
        </w:rPr>
        <w:footnoteRef/>
      </w:r>
      <w:r>
        <w:t xml:space="preserve"> Lee et al., </w:t>
      </w:r>
      <w:r w:rsidR="00092B31">
        <w:t>p.</w:t>
      </w:r>
      <w:r>
        <w:t xml:space="preserve"> 9</w:t>
      </w:r>
    </w:p>
  </w:footnote>
  <w:footnote w:id="15">
    <w:p w14:paraId="61F0E780" w14:textId="1B755DA8" w:rsidR="0017203B" w:rsidRPr="0017203B" w:rsidRDefault="0017203B">
      <w:pPr>
        <w:pStyle w:val="Fotnotstext"/>
        <w:rPr>
          <w:lang w:val="en-US"/>
        </w:rPr>
      </w:pPr>
      <w:r>
        <w:rPr>
          <w:rStyle w:val="Fotnotsreferens"/>
        </w:rPr>
        <w:footnoteRef/>
      </w:r>
      <w:r>
        <w:t xml:space="preserve"> Lee et al., </w:t>
      </w:r>
      <w:r w:rsidR="00092B31">
        <w:t>p.</w:t>
      </w:r>
      <w:r>
        <w:t>10</w:t>
      </w:r>
    </w:p>
  </w:footnote>
  <w:footnote w:id="16">
    <w:p w14:paraId="78E115FC" w14:textId="66011164" w:rsidR="00B86A25" w:rsidRPr="00B86A25" w:rsidRDefault="00B86A25">
      <w:pPr>
        <w:pStyle w:val="Fotnotstext"/>
        <w:rPr>
          <w:lang w:val="en-US"/>
        </w:rPr>
      </w:pPr>
      <w:r>
        <w:rPr>
          <w:rStyle w:val="Fotnotsreferens"/>
        </w:rPr>
        <w:footnoteRef/>
      </w:r>
      <w:r>
        <w:t xml:space="preserve"> Lee et al., </w:t>
      </w:r>
      <w:r w:rsidR="00092B31">
        <w:t>p.</w:t>
      </w:r>
      <w:r>
        <w:t>13</w:t>
      </w:r>
    </w:p>
  </w:footnote>
  <w:footnote w:id="17">
    <w:p w14:paraId="00234993" w14:textId="30C0B5DF" w:rsidR="00B86A25" w:rsidRPr="00B86A25" w:rsidRDefault="00B86A25">
      <w:pPr>
        <w:pStyle w:val="Fotnotstext"/>
        <w:rPr>
          <w:lang w:val="en-US"/>
        </w:rPr>
      </w:pPr>
      <w:r>
        <w:rPr>
          <w:rStyle w:val="Fotnotsreferens"/>
        </w:rPr>
        <w:footnoteRef/>
      </w:r>
      <w:r>
        <w:t xml:space="preserve"> Lee et al.,</w:t>
      </w:r>
      <w:r w:rsidR="00092B31">
        <w:t xml:space="preserve"> p.</w:t>
      </w:r>
      <w:r>
        <w:t>15</w:t>
      </w:r>
    </w:p>
  </w:footnote>
  <w:footnote w:id="18">
    <w:p w14:paraId="515EC42A" w14:textId="4222C68B" w:rsidR="00F23F4E" w:rsidRPr="00F23F4E" w:rsidRDefault="00F23F4E">
      <w:pPr>
        <w:pStyle w:val="Fotnotstext"/>
        <w:rPr>
          <w:lang w:val="en-US"/>
        </w:rPr>
      </w:pPr>
      <w:r>
        <w:rPr>
          <w:rStyle w:val="Fotnotsreferens"/>
        </w:rPr>
        <w:footnoteRef/>
      </w:r>
      <w:r>
        <w:t xml:space="preserve"> Lee et al., </w:t>
      </w:r>
      <w:r w:rsidR="00092B31">
        <w:t>p.</w:t>
      </w:r>
      <w:r>
        <w:t>16</w:t>
      </w:r>
    </w:p>
  </w:footnote>
  <w:footnote w:id="19">
    <w:p w14:paraId="7643E9A3" w14:textId="40DD8544" w:rsidR="00777957" w:rsidRPr="00777957" w:rsidRDefault="00777957">
      <w:pPr>
        <w:pStyle w:val="Fotnotstext"/>
        <w:rPr>
          <w:lang w:val="en-US"/>
        </w:rPr>
      </w:pPr>
      <w:r>
        <w:rPr>
          <w:rStyle w:val="Fotnotsreferens"/>
        </w:rPr>
        <w:footnoteRef/>
      </w:r>
      <w:r>
        <w:t xml:space="preserve"> </w:t>
      </w:r>
      <w:r>
        <w:rPr>
          <w:lang w:val="en-US"/>
        </w:rPr>
        <w:t xml:space="preserve">Longpre </w:t>
      </w:r>
      <w:r w:rsidR="0090261E">
        <w:rPr>
          <w:lang w:val="en-US"/>
        </w:rPr>
        <w:t>et al., p.</w:t>
      </w:r>
      <w:r>
        <w:rPr>
          <w:lang w:val="en-US"/>
        </w:rPr>
        <w:t>3</w:t>
      </w:r>
    </w:p>
  </w:footnote>
  <w:footnote w:id="20">
    <w:p w14:paraId="49E99B6D" w14:textId="061DAE0B" w:rsidR="000B4D83" w:rsidRPr="000B4D83" w:rsidRDefault="000B4D83">
      <w:pPr>
        <w:pStyle w:val="Fotnotstext"/>
        <w:rPr>
          <w:lang w:val="en-US"/>
        </w:rPr>
      </w:pPr>
      <w:r>
        <w:rPr>
          <w:rStyle w:val="Fotnotsreferens"/>
        </w:rPr>
        <w:footnoteRef/>
      </w:r>
      <w:r>
        <w:t xml:space="preserve"> </w:t>
      </w:r>
      <w:r>
        <w:rPr>
          <w:lang w:val="en-US"/>
        </w:rPr>
        <w:t xml:space="preserve">Longpre </w:t>
      </w:r>
      <w:r w:rsidR="0090261E">
        <w:rPr>
          <w:lang w:val="en-US"/>
        </w:rPr>
        <w:t>et al., p.</w:t>
      </w:r>
      <w:r>
        <w:rPr>
          <w:lang w:val="en-US"/>
        </w:rPr>
        <w:t xml:space="preserve"> 3</w:t>
      </w:r>
    </w:p>
  </w:footnote>
  <w:footnote w:id="21">
    <w:p w14:paraId="4B487A90" w14:textId="3E01619B" w:rsidR="00086CE3" w:rsidRPr="00086CE3" w:rsidRDefault="00086CE3">
      <w:pPr>
        <w:pStyle w:val="Fotnotstext"/>
        <w:rPr>
          <w:lang w:val="en-US"/>
        </w:rPr>
      </w:pPr>
      <w:r>
        <w:rPr>
          <w:rStyle w:val="Fotnotsreferens"/>
        </w:rPr>
        <w:footnoteRef/>
      </w:r>
      <w:r>
        <w:t xml:space="preserve"> </w:t>
      </w:r>
      <w:r>
        <w:rPr>
          <w:lang w:val="en-US"/>
        </w:rPr>
        <w:t>Longpre</w:t>
      </w:r>
      <w:r w:rsidR="00C60F4E">
        <w:rPr>
          <w:lang w:val="en-US"/>
        </w:rPr>
        <w:t xml:space="preserve"> et al., p.</w:t>
      </w:r>
      <w:r>
        <w:rPr>
          <w:lang w:val="en-US"/>
        </w:rPr>
        <w:t xml:space="preserve"> 5 </w:t>
      </w:r>
    </w:p>
  </w:footnote>
  <w:footnote w:id="22">
    <w:p w14:paraId="7DEBFF63" w14:textId="747B7595" w:rsidR="00D679D9" w:rsidRPr="00D679D9" w:rsidRDefault="00D679D9">
      <w:pPr>
        <w:pStyle w:val="Fotnotstext"/>
        <w:rPr>
          <w:lang w:val="en-US"/>
        </w:rPr>
      </w:pPr>
      <w:r>
        <w:rPr>
          <w:rStyle w:val="Fotnotsreferens"/>
        </w:rPr>
        <w:footnoteRef/>
      </w:r>
      <w:r>
        <w:t xml:space="preserve"> </w:t>
      </w:r>
      <w:r>
        <w:rPr>
          <w:lang w:val="en-US"/>
        </w:rPr>
        <w:t xml:space="preserve">Longpre </w:t>
      </w:r>
      <w:r w:rsidR="00092B31">
        <w:rPr>
          <w:lang w:val="en-US"/>
        </w:rPr>
        <w:t>et al., p.</w:t>
      </w:r>
      <w:r>
        <w:rPr>
          <w:lang w:val="en-US"/>
        </w:rPr>
        <w:t>7</w:t>
      </w:r>
    </w:p>
  </w:footnote>
  <w:footnote w:id="23">
    <w:p w14:paraId="74253023" w14:textId="055C41DB" w:rsidR="00D679D9" w:rsidRPr="00D679D9" w:rsidRDefault="00D679D9">
      <w:pPr>
        <w:pStyle w:val="Fotnotstext"/>
        <w:rPr>
          <w:lang w:val="en-US"/>
        </w:rPr>
      </w:pPr>
      <w:r>
        <w:rPr>
          <w:rStyle w:val="Fotnotsreferens"/>
        </w:rPr>
        <w:footnoteRef/>
      </w:r>
      <w:r>
        <w:t xml:space="preserve"> </w:t>
      </w:r>
      <w:r w:rsidR="00785C31">
        <w:rPr>
          <w:lang w:val="en-US"/>
        </w:rPr>
        <w:t xml:space="preserve">Longpre </w:t>
      </w:r>
      <w:r w:rsidR="00092B31">
        <w:rPr>
          <w:lang w:val="en-US"/>
        </w:rPr>
        <w:t>et al., p.</w:t>
      </w:r>
      <w:r w:rsidR="00785C31">
        <w:rPr>
          <w:lang w:val="en-US"/>
        </w:rPr>
        <w:t>10</w:t>
      </w:r>
    </w:p>
  </w:footnote>
  <w:footnote w:id="24">
    <w:p w14:paraId="37E41B2C" w14:textId="59B405C9" w:rsidR="005C2513" w:rsidRPr="00C64253" w:rsidRDefault="005C2513">
      <w:pPr>
        <w:pStyle w:val="Fotnotstext"/>
        <w:rPr>
          <w:szCs w:val="16"/>
          <w:lang w:val="en-US"/>
        </w:rPr>
      </w:pPr>
      <w:r>
        <w:rPr>
          <w:rStyle w:val="Fotnotsreferens"/>
        </w:rPr>
        <w:footnoteRef/>
      </w:r>
      <w:r>
        <w:t xml:space="preserve"> </w:t>
      </w:r>
      <w:r w:rsidR="00E551D4">
        <w:rPr>
          <w:rFonts w:ascii="-webkit-standard" w:hAnsi="-webkit-standard"/>
          <w:color w:val="000000"/>
          <w:sz w:val="27"/>
          <w:szCs w:val="27"/>
        </w:rPr>
        <w:t xml:space="preserve"> </w:t>
      </w:r>
      <w:r w:rsidR="00E551D4" w:rsidRPr="00C64253">
        <w:rPr>
          <w:rFonts w:ascii="-webkit-standard" w:hAnsi="-webkit-standard"/>
          <w:color w:val="000000"/>
          <w:szCs w:val="16"/>
        </w:rPr>
        <w:t>Goodfellow and others, ‘Generative Adversarial Nets’ (2014)</w:t>
      </w:r>
      <w:r w:rsidR="00E551D4" w:rsidRPr="00C64253">
        <w:rPr>
          <w:rStyle w:val="apple-converted-space"/>
          <w:rFonts w:ascii="-webkit-standard" w:hAnsi="-webkit-standard"/>
          <w:color w:val="000000"/>
          <w:szCs w:val="16"/>
        </w:rPr>
        <w:t> </w:t>
      </w:r>
      <w:r w:rsidR="00E551D4" w:rsidRPr="00C64253">
        <w:rPr>
          <w:rStyle w:val="Betoning"/>
          <w:color w:val="000000"/>
          <w:szCs w:val="16"/>
        </w:rPr>
        <w:t>Advances in Neural Information Processing Systems</w:t>
      </w:r>
      <w:r w:rsidR="00E551D4" w:rsidRPr="00C64253">
        <w:rPr>
          <w:rStyle w:val="apple-converted-space"/>
          <w:rFonts w:ascii="-webkit-standard" w:hAnsi="-webkit-standard"/>
          <w:color w:val="000000"/>
          <w:szCs w:val="16"/>
        </w:rPr>
        <w:t> </w:t>
      </w:r>
      <w:r w:rsidR="00E551D4" w:rsidRPr="00C64253">
        <w:rPr>
          <w:rFonts w:ascii="-webkit-standard" w:hAnsi="-webkit-standard"/>
          <w:color w:val="000000"/>
          <w:szCs w:val="16"/>
        </w:rPr>
        <w:t>27, 2672, p.4</w:t>
      </w:r>
    </w:p>
  </w:footnote>
  <w:footnote w:id="25">
    <w:p w14:paraId="795D0962" w14:textId="6EF59F4D" w:rsidR="000C674E" w:rsidRPr="00C64253" w:rsidRDefault="000C674E">
      <w:pPr>
        <w:pStyle w:val="Fotnotstext"/>
        <w:rPr>
          <w:szCs w:val="16"/>
          <w:lang w:val="en-US"/>
        </w:rPr>
      </w:pPr>
      <w:r w:rsidRPr="00C64253">
        <w:rPr>
          <w:rStyle w:val="Fotnotsreferens"/>
          <w:szCs w:val="16"/>
        </w:rPr>
        <w:footnoteRef/>
      </w:r>
      <w:r w:rsidRPr="00C64253">
        <w:rPr>
          <w:szCs w:val="16"/>
        </w:rPr>
        <w:t xml:space="preserve"> </w:t>
      </w:r>
      <w:r w:rsidRPr="00C64253">
        <w:rPr>
          <w:rFonts w:ascii="-webkit-standard" w:hAnsi="-webkit-standard"/>
          <w:color w:val="000000"/>
          <w:szCs w:val="16"/>
        </w:rPr>
        <w:t>Ashish Vaswani et al., ‘Attention Is All You Need’ (2017) 30</w:t>
      </w:r>
      <w:r w:rsidRPr="00C64253">
        <w:rPr>
          <w:rStyle w:val="apple-converted-space"/>
          <w:rFonts w:ascii="-webkit-standard" w:hAnsi="-webkit-standard"/>
          <w:color w:val="000000"/>
          <w:szCs w:val="16"/>
        </w:rPr>
        <w:t> </w:t>
      </w:r>
      <w:r w:rsidRPr="00C64253">
        <w:rPr>
          <w:rStyle w:val="Betoning"/>
          <w:color w:val="000000"/>
          <w:szCs w:val="16"/>
        </w:rPr>
        <w:t>Advances in Neural Information Processing Systems</w:t>
      </w:r>
      <w:r w:rsidRPr="00C64253">
        <w:rPr>
          <w:rStyle w:val="apple-converted-space"/>
          <w:rFonts w:ascii="-webkit-standard" w:hAnsi="-webkit-standard"/>
          <w:color w:val="000000"/>
          <w:szCs w:val="16"/>
        </w:rPr>
        <w:t> </w:t>
      </w:r>
      <w:r w:rsidRPr="00C64253">
        <w:rPr>
          <w:rFonts w:ascii="-webkit-standard" w:hAnsi="-webkit-standard"/>
          <w:color w:val="000000"/>
          <w:szCs w:val="16"/>
        </w:rPr>
        <w:t>5998, p.5</w:t>
      </w:r>
    </w:p>
  </w:footnote>
  <w:footnote w:id="26">
    <w:p w14:paraId="1A02200A" w14:textId="2308628E" w:rsidR="000C674E" w:rsidRPr="00C64253" w:rsidRDefault="000C674E">
      <w:pPr>
        <w:pStyle w:val="Fotnotstext"/>
        <w:rPr>
          <w:szCs w:val="16"/>
          <w:lang w:val="en-US"/>
        </w:rPr>
      </w:pPr>
      <w:r w:rsidRPr="00C64253">
        <w:rPr>
          <w:rStyle w:val="Fotnotsreferens"/>
          <w:szCs w:val="16"/>
        </w:rPr>
        <w:footnoteRef/>
      </w:r>
      <w:r w:rsidRPr="00C64253">
        <w:rPr>
          <w:szCs w:val="16"/>
        </w:rPr>
        <w:t xml:space="preserve"> </w:t>
      </w:r>
      <w:r w:rsidRPr="00C64253">
        <w:rPr>
          <w:rFonts w:ascii="-webkit-standard" w:hAnsi="-webkit-standard"/>
          <w:color w:val="000000"/>
          <w:szCs w:val="16"/>
        </w:rPr>
        <w:t>Aditya Ramesh et al., ‘Zero-Shot Text-to-Image Generation’ (2021) arXiv:2102.12092, p.4</w:t>
      </w:r>
    </w:p>
  </w:footnote>
  <w:footnote w:id="27">
    <w:p w14:paraId="6EB1BF8A" w14:textId="2F3EADB3" w:rsidR="00DF20E9" w:rsidRPr="00C64253" w:rsidRDefault="00DF20E9">
      <w:pPr>
        <w:pStyle w:val="Fotnotstext"/>
        <w:rPr>
          <w:szCs w:val="16"/>
          <w:lang w:val="en-US"/>
        </w:rPr>
      </w:pPr>
      <w:r w:rsidRPr="00C64253">
        <w:rPr>
          <w:rStyle w:val="Fotnotsreferens"/>
          <w:szCs w:val="16"/>
        </w:rPr>
        <w:footnoteRef/>
      </w:r>
      <w:r w:rsidRPr="00C64253">
        <w:rPr>
          <w:szCs w:val="16"/>
        </w:rPr>
        <w:t xml:space="preserve"> </w:t>
      </w:r>
      <w:r w:rsidRPr="00C64253">
        <w:rPr>
          <w:rFonts w:ascii="-webkit-standard" w:hAnsi="-webkit-standard"/>
          <w:color w:val="000000"/>
          <w:szCs w:val="16"/>
        </w:rPr>
        <w:t>Tom B. Brown et al., ‘Language Models Are Few-Shot Learners’ (2020) arXiv:2005.14165, p.6</w:t>
      </w:r>
    </w:p>
  </w:footnote>
  <w:footnote w:id="28">
    <w:p w14:paraId="34A1F4F2" w14:textId="0B7DB195" w:rsidR="00962655" w:rsidRPr="00962655" w:rsidRDefault="00962655">
      <w:pPr>
        <w:pStyle w:val="Fotnotstext"/>
        <w:rPr>
          <w:lang w:val="en-US"/>
        </w:rPr>
      </w:pPr>
      <w:r w:rsidRPr="00C64253">
        <w:rPr>
          <w:rStyle w:val="Fotnotsreferens"/>
          <w:szCs w:val="16"/>
        </w:rPr>
        <w:footnoteRef/>
      </w:r>
      <w:r w:rsidRPr="00C64253">
        <w:rPr>
          <w:szCs w:val="16"/>
        </w:rPr>
        <w:t xml:space="preserve"> R</w:t>
      </w:r>
      <w:r w:rsidRPr="00C64253">
        <w:rPr>
          <w:rFonts w:ascii="-webkit-standard" w:hAnsi="-webkit-standard"/>
          <w:color w:val="000000"/>
          <w:szCs w:val="16"/>
        </w:rPr>
        <w:t>amesh et al., 2021</w:t>
      </w:r>
      <w:r w:rsidR="00DC69FD" w:rsidRPr="00C64253">
        <w:rPr>
          <w:rFonts w:ascii="-webkit-standard" w:hAnsi="-webkit-standard"/>
          <w:color w:val="000000"/>
          <w:szCs w:val="16"/>
        </w:rPr>
        <w:t>, p.6</w:t>
      </w:r>
    </w:p>
  </w:footnote>
  <w:footnote w:id="29">
    <w:p w14:paraId="61779172" w14:textId="05AF8885" w:rsidR="003E50AC" w:rsidRPr="00C64253" w:rsidRDefault="003E50AC">
      <w:pPr>
        <w:pStyle w:val="Fotnotstext"/>
        <w:rPr>
          <w:szCs w:val="16"/>
          <w:lang w:val="en-US"/>
        </w:rPr>
      </w:pPr>
      <w:r>
        <w:rPr>
          <w:rStyle w:val="Fotnotsreferens"/>
        </w:rPr>
        <w:footnoteRef/>
      </w:r>
      <w:r>
        <w:t xml:space="preserve"> </w:t>
      </w:r>
      <w:r w:rsidRPr="00C64253">
        <w:rPr>
          <w:rFonts w:ascii="-webkit-standard" w:hAnsi="-webkit-standard"/>
          <w:color w:val="000000"/>
          <w:szCs w:val="16"/>
        </w:rPr>
        <w:t>Robert Chesney and Danielle Citron, ‘Deep Fakes: A Looming Challenge for Privacy, Democracy, and National Security’ (2019) 107</w:t>
      </w:r>
      <w:r w:rsidRPr="00C64253">
        <w:rPr>
          <w:rStyle w:val="apple-converted-space"/>
          <w:rFonts w:ascii="-webkit-standard" w:hAnsi="-webkit-standard"/>
          <w:color w:val="000000"/>
          <w:szCs w:val="16"/>
        </w:rPr>
        <w:t> </w:t>
      </w:r>
      <w:r w:rsidRPr="00C64253">
        <w:rPr>
          <w:rStyle w:val="Betoning"/>
          <w:color w:val="000000"/>
          <w:szCs w:val="16"/>
        </w:rPr>
        <w:t>California Law Review</w:t>
      </w:r>
      <w:r w:rsidRPr="00C64253">
        <w:rPr>
          <w:rStyle w:val="apple-converted-space"/>
          <w:rFonts w:ascii="-webkit-standard" w:hAnsi="-webkit-standard"/>
          <w:color w:val="000000"/>
          <w:szCs w:val="16"/>
        </w:rPr>
        <w:t> </w:t>
      </w:r>
      <w:r w:rsidRPr="00C64253">
        <w:rPr>
          <w:rFonts w:ascii="-webkit-standard" w:hAnsi="-webkit-standard"/>
          <w:color w:val="000000"/>
          <w:szCs w:val="16"/>
        </w:rPr>
        <w:t>1753, p.12</w:t>
      </w:r>
    </w:p>
  </w:footnote>
  <w:footnote w:id="30">
    <w:p w14:paraId="53763056" w14:textId="008035D0" w:rsidR="005474AA" w:rsidRPr="00C64253" w:rsidRDefault="005474AA">
      <w:pPr>
        <w:pStyle w:val="Fotnotstext"/>
        <w:rPr>
          <w:szCs w:val="16"/>
          <w:lang w:val="en-US"/>
        </w:rPr>
      </w:pPr>
      <w:r w:rsidRPr="00C64253">
        <w:rPr>
          <w:rStyle w:val="Fotnotsreferens"/>
          <w:szCs w:val="16"/>
        </w:rPr>
        <w:footnoteRef/>
      </w:r>
      <w:r w:rsidRPr="00C64253">
        <w:rPr>
          <w:szCs w:val="16"/>
        </w:rPr>
        <w:t xml:space="preserve"> </w:t>
      </w:r>
      <w:r w:rsidRPr="00C64253">
        <w:rPr>
          <w:rFonts w:ascii="-webkit-standard" w:hAnsi="-webkit-standard"/>
          <w:color w:val="000000"/>
          <w:szCs w:val="16"/>
        </w:rPr>
        <w:t>Ahmed Elgammal et al., ‘CAN: Creative Adversarial Networks, Generating “Art” by Learning About Styles and Deviating from Style Norms’ (2017) arXiv:1706.07068, p.10</w:t>
      </w:r>
    </w:p>
  </w:footnote>
  <w:footnote w:id="31">
    <w:p w14:paraId="5EB7D7B1" w14:textId="48EAAC75" w:rsidR="005474AA" w:rsidRPr="00C64253" w:rsidRDefault="005474AA">
      <w:pPr>
        <w:pStyle w:val="Fotnotstext"/>
        <w:rPr>
          <w:szCs w:val="16"/>
          <w:lang w:val="en-US"/>
        </w:rPr>
      </w:pPr>
      <w:r w:rsidRPr="00C64253">
        <w:rPr>
          <w:rStyle w:val="Fotnotsreferens"/>
          <w:szCs w:val="16"/>
        </w:rPr>
        <w:footnoteRef/>
      </w:r>
      <w:r w:rsidRPr="00C64253">
        <w:rPr>
          <w:szCs w:val="16"/>
        </w:rPr>
        <w:t xml:space="preserve"> </w:t>
      </w:r>
      <w:r w:rsidRPr="00C64253">
        <w:rPr>
          <w:rFonts w:ascii="-webkit-standard" w:hAnsi="-webkit-standard"/>
          <w:color w:val="000000"/>
          <w:szCs w:val="16"/>
        </w:rPr>
        <w:t>Chesney &amp; Citron, 201</w:t>
      </w:r>
      <w:r w:rsidR="002A1810" w:rsidRPr="00C64253">
        <w:rPr>
          <w:rFonts w:ascii="-webkit-standard" w:hAnsi="-webkit-standard"/>
          <w:color w:val="000000"/>
          <w:szCs w:val="16"/>
        </w:rPr>
        <w:t>9, p.10</w:t>
      </w:r>
    </w:p>
  </w:footnote>
  <w:footnote w:id="32">
    <w:p w14:paraId="2E58CF2D" w14:textId="206661D6" w:rsidR="002A1810" w:rsidRPr="00C64253" w:rsidRDefault="002A1810">
      <w:pPr>
        <w:pStyle w:val="Fotnotstext"/>
        <w:rPr>
          <w:szCs w:val="16"/>
          <w:lang w:val="en-US"/>
        </w:rPr>
      </w:pPr>
      <w:r w:rsidRPr="00C64253">
        <w:rPr>
          <w:rStyle w:val="Fotnotsreferens"/>
          <w:szCs w:val="16"/>
        </w:rPr>
        <w:footnoteRef/>
      </w:r>
      <w:r w:rsidRPr="00C64253">
        <w:rPr>
          <w:szCs w:val="16"/>
        </w:rPr>
        <w:t xml:space="preserve"> </w:t>
      </w:r>
      <w:r w:rsidRPr="00C64253">
        <w:rPr>
          <w:rFonts w:ascii="-webkit-standard" w:hAnsi="-webkit-standard"/>
          <w:color w:val="000000"/>
          <w:szCs w:val="16"/>
        </w:rPr>
        <w:t>Goodfellow et al., 2014, p.4</w:t>
      </w:r>
    </w:p>
  </w:footnote>
  <w:footnote w:id="33">
    <w:p w14:paraId="49FFF8F0" w14:textId="7C57F04F" w:rsidR="002A1810" w:rsidRPr="00C64253" w:rsidRDefault="002A1810">
      <w:pPr>
        <w:pStyle w:val="Fotnotstext"/>
        <w:rPr>
          <w:szCs w:val="16"/>
          <w:lang w:val="en-US"/>
        </w:rPr>
      </w:pPr>
      <w:r w:rsidRPr="00C64253">
        <w:rPr>
          <w:rStyle w:val="Fotnotsreferens"/>
          <w:szCs w:val="16"/>
        </w:rPr>
        <w:footnoteRef/>
      </w:r>
      <w:r w:rsidRPr="00C64253">
        <w:rPr>
          <w:szCs w:val="16"/>
        </w:rPr>
        <w:t xml:space="preserve"> </w:t>
      </w:r>
      <w:r w:rsidRPr="00C64253">
        <w:rPr>
          <w:rFonts w:ascii="-webkit-standard" w:hAnsi="-webkit-standard"/>
          <w:color w:val="000000"/>
          <w:szCs w:val="16"/>
        </w:rPr>
        <w:t>Vaswani et al., 2017, p.5</w:t>
      </w:r>
    </w:p>
  </w:footnote>
  <w:footnote w:id="34">
    <w:p w14:paraId="67D3BFAF" w14:textId="37E65B60" w:rsidR="006B3724" w:rsidRPr="00C64253" w:rsidRDefault="006B3724">
      <w:pPr>
        <w:pStyle w:val="Fotnotstext"/>
        <w:rPr>
          <w:szCs w:val="16"/>
          <w:lang w:val="en-US"/>
        </w:rPr>
      </w:pPr>
      <w:r w:rsidRPr="00C64253">
        <w:rPr>
          <w:rStyle w:val="Fotnotsreferens"/>
          <w:szCs w:val="16"/>
        </w:rPr>
        <w:footnoteRef/>
      </w:r>
      <w:r w:rsidRPr="00C64253">
        <w:rPr>
          <w:szCs w:val="16"/>
        </w:rPr>
        <w:t xml:space="preserve"> </w:t>
      </w:r>
      <w:r w:rsidRPr="00C64253">
        <w:rPr>
          <w:rFonts w:ascii="-webkit-standard" w:hAnsi="-webkit-standard"/>
          <w:color w:val="000000"/>
          <w:szCs w:val="16"/>
        </w:rPr>
        <w:t>Brown et al., 2020, p.5</w:t>
      </w:r>
    </w:p>
  </w:footnote>
  <w:footnote w:id="35">
    <w:p w14:paraId="79055AED" w14:textId="4AAFD399" w:rsidR="0038022B" w:rsidRPr="00C64253" w:rsidRDefault="0038022B">
      <w:pPr>
        <w:pStyle w:val="Fotnotstext"/>
        <w:rPr>
          <w:szCs w:val="16"/>
          <w:lang w:val="en-US"/>
        </w:rPr>
      </w:pPr>
      <w:r>
        <w:rPr>
          <w:rStyle w:val="Fotnotsreferens"/>
        </w:rPr>
        <w:footnoteRef/>
      </w:r>
      <w:r>
        <w:t xml:space="preserve"> </w:t>
      </w:r>
      <w:r w:rsidRPr="00C64253">
        <w:rPr>
          <w:rFonts w:ascii="-webkit-standard" w:hAnsi="-webkit-standard"/>
          <w:color w:val="000000"/>
          <w:szCs w:val="16"/>
        </w:rPr>
        <w:t>Goodfellow et al., 2014, p.9</w:t>
      </w:r>
    </w:p>
  </w:footnote>
  <w:footnote w:id="36">
    <w:p w14:paraId="74BB0D43" w14:textId="0D9CCF25" w:rsidR="0038022B" w:rsidRPr="00C64253" w:rsidRDefault="0038022B">
      <w:pPr>
        <w:pStyle w:val="Fotnotstext"/>
        <w:rPr>
          <w:szCs w:val="16"/>
          <w:lang w:val="en-US"/>
        </w:rPr>
      </w:pPr>
      <w:r w:rsidRPr="00C64253">
        <w:rPr>
          <w:rStyle w:val="Fotnotsreferens"/>
          <w:szCs w:val="16"/>
        </w:rPr>
        <w:footnoteRef/>
      </w:r>
      <w:r w:rsidRPr="00C64253">
        <w:rPr>
          <w:szCs w:val="16"/>
        </w:rPr>
        <w:t xml:space="preserve"> </w:t>
      </w:r>
      <w:r w:rsidR="007405DD" w:rsidRPr="00C64253">
        <w:rPr>
          <w:rFonts w:ascii="-webkit-standard" w:hAnsi="-webkit-standard"/>
          <w:color w:val="000000"/>
          <w:szCs w:val="16"/>
        </w:rPr>
        <w:t>Elgammal et al., 2017, p.10</w:t>
      </w:r>
    </w:p>
  </w:footnote>
  <w:footnote w:id="37">
    <w:p w14:paraId="29103FE1" w14:textId="674D6C17" w:rsidR="008912A9" w:rsidRPr="00C64253" w:rsidRDefault="008912A9">
      <w:pPr>
        <w:pStyle w:val="Fotnotstext"/>
        <w:rPr>
          <w:szCs w:val="16"/>
          <w:lang w:val="en-US"/>
        </w:rPr>
      </w:pPr>
      <w:r w:rsidRPr="00C64253">
        <w:rPr>
          <w:rStyle w:val="Fotnotsreferens"/>
          <w:szCs w:val="16"/>
        </w:rPr>
        <w:footnoteRef/>
      </w:r>
      <w:r w:rsidRPr="00C64253">
        <w:rPr>
          <w:szCs w:val="16"/>
        </w:rPr>
        <w:t xml:space="preserve"> </w:t>
      </w:r>
      <w:r w:rsidRPr="00C64253">
        <w:rPr>
          <w:rStyle w:val="Stark"/>
          <w:b w:val="0"/>
          <w:bCs w:val="0"/>
          <w:color w:val="000000"/>
          <w:szCs w:val="16"/>
        </w:rPr>
        <w:t>Jonas Kreutzer</w:t>
      </w:r>
      <w:r w:rsidRPr="00C64253">
        <w:rPr>
          <w:rFonts w:ascii="-webkit-standard" w:hAnsi="-webkit-standard"/>
          <w:color w:val="000000"/>
          <w:szCs w:val="16"/>
        </w:rPr>
        <w:t>, ‘Data for AI – Training Data and the Law’ (2022)</w:t>
      </w:r>
      <w:r w:rsidRPr="00C64253">
        <w:rPr>
          <w:rStyle w:val="apple-converted-space"/>
          <w:rFonts w:ascii="-webkit-standard" w:hAnsi="-webkit-standard"/>
          <w:color w:val="000000"/>
          <w:szCs w:val="16"/>
        </w:rPr>
        <w:t> </w:t>
      </w:r>
      <w:r w:rsidRPr="00C64253">
        <w:rPr>
          <w:rStyle w:val="Betoning"/>
          <w:color w:val="000000"/>
          <w:szCs w:val="16"/>
        </w:rPr>
        <w:t>AlgorithmWatch Policy Paper, p.4</w:t>
      </w:r>
    </w:p>
  </w:footnote>
  <w:footnote w:id="38">
    <w:p w14:paraId="1A9CFC69" w14:textId="443BD7B0" w:rsidR="004B1473" w:rsidRPr="00C64253" w:rsidRDefault="004B1473">
      <w:pPr>
        <w:pStyle w:val="Fotnotstext"/>
        <w:rPr>
          <w:szCs w:val="16"/>
          <w:lang w:val="en-US"/>
        </w:rPr>
      </w:pPr>
      <w:r w:rsidRPr="00C64253">
        <w:rPr>
          <w:rStyle w:val="Fotnotsreferens"/>
          <w:szCs w:val="16"/>
        </w:rPr>
        <w:footnoteRef/>
      </w:r>
      <w:r w:rsidRPr="00C64253">
        <w:rPr>
          <w:szCs w:val="16"/>
        </w:rPr>
        <w:t xml:space="preserve"> </w:t>
      </w:r>
      <w:r w:rsidRPr="00C64253">
        <w:rPr>
          <w:rStyle w:val="Stark"/>
          <w:b w:val="0"/>
          <w:bCs w:val="0"/>
          <w:color w:val="000000"/>
          <w:szCs w:val="16"/>
        </w:rPr>
        <w:t>Abeba Birhane, Vinay Uday Prabhu</w:t>
      </w:r>
      <w:r w:rsidRPr="00C64253">
        <w:rPr>
          <w:rFonts w:ascii="-webkit-standard" w:hAnsi="-webkit-standard"/>
          <w:color w:val="000000"/>
          <w:szCs w:val="16"/>
        </w:rPr>
        <w:t>, ‘Large image datasets: A Pyrrhic win for computer vision?’ (2021)</w:t>
      </w:r>
      <w:r w:rsidRPr="00C64253">
        <w:rPr>
          <w:rStyle w:val="apple-converted-space"/>
          <w:rFonts w:ascii="-webkit-standard" w:hAnsi="-webkit-standard"/>
          <w:color w:val="000000"/>
          <w:szCs w:val="16"/>
        </w:rPr>
        <w:t> </w:t>
      </w:r>
      <w:r w:rsidRPr="00C64253">
        <w:rPr>
          <w:rStyle w:val="Betoning"/>
          <w:color w:val="000000"/>
          <w:szCs w:val="16"/>
        </w:rPr>
        <w:t>Patterns</w:t>
      </w:r>
      <w:r w:rsidRPr="00C64253">
        <w:rPr>
          <w:rFonts w:ascii="-webkit-standard" w:hAnsi="-webkit-standard"/>
          <w:color w:val="000000"/>
          <w:szCs w:val="16"/>
        </w:rPr>
        <w:t>, vol 2(10), p.2</w:t>
      </w:r>
    </w:p>
  </w:footnote>
  <w:footnote w:id="39">
    <w:p w14:paraId="7364F809" w14:textId="585F2C47" w:rsidR="004B1473" w:rsidRPr="00C64253" w:rsidRDefault="004B1473">
      <w:pPr>
        <w:pStyle w:val="Fotnotstext"/>
        <w:rPr>
          <w:szCs w:val="16"/>
          <w:lang w:val="en-US"/>
        </w:rPr>
      </w:pPr>
      <w:r w:rsidRPr="00C64253">
        <w:rPr>
          <w:rStyle w:val="Fotnotsreferens"/>
          <w:szCs w:val="16"/>
        </w:rPr>
        <w:footnoteRef/>
      </w:r>
      <w:r w:rsidRPr="00C64253">
        <w:rPr>
          <w:szCs w:val="16"/>
        </w:rPr>
        <w:t xml:space="preserve"> </w:t>
      </w:r>
      <w:r w:rsidR="00897B88" w:rsidRPr="00C64253">
        <w:rPr>
          <w:rFonts w:ascii="-webkit-standard" w:hAnsi="-webkit-standard"/>
          <w:color w:val="000000"/>
          <w:szCs w:val="16"/>
        </w:rPr>
        <w:t>Birhane, 2021, p 5</w:t>
      </w:r>
    </w:p>
  </w:footnote>
  <w:footnote w:id="40">
    <w:p w14:paraId="33AB4DAD" w14:textId="7992DD10" w:rsidR="00DC1548" w:rsidRPr="00C64253" w:rsidRDefault="00DC1548">
      <w:pPr>
        <w:pStyle w:val="Fotnotstext"/>
        <w:rPr>
          <w:szCs w:val="16"/>
          <w:lang w:val="en-US"/>
        </w:rPr>
      </w:pPr>
      <w:r w:rsidRPr="00C64253">
        <w:rPr>
          <w:rStyle w:val="Fotnotsreferens"/>
          <w:szCs w:val="16"/>
        </w:rPr>
        <w:footnoteRef/>
      </w:r>
      <w:r w:rsidRPr="00C64253">
        <w:rPr>
          <w:szCs w:val="16"/>
        </w:rPr>
        <w:t xml:space="preserve"> </w:t>
      </w:r>
      <w:r w:rsidRPr="00C64253">
        <w:rPr>
          <w:szCs w:val="16"/>
          <w:lang w:val="en-US"/>
        </w:rPr>
        <w:t>Longpre et al., p.5</w:t>
      </w:r>
    </w:p>
  </w:footnote>
  <w:footnote w:id="41">
    <w:p w14:paraId="5F936A62" w14:textId="62431629" w:rsidR="005E364D" w:rsidRPr="00C64253" w:rsidRDefault="005E364D">
      <w:pPr>
        <w:pStyle w:val="Fotnotstext"/>
        <w:rPr>
          <w:szCs w:val="16"/>
          <w:lang w:val="en-US"/>
        </w:rPr>
      </w:pPr>
      <w:r>
        <w:rPr>
          <w:rStyle w:val="Fotnotsreferens"/>
        </w:rPr>
        <w:footnoteRef/>
      </w:r>
      <w:r>
        <w:t xml:space="preserve"> </w:t>
      </w:r>
      <w:r w:rsidRPr="00C64253">
        <w:rPr>
          <w:szCs w:val="16"/>
          <w:lang w:val="en-US"/>
        </w:rPr>
        <w:t xml:space="preserve">See </w:t>
      </w:r>
      <w:r w:rsidRPr="00C64253">
        <w:rPr>
          <w:rFonts w:ascii="-webkit-standard" w:hAnsi="-webkit-standard"/>
          <w:color w:val="000000"/>
          <w:szCs w:val="16"/>
        </w:rPr>
        <w:t>Directive 2001/29/EC of the European Parliament and of the Council of 22 May 2001 on the harmonisation of certain aspects of copyright and related rights in the information society [2001] OJ L167/10.</w:t>
      </w:r>
    </w:p>
  </w:footnote>
  <w:footnote w:id="42">
    <w:p w14:paraId="4607757A" w14:textId="74E6A4A7" w:rsidR="00B478DF" w:rsidRPr="00C64253" w:rsidRDefault="00B478DF">
      <w:pPr>
        <w:pStyle w:val="Fotnotstext"/>
        <w:rPr>
          <w:szCs w:val="16"/>
          <w:lang w:val="en-US"/>
        </w:rPr>
      </w:pPr>
      <w:r w:rsidRPr="00C64253">
        <w:rPr>
          <w:rStyle w:val="Fotnotsreferens"/>
          <w:szCs w:val="16"/>
        </w:rPr>
        <w:footnoteRef/>
      </w:r>
      <w:r w:rsidRPr="00C64253">
        <w:rPr>
          <w:szCs w:val="16"/>
        </w:rPr>
        <w:t xml:space="preserve"> </w:t>
      </w:r>
      <w:r w:rsidRPr="00C64253">
        <w:rPr>
          <w:szCs w:val="16"/>
          <w:lang w:val="en-US"/>
        </w:rPr>
        <w:t xml:space="preserve">See </w:t>
      </w:r>
      <w:r w:rsidRPr="00C64253">
        <w:rPr>
          <w:rFonts w:ascii="-webkit-standard" w:hAnsi="-webkit-standard"/>
          <w:color w:val="000000"/>
          <w:szCs w:val="16"/>
        </w:rPr>
        <w:t>Directive (EU) 2019/790 of the European Parliament and of the Council of 17 April 2019 on copyright and related rights in the Digital Single Market and amending Directives 96/9/EC and 2001/29/EC [2019] OJ L130/92</w:t>
      </w:r>
    </w:p>
  </w:footnote>
  <w:footnote w:id="43">
    <w:p w14:paraId="7F4412F0" w14:textId="3F3C7284" w:rsidR="00B9303F" w:rsidRPr="00C64253" w:rsidRDefault="00B9303F">
      <w:pPr>
        <w:pStyle w:val="Fotnotstext"/>
        <w:rPr>
          <w:szCs w:val="16"/>
          <w:lang w:val="en-US"/>
        </w:rPr>
      </w:pPr>
      <w:r w:rsidRPr="00C64253">
        <w:rPr>
          <w:rStyle w:val="Fotnotsreferens"/>
          <w:szCs w:val="16"/>
        </w:rPr>
        <w:footnoteRef/>
      </w:r>
      <w:r w:rsidRPr="00C64253">
        <w:rPr>
          <w:szCs w:val="16"/>
        </w:rPr>
        <w:t xml:space="preserve"> </w:t>
      </w:r>
      <w:r w:rsidR="00B93FE8" w:rsidRPr="00C64253">
        <w:rPr>
          <w:szCs w:val="16"/>
          <w:lang w:val="en-US"/>
        </w:rPr>
        <w:t>Ibid, recital 33</w:t>
      </w:r>
    </w:p>
  </w:footnote>
  <w:footnote w:id="44">
    <w:p w14:paraId="5F16E465" w14:textId="729EB18E" w:rsidR="00FA3D83" w:rsidRPr="00C64253" w:rsidRDefault="00FA3D83">
      <w:pPr>
        <w:pStyle w:val="Fotnotstext"/>
        <w:rPr>
          <w:szCs w:val="16"/>
          <w:lang w:val="en-US"/>
        </w:rPr>
      </w:pPr>
      <w:r>
        <w:rPr>
          <w:rStyle w:val="Fotnotsreferens"/>
        </w:rPr>
        <w:footnoteRef/>
      </w:r>
      <w:r>
        <w:t xml:space="preserve"> </w:t>
      </w:r>
      <w:r w:rsidR="00E128C4" w:rsidRPr="00C64253">
        <w:rPr>
          <w:szCs w:val="16"/>
        </w:rPr>
        <w:t xml:space="preserve">See Recital 11 </w:t>
      </w:r>
      <w:r w:rsidR="00E128C4" w:rsidRPr="00C64253">
        <w:rPr>
          <w:rFonts w:ascii="-webkit-standard" w:hAnsi="-webkit-standard"/>
          <w:color w:val="000000"/>
          <w:szCs w:val="16"/>
        </w:rPr>
        <w:t xml:space="preserve">Directive (EU) 2019/790 of the European Parliament and of the Council of 17 April 2019 on copyright and related rights in the Digital Single Market and amending Directives 96/9/EC and 2001/29/EC [2019] OJ L130/92, </w:t>
      </w:r>
    </w:p>
  </w:footnote>
  <w:footnote w:id="45">
    <w:p w14:paraId="53E84460" w14:textId="0E492199" w:rsidR="003D5FD2" w:rsidRPr="00C64253" w:rsidRDefault="003D5FD2">
      <w:pPr>
        <w:pStyle w:val="Fotnotstext"/>
        <w:rPr>
          <w:szCs w:val="16"/>
          <w:lang w:val="en-US"/>
        </w:rPr>
      </w:pPr>
      <w:r w:rsidRPr="00C64253">
        <w:rPr>
          <w:rStyle w:val="Fotnotsreferens"/>
          <w:szCs w:val="16"/>
        </w:rPr>
        <w:footnoteRef/>
      </w:r>
      <w:r w:rsidRPr="00C64253">
        <w:rPr>
          <w:szCs w:val="16"/>
        </w:rPr>
        <w:t xml:space="preserve"> </w:t>
      </w:r>
      <w:r w:rsidRPr="00C64253">
        <w:rPr>
          <w:szCs w:val="16"/>
          <w:lang w:val="en-US"/>
        </w:rPr>
        <w:t>See Article 53 Regulation (EU) 2024/1689</w:t>
      </w:r>
    </w:p>
  </w:footnote>
  <w:footnote w:id="46">
    <w:p w14:paraId="47A0ED03" w14:textId="54240787" w:rsidR="00193E42" w:rsidRPr="00C64253" w:rsidRDefault="00193E42">
      <w:pPr>
        <w:pStyle w:val="Fotnotstext"/>
        <w:rPr>
          <w:szCs w:val="16"/>
          <w:lang w:val="en-US"/>
        </w:rPr>
      </w:pPr>
      <w:r w:rsidRPr="00C64253">
        <w:rPr>
          <w:rStyle w:val="Fotnotsreferens"/>
          <w:szCs w:val="16"/>
        </w:rPr>
        <w:footnoteRef/>
      </w:r>
      <w:r w:rsidRPr="00C64253">
        <w:rPr>
          <w:szCs w:val="16"/>
        </w:rPr>
        <w:t xml:space="preserve"> </w:t>
      </w:r>
      <w:r w:rsidRPr="00C64253">
        <w:rPr>
          <w:szCs w:val="16"/>
          <w:lang w:val="en-US"/>
        </w:rPr>
        <w:t>See Article 3 Regulation (EU) 2024/1689</w:t>
      </w:r>
    </w:p>
  </w:footnote>
  <w:footnote w:id="47">
    <w:p w14:paraId="2DDEA2F4" w14:textId="25953B89" w:rsidR="007631D1" w:rsidRPr="00EA4DE2" w:rsidRDefault="007631D1">
      <w:pPr>
        <w:pStyle w:val="Fotnotstext"/>
        <w:rPr>
          <w:rFonts w:cs="Times New Roman"/>
          <w:szCs w:val="16"/>
          <w:lang w:val="en-US"/>
        </w:rPr>
      </w:pPr>
      <w:r>
        <w:rPr>
          <w:rStyle w:val="Fotnotsreferens"/>
        </w:rPr>
        <w:footnoteRef/>
      </w:r>
      <w:r>
        <w:t xml:space="preserve"> </w:t>
      </w:r>
      <w:r w:rsidR="00EA4DE2" w:rsidRPr="00EA4DE2">
        <w:rPr>
          <w:rStyle w:val="Betoning"/>
          <w:rFonts w:cs="Times New Roman"/>
          <w:color w:val="000000"/>
          <w:szCs w:val="16"/>
        </w:rPr>
        <w:t xml:space="preserve">Football </w:t>
      </w:r>
      <w:proofErr w:type="spellStart"/>
      <w:r w:rsidR="00EA4DE2" w:rsidRPr="00EA4DE2">
        <w:rPr>
          <w:rStyle w:val="Betoning"/>
          <w:rFonts w:cs="Times New Roman"/>
          <w:color w:val="000000"/>
          <w:szCs w:val="16"/>
        </w:rPr>
        <w:t>Dataco</w:t>
      </w:r>
      <w:proofErr w:type="spellEnd"/>
      <w:r w:rsidR="00EA4DE2" w:rsidRPr="00EA4DE2">
        <w:rPr>
          <w:rStyle w:val="Betoning"/>
          <w:rFonts w:cs="Times New Roman"/>
          <w:color w:val="000000"/>
          <w:szCs w:val="16"/>
        </w:rPr>
        <w:t xml:space="preserve"> Ltd and others v Yahoo! UK Ltd and others</w:t>
      </w:r>
      <w:r w:rsidR="00EA4DE2" w:rsidRPr="00EA4DE2">
        <w:rPr>
          <w:rStyle w:val="apple-converted-space"/>
          <w:rFonts w:cs="Times New Roman"/>
          <w:color w:val="000000"/>
          <w:szCs w:val="16"/>
        </w:rPr>
        <w:t> </w:t>
      </w:r>
      <w:r w:rsidR="00EA4DE2" w:rsidRPr="00EA4DE2">
        <w:rPr>
          <w:rFonts w:cs="Times New Roman"/>
          <w:color w:val="000000"/>
          <w:szCs w:val="16"/>
        </w:rPr>
        <w:t xml:space="preserve">[2012] </w:t>
      </w:r>
      <w:proofErr w:type="spellStart"/>
      <w:r w:rsidR="00EA4DE2" w:rsidRPr="00EA4DE2">
        <w:rPr>
          <w:rFonts w:cs="Times New Roman"/>
          <w:color w:val="000000"/>
          <w:szCs w:val="16"/>
        </w:rPr>
        <w:t>EWCA</w:t>
      </w:r>
      <w:proofErr w:type="spellEnd"/>
      <w:r w:rsidR="00EA4DE2" w:rsidRPr="00EA4DE2">
        <w:rPr>
          <w:rFonts w:cs="Times New Roman"/>
          <w:color w:val="000000"/>
          <w:szCs w:val="16"/>
        </w:rPr>
        <w:t xml:space="preserve"> </w:t>
      </w:r>
      <w:proofErr w:type="spellStart"/>
      <w:r w:rsidR="00EA4DE2" w:rsidRPr="00EA4DE2">
        <w:rPr>
          <w:rFonts w:cs="Times New Roman"/>
          <w:color w:val="000000"/>
          <w:szCs w:val="16"/>
        </w:rPr>
        <w:t>Civ</w:t>
      </w:r>
      <w:proofErr w:type="spellEnd"/>
      <w:r w:rsidR="00EA4DE2" w:rsidRPr="00EA4DE2">
        <w:rPr>
          <w:rFonts w:cs="Times New Roman"/>
          <w:color w:val="000000"/>
          <w:szCs w:val="16"/>
        </w:rPr>
        <w:t xml:space="preserve"> 1539, [2013] FSR 1.</w:t>
      </w:r>
    </w:p>
  </w:footnote>
  <w:footnote w:id="48">
    <w:p w14:paraId="68F5A35D" w14:textId="6186F58F" w:rsidR="00646347" w:rsidRPr="00646347" w:rsidRDefault="00646347">
      <w:pPr>
        <w:pStyle w:val="Fotnotstext"/>
        <w:rPr>
          <w:lang w:val="en-US"/>
        </w:rPr>
      </w:pPr>
      <w:r>
        <w:rPr>
          <w:rStyle w:val="Fotnotsreferens"/>
        </w:rPr>
        <w:footnoteRef/>
      </w:r>
      <w:r>
        <w:t xml:space="preserve"> </w:t>
      </w:r>
      <w:r>
        <w:rPr>
          <w:lang w:val="en-US"/>
        </w:rPr>
        <w:t>See Article 7(1) Directive (EU) 96/9/EC</w:t>
      </w:r>
    </w:p>
  </w:footnote>
  <w:footnote w:id="49">
    <w:p w14:paraId="329D0135" w14:textId="6580C172" w:rsidR="00274CB2" w:rsidRPr="00274CB2" w:rsidRDefault="00274CB2">
      <w:pPr>
        <w:pStyle w:val="Fotnotstext"/>
        <w:rPr>
          <w:lang w:val="en-US"/>
        </w:rPr>
      </w:pPr>
      <w:r>
        <w:rPr>
          <w:rStyle w:val="Fotnotsreferens"/>
        </w:rPr>
        <w:footnoteRef/>
      </w:r>
      <w:r>
        <w:t xml:space="preserve"> </w:t>
      </w:r>
      <w:r>
        <w:rPr>
          <w:lang w:val="en-US"/>
        </w:rPr>
        <w:t>Rosati (2023), p.9</w:t>
      </w:r>
    </w:p>
  </w:footnote>
  <w:footnote w:id="50">
    <w:p w14:paraId="39ACF5E1" w14:textId="3FCC81D0" w:rsidR="00274CB2" w:rsidRPr="00274CB2" w:rsidRDefault="00274CB2">
      <w:pPr>
        <w:pStyle w:val="Fotnotstext"/>
        <w:rPr>
          <w:lang w:val="en-US"/>
        </w:rPr>
      </w:pPr>
      <w:r>
        <w:rPr>
          <w:rStyle w:val="Fotnotsreferens"/>
        </w:rPr>
        <w:footnoteRef/>
      </w:r>
      <w:r>
        <w:t xml:space="preserve"> </w:t>
      </w:r>
      <w:r>
        <w:rPr>
          <w:lang w:val="en-US"/>
        </w:rPr>
        <w:t>Margoni (</w:t>
      </w:r>
      <w:r w:rsidR="00B064A5">
        <w:rPr>
          <w:lang w:val="en-US"/>
        </w:rPr>
        <w:t>2022), p.4</w:t>
      </w:r>
    </w:p>
  </w:footnote>
  <w:footnote w:id="51">
    <w:p w14:paraId="218DC36C" w14:textId="7B647330" w:rsidR="009A2E5A" w:rsidRPr="009A2E5A" w:rsidRDefault="009A2E5A">
      <w:pPr>
        <w:pStyle w:val="Fotnotstext"/>
        <w:rPr>
          <w:lang w:val="en-US"/>
        </w:rPr>
      </w:pPr>
      <w:r>
        <w:rPr>
          <w:rStyle w:val="Fotnotsreferens"/>
        </w:rPr>
        <w:footnoteRef/>
      </w:r>
      <w:r>
        <w:t xml:space="preserve"> </w:t>
      </w:r>
      <w:r>
        <w:rPr>
          <w:color w:val="000000"/>
        </w:rPr>
        <w:t>Martin Senftleben, ‘EU Copyright 20 Years after the InfoSoc Directive – Flexibility Needed More than Ever’ [2021] SSRN Electronic Journal.</w:t>
      </w:r>
    </w:p>
  </w:footnote>
  <w:footnote w:id="52">
    <w:p w14:paraId="6B7E5EA9" w14:textId="125C802A" w:rsidR="00E1619F" w:rsidRPr="00C64253" w:rsidRDefault="00E1619F">
      <w:pPr>
        <w:pStyle w:val="Fotnotstext"/>
        <w:rPr>
          <w:szCs w:val="16"/>
          <w:lang w:val="en-US"/>
        </w:rPr>
      </w:pPr>
      <w:r>
        <w:rPr>
          <w:rStyle w:val="Fotnotsreferens"/>
        </w:rPr>
        <w:footnoteRef/>
      </w:r>
      <w:r>
        <w:t xml:space="preserve"> </w:t>
      </w:r>
      <w:r w:rsidRPr="00C64253">
        <w:rPr>
          <w:rStyle w:val="Betoning"/>
          <w:color w:val="000000"/>
          <w:szCs w:val="16"/>
        </w:rPr>
        <w:t>Berne Convention for the Protection of Literary and Artistic Works</w:t>
      </w:r>
      <w:r w:rsidRPr="00C64253">
        <w:rPr>
          <w:rStyle w:val="apple-converted-space"/>
          <w:rFonts w:ascii="-webkit-standard" w:hAnsi="-webkit-standard"/>
          <w:color w:val="000000"/>
          <w:szCs w:val="16"/>
        </w:rPr>
        <w:t> </w:t>
      </w:r>
      <w:r w:rsidRPr="00C64253">
        <w:rPr>
          <w:rFonts w:ascii="-webkit-standard" w:hAnsi="-webkit-standard"/>
          <w:color w:val="000000"/>
          <w:szCs w:val="16"/>
        </w:rPr>
        <w:t>(adopted 9 September 1886, as amended 28 September 1979) 1161 UNTS 3, art 6bis.</w:t>
      </w:r>
    </w:p>
  </w:footnote>
  <w:footnote w:id="53">
    <w:p w14:paraId="5B159F6D" w14:textId="1BD607A8" w:rsidR="00D735D9" w:rsidRPr="00C64253" w:rsidRDefault="00D735D9">
      <w:pPr>
        <w:pStyle w:val="Fotnotstext"/>
        <w:rPr>
          <w:szCs w:val="16"/>
          <w:lang w:val="en-US"/>
        </w:rPr>
      </w:pPr>
      <w:r w:rsidRPr="00C64253">
        <w:rPr>
          <w:rStyle w:val="Fotnotsreferens"/>
          <w:szCs w:val="16"/>
        </w:rPr>
        <w:footnoteRef/>
      </w:r>
      <w:r w:rsidRPr="00C64253">
        <w:rPr>
          <w:szCs w:val="16"/>
        </w:rPr>
        <w:t xml:space="preserve"> </w:t>
      </w:r>
      <w:r w:rsidR="00F85621" w:rsidRPr="00C64253">
        <w:rPr>
          <w:color w:val="000000"/>
          <w:szCs w:val="16"/>
        </w:rPr>
        <w:t>Susannah Kendall, ‘Publishing in Europe: Freelancers, Copyright and the Information Society’ (</w:t>
      </w:r>
      <w:r w:rsidR="00F85621" w:rsidRPr="00C64253">
        <w:rPr>
          <w:i/>
          <w:iCs/>
          <w:color w:val="000000"/>
          <w:szCs w:val="16"/>
        </w:rPr>
        <w:t>vLex</w:t>
      </w:r>
      <w:r w:rsidR="00F85621" w:rsidRPr="00C64253">
        <w:rPr>
          <w:color w:val="000000"/>
          <w:szCs w:val="16"/>
        </w:rPr>
        <w:t>2025) &lt;</w:t>
      </w:r>
      <w:hyperlink r:id="rId1" w:history="1">
        <w:r w:rsidR="00F85621" w:rsidRPr="00C64253">
          <w:rPr>
            <w:rStyle w:val="Hyperlnk"/>
            <w:szCs w:val="16"/>
          </w:rPr>
          <w:t>https://vlex.com/vid/publishing-europe-freelancers-society-29347480</w:t>
        </w:r>
      </w:hyperlink>
      <w:r w:rsidR="00F85621" w:rsidRPr="00C64253">
        <w:rPr>
          <w:color w:val="000000"/>
          <w:szCs w:val="16"/>
        </w:rPr>
        <w:t xml:space="preserve">&gt; </w:t>
      </w:r>
    </w:p>
  </w:footnote>
  <w:footnote w:id="54">
    <w:p w14:paraId="2B0AD591" w14:textId="2EBBE71F" w:rsidR="00311226" w:rsidRPr="00311226" w:rsidRDefault="00311226">
      <w:pPr>
        <w:pStyle w:val="Fotnotstext"/>
        <w:rPr>
          <w:lang w:val="en-US"/>
        </w:rPr>
      </w:pPr>
      <w:r>
        <w:rPr>
          <w:rStyle w:val="Fotnotsreferens"/>
        </w:rPr>
        <w:footnoteRef/>
      </w:r>
      <w:r>
        <w:t xml:space="preserve"> </w:t>
      </w:r>
      <w:r w:rsidR="00EB56C9">
        <w:rPr>
          <w:color w:val="000000"/>
        </w:rPr>
        <w:t>Vesala (2023)</w:t>
      </w:r>
    </w:p>
  </w:footnote>
  <w:footnote w:id="55">
    <w:p w14:paraId="75C97C15" w14:textId="28416D15" w:rsidR="00AD36BE" w:rsidRPr="00AD36BE" w:rsidRDefault="00AD36BE">
      <w:pPr>
        <w:pStyle w:val="Fotnotstext"/>
        <w:rPr>
          <w:lang w:val="en-US"/>
        </w:rPr>
      </w:pPr>
      <w:r>
        <w:rPr>
          <w:rStyle w:val="Fotnotsreferens"/>
        </w:rPr>
        <w:footnoteRef/>
      </w:r>
      <w:r>
        <w:t xml:space="preserve"> </w:t>
      </w:r>
      <w:r>
        <w:rPr>
          <w:lang w:val="en-US"/>
        </w:rPr>
        <w:t>Longpre et al., p.5</w:t>
      </w:r>
    </w:p>
  </w:footnote>
  <w:footnote w:id="56">
    <w:p w14:paraId="377F8BB3" w14:textId="2DFFE56E" w:rsidR="006A3378" w:rsidRPr="006A3378" w:rsidRDefault="006A3378">
      <w:pPr>
        <w:pStyle w:val="Fotnotstext"/>
        <w:rPr>
          <w:lang w:val="en-US"/>
        </w:rPr>
      </w:pPr>
      <w:r>
        <w:rPr>
          <w:rStyle w:val="Fotnotsreferens"/>
        </w:rPr>
        <w:footnoteRef/>
      </w:r>
      <w:r>
        <w:t xml:space="preserve"> </w:t>
      </w:r>
      <w:r>
        <w:rPr>
          <w:color w:val="000000"/>
        </w:rPr>
        <w:t>Edit Sapi, (2024) ‘Authors’ Moral Rights in the Digital Environment’ (</w:t>
      </w:r>
      <w:r>
        <w:rPr>
          <w:i/>
          <w:iCs/>
          <w:color w:val="000000"/>
        </w:rPr>
        <w:t xml:space="preserve">Research Gate) </w:t>
      </w:r>
      <w:r>
        <w:rPr>
          <w:color w:val="000000"/>
        </w:rPr>
        <w:t>&lt;</w:t>
      </w:r>
      <w:hyperlink r:id="rId2" w:history="1">
        <w:r>
          <w:rPr>
            <w:rStyle w:val="Hyperlnk"/>
          </w:rPr>
          <w:t>https://www.researchgate.net/publication/379200742_Authors'_Moral_Rights_in_the_Digital_Environment</w:t>
        </w:r>
      </w:hyperlink>
      <w:r>
        <w:rPr>
          <w:color w:val="000000"/>
        </w:rPr>
        <w:t>&gt;.</w:t>
      </w:r>
    </w:p>
  </w:footnote>
  <w:footnote w:id="57">
    <w:p w14:paraId="1D6CA2F6" w14:textId="00890105" w:rsidR="00390DCA" w:rsidRPr="00390DCA" w:rsidRDefault="00390DCA">
      <w:pPr>
        <w:pStyle w:val="Fotnotstext"/>
        <w:rPr>
          <w:lang w:val="en-US"/>
        </w:rPr>
      </w:pPr>
      <w:r>
        <w:rPr>
          <w:rStyle w:val="Fotnotsreferens"/>
        </w:rPr>
        <w:footnoteRef/>
      </w:r>
      <w:r>
        <w:t xml:space="preserve"> Rosati (2023), p.8</w:t>
      </w:r>
    </w:p>
  </w:footnote>
  <w:footnote w:id="58">
    <w:p w14:paraId="49768249" w14:textId="2A111758" w:rsidR="00D468EC" w:rsidRPr="00D468EC" w:rsidRDefault="00D468EC">
      <w:pPr>
        <w:pStyle w:val="Fotnotstext"/>
        <w:rPr>
          <w:lang w:val="en-US"/>
        </w:rPr>
      </w:pPr>
      <w:r>
        <w:rPr>
          <w:rStyle w:val="Fotnotsreferens"/>
        </w:rPr>
        <w:footnoteRef/>
      </w:r>
      <w:r>
        <w:t xml:space="preserve"> </w:t>
      </w:r>
      <w:r>
        <w:rPr>
          <w:color w:val="000000"/>
        </w:rPr>
        <w:t>Christophe Geiger and Vincenzo Iaia, ‘The Forgotten Creator: Towards a Statutory Remuneration Right for Machine Learning of Generative AI’ (</w:t>
      </w:r>
      <w:r>
        <w:rPr>
          <w:i/>
          <w:iCs/>
          <w:color w:val="000000"/>
        </w:rPr>
        <w:t>Ssrn.com</w:t>
      </w:r>
      <w:r>
        <w:rPr>
          <w:color w:val="000000"/>
        </w:rPr>
        <w:t>6 October 2023) &lt;</w:t>
      </w:r>
      <w:hyperlink r:id="rId3" w:history="1">
        <w:r>
          <w:rPr>
            <w:rStyle w:val="Hyperlnk"/>
          </w:rPr>
          <w:t>https://papers.ssrn.com/sol3/papers.cfm?abstract_id=4594873</w:t>
        </w:r>
      </w:hyperlink>
      <w:r>
        <w:rPr>
          <w:color w:val="000000"/>
        </w:rPr>
        <w:t xml:space="preserve">&gt; </w:t>
      </w:r>
    </w:p>
  </w:footnote>
  <w:footnote w:id="59">
    <w:p w14:paraId="0759517D" w14:textId="11C1AC56" w:rsidR="00682A19" w:rsidRPr="00682A19" w:rsidRDefault="00682A19">
      <w:pPr>
        <w:pStyle w:val="Fotnotstext"/>
        <w:rPr>
          <w:lang w:val="en-US"/>
        </w:rPr>
      </w:pPr>
      <w:r>
        <w:rPr>
          <w:rStyle w:val="Fotnotsreferens"/>
        </w:rPr>
        <w:footnoteRef/>
      </w:r>
      <w:r>
        <w:t xml:space="preserve"> </w:t>
      </w:r>
      <w:r>
        <w:rPr>
          <w:color w:val="000000"/>
        </w:rPr>
        <w:t>Niva Elkin-Koren and others, ‘Can Copyright Be Reduced to Privacy?’ (</w:t>
      </w:r>
      <w:r>
        <w:rPr>
          <w:i/>
          <w:iCs/>
          <w:color w:val="000000"/>
        </w:rPr>
        <w:t>arXiv.org</w:t>
      </w:r>
      <w:r>
        <w:rPr>
          <w:color w:val="000000"/>
        </w:rPr>
        <w:t>2023) &lt;</w:t>
      </w:r>
      <w:hyperlink r:id="rId4" w:history="1">
        <w:r>
          <w:rPr>
            <w:rStyle w:val="Hyperlnk"/>
          </w:rPr>
          <w:t>https://arxiv.org/abs/2305.14822</w:t>
        </w:r>
      </w:hyperlink>
      <w:r>
        <w:rPr>
          <w:color w:val="000000"/>
        </w:rPr>
        <w:t>&gt;.</w:t>
      </w:r>
    </w:p>
  </w:footnote>
  <w:footnote w:id="60">
    <w:p w14:paraId="542BF475" w14:textId="29BEF8C8" w:rsidR="000E2620" w:rsidRPr="000E2620" w:rsidRDefault="000E2620">
      <w:pPr>
        <w:pStyle w:val="Fotnotstext"/>
        <w:rPr>
          <w:lang w:val="en-US"/>
        </w:rPr>
      </w:pPr>
      <w:r>
        <w:rPr>
          <w:rStyle w:val="Fotnotsreferens"/>
        </w:rPr>
        <w:footnoteRef/>
      </w:r>
      <w:r>
        <w:t xml:space="preserve"> </w:t>
      </w:r>
      <w:r>
        <w:rPr>
          <w:lang w:val="en-US"/>
        </w:rPr>
        <w:t>ibid</w:t>
      </w:r>
    </w:p>
  </w:footnote>
  <w:footnote w:id="61">
    <w:p w14:paraId="3A2F9512" w14:textId="35FB1AC5" w:rsidR="000E2620" w:rsidRPr="000E2620" w:rsidRDefault="000E2620">
      <w:pPr>
        <w:pStyle w:val="Fotnotstext"/>
        <w:rPr>
          <w:lang w:val="en-US"/>
        </w:rPr>
      </w:pPr>
      <w:r>
        <w:rPr>
          <w:rStyle w:val="Fotnotsreferens"/>
        </w:rPr>
        <w:footnoteRef/>
      </w:r>
      <w:r>
        <w:t xml:space="preserve"> Rosati (2023), p.8</w:t>
      </w:r>
    </w:p>
  </w:footnote>
  <w:footnote w:id="62">
    <w:p w14:paraId="49E9AC7C" w14:textId="32B5BFC8" w:rsidR="00392292" w:rsidRPr="00392292" w:rsidRDefault="00392292">
      <w:pPr>
        <w:pStyle w:val="Fotnotstext"/>
        <w:rPr>
          <w:lang w:val="en-US"/>
        </w:rPr>
      </w:pPr>
      <w:r>
        <w:rPr>
          <w:rStyle w:val="Fotnotsreferens"/>
        </w:rPr>
        <w:footnoteRef/>
      </w:r>
      <w:r>
        <w:t xml:space="preserve"> </w:t>
      </w:r>
      <w:r w:rsidRPr="00456A0B">
        <w:t xml:space="preserve">Infopaq International A/S v Danske </w:t>
      </w:r>
      <w:proofErr w:type="spellStart"/>
      <w:r w:rsidRPr="00456A0B">
        <w:t>Dagblades</w:t>
      </w:r>
      <w:proofErr w:type="spellEnd"/>
      <w:r w:rsidRPr="00456A0B">
        <w:t xml:space="preserve"> </w:t>
      </w:r>
      <w:proofErr w:type="spellStart"/>
      <w:r w:rsidRPr="00456A0B">
        <w:t>Forening</w:t>
      </w:r>
      <w:proofErr w:type="spellEnd"/>
      <w:r w:rsidRPr="00456A0B">
        <w:t xml:space="preserve"> (case c-5/08, [2009] ECR I-6569)</w:t>
      </w:r>
      <w:r>
        <w:rPr>
          <w:rStyle w:val="Kommentarsreferens"/>
          <w:rFonts w:asciiTheme="minorHAnsi" w:hAnsiTheme="minorHAnsi"/>
        </w:rPr>
        <w:t/>
      </w:r>
      <w:r w:rsidRPr="00456A0B">
        <w:t>.</w:t>
      </w:r>
    </w:p>
  </w:footnote>
  <w:footnote w:id="63">
    <w:p w14:paraId="2F8CD44A" w14:textId="77777777" w:rsidR="00C14A36" w:rsidRPr="00C64253" w:rsidRDefault="00C14A36" w:rsidP="00C14A36">
      <w:pPr>
        <w:pStyle w:val="Fotnotstext"/>
        <w:rPr>
          <w:szCs w:val="16"/>
          <w:lang w:val="en-US"/>
        </w:rPr>
      </w:pPr>
      <w:r>
        <w:rPr>
          <w:rStyle w:val="Fotnotsreferens"/>
        </w:rPr>
        <w:footnoteRef/>
      </w:r>
      <w:r>
        <w:t xml:space="preserve"> </w:t>
      </w:r>
      <w:r w:rsidRPr="00C64253">
        <w:rPr>
          <w:szCs w:val="16"/>
          <w:lang w:val="en-US"/>
        </w:rPr>
        <w:t xml:space="preserve">See Recitals 1-3 </w:t>
      </w:r>
      <w:r w:rsidRPr="00C64253">
        <w:rPr>
          <w:rFonts w:ascii="-webkit-standard" w:hAnsi="-webkit-standard"/>
          <w:color w:val="000000"/>
          <w:szCs w:val="16"/>
        </w:rPr>
        <w:t>Directive (EU) 2019/790</w:t>
      </w:r>
    </w:p>
  </w:footnote>
  <w:footnote w:id="64">
    <w:p w14:paraId="48B8F2C6" w14:textId="77777777" w:rsidR="00C14A36" w:rsidRPr="00C64253" w:rsidRDefault="00C14A36" w:rsidP="00C14A36">
      <w:pPr>
        <w:pStyle w:val="Fotnotstext"/>
        <w:rPr>
          <w:szCs w:val="16"/>
          <w:lang w:val="en-US"/>
        </w:rPr>
      </w:pPr>
      <w:r w:rsidRPr="00C64253">
        <w:rPr>
          <w:rStyle w:val="Fotnotsreferens"/>
          <w:szCs w:val="16"/>
        </w:rPr>
        <w:footnoteRef/>
      </w:r>
      <w:r w:rsidRPr="00C64253">
        <w:rPr>
          <w:szCs w:val="16"/>
        </w:rPr>
        <w:t xml:space="preserve"> </w:t>
      </w:r>
      <w:r w:rsidRPr="00C64253">
        <w:rPr>
          <w:rFonts w:ascii="-webkit-standard" w:hAnsi="-webkit-standard"/>
          <w:color w:val="000000"/>
          <w:szCs w:val="16"/>
        </w:rPr>
        <w:t>Thomas Margoni and Martin Kretschmer, ‘A Deeper Look into the EU Text and Data Mining Exceptions: Harmonisation, Data Ownership, and the Future of Technology’ (2022) 71(8) GRUR International 685, p.40</w:t>
      </w:r>
    </w:p>
  </w:footnote>
  <w:footnote w:id="65">
    <w:p w14:paraId="7A46723D" w14:textId="77777777" w:rsidR="00C14A36" w:rsidRPr="00D868BB" w:rsidRDefault="00C14A36" w:rsidP="00C14A36">
      <w:pPr>
        <w:pStyle w:val="Fotnotstext"/>
        <w:rPr>
          <w:lang w:val="en-US"/>
        </w:rPr>
      </w:pPr>
      <w:r w:rsidRPr="00C64253">
        <w:rPr>
          <w:rStyle w:val="Fotnotsreferens"/>
          <w:szCs w:val="16"/>
        </w:rPr>
        <w:footnoteRef/>
      </w:r>
      <w:r w:rsidRPr="00C64253">
        <w:rPr>
          <w:szCs w:val="16"/>
        </w:rPr>
        <w:t xml:space="preserve"> </w:t>
      </w:r>
      <w:r w:rsidRPr="00C64253">
        <w:rPr>
          <w:szCs w:val="16"/>
          <w:lang w:val="en-US"/>
        </w:rPr>
        <w:t xml:space="preserve">See Articles 3 and 4 </w:t>
      </w:r>
      <w:r w:rsidRPr="00C64253">
        <w:rPr>
          <w:rFonts w:ascii="-webkit-standard" w:hAnsi="-webkit-standard"/>
          <w:color w:val="000000"/>
          <w:szCs w:val="16"/>
        </w:rPr>
        <w:t>Directive (EU) 2019/790</w:t>
      </w:r>
    </w:p>
  </w:footnote>
  <w:footnote w:id="66">
    <w:p w14:paraId="7B9985F8" w14:textId="77777777" w:rsidR="00C14A36" w:rsidRPr="00C64253" w:rsidRDefault="00C14A36" w:rsidP="00C14A36">
      <w:pPr>
        <w:pStyle w:val="Fotnotstext"/>
        <w:rPr>
          <w:szCs w:val="16"/>
          <w:lang w:val="en-US"/>
        </w:rPr>
      </w:pPr>
      <w:r>
        <w:rPr>
          <w:rStyle w:val="Fotnotsreferens"/>
        </w:rPr>
        <w:footnoteRef/>
      </w:r>
      <w:r>
        <w:t xml:space="preserve"> </w:t>
      </w:r>
      <w:r w:rsidRPr="007B3D99">
        <w:t>Eleonora Rosati, (2024), Infringing AI: Liability for AI-Generated Outputs under International, EU, and UK Copyright Law, European Journal of Risk Regulation</w:t>
      </w:r>
    </w:p>
  </w:footnote>
  <w:footnote w:id="67">
    <w:p w14:paraId="4BB56604" w14:textId="77777777" w:rsidR="00C14A36" w:rsidRPr="00C64253" w:rsidRDefault="00C14A36" w:rsidP="00C14A36">
      <w:pPr>
        <w:pStyle w:val="Fotnotstext"/>
        <w:rPr>
          <w:szCs w:val="16"/>
          <w:lang w:val="en-US"/>
        </w:rPr>
      </w:pPr>
      <w:r w:rsidRPr="00C64253">
        <w:rPr>
          <w:rStyle w:val="Fotnotsreferens"/>
          <w:szCs w:val="16"/>
        </w:rPr>
        <w:footnoteRef/>
      </w:r>
      <w:r w:rsidRPr="00C64253">
        <w:rPr>
          <w:szCs w:val="16"/>
        </w:rPr>
        <w:t xml:space="preserve"> </w:t>
      </w:r>
      <w:proofErr w:type="spellStart"/>
      <w:r w:rsidRPr="00C64253">
        <w:rPr>
          <w:rFonts w:ascii="-webkit-standard" w:hAnsi="-webkit-standard"/>
          <w:color w:val="000000"/>
          <w:szCs w:val="16"/>
        </w:rPr>
        <w:t>Margoni</w:t>
      </w:r>
      <w:proofErr w:type="spellEnd"/>
      <w:r w:rsidRPr="00C64253">
        <w:rPr>
          <w:rFonts w:ascii="-webkit-standard" w:hAnsi="-webkit-standard"/>
          <w:color w:val="000000"/>
          <w:szCs w:val="16"/>
        </w:rPr>
        <w:t xml:space="preserve"> (2022), p.42</w:t>
      </w:r>
    </w:p>
  </w:footnote>
  <w:footnote w:id="68">
    <w:p w14:paraId="09178917" w14:textId="77777777" w:rsidR="00C14A36" w:rsidRPr="00C64253" w:rsidRDefault="00C14A36" w:rsidP="00C14A36">
      <w:pPr>
        <w:pStyle w:val="Fotnotstext"/>
        <w:rPr>
          <w:szCs w:val="16"/>
          <w:lang w:val="en-US"/>
        </w:rPr>
      </w:pPr>
      <w:r w:rsidRPr="00C64253">
        <w:rPr>
          <w:rStyle w:val="Fotnotsreferens"/>
          <w:szCs w:val="16"/>
        </w:rPr>
        <w:footnoteRef/>
      </w:r>
      <w:r w:rsidRPr="00C64253">
        <w:rPr>
          <w:szCs w:val="16"/>
        </w:rPr>
        <w:t xml:space="preserve"> </w:t>
      </w:r>
      <w:r w:rsidRPr="00C64253">
        <w:rPr>
          <w:szCs w:val="16"/>
          <w:lang w:val="en-US"/>
        </w:rPr>
        <w:t>Rosati (2024), pp. 6-7</w:t>
      </w:r>
    </w:p>
  </w:footnote>
  <w:footnote w:id="69">
    <w:p w14:paraId="66F2DE77" w14:textId="77777777" w:rsidR="00C14A36" w:rsidRPr="00370C5F" w:rsidRDefault="00C14A36" w:rsidP="00C14A36">
      <w:pPr>
        <w:pStyle w:val="Fotnotstext"/>
        <w:rPr>
          <w:lang w:val="en-US"/>
        </w:rPr>
      </w:pPr>
      <w:r>
        <w:rPr>
          <w:rStyle w:val="Fotnotsreferens"/>
        </w:rPr>
        <w:footnoteRef/>
      </w:r>
      <w:r>
        <w:t xml:space="preserve"> </w:t>
      </w:r>
      <w:proofErr w:type="spellStart"/>
      <w:r>
        <w:rPr>
          <w:color w:val="000000"/>
        </w:rPr>
        <w:t>benabou</w:t>
      </w:r>
      <w:proofErr w:type="spellEnd"/>
      <w:r>
        <w:rPr>
          <w:color w:val="000000"/>
        </w:rPr>
        <w:t xml:space="preserve"> </w:t>
      </w:r>
      <w:proofErr w:type="spellStart"/>
      <w:r>
        <w:rPr>
          <w:color w:val="000000"/>
        </w:rPr>
        <w:t>valérie</w:t>
      </w:r>
      <w:proofErr w:type="spellEnd"/>
      <w:r>
        <w:rPr>
          <w:color w:val="000000"/>
        </w:rPr>
        <w:t xml:space="preserve"> </w:t>
      </w:r>
      <w:proofErr w:type="spellStart"/>
      <w:r>
        <w:rPr>
          <w:color w:val="000000"/>
        </w:rPr>
        <w:t>laure</w:t>
      </w:r>
      <w:proofErr w:type="spellEnd"/>
      <w:r>
        <w:rPr>
          <w:color w:val="000000"/>
        </w:rPr>
        <w:t xml:space="preserve"> and others, ‘Comment of the European Copyright Society Addressing Selected Aspects of the Implementation of Articles 18 to 22 of the Directive (EU) 2019/790 on Copyright in the Digital Single Market’ [2020] SSRN Electronic Journal.</w:t>
      </w:r>
    </w:p>
  </w:footnote>
  <w:footnote w:id="70">
    <w:p w14:paraId="66D0FA77" w14:textId="77777777" w:rsidR="00947ED2" w:rsidRPr="00DC2CD2" w:rsidRDefault="00947ED2" w:rsidP="00947ED2">
      <w:pPr>
        <w:pStyle w:val="Fotnotstext"/>
        <w:rPr>
          <w:lang w:val="en-US"/>
        </w:rPr>
      </w:pPr>
      <w:r>
        <w:rPr>
          <w:rStyle w:val="Fotnotsreferens"/>
        </w:rPr>
        <w:footnoteRef/>
      </w:r>
      <w:r>
        <w:t xml:space="preserve"> </w:t>
      </w:r>
      <w:r>
        <w:rPr>
          <w:lang w:val="en-US"/>
        </w:rPr>
        <w:t>Para 26-28</w:t>
      </w:r>
    </w:p>
  </w:footnote>
  <w:footnote w:id="71">
    <w:p w14:paraId="487C6046" w14:textId="720A2FCE" w:rsidR="00193C77" w:rsidRPr="00193C77" w:rsidRDefault="00193C77">
      <w:pPr>
        <w:pStyle w:val="Fotnotstext"/>
        <w:rPr>
          <w:lang w:val="en-US"/>
        </w:rPr>
      </w:pPr>
      <w:r>
        <w:rPr>
          <w:rStyle w:val="Fotnotsreferens"/>
        </w:rPr>
        <w:footnoteRef/>
      </w:r>
      <w:r>
        <w:t xml:space="preserve"> </w:t>
      </w:r>
      <w:r w:rsidR="00B846A3" w:rsidRPr="00B846A3">
        <w:rPr>
          <w:rStyle w:val="Betoning"/>
          <w:rFonts w:cs="Times New Roman"/>
          <w:color w:val="000000"/>
          <w:szCs w:val="16"/>
        </w:rPr>
        <w:t>GS Media BV v Sanoma Media Netherlands BV and Others</w:t>
      </w:r>
      <w:r w:rsidR="00B846A3" w:rsidRPr="00B846A3">
        <w:rPr>
          <w:rStyle w:val="apple-converted-space"/>
          <w:rFonts w:cs="Times New Roman"/>
          <w:color w:val="000000"/>
          <w:szCs w:val="16"/>
        </w:rPr>
        <w:t> </w:t>
      </w:r>
      <w:r w:rsidR="00B846A3" w:rsidRPr="00B846A3">
        <w:rPr>
          <w:rFonts w:cs="Times New Roman"/>
          <w:color w:val="000000"/>
          <w:szCs w:val="16"/>
        </w:rPr>
        <w:t>(C-160/15) EU:</w:t>
      </w:r>
      <w:proofErr w:type="gramStart"/>
      <w:r w:rsidR="00B846A3" w:rsidRPr="00B846A3">
        <w:rPr>
          <w:rFonts w:cs="Times New Roman"/>
          <w:color w:val="000000"/>
          <w:szCs w:val="16"/>
        </w:rPr>
        <w:t>C:2016:644</w:t>
      </w:r>
      <w:proofErr w:type="gramEnd"/>
      <w:r w:rsidR="00B846A3" w:rsidRPr="00B846A3">
        <w:rPr>
          <w:rFonts w:cs="Times New Roman"/>
          <w:color w:val="000000"/>
          <w:szCs w:val="16"/>
        </w:rPr>
        <w:t>.</w:t>
      </w:r>
    </w:p>
  </w:footnote>
  <w:footnote w:id="72">
    <w:p w14:paraId="0E4D7465" w14:textId="77777777" w:rsidR="00C14A36" w:rsidRPr="00C64253" w:rsidRDefault="00C14A36" w:rsidP="00C14A36">
      <w:pPr>
        <w:pStyle w:val="Fotnotstext"/>
        <w:rPr>
          <w:szCs w:val="16"/>
          <w:lang w:val="en-US"/>
        </w:rPr>
      </w:pPr>
      <w:r>
        <w:rPr>
          <w:rStyle w:val="Fotnotsreferens"/>
        </w:rPr>
        <w:footnoteRef/>
      </w:r>
      <w:r>
        <w:t xml:space="preserve"> </w:t>
      </w:r>
      <w:r w:rsidRPr="00CB47B9">
        <w:t>Eleonora Rosati, ‘The Role, Responsibility and Liability of Online Intermediaries under EU IP Law’ (Ssrn.com31 July 2023) &lt;</w:t>
      </w:r>
      <w:hyperlink r:id="rId5" w:history="1">
        <w:r w:rsidRPr="00CB47B9">
          <w:rPr>
            <w:rStyle w:val="Hyperlnk"/>
          </w:rPr>
          <w:t>https://papers.ssrn.com/sol3/papers.cfm?abstract_id=4526326</w:t>
        </w:r>
      </w:hyperlink>
      <w:r w:rsidRPr="00CB47B9">
        <w:t>&gt;.</w:t>
      </w:r>
    </w:p>
  </w:footnote>
  <w:footnote w:id="73">
    <w:p w14:paraId="4C76EF27" w14:textId="77777777" w:rsidR="00C14A36" w:rsidRPr="00C64253" w:rsidRDefault="00C14A36" w:rsidP="00C14A36">
      <w:pPr>
        <w:pStyle w:val="Fotnotstext"/>
        <w:rPr>
          <w:szCs w:val="16"/>
          <w:lang w:val="en-US"/>
        </w:rPr>
      </w:pPr>
      <w:r w:rsidRPr="00C64253">
        <w:rPr>
          <w:rStyle w:val="Fotnotsreferens"/>
          <w:szCs w:val="16"/>
        </w:rPr>
        <w:footnoteRef/>
      </w:r>
      <w:r w:rsidRPr="00C64253">
        <w:rPr>
          <w:szCs w:val="16"/>
        </w:rPr>
        <w:t xml:space="preserve"> </w:t>
      </w:r>
      <w:proofErr w:type="spellStart"/>
      <w:r w:rsidRPr="00CB47B9">
        <w:t>Margoni</w:t>
      </w:r>
      <w:proofErr w:type="spellEnd"/>
      <w:r w:rsidRPr="00CB47B9">
        <w:t xml:space="preserve">/Kretschmer, A Deeper Look into the EU Text and Data Mining Exceptions: Harmonisation, Data Ownership, and the Future of Technology, </w:t>
      </w:r>
      <w:proofErr w:type="spellStart"/>
      <w:r w:rsidRPr="00CB47B9">
        <w:t>Gewerblicher</w:t>
      </w:r>
      <w:proofErr w:type="spellEnd"/>
      <w:r w:rsidRPr="00CB47B9">
        <w:t xml:space="preserve"> </w:t>
      </w:r>
      <w:proofErr w:type="spellStart"/>
      <w:r w:rsidRPr="00CB47B9">
        <w:t>Rechtsschutz</w:t>
      </w:r>
      <w:proofErr w:type="spellEnd"/>
      <w:r w:rsidRPr="00CB47B9">
        <w:t xml:space="preserve"> und </w:t>
      </w:r>
      <w:proofErr w:type="spellStart"/>
      <w:r w:rsidRPr="00CB47B9">
        <w:t>Urheberrecht</w:t>
      </w:r>
      <w:proofErr w:type="spellEnd"/>
      <w:r w:rsidRPr="00CB47B9">
        <w:t xml:space="preserve"> International (GRUR Int.) 2022, p.6</w:t>
      </w:r>
    </w:p>
  </w:footnote>
  <w:footnote w:id="74">
    <w:p w14:paraId="09C1884F" w14:textId="77777777" w:rsidR="00C14A36" w:rsidRPr="00730039" w:rsidRDefault="00C14A36" w:rsidP="00C14A36">
      <w:pPr>
        <w:pStyle w:val="Fotnotstext"/>
        <w:rPr>
          <w:lang w:val="en-US"/>
        </w:rPr>
      </w:pPr>
      <w:r w:rsidRPr="00C64253">
        <w:rPr>
          <w:rStyle w:val="Fotnotsreferens"/>
          <w:szCs w:val="16"/>
        </w:rPr>
        <w:footnoteRef/>
      </w:r>
      <w:r w:rsidRPr="00C64253">
        <w:rPr>
          <w:szCs w:val="16"/>
        </w:rPr>
        <w:t xml:space="preserve"> </w:t>
      </w:r>
      <w:r w:rsidRPr="00C64253">
        <w:rPr>
          <w:szCs w:val="16"/>
          <w:lang w:val="en-US"/>
        </w:rPr>
        <w:t>Rosati (2023), p.6</w:t>
      </w:r>
    </w:p>
  </w:footnote>
  <w:footnote w:id="75">
    <w:p w14:paraId="6096E9B5" w14:textId="77777777" w:rsidR="00C14A36" w:rsidRPr="001365CA" w:rsidRDefault="00C14A36" w:rsidP="00C14A36">
      <w:pPr>
        <w:pStyle w:val="Fotnotstext"/>
        <w:rPr>
          <w:lang w:val="en-US"/>
        </w:rPr>
      </w:pPr>
      <w:r>
        <w:rPr>
          <w:rStyle w:val="Fotnotsreferens"/>
        </w:rPr>
        <w:footnoteRef/>
      </w:r>
      <w:r>
        <w:t xml:space="preserve"> </w:t>
      </w:r>
      <w:r>
        <w:rPr>
          <w:color w:val="000000"/>
        </w:rPr>
        <w:t>Juha Vesala, ‘Developing Artificial Intelligence-Based Content Creation: Are EU Copyright and Antitrust Law Fit for Purpose?’ [2023] IIC - International Review of Intellectual Property and Competition Law.</w:t>
      </w:r>
    </w:p>
  </w:footnote>
  <w:footnote w:id="76">
    <w:p w14:paraId="427BBE54" w14:textId="2BD98B4B" w:rsidR="00CC18F8" w:rsidRPr="00CC18F8" w:rsidRDefault="00CC18F8">
      <w:pPr>
        <w:pStyle w:val="Fotnotstext"/>
        <w:rPr>
          <w:lang w:val="en-US"/>
        </w:rPr>
      </w:pPr>
      <w:r>
        <w:rPr>
          <w:rStyle w:val="Fotnotsreferens"/>
        </w:rPr>
        <w:footnoteRef/>
      </w:r>
      <w:r>
        <w:t xml:space="preserve"> </w:t>
      </w:r>
      <w:r w:rsidRPr="00645F9D">
        <w:t>Quintais João Pedro, ‘Generative AI, Copyright and the AI Act’ (</w:t>
      </w:r>
      <w:proofErr w:type="spellStart"/>
      <w:r w:rsidRPr="00645F9D">
        <w:t>Ssrn.comAugust</w:t>
      </w:r>
      <w:proofErr w:type="spellEnd"/>
      <w:r w:rsidRPr="00645F9D">
        <w:t xml:space="preserve"> 2024) &lt;</w:t>
      </w:r>
      <w:hyperlink r:id="rId6" w:history="1">
        <w:r w:rsidRPr="00645F9D">
          <w:rPr>
            <w:rStyle w:val="Hyperlnk"/>
          </w:rPr>
          <w:t>https://papers.ssrn.com/sol3/papers.cfm?abstract_id=4912701</w:t>
        </w:r>
      </w:hyperlink>
      <w:r w:rsidRPr="00645F9D">
        <w:t>&gt;, p.</w:t>
      </w:r>
      <w:r w:rsidR="00645F9D">
        <w:t xml:space="preserve"> </w:t>
      </w:r>
      <w:r w:rsidRPr="00645F9D">
        <w:t>4</w:t>
      </w:r>
      <w:r w:rsidR="00645F9D">
        <w:t>.</w:t>
      </w:r>
    </w:p>
  </w:footnote>
  <w:footnote w:id="77">
    <w:p w14:paraId="2B447A78" w14:textId="0A408853" w:rsidR="00AB3CB4" w:rsidRPr="00AB3CB4" w:rsidRDefault="00AB3CB4">
      <w:pPr>
        <w:pStyle w:val="Fotnotstext"/>
        <w:rPr>
          <w:lang w:val="en-US"/>
        </w:rPr>
      </w:pPr>
      <w:r>
        <w:rPr>
          <w:rStyle w:val="Fotnotsreferens"/>
        </w:rPr>
        <w:footnoteRef/>
      </w:r>
      <w:r>
        <w:t xml:space="preserve"> </w:t>
      </w:r>
      <w:r>
        <w:rPr>
          <w:color w:val="000000"/>
        </w:rPr>
        <w:t>Christophe Geiger and Vincenzo Iaia, ‘The Forgotten Creator: Towards a Statutory Remuneration Right for Machine Learning of Generative AI’ (</w:t>
      </w:r>
      <w:r>
        <w:rPr>
          <w:i/>
          <w:iCs/>
          <w:color w:val="000000"/>
        </w:rPr>
        <w:t>Ssrn.com</w:t>
      </w:r>
      <w:r>
        <w:rPr>
          <w:color w:val="000000"/>
        </w:rPr>
        <w:t>6 October 2023) &lt;</w:t>
      </w:r>
      <w:hyperlink r:id="rId7" w:history="1">
        <w:r>
          <w:rPr>
            <w:rStyle w:val="Hyperlnk"/>
          </w:rPr>
          <w:t>https://papers.ssrn.com/sol3/papers.cfm?abstract_id=4594873</w:t>
        </w:r>
      </w:hyperlink>
      <w:r>
        <w:rPr>
          <w:color w:val="000000"/>
        </w:rPr>
        <w:t xml:space="preserve">&gt; </w:t>
      </w:r>
    </w:p>
  </w:footnote>
  <w:footnote w:id="78">
    <w:p w14:paraId="08352A95" w14:textId="7D616C08" w:rsidR="00252B60" w:rsidRPr="00252B60" w:rsidRDefault="00252B60">
      <w:pPr>
        <w:pStyle w:val="Fotnotstext"/>
        <w:rPr>
          <w:lang w:val="en-US"/>
        </w:rPr>
      </w:pPr>
      <w:r>
        <w:rPr>
          <w:rStyle w:val="Fotnotsreferens"/>
        </w:rPr>
        <w:footnoteRef/>
      </w:r>
      <w:r>
        <w:t xml:space="preserve"> </w:t>
      </w:r>
      <w:r>
        <w:rPr>
          <w:color w:val="000000"/>
        </w:rPr>
        <w:t xml:space="preserve">Senftleben, </w:t>
      </w:r>
      <w:r w:rsidR="001E059A">
        <w:rPr>
          <w:color w:val="000000"/>
        </w:rPr>
        <w:t>2021</w:t>
      </w:r>
    </w:p>
  </w:footnote>
  <w:footnote w:id="79">
    <w:p w14:paraId="68B82D66" w14:textId="4C0E436D" w:rsidR="00F26DFF" w:rsidRPr="00F26DFF" w:rsidRDefault="00F26DFF">
      <w:pPr>
        <w:pStyle w:val="Fotnotstext"/>
        <w:rPr>
          <w:lang w:val="en-US"/>
        </w:rPr>
      </w:pPr>
      <w:r>
        <w:rPr>
          <w:rStyle w:val="Fotnotsreferens"/>
        </w:rPr>
        <w:footnoteRef/>
      </w:r>
      <w:r>
        <w:t xml:space="preserve"> </w:t>
      </w:r>
      <w:r w:rsidR="0077685E">
        <w:rPr>
          <w:color w:val="000000"/>
        </w:rPr>
        <w:t>Christophe Geiger, ‘EU Copyright Needs Reform to Spur Fair AI’ (</w:t>
      </w:r>
      <w:r w:rsidR="0077685E">
        <w:rPr>
          <w:i/>
          <w:iCs/>
          <w:color w:val="000000"/>
        </w:rPr>
        <w:t>CEPA</w:t>
      </w:r>
      <w:r w:rsidR="0077685E">
        <w:rPr>
          <w:color w:val="000000"/>
        </w:rPr>
        <w:t>25 February 2025) &lt;</w:t>
      </w:r>
      <w:hyperlink r:id="rId8" w:history="1">
        <w:r w:rsidR="0077685E">
          <w:rPr>
            <w:rStyle w:val="Hyperlnk"/>
          </w:rPr>
          <w:t>https://cepa.org/article/eu-copyright-needs-reform-to-spur-fair-ai/</w:t>
        </w:r>
      </w:hyperlink>
      <w:r w:rsidR="0077685E">
        <w:rPr>
          <w:color w:val="000000"/>
        </w:rPr>
        <w:t>&gt;.</w:t>
      </w:r>
    </w:p>
  </w:footnote>
  <w:footnote w:id="80">
    <w:p w14:paraId="39A8E522" w14:textId="1A4728F5" w:rsidR="00AE14DF" w:rsidRPr="00AE14DF" w:rsidRDefault="00AE14DF">
      <w:pPr>
        <w:pStyle w:val="Fotnotstext"/>
        <w:rPr>
          <w:lang w:val="en-US"/>
        </w:rPr>
      </w:pPr>
      <w:r>
        <w:rPr>
          <w:rStyle w:val="Fotnotsreferens"/>
        </w:rPr>
        <w:footnoteRef/>
      </w:r>
      <w:r>
        <w:t xml:space="preserve"> </w:t>
      </w:r>
      <w:r>
        <w:rPr>
          <w:color w:val="000000"/>
        </w:rPr>
        <w:t>Tambiama Madeira, ‘Artificial Intelligence Act | Think Tank | European Parliament’ (</w:t>
      </w:r>
      <w:r>
        <w:rPr>
          <w:i/>
          <w:iCs/>
          <w:color w:val="000000"/>
        </w:rPr>
        <w:t>www.europarl.europa.eu</w:t>
      </w:r>
      <w:r>
        <w:rPr>
          <w:color w:val="000000"/>
        </w:rPr>
        <w:t>11 March 2024) &lt;</w:t>
      </w:r>
      <w:hyperlink r:id="rId9" w:history="1">
        <w:r>
          <w:rPr>
            <w:rStyle w:val="Hyperlnk"/>
          </w:rPr>
          <w:t>https://www.europarl.europa.eu/thinktank/en/document/EPRS_BRI(2021)698792</w:t>
        </w:r>
      </w:hyperlink>
      <w:r>
        <w:rPr>
          <w:color w:val="000000"/>
        </w:rPr>
        <w:t>&gt;.</w:t>
      </w:r>
    </w:p>
  </w:footnote>
  <w:footnote w:id="81">
    <w:p w14:paraId="36EC86B0" w14:textId="6D3AD7D6" w:rsidR="006A777B" w:rsidRPr="006A777B" w:rsidRDefault="006A777B">
      <w:pPr>
        <w:pStyle w:val="Fotnotstext"/>
        <w:rPr>
          <w:lang w:val="en-US"/>
        </w:rPr>
      </w:pPr>
      <w:r>
        <w:rPr>
          <w:rStyle w:val="Fotnotsreferens"/>
        </w:rPr>
        <w:footnoteRef/>
      </w:r>
      <w:r>
        <w:t xml:space="preserve"> </w:t>
      </w:r>
      <w:r>
        <w:rPr>
          <w:color w:val="000000"/>
        </w:rPr>
        <w:t>Andres Guadamuz, ‘The EU AI Act and Copyright’ (</w:t>
      </w:r>
      <w:r>
        <w:rPr>
          <w:i/>
          <w:iCs/>
          <w:color w:val="000000"/>
        </w:rPr>
        <w:t>TechnoLlama</w:t>
      </w:r>
      <w:r>
        <w:rPr>
          <w:color w:val="000000"/>
        </w:rPr>
        <w:t>14 March 2024) &lt;</w:t>
      </w:r>
      <w:hyperlink r:id="rId10" w:history="1">
        <w:r>
          <w:rPr>
            <w:rStyle w:val="Hyperlnk"/>
          </w:rPr>
          <w:t>https://www.technollama.co.uk/the-eu-ai-act-and-copyright</w:t>
        </w:r>
      </w:hyperlink>
      <w:r>
        <w:rPr>
          <w:color w:val="000000"/>
        </w:rPr>
        <w:t>&gt;.</w:t>
      </w:r>
    </w:p>
  </w:footnote>
  <w:footnote w:id="82">
    <w:p w14:paraId="7A1966D7" w14:textId="3C2D7E6A" w:rsidR="008C7058" w:rsidRPr="008C7058" w:rsidRDefault="008C7058">
      <w:pPr>
        <w:pStyle w:val="Fotnotstext"/>
        <w:rPr>
          <w:lang w:val="en-US"/>
        </w:rPr>
      </w:pPr>
      <w:r>
        <w:rPr>
          <w:rStyle w:val="Fotnotsreferens"/>
        </w:rPr>
        <w:footnoteRef/>
      </w:r>
      <w:r>
        <w:t xml:space="preserve"> </w:t>
      </w:r>
      <w:r>
        <w:rPr>
          <w:lang w:val="en-US"/>
        </w:rPr>
        <w:t>ibid</w:t>
      </w:r>
    </w:p>
  </w:footnote>
  <w:footnote w:id="83">
    <w:p w14:paraId="323A6B08" w14:textId="0211987F" w:rsidR="002760F0" w:rsidRPr="002760F0" w:rsidRDefault="002760F0">
      <w:pPr>
        <w:pStyle w:val="Fotnotstext"/>
        <w:rPr>
          <w:color w:val="000000"/>
        </w:rPr>
      </w:pPr>
      <w:r>
        <w:rPr>
          <w:rStyle w:val="Fotnotsreferens"/>
        </w:rPr>
        <w:footnoteRef/>
      </w:r>
      <w:r>
        <w:t xml:space="preserve"> </w:t>
      </w:r>
      <w:r>
        <w:rPr>
          <w:color w:val="000000"/>
        </w:rPr>
        <w:t>Quintais 20</w:t>
      </w:r>
      <w:r w:rsidR="00AA3EEB">
        <w:rPr>
          <w:color w:val="000000"/>
        </w:rPr>
        <w:t>24, p.5.1</w:t>
      </w:r>
    </w:p>
  </w:footnote>
  <w:footnote w:id="84">
    <w:p w14:paraId="1A998BA0" w14:textId="7813F57C" w:rsidR="002760F0" w:rsidRPr="002760F0" w:rsidRDefault="002760F0">
      <w:pPr>
        <w:pStyle w:val="Fotnotstext"/>
        <w:rPr>
          <w:lang w:val="en-US"/>
        </w:rPr>
      </w:pPr>
      <w:r>
        <w:rPr>
          <w:rStyle w:val="Fotnotsreferens"/>
        </w:rPr>
        <w:footnoteRef/>
      </w:r>
      <w:r>
        <w:t xml:space="preserve"> </w:t>
      </w:r>
      <w:r w:rsidR="00AA3EEB">
        <w:rPr>
          <w:color w:val="000000"/>
        </w:rPr>
        <w:t>Quintais 2024, p.5.1</w:t>
      </w:r>
    </w:p>
  </w:footnote>
  <w:footnote w:id="85">
    <w:p w14:paraId="56BCFFA1" w14:textId="3689BA00" w:rsidR="00617765" w:rsidRPr="00617765" w:rsidRDefault="00617765">
      <w:pPr>
        <w:pStyle w:val="Fotnotstext"/>
        <w:rPr>
          <w:lang w:val="en-US"/>
        </w:rPr>
      </w:pPr>
      <w:r>
        <w:rPr>
          <w:rStyle w:val="Fotnotsreferens"/>
        </w:rPr>
        <w:footnoteRef/>
      </w:r>
      <w:r>
        <w:t xml:space="preserve"> </w:t>
      </w:r>
      <w:r>
        <w:rPr>
          <w:color w:val="000000"/>
        </w:rPr>
        <w:t>Quintais 2024, p.6</w:t>
      </w:r>
    </w:p>
  </w:footnote>
  <w:footnote w:id="86">
    <w:p w14:paraId="7EB31789" w14:textId="3F67EE99" w:rsidR="00A73B5E" w:rsidRPr="00A73B5E" w:rsidRDefault="00A73B5E">
      <w:pPr>
        <w:pStyle w:val="Fotnotstext"/>
        <w:rPr>
          <w:lang w:val="en-US"/>
        </w:rPr>
      </w:pPr>
      <w:r>
        <w:rPr>
          <w:rStyle w:val="Fotnotsreferens"/>
        </w:rPr>
        <w:footnoteRef/>
      </w:r>
      <w:r>
        <w:t xml:space="preserve"> </w:t>
      </w:r>
      <w:r w:rsidR="00D624F7">
        <w:rPr>
          <w:color w:val="000000"/>
        </w:rPr>
        <w:t>Claudio Novelli and others, ‘A Robust Governance for the AI Act: AI Office, AI Board, Scientific Panel, and National Authorities’ [2024] Social Science Research Network, p.4</w:t>
      </w:r>
    </w:p>
  </w:footnote>
  <w:footnote w:id="87">
    <w:p w14:paraId="57B1907A" w14:textId="340D9530" w:rsidR="00502F81" w:rsidRPr="00502F81" w:rsidRDefault="00502F81">
      <w:pPr>
        <w:pStyle w:val="Fotnotstext"/>
        <w:rPr>
          <w:lang w:val="en-US"/>
        </w:rPr>
      </w:pPr>
      <w:r>
        <w:rPr>
          <w:rStyle w:val="Fotnotsreferens"/>
        </w:rPr>
        <w:footnoteRef/>
      </w:r>
      <w:r>
        <w:t xml:space="preserve"> </w:t>
      </w:r>
      <w:r>
        <w:rPr>
          <w:lang w:val="en-US"/>
        </w:rPr>
        <w:t>Novelli et al., 2024, p.4.2</w:t>
      </w:r>
    </w:p>
  </w:footnote>
  <w:footnote w:id="88">
    <w:p w14:paraId="550B8514" w14:textId="37D24409" w:rsidR="00685336" w:rsidRPr="00685336" w:rsidRDefault="00685336">
      <w:pPr>
        <w:pStyle w:val="Fotnotstext"/>
        <w:rPr>
          <w:lang w:val="en-US"/>
        </w:rPr>
      </w:pPr>
      <w:r>
        <w:rPr>
          <w:rStyle w:val="Fotnotsreferens"/>
        </w:rPr>
        <w:footnoteRef/>
      </w:r>
      <w:r>
        <w:t xml:space="preserve"> </w:t>
      </w:r>
      <w:r>
        <w:rPr>
          <w:lang w:val="en-US"/>
        </w:rPr>
        <w:t>Novelli et al., 2024, p.4.2</w:t>
      </w:r>
    </w:p>
  </w:footnote>
  <w:footnote w:id="89">
    <w:p w14:paraId="6D38A603" w14:textId="4DA1BD78" w:rsidR="00685336" w:rsidRPr="00685336" w:rsidRDefault="00685336">
      <w:pPr>
        <w:pStyle w:val="Fotnotstext"/>
        <w:rPr>
          <w:lang w:val="en-US"/>
        </w:rPr>
      </w:pPr>
      <w:r>
        <w:rPr>
          <w:rStyle w:val="Fotnotsreferens"/>
        </w:rPr>
        <w:footnoteRef/>
      </w:r>
      <w:r>
        <w:t xml:space="preserve"> </w:t>
      </w:r>
      <w:r>
        <w:rPr>
          <w:lang w:val="en-US"/>
        </w:rPr>
        <w:t>Novelli et al., 2024, p.4.2</w:t>
      </w:r>
    </w:p>
  </w:footnote>
  <w:footnote w:id="90">
    <w:p w14:paraId="3F9639FF" w14:textId="650A0646" w:rsidR="004665A1" w:rsidRPr="004665A1" w:rsidRDefault="004665A1">
      <w:pPr>
        <w:pStyle w:val="Fotnotstext"/>
        <w:rPr>
          <w:lang w:val="en-US"/>
        </w:rPr>
      </w:pPr>
      <w:r>
        <w:rPr>
          <w:rStyle w:val="Fotnotsreferens"/>
        </w:rPr>
        <w:footnoteRef/>
      </w:r>
      <w:r>
        <w:t xml:space="preserve"> </w:t>
      </w:r>
      <w:r>
        <w:rPr>
          <w:color w:val="000000"/>
        </w:rPr>
        <w:t>Martin Senftleben, ‘Generative AI and Author Remuneration’ (2023) 54 IIC - International Review of Intellectual Property and Competition Law, p.4.1</w:t>
      </w:r>
    </w:p>
  </w:footnote>
  <w:footnote w:id="91">
    <w:p w14:paraId="3DE72005" w14:textId="16E3990E" w:rsidR="004665A1" w:rsidRPr="004665A1" w:rsidRDefault="004665A1">
      <w:pPr>
        <w:pStyle w:val="Fotnotstext"/>
        <w:rPr>
          <w:lang w:val="en-US"/>
        </w:rPr>
      </w:pPr>
      <w:r>
        <w:rPr>
          <w:rStyle w:val="Fotnotsreferens"/>
        </w:rPr>
        <w:footnoteRef/>
      </w:r>
      <w:r>
        <w:t xml:space="preserve"> </w:t>
      </w:r>
      <w:r>
        <w:rPr>
          <w:lang w:val="en-US"/>
        </w:rPr>
        <w:t>Senfleben 2023, p.4.1</w:t>
      </w:r>
    </w:p>
  </w:footnote>
  <w:footnote w:id="92">
    <w:p w14:paraId="7932F773" w14:textId="041B044A" w:rsidR="003E0186" w:rsidRPr="003E0186" w:rsidRDefault="003E0186">
      <w:pPr>
        <w:pStyle w:val="Fotnotstext"/>
        <w:rPr>
          <w:lang w:val="en-US"/>
        </w:rPr>
      </w:pPr>
      <w:r>
        <w:rPr>
          <w:rStyle w:val="Fotnotsreferens"/>
        </w:rPr>
        <w:footnoteRef/>
      </w:r>
      <w:r>
        <w:t xml:space="preserve"> </w:t>
      </w:r>
      <w:r>
        <w:rPr>
          <w:color w:val="000000"/>
        </w:rPr>
        <w:t>Christophe Geiger and Vincenzo Iaia, ‘The Forgotten Creator: Towards a Statutory Remuneration Right for Machine Learning of Generative AI’ (</w:t>
      </w:r>
      <w:r>
        <w:rPr>
          <w:i/>
          <w:iCs/>
          <w:color w:val="000000"/>
        </w:rPr>
        <w:t>Ssrn.com</w:t>
      </w:r>
      <w:r>
        <w:rPr>
          <w:color w:val="000000"/>
        </w:rPr>
        <w:t>6 October 2023) &lt;</w:t>
      </w:r>
      <w:hyperlink r:id="rId11" w:history="1">
        <w:r>
          <w:rPr>
            <w:rStyle w:val="Hyperlnk"/>
          </w:rPr>
          <w:t>https://papers.ssrn.com/sol3/papers.cfm?abstract_id=4594873</w:t>
        </w:r>
      </w:hyperlink>
      <w:r>
        <w:rPr>
          <w:color w:val="000000"/>
        </w:rPr>
        <w:t xml:space="preserve">&gt; </w:t>
      </w:r>
    </w:p>
  </w:footnote>
  <w:footnote w:id="93">
    <w:p w14:paraId="46EF56F8" w14:textId="0F2CE797" w:rsidR="007C12C1" w:rsidRPr="007C12C1" w:rsidRDefault="007C12C1">
      <w:pPr>
        <w:pStyle w:val="Fotnotstext"/>
        <w:rPr>
          <w:lang w:val="en-US"/>
        </w:rPr>
      </w:pPr>
      <w:r>
        <w:rPr>
          <w:rStyle w:val="Fotnotsreferens"/>
        </w:rPr>
        <w:footnoteRef/>
      </w:r>
      <w:r>
        <w:t xml:space="preserve"> </w:t>
      </w:r>
      <w:r>
        <w:rPr>
          <w:lang w:val="en-US"/>
        </w:rPr>
        <w:t>Geiger and Iaia 2023</w:t>
      </w:r>
    </w:p>
  </w:footnote>
  <w:footnote w:id="94">
    <w:p w14:paraId="0904DF88" w14:textId="72FFA42A" w:rsidR="00107DFC" w:rsidRPr="00107DFC" w:rsidRDefault="00107DFC">
      <w:pPr>
        <w:pStyle w:val="Fotnotstext"/>
        <w:rPr>
          <w:lang w:val="en-US"/>
        </w:rPr>
      </w:pPr>
      <w:r>
        <w:rPr>
          <w:rStyle w:val="Fotnotsreferens"/>
        </w:rPr>
        <w:footnoteRef/>
      </w:r>
      <w:r>
        <w:t xml:space="preserve"> </w:t>
      </w:r>
      <w:r>
        <w:rPr>
          <w:lang w:val="en-US"/>
        </w:rPr>
        <w:t xml:space="preserve">See Article 12(1) Directive (EU) </w:t>
      </w:r>
      <w:r w:rsidR="006C4832">
        <w:rPr>
          <w:lang w:val="en-US"/>
        </w:rPr>
        <w:t>2019/790</w:t>
      </w:r>
    </w:p>
  </w:footnote>
  <w:footnote w:id="95">
    <w:p w14:paraId="4090CC17" w14:textId="63D5C5CE" w:rsidR="004F318E" w:rsidRPr="004F318E" w:rsidRDefault="004F318E">
      <w:pPr>
        <w:pStyle w:val="Fotnotstext"/>
        <w:rPr>
          <w:lang w:val="en-US"/>
        </w:rPr>
      </w:pPr>
      <w:r>
        <w:rPr>
          <w:rStyle w:val="Fotnotsreferens"/>
        </w:rPr>
        <w:footnoteRef/>
      </w:r>
      <w:r>
        <w:t xml:space="preserve"> </w:t>
      </w:r>
      <w:r w:rsidR="00F3575A">
        <w:rPr>
          <w:color w:val="000000"/>
        </w:rPr>
        <w:t>QBO Investigación, ‘Principales Preocupaciones Por El Uso de Las Obras Para El Entrenamiento de Los Modelos de La IA Estudio Desarrollado a Iniciativa de Las Entidades Autorales ACE, AELC, ACEC, AELG Y ACTA, Con La Colaboración de Las Integrantes de La Conferencia de Asociaciones de Escritoras Y Escritores’ (2024) &lt;</w:t>
      </w:r>
      <w:hyperlink r:id="rId12" w:history="1">
        <w:r w:rsidR="00F3575A">
          <w:rPr>
            <w:rStyle w:val="Hyperlnk"/>
          </w:rPr>
          <w:t>https://www.acescritores.com/wp-content/uploads/Qbo-ENCUESTA-USO-DE-LAS-OBRAS-PARA-EL-ENTRENAMIENTO-IAG1.pdf</w:t>
        </w:r>
      </w:hyperlink>
      <w:r w:rsidR="00F3575A">
        <w:rPr>
          <w:color w:val="000000"/>
        </w:rPr>
        <w:t xml:space="preserve">&gt; </w:t>
      </w:r>
    </w:p>
  </w:footnote>
  <w:footnote w:id="96">
    <w:p w14:paraId="28CC3612" w14:textId="09C2E7D8" w:rsidR="00F3575A" w:rsidRPr="00F3575A" w:rsidRDefault="00F3575A">
      <w:pPr>
        <w:pStyle w:val="Fotnotstext"/>
        <w:rPr>
          <w:lang w:val="en-US"/>
        </w:rPr>
      </w:pPr>
      <w:r>
        <w:rPr>
          <w:rStyle w:val="Fotnotsreferens"/>
        </w:rPr>
        <w:footnoteRef/>
      </w:r>
      <w:r>
        <w:t xml:space="preserve"> </w:t>
      </w:r>
      <w:r>
        <w:rPr>
          <w:lang w:val="en-US"/>
        </w:rPr>
        <w:t xml:space="preserve">QBO </w:t>
      </w:r>
      <w:r w:rsidR="00A83495">
        <w:rPr>
          <w:lang w:val="en-US"/>
        </w:rPr>
        <w:t>Investigacion 2024</w:t>
      </w:r>
    </w:p>
  </w:footnote>
  <w:footnote w:id="97">
    <w:p w14:paraId="1FE2D5C7" w14:textId="1542E515" w:rsidR="00142F87" w:rsidRPr="00142F87" w:rsidRDefault="00142F87">
      <w:pPr>
        <w:pStyle w:val="Fotnotstext"/>
        <w:rPr>
          <w:lang w:val="en-US"/>
        </w:rPr>
      </w:pPr>
      <w:r>
        <w:rPr>
          <w:rStyle w:val="Fotnotsreferens"/>
        </w:rPr>
        <w:footnoteRef/>
      </w:r>
      <w:r>
        <w:t xml:space="preserve"> </w:t>
      </w:r>
      <w:r>
        <w:rPr>
          <w:lang w:val="en-US"/>
        </w:rPr>
        <w:t>QBO Investigacion 2024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AC7765"/>
    <w:multiLevelType w:val="hybridMultilevel"/>
    <w:tmpl w:val="93767B78"/>
    <w:lvl w:ilvl="0" w:tplc="0809000F">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 w15:restartNumberingAfterBreak="0">
    <w:nsid w:val="20407933"/>
    <w:multiLevelType w:val="multilevel"/>
    <w:tmpl w:val="F20E8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8BD1823"/>
    <w:multiLevelType w:val="multilevel"/>
    <w:tmpl w:val="469AD4F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6A092426"/>
    <w:multiLevelType w:val="hybridMultilevel"/>
    <w:tmpl w:val="5A3ABA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BEB6F7A"/>
    <w:multiLevelType w:val="multilevel"/>
    <w:tmpl w:val="B6DA6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DAB139A"/>
    <w:multiLevelType w:val="multilevel"/>
    <w:tmpl w:val="42507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E807F33"/>
    <w:multiLevelType w:val="multilevel"/>
    <w:tmpl w:val="1ECAA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31B1EBA"/>
    <w:multiLevelType w:val="multilevel"/>
    <w:tmpl w:val="E8FEE8D0"/>
    <w:lvl w:ilvl="0">
      <w:start w:val="1"/>
      <w:numFmt w:val="decimal"/>
      <w:pStyle w:val="HARHeading1"/>
      <w:lvlText w:val="%1"/>
      <w:lvlJc w:val="left"/>
      <w:pPr>
        <w:ind w:left="794" w:hanging="794"/>
      </w:pPr>
      <w:rPr>
        <w:rFonts w:hint="default"/>
      </w:rPr>
    </w:lvl>
    <w:lvl w:ilvl="1">
      <w:start w:val="1"/>
      <w:numFmt w:val="decimal"/>
      <w:pStyle w:val="HARHeading2"/>
      <w:lvlText w:val="%1.%2"/>
      <w:lvlJc w:val="left"/>
      <w:pPr>
        <w:ind w:left="792" w:hanging="792"/>
      </w:pPr>
    </w:lvl>
    <w:lvl w:ilvl="2">
      <w:start w:val="1"/>
      <w:numFmt w:val="decimal"/>
      <w:lvlText w:val="%1.%2.%3"/>
      <w:lvlJc w:val="left"/>
      <w:pPr>
        <w:ind w:left="794" w:hanging="794"/>
      </w:pPr>
      <w:rPr>
        <w:rFonts w:hint="default"/>
      </w:rPr>
    </w:lvl>
    <w:lvl w:ilvl="3">
      <w:start w:val="1"/>
      <w:numFmt w:val="decimal"/>
      <w:pStyle w:val="HARHeading4"/>
      <w:lvlText w:val="%1.%2.%3.%4"/>
      <w:lvlJc w:val="left"/>
      <w:pPr>
        <w:ind w:left="794" w:hanging="79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67867646">
    <w:abstractNumId w:val="7"/>
  </w:num>
  <w:num w:numId="2" w16cid:durableId="1769041792">
    <w:abstractNumId w:val="1"/>
  </w:num>
  <w:num w:numId="3" w16cid:durableId="1874613195">
    <w:abstractNumId w:val="0"/>
  </w:num>
  <w:num w:numId="4" w16cid:durableId="1531645393">
    <w:abstractNumId w:val="6"/>
  </w:num>
  <w:num w:numId="5" w16cid:durableId="1970864231">
    <w:abstractNumId w:val="3"/>
  </w:num>
  <w:num w:numId="6" w16cid:durableId="201597210">
    <w:abstractNumId w:val="2"/>
  </w:num>
  <w:num w:numId="7" w16cid:durableId="285046177">
    <w:abstractNumId w:val="4"/>
  </w:num>
  <w:num w:numId="8" w16cid:durableId="21217577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1FF"/>
    <w:rsid w:val="0000130D"/>
    <w:rsid w:val="0000378B"/>
    <w:rsid w:val="00007A77"/>
    <w:rsid w:val="00013175"/>
    <w:rsid w:val="00013D49"/>
    <w:rsid w:val="0001700D"/>
    <w:rsid w:val="00017220"/>
    <w:rsid w:val="00022C4A"/>
    <w:rsid w:val="00024ADF"/>
    <w:rsid w:val="00024CB2"/>
    <w:rsid w:val="00027879"/>
    <w:rsid w:val="00031AF6"/>
    <w:rsid w:val="00031E55"/>
    <w:rsid w:val="000377C1"/>
    <w:rsid w:val="00042790"/>
    <w:rsid w:val="00044F1B"/>
    <w:rsid w:val="00046762"/>
    <w:rsid w:val="00050151"/>
    <w:rsid w:val="000509E2"/>
    <w:rsid w:val="00054AE6"/>
    <w:rsid w:val="00056066"/>
    <w:rsid w:val="00061684"/>
    <w:rsid w:val="0006675C"/>
    <w:rsid w:val="00070F7C"/>
    <w:rsid w:val="000815CB"/>
    <w:rsid w:val="00086CE3"/>
    <w:rsid w:val="00092B31"/>
    <w:rsid w:val="000949BB"/>
    <w:rsid w:val="000A0F55"/>
    <w:rsid w:val="000A1E82"/>
    <w:rsid w:val="000A606A"/>
    <w:rsid w:val="000B2CD2"/>
    <w:rsid w:val="000B4D83"/>
    <w:rsid w:val="000C5C48"/>
    <w:rsid w:val="000C674E"/>
    <w:rsid w:val="000D1B08"/>
    <w:rsid w:val="000E019E"/>
    <w:rsid w:val="000E2620"/>
    <w:rsid w:val="000E3C88"/>
    <w:rsid w:val="000F146F"/>
    <w:rsid w:val="000F41BD"/>
    <w:rsid w:val="000F569D"/>
    <w:rsid w:val="00104D35"/>
    <w:rsid w:val="00107DFC"/>
    <w:rsid w:val="00115ED3"/>
    <w:rsid w:val="00124019"/>
    <w:rsid w:val="0012750A"/>
    <w:rsid w:val="001326FB"/>
    <w:rsid w:val="00134239"/>
    <w:rsid w:val="001365CA"/>
    <w:rsid w:val="00136B6B"/>
    <w:rsid w:val="0014257A"/>
    <w:rsid w:val="00142EFF"/>
    <w:rsid w:val="00142F87"/>
    <w:rsid w:val="00144C50"/>
    <w:rsid w:val="00156074"/>
    <w:rsid w:val="0016452F"/>
    <w:rsid w:val="0017203B"/>
    <w:rsid w:val="00176DD3"/>
    <w:rsid w:val="00181CE0"/>
    <w:rsid w:val="00193C77"/>
    <w:rsid w:val="00193E42"/>
    <w:rsid w:val="00197457"/>
    <w:rsid w:val="001A594E"/>
    <w:rsid w:val="001A608C"/>
    <w:rsid w:val="001A741D"/>
    <w:rsid w:val="001B048B"/>
    <w:rsid w:val="001B292B"/>
    <w:rsid w:val="001B5445"/>
    <w:rsid w:val="001B7412"/>
    <w:rsid w:val="001C157F"/>
    <w:rsid w:val="001D2B1A"/>
    <w:rsid w:val="001E059A"/>
    <w:rsid w:val="001E2E44"/>
    <w:rsid w:val="001F275C"/>
    <w:rsid w:val="001F6309"/>
    <w:rsid w:val="002015DC"/>
    <w:rsid w:val="00201D8C"/>
    <w:rsid w:val="00207524"/>
    <w:rsid w:val="00207EF4"/>
    <w:rsid w:val="00211A72"/>
    <w:rsid w:val="00211DBC"/>
    <w:rsid w:val="00216D23"/>
    <w:rsid w:val="002174C6"/>
    <w:rsid w:val="0023517C"/>
    <w:rsid w:val="00241634"/>
    <w:rsid w:val="00246D19"/>
    <w:rsid w:val="00252B60"/>
    <w:rsid w:val="00255EE7"/>
    <w:rsid w:val="00256D06"/>
    <w:rsid w:val="002604F6"/>
    <w:rsid w:val="00260DD0"/>
    <w:rsid w:val="00261A7C"/>
    <w:rsid w:val="002642C2"/>
    <w:rsid w:val="00270585"/>
    <w:rsid w:val="00273A86"/>
    <w:rsid w:val="00274CB2"/>
    <w:rsid w:val="002760F0"/>
    <w:rsid w:val="0027720E"/>
    <w:rsid w:val="00284403"/>
    <w:rsid w:val="00295B69"/>
    <w:rsid w:val="002A0EA3"/>
    <w:rsid w:val="002A1810"/>
    <w:rsid w:val="002A4307"/>
    <w:rsid w:val="002B1B17"/>
    <w:rsid w:val="002B29CD"/>
    <w:rsid w:val="002B4582"/>
    <w:rsid w:val="002B6545"/>
    <w:rsid w:val="002C3058"/>
    <w:rsid w:val="002D2730"/>
    <w:rsid w:val="002D4328"/>
    <w:rsid w:val="002D56D7"/>
    <w:rsid w:val="002E603E"/>
    <w:rsid w:val="002F5878"/>
    <w:rsid w:val="002F715D"/>
    <w:rsid w:val="002F7A7A"/>
    <w:rsid w:val="003016C1"/>
    <w:rsid w:val="00302567"/>
    <w:rsid w:val="00302C17"/>
    <w:rsid w:val="00311226"/>
    <w:rsid w:val="00311A2E"/>
    <w:rsid w:val="00314627"/>
    <w:rsid w:val="00315E8F"/>
    <w:rsid w:val="0032098A"/>
    <w:rsid w:val="003252BA"/>
    <w:rsid w:val="003316EB"/>
    <w:rsid w:val="00332072"/>
    <w:rsid w:val="00335351"/>
    <w:rsid w:val="003518CC"/>
    <w:rsid w:val="00356036"/>
    <w:rsid w:val="00356B59"/>
    <w:rsid w:val="003574AE"/>
    <w:rsid w:val="0036164A"/>
    <w:rsid w:val="00362B60"/>
    <w:rsid w:val="003707DC"/>
    <w:rsid w:val="00370C5F"/>
    <w:rsid w:val="00375BFA"/>
    <w:rsid w:val="0038022B"/>
    <w:rsid w:val="00386C85"/>
    <w:rsid w:val="00387F05"/>
    <w:rsid w:val="00390DCA"/>
    <w:rsid w:val="0039161A"/>
    <w:rsid w:val="00392292"/>
    <w:rsid w:val="00392B83"/>
    <w:rsid w:val="00397DC7"/>
    <w:rsid w:val="003A0797"/>
    <w:rsid w:val="003A6CDC"/>
    <w:rsid w:val="003B4FA2"/>
    <w:rsid w:val="003C26FA"/>
    <w:rsid w:val="003C6BFF"/>
    <w:rsid w:val="003D0B2C"/>
    <w:rsid w:val="003D12D2"/>
    <w:rsid w:val="003D2D45"/>
    <w:rsid w:val="003D5FD2"/>
    <w:rsid w:val="003E0186"/>
    <w:rsid w:val="003E0BC5"/>
    <w:rsid w:val="003E3E59"/>
    <w:rsid w:val="003E50AC"/>
    <w:rsid w:val="003E5E32"/>
    <w:rsid w:val="003E639E"/>
    <w:rsid w:val="003F0F18"/>
    <w:rsid w:val="003F2C68"/>
    <w:rsid w:val="003F64D8"/>
    <w:rsid w:val="003F747C"/>
    <w:rsid w:val="00402921"/>
    <w:rsid w:val="004039F7"/>
    <w:rsid w:val="00412E1C"/>
    <w:rsid w:val="0041598D"/>
    <w:rsid w:val="00420668"/>
    <w:rsid w:val="00426BC7"/>
    <w:rsid w:val="00427522"/>
    <w:rsid w:val="004332B4"/>
    <w:rsid w:val="00440034"/>
    <w:rsid w:val="00456555"/>
    <w:rsid w:val="00456A0B"/>
    <w:rsid w:val="00461497"/>
    <w:rsid w:val="004645F6"/>
    <w:rsid w:val="004665A1"/>
    <w:rsid w:val="00474310"/>
    <w:rsid w:val="00476BAC"/>
    <w:rsid w:val="004805D6"/>
    <w:rsid w:val="00485BDA"/>
    <w:rsid w:val="00487205"/>
    <w:rsid w:val="00493614"/>
    <w:rsid w:val="004A0A2E"/>
    <w:rsid w:val="004A63E8"/>
    <w:rsid w:val="004A75F3"/>
    <w:rsid w:val="004B1473"/>
    <w:rsid w:val="004C7E6F"/>
    <w:rsid w:val="004C7EE7"/>
    <w:rsid w:val="004D0C75"/>
    <w:rsid w:val="004E5DC0"/>
    <w:rsid w:val="004E5FFD"/>
    <w:rsid w:val="004E632F"/>
    <w:rsid w:val="004F05D4"/>
    <w:rsid w:val="004F1488"/>
    <w:rsid w:val="004F2F8B"/>
    <w:rsid w:val="004F318E"/>
    <w:rsid w:val="004F561D"/>
    <w:rsid w:val="004F601B"/>
    <w:rsid w:val="00502F81"/>
    <w:rsid w:val="00503C8F"/>
    <w:rsid w:val="005040BD"/>
    <w:rsid w:val="00504988"/>
    <w:rsid w:val="00506E5D"/>
    <w:rsid w:val="005078C2"/>
    <w:rsid w:val="00517FA3"/>
    <w:rsid w:val="00522224"/>
    <w:rsid w:val="0053031B"/>
    <w:rsid w:val="005450D0"/>
    <w:rsid w:val="0054528A"/>
    <w:rsid w:val="005474AA"/>
    <w:rsid w:val="00547E44"/>
    <w:rsid w:val="0055324C"/>
    <w:rsid w:val="00562074"/>
    <w:rsid w:val="005667EA"/>
    <w:rsid w:val="00571F58"/>
    <w:rsid w:val="005804EE"/>
    <w:rsid w:val="00580E45"/>
    <w:rsid w:val="005836FF"/>
    <w:rsid w:val="005837CC"/>
    <w:rsid w:val="005853A1"/>
    <w:rsid w:val="005869BD"/>
    <w:rsid w:val="005914D8"/>
    <w:rsid w:val="005919BE"/>
    <w:rsid w:val="00592271"/>
    <w:rsid w:val="005946A0"/>
    <w:rsid w:val="005A1C4C"/>
    <w:rsid w:val="005A54F0"/>
    <w:rsid w:val="005A7B60"/>
    <w:rsid w:val="005C0F3C"/>
    <w:rsid w:val="005C2513"/>
    <w:rsid w:val="005C5FCB"/>
    <w:rsid w:val="005C70AC"/>
    <w:rsid w:val="005D0BB6"/>
    <w:rsid w:val="005D69A6"/>
    <w:rsid w:val="005E1584"/>
    <w:rsid w:val="005E1893"/>
    <w:rsid w:val="005E1A5E"/>
    <w:rsid w:val="005E364D"/>
    <w:rsid w:val="005F0FCE"/>
    <w:rsid w:val="005F4BEE"/>
    <w:rsid w:val="005F5937"/>
    <w:rsid w:val="006023DB"/>
    <w:rsid w:val="0061052A"/>
    <w:rsid w:val="00611D58"/>
    <w:rsid w:val="0061513D"/>
    <w:rsid w:val="00617765"/>
    <w:rsid w:val="006236AF"/>
    <w:rsid w:val="006314C0"/>
    <w:rsid w:val="00641C6B"/>
    <w:rsid w:val="00645F9D"/>
    <w:rsid w:val="00646347"/>
    <w:rsid w:val="00651AA5"/>
    <w:rsid w:val="00654E73"/>
    <w:rsid w:val="006609EB"/>
    <w:rsid w:val="00661D9A"/>
    <w:rsid w:val="00662000"/>
    <w:rsid w:val="0066239C"/>
    <w:rsid w:val="00662469"/>
    <w:rsid w:val="006650D1"/>
    <w:rsid w:val="006709FC"/>
    <w:rsid w:val="006723DD"/>
    <w:rsid w:val="006728BE"/>
    <w:rsid w:val="006737B5"/>
    <w:rsid w:val="006802C8"/>
    <w:rsid w:val="00682A19"/>
    <w:rsid w:val="00682E0E"/>
    <w:rsid w:val="00685336"/>
    <w:rsid w:val="00691C32"/>
    <w:rsid w:val="006960AB"/>
    <w:rsid w:val="006A3378"/>
    <w:rsid w:val="006A6889"/>
    <w:rsid w:val="006A777B"/>
    <w:rsid w:val="006A7946"/>
    <w:rsid w:val="006B0F99"/>
    <w:rsid w:val="006B3724"/>
    <w:rsid w:val="006B47C2"/>
    <w:rsid w:val="006B7C5F"/>
    <w:rsid w:val="006C4832"/>
    <w:rsid w:val="006F0E9E"/>
    <w:rsid w:val="006F193A"/>
    <w:rsid w:val="006F1BF8"/>
    <w:rsid w:val="006F2AAE"/>
    <w:rsid w:val="006F37E4"/>
    <w:rsid w:val="007026CD"/>
    <w:rsid w:val="00706D73"/>
    <w:rsid w:val="00707479"/>
    <w:rsid w:val="007103DC"/>
    <w:rsid w:val="0072162D"/>
    <w:rsid w:val="00721A8C"/>
    <w:rsid w:val="00723B74"/>
    <w:rsid w:val="00730039"/>
    <w:rsid w:val="00730372"/>
    <w:rsid w:val="00732AE1"/>
    <w:rsid w:val="00737D41"/>
    <w:rsid w:val="007405DD"/>
    <w:rsid w:val="00744FB9"/>
    <w:rsid w:val="007523E7"/>
    <w:rsid w:val="007604CC"/>
    <w:rsid w:val="007631D1"/>
    <w:rsid w:val="00765C7D"/>
    <w:rsid w:val="00765CF4"/>
    <w:rsid w:val="0077291E"/>
    <w:rsid w:val="0077685E"/>
    <w:rsid w:val="00777957"/>
    <w:rsid w:val="00784133"/>
    <w:rsid w:val="00785C31"/>
    <w:rsid w:val="00787517"/>
    <w:rsid w:val="007902FB"/>
    <w:rsid w:val="007A2BE2"/>
    <w:rsid w:val="007A6AB1"/>
    <w:rsid w:val="007B2577"/>
    <w:rsid w:val="007B3D99"/>
    <w:rsid w:val="007C12C1"/>
    <w:rsid w:val="007C51FC"/>
    <w:rsid w:val="007D4126"/>
    <w:rsid w:val="007D698B"/>
    <w:rsid w:val="007E0E27"/>
    <w:rsid w:val="007E222E"/>
    <w:rsid w:val="007E7D46"/>
    <w:rsid w:val="007F5D1E"/>
    <w:rsid w:val="007F7EB3"/>
    <w:rsid w:val="00806003"/>
    <w:rsid w:val="0081012E"/>
    <w:rsid w:val="00810B0F"/>
    <w:rsid w:val="00812094"/>
    <w:rsid w:val="00816CE0"/>
    <w:rsid w:val="00825016"/>
    <w:rsid w:val="00825BC5"/>
    <w:rsid w:val="00831345"/>
    <w:rsid w:val="00840BBA"/>
    <w:rsid w:val="008410C4"/>
    <w:rsid w:val="008450D2"/>
    <w:rsid w:val="0084560C"/>
    <w:rsid w:val="00853F6A"/>
    <w:rsid w:val="00862C59"/>
    <w:rsid w:val="00864EFC"/>
    <w:rsid w:val="00872517"/>
    <w:rsid w:val="00875486"/>
    <w:rsid w:val="008810FB"/>
    <w:rsid w:val="00881B43"/>
    <w:rsid w:val="008821EB"/>
    <w:rsid w:val="008912A9"/>
    <w:rsid w:val="008916F4"/>
    <w:rsid w:val="008918A4"/>
    <w:rsid w:val="00895E62"/>
    <w:rsid w:val="00897B88"/>
    <w:rsid w:val="008A22DD"/>
    <w:rsid w:val="008A46AC"/>
    <w:rsid w:val="008A4890"/>
    <w:rsid w:val="008A7EB6"/>
    <w:rsid w:val="008B0003"/>
    <w:rsid w:val="008B105A"/>
    <w:rsid w:val="008C2D65"/>
    <w:rsid w:val="008C4856"/>
    <w:rsid w:val="008C5D65"/>
    <w:rsid w:val="008C5E17"/>
    <w:rsid w:val="008C6314"/>
    <w:rsid w:val="008C7058"/>
    <w:rsid w:val="008D0E57"/>
    <w:rsid w:val="008D5EDF"/>
    <w:rsid w:val="008F033F"/>
    <w:rsid w:val="008F1607"/>
    <w:rsid w:val="008F500B"/>
    <w:rsid w:val="008F70FA"/>
    <w:rsid w:val="00900612"/>
    <w:rsid w:val="00901CE9"/>
    <w:rsid w:val="0090261E"/>
    <w:rsid w:val="0090298D"/>
    <w:rsid w:val="009059F4"/>
    <w:rsid w:val="009066EB"/>
    <w:rsid w:val="00907FAB"/>
    <w:rsid w:val="00911BF8"/>
    <w:rsid w:val="0091219D"/>
    <w:rsid w:val="0092173D"/>
    <w:rsid w:val="009223F3"/>
    <w:rsid w:val="0092728F"/>
    <w:rsid w:val="0092768A"/>
    <w:rsid w:val="00932BD7"/>
    <w:rsid w:val="009337FB"/>
    <w:rsid w:val="00937494"/>
    <w:rsid w:val="0094441B"/>
    <w:rsid w:val="0094729B"/>
    <w:rsid w:val="00947ED2"/>
    <w:rsid w:val="0095060C"/>
    <w:rsid w:val="009567E2"/>
    <w:rsid w:val="00957A6C"/>
    <w:rsid w:val="00960F19"/>
    <w:rsid w:val="009622B7"/>
    <w:rsid w:val="00962655"/>
    <w:rsid w:val="00963595"/>
    <w:rsid w:val="0099187D"/>
    <w:rsid w:val="009A1C45"/>
    <w:rsid w:val="009A2E5A"/>
    <w:rsid w:val="009A5026"/>
    <w:rsid w:val="009A60ED"/>
    <w:rsid w:val="009A7B09"/>
    <w:rsid w:val="009B55B6"/>
    <w:rsid w:val="009B7854"/>
    <w:rsid w:val="009B7B47"/>
    <w:rsid w:val="009C523B"/>
    <w:rsid w:val="009C6651"/>
    <w:rsid w:val="009D0F03"/>
    <w:rsid w:val="009D3190"/>
    <w:rsid w:val="009D6144"/>
    <w:rsid w:val="009D6343"/>
    <w:rsid w:val="009E522E"/>
    <w:rsid w:val="009E55E5"/>
    <w:rsid w:val="009E6B52"/>
    <w:rsid w:val="009F093C"/>
    <w:rsid w:val="009F1515"/>
    <w:rsid w:val="009F572E"/>
    <w:rsid w:val="009F6963"/>
    <w:rsid w:val="00A00F9F"/>
    <w:rsid w:val="00A01895"/>
    <w:rsid w:val="00A01927"/>
    <w:rsid w:val="00A2187C"/>
    <w:rsid w:val="00A248B2"/>
    <w:rsid w:val="00A355F1"/>
    <w:rsid w:val="00A372ED"/>
    <w:rsid w:val="00A41A6E"/>
    <w:rsid w:val="00A514F5"/>
    <w:rsid w:val="00A56131"/>
    <w:rsid w:val="00A56138"/>
    <w:rsid w:val="00A6113B"/>
    <w:rsid w:val="00A62A1E"/>
    <w:rsid w:val="00A65D29"/>
    <w:rsid w:val="00A73B5E"/>
    <w:rsid w:val="00A7490B"/>
    <w:rsid w:val="00A83495"/>
    <w:rsid w:val="00A83D7A"/>
    <w:rsid w:val="00A95E80"/>
    <w:rsid w:val="00AA0BFA"/>
    <w:rsid w:val="00AA0C09"/>
    <w:rsid w:val="00AA3EEB"/>
    <w:rsid w:val="00AA690C"/>
    <w:rsid w:val="00AA76F8"/>
    <w:rsid w:val="00AA7EB8"/>
    <w:rsid w:val="00AA7EDD"/>
    <w:rsid w:val="00AB2411"/>
    <w:rsid w:val="00AB3CB4"/>
    <w:rsid w:val="00AB65E5"/>
    <w:rsid w:val="00AC3F45"/>
    <w:rsid w:val="00AD2E37"/>
    <w:rsid w:val="00AD36BE"/>
    <w:rsid w:val="00AD3ABF"/>
    <w:rsid w:val="00AE0B9D"/>
    <w:rsid w:val="00AE14DF"/>
    <w:rsid w:val="00AE64FC"/>
    <w:rsid w:val="00AF171F"/>
    <w:rsid w:val="00AF47AB"/>
    <w:rsid w:val="00AF5873"/>
    <w:rsid w:val="00B0121B"/>
    <w:rsid w:val="00B064A5"/>
    <w:rsid w:val="00B15610"/>
    <w:rsid w:val="00B21CFC"/>
    <w:rsid w:val="00B30470"/>
    <w:rsid w:val="00B32544"/>
    <w:rsid w:val="00B37137"/>
    <w:rsid w:val="00B478DF"/>
    <w:rsid w:val="00B5317A"/>
    <w:rsid w:val="00B6471D"/>
    <w:rsid w:val="00B71077"/>
    <w:rsid w:val="00B72078"/>
    <w:rsid w:val="00B75098"/>
    <w:rsid w:val="00B8069D"/>
    <w:rsid w:val="00B846A3"/>
    <w:rsid w:val="00B86A25"/>
    <w:rsid w:val="00B9303F"/>
    <w:rsid w:val="00B93CDD"/>
    <w:rsid w:val="00B93FE8"/>
    <w:rsid w:val="00BA151A"/>
    <w:rsid w:val="00BA1B1C"/>
    <w:rsid w:val="00BA1D6F"/>
    <w:rsid w:val="00BA342D"/>
    <w:rsid w:val="00BA543F"/>
    <w:rsid w:val="00BA721F"/>
    <w:rsid w:val="00BC37DB"/>
    <w:rsid w:val="00BC64EC"/>
    <w:rsid w:val="00BC7905"/>
    <w:rsid w:val="00BD107F"/>
    <w:rsid w:val="00BD25BB"/>
    <w:rsid w:val="00BE0AE8"/>
    <w:rsid w:val="00BE290D"/>
    <w:rsid w:val="00BE2F51"/>
    <w:rsid w:val="00BE2FC9"/>
    <w:rsid w:val="00BE381C"/>
    <w:rsid w:val="00BE7C67"/>
    <w:rsid w:val="00BF26E0"/>
    <w:rsid w:val="00BF5852"/>
    <w:rsid w:val="00C01F27"/>
    <w:rsid w:val="00C021B7"/>
    <w:rsid w:val="00C04344"/>
    <w:rsid w:val="00C04947"/>
    <w:rsid w:val="00C0701A"/>
    <w:rsid w:val="00C133BE"/>
    <w:rsid w:val="00C14A36"/>
    <w:rsid w:val="00C24998"/>
    <w:rsid w:val="00C342BA"/>
    <w:rsid w:val="00C354C3"/>
    <w:rsid w:val="00C3763B"/>
    <w:rsid w:val="00C41D97"/>
    <w:rsid w:val="00C45839"/>
    <w:rsid w:val="00C522ED"/>
    <w:rsid w:val="00C53E79"/>
    <w:rsid w:val="00C54E3E"/>
    <w:rsid w:val="00C57A28"/>
    <w:rsid w:val="00C60F4E"/>
    <w:rsid w:val="00C62A15"/>
    <w:rsid w:val="00C64253"/>
    <w:rsid w:val="00C6708E"/>
    <w:rsid w:val="00C67A4F"/>
    <w:rsid w:val="00C70207"/>
    <w:rsid w:val="00C8590B"/>
    <w:rsid w:val="00C86A48"/>
    <w:rsid w:val="00C926F4"/>
    <w:rsid w:val="00C92857"/>
    <w:rsid w:val="00C93344"/>
    <w:rsid w:val="00CA505D"/>
    <w:rsid w:val="00CB1EC7"/>
    <w:rsid w:val="00CB286B"/>
    <w:rsid w:val="00CB3790"/>
    <w:rsid w:val="00CB47B9"/>
    <w:rsid w:val="00CC18F8"/>
    <w:rsid w:val="00CC6DE0"/>
    <w:rsid w:val="00CD3A0C"/>
    <w:rsid w:val="00CD44BA"/>
    <w:rsid w:val="00CD4A9B"/>
    <w:rsid w:val="00CD5B88"/>
    <w:rsid w:val="00CE143B"/>
    <w:rsid w:val="00CE4BE4"/>
    <w:rsid w:val="00CE7184"/>
    <w:rsid w:val="00CE7E46"/>
    <w:rsid w:val="00CF3780"/>
    <w:rsid w:val="00D009D9"/>
    <w:rsid w:val="00D01720"/>
    <w:rsid w:val="00D05405"/>
    <w:rsid w:val="00D0553B"/>
    <w:rsid w:val="00D104E3"/>
    <w:rsid w:val="00D105F2"/>
    <w:rsid w:val="00D17E95"/>
    <w:rsid w:val="00D230BF"/>
    <w:rsid w:val="00D23460"/>
    <w:rsid w:val="00D2592A"/>
    <w:rsid w:val="00D27854"/>
    <w:rsid w:val="00D34545"/>
    <w:rsid w:val="00D40939"/>
    <w:rsid w:val="00D413BC"/>
    <w:rsid w:val="00D442B4"/>
    <w:rsid w:val="00D468EC"/>
    <w:rsid w:val="00D50B26"/>
    <w:rsid w:val="00D520CA"/>
    <w:rsid w:val="00D554E2"/>
    <w:rsid w:val="00D6145B"/>
    <w:rsid w:val="00D62057"/>
    <w:rsid w:val="00D624F7"/>
    <w:rsid w:val="00D633BC"/>
    <w:rsid w:val="00D64D02"/>
    <w:rsid w:val="00D679D9"/>
    <w:rsid w:val="00D73107"/>
    <w:rsid w:val="00D735D9"/>
    <w:rsid w:val="00D76B29"/>
    <w:rsid w:val="00D8434F"/>
    <w:rsid w:val="00D868BB"/>
    <w:rsid w:val="00DB16AA"/>
    <w:rsid w:val="00DC1548"/>
    <w:rsid w:val="00DC2A47"/>
    <w:rsid w:val="00DC2CD2"/>
    <w:rsid w:val="00DC3B0E"/>
    <w:rsid w:val="00DC5CF8"/>
    <w:rsid w:val="00DC69FD"/>
    <w:rsid w:val="00DC7376"/>
    <w:rsid w:val="00DD13A2"/>
    <w:rsid w:val="00DD23D5"/>
    <w:rsid w:val="00DD6121"/>
    <w:rsid w:val="00DE68FB"/>
    <w:rsid w:val="00DF20E9"/>
    <w:rsid w:val="00DF3655"/>
    <w:rsid w:val="00DF3E79"/>
    <w:rsid w:val="00DF48EA"/>
    <w:rsid w:val="00DF68F0"/>
    <w:rsid w:val="00DF7BA1"/>
    <w:rsid w:val="00E01710"/>
    <w:rsid w:val="00E026B2"/>
    <w:rsid w:val="00E03724"/>
    <w:rsid w:val="00E03F39"/>
    <w:rsid w:val="00E05F4E"/>
    <w:rsid w:val="00E06CE7"/>
    <w:rsid w:val="00E06FD6"/>
    <w:rsid w:val="00E1205E"/>
    <w:rsid w:val="00E128C4"/>
    <w:rsid w:val="00E13DFD"/>
    <w:rsid w:val="00E1619F"/>
    <w:rsid w:val="00E25435"/>
    <w:rsid w:val="00E2587F"/>
    <w:rsid w:val="00E301FF"/>
    <w:rsid w:val="00E33239"/>
    <w:rsid w:val="00E3466E"/>
    <w:rsid w:val="00E43426"/>
    <w:rsid w:val="00E542D2"/>
    <w:rsid w:val="00E551D4"/>
    <w:rsid w:val="00E632B6"/>
    <w:rsid w:val="00E63E46"/>
    <w:rsid w:val="00E65613"/>
    <w:rsid w:val="00E65828"/>
    <w:rsid w:val="00E66A14"/>
    <w:rsid w:val="00E8022F"/>
    <w:rsid w:val="00E8510B"/>
    <w:rsid w:val="00E85A1C"/>
    <w:rsid w:val="00E860E3"/>
    <w:rsid w:val="00EA0F63"/>
    <w:rsid w:val="00EA1DF6"/>
    <w:rsid w:val="00EA390B"/>
    <w:rsid w:val="00EA4DE2"/>
    <w:rsid w:val="00EB27DD"/>
    <w:rsid w:val="00EB4BF8"/>
    <w:rsid w:val="00EB56C9"/>
    <w:rsid w:val="00EB5985"/>
    <w:rsid w:val="00EB7ECF"/>
    <w:rsid w:val="00ED3008"/>
    <w:rsid w:val="00ED3598"/>
    <w:rsid w:val="00ED4130"/>
    <w:rsid w:val="00ED5A4F"/>
    <w:rsid w:val="00ED765B"/>
    <w:rsid w:val="00EE3F6B"/>
    <w:rsid w:val="00EE5293"/>
    <w:rsid w:val="00EE773C"/>
    <w:rsid w:val="00EF0D00"/>
    <w:rsid w:val="00EF4BA7"/>
    <w:rsid w:val="00EF5F11"/>
    <w:rsid w:val="00EF6885"/>
    <w:rsid w:val="00F03D4D"/>
    <w:rsid w:val="00F11394"/>
    <w:rsid w:val="00F114E1"/>
    <w:rsid w:val="00F17059"/>
    <w:rsid w:val="00F173FB"/>
    <w:rsid w:val="00F21D93"/>
    <w:rsid w:val="00F21DA3"/>
    <w:rsid w:val="00F23F4E"/>
    <w:rsid w:val="00F26304"/>
    <w:rsid w:val="00F26D83"/>
    <w:rsid w:val="00F26DFF"/>
    <w:rsid w:val="00F32C9E"/>
    <w:rsid w:val="00F32E88"/>
    <w:rsid w:val="00F34698"/>
    <w:rsid w:val="00F347F8"/>
    <w:rsid w:val="00F3572C"/>
    <w:rsid w:val="00F3575A"/>
    <w:rsid w:val="00F4762D"/>
    <w:rsid w:val="00F5099D"/>
    <w:rsid w:val="00F51ACA"/>
    <w:rsid w:val="00F53227"/>
    <w:rsid w:val="00F54D57"/>
    <w:rsid w:val="00F621FC"/>
    <w:rsid w:val="00F72366"/>
    <w:rsid w:val="00F72D6A"/>
    <w:rsid w:val="00F80428"/>
    <w:rsid w:val="00F817B4"/>
    <w:rsid w:val="00F8304E"/>
    <w:rsid w:val="00F85621"/>
    <w:rsid w:val="00F871E9"/>
    <w:rsid w:val="00F9261A"/>
    <w:rsid w:val="00F943F8"/>
    <w:rsid w:val="00FA0E82"/>
    <w:rsid w:val="00FA1AC0"/>
    <w:rsid w:val="00FA3D83"/>
    <w:rsid w:val="00FA3F4D"/>
    <w:rsid w:val="00FA42CA"/>
    <w:rsid w:val="00FA4344"/>
    <w:rsid w:val="00FB0029"/>
    <w:rsid w:val="00FC2D31"/>
    <w:rsid w:val="00FC4959"/>
    <w:rsid w:val="00FC4AA3"/>
    <w:rsid w:val="00FC715F"/>
    <w:rsid w:val="00FD3998"/>
    <w:rsid w:val="00FD4AD8"/>
    <w:rsid w:val="00FD517D"/>
    <w:rsid w:val="00FE0E62"/>
    <w:rsid w:val="00FE137D"/>
    <w:rsid w:val="00FE31D6"/>
    <w:rsid w:val="00FE6CE5"/>
    <w:rsid w:val="00FE73B4"/>
    <w:rsid w:val="00FE7DE9"/>
    <w:rsid w:val="00FF0479"/>
  </w:rsids>
  <m:mathPr>
    <m:mathFont m:val="Cambria Math"/>
    <m:brkBin m:val="before"/>
    <m:brkBinSub m:val="--"/>
    <m:smallFrac m:val="0"/>
    <m:dispDef/>
    <m:lMargin m:val="0"/>
    <m:rMargin m:val="0"/>
    <m:defJc m:val="centerGroup"/>
    <m:wrapIndent m:val="1440"/>
    <m:intLim m:val="subSup"/>
    <m:naryLim m:val="undOvr"/>
  </m:mathPr>
  <w:themeFontLang w:val="sv-S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C9CB1"/>
  <w15:chartTrackingRefBased/>
  <w15:docId w15:val="{D38ABD6F-9966-0B46-A618-3C944B240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sv-S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Rubrik1">
    <w:name w:val="heading 1"/>
    <w:basedOn w:val="Normal"/>
    <w:next w:val="Normal"/>
    <w:link w:val="Rubrik1Char"/>
    <w:uiPriority w:val="9"/>
    <w:qFormat/>
    <w:rsid w:val="0041598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Rubrik2">
    <w:name w:val="heading 2"/>
    <w:basedOn w:val="Normal"/>
    <w:next w:val="Normal"/>
    <w:link w:val="Rubrik2Char"/>
    <w:uiPriority w:val="9"/>
    <w:semiHidden/>
    <w:unhideWhenUsed/>
    <w:qFormat/>
    <w:rsid w:val="0041598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Rubrik3">
    <w:name w:val="heading 3"/>
    <w:basedOn w:val="Normal"/>
    <w:next w:val="Normal"/>
    <w:link w:val="Rubrik3Char"/>
    <w:uiPriority w:val="9"/>
    <w:semiHidden/>
    <w:unhideWhenUsed/>
    <w:qFormat/>
    <w:rsid w:val="0041598D"/>
    <w:pPr>
      <w:keepNext/>
      <w:keepLines/>
      <w:spacing w:before="160" w:after="80"/>
      <w:outlineLvl w:val="2"/>
    </w:pPr>
    <w:rPr>
      <w:rFonts w:eastAsiaTheme="majorEastAsia" w:cstheme="majorBidi"/>
      <w:color w:val="2F5496" w:themeColor="accent1" w:themeShade="BF"/>
      <w:sz w:val="28"/>
      <w:szCs w:val="28"/>
    </w:rPr>
  </w:style>
  <w:style w:type="paragraph" w:styleId="Rubrik4">
    <w:name w:val="heading 4"/>
    <w:basedOn w:val="Normal"/>
    <w:next w:val="Normal"/>
    <w:link w:val="Rubrik4Char"/>
    <w:uiPriority w:val="9"/>
    <w:semiHidden/>
    <w:unhideWhenUsed/>
    <w:qFormat/>
    <w:rsid w:val="0027720E"/>
    <w:pPr>
      <w:keepNext/>
      <w:keepLines/>
      <w:spacing w:before="80" w:after="40"/>
      <w:outlineLvl w:val="3"/>
    </w:pPr>
    <w:rPr>
      <w:rFonts w:eastAsiaTheme="majorEastAsia" w:cstheme="majorBidi"/>
      <w:i/>
      <w:iCs/>
      <w:color w:val="2F5496" w:themeColor="accent1" w:themeShade="BF"/>
    </w:rPr>
  </w:style>
  <w:style w:type="paragraph" w:styleId="Rubrik5">
    <w:name w:val="heading 5"/>
    <w:basedOn w:val="Normal"/>
    <w:next w:val="Normal"/>
    <w:link w:val="Rubrik5Char"/>
    <w:uiPriority w:val="9"/>
    <w:semiHidden/>
    <w:unhideWhenUsed/>
    <w:qFormat/>
    <w:rsid w:val="0041598D"/>
    <w:pPr>
      <w:keepNext/>
      <w:keepLines/>
      <w:spacing w:before="80" w:after="40"/>
      <w:outlineLvl w:val="4"/>
    </w:pPr>
    <w:rPr>
      <w:rFonts w:eastAsiaTheme="majorEastAsia" w:cstheme="majorBidi"/>
      <w:color w:val="2F5496" w:themeColor="accent1" w:themeShade="BF"/>
    </w:rPr>
  </w:style>
  <w:style w:type="paragraph" w:styleId="Rubrik6">
    <w:name w:val="heading 6"/>
    <w:basedOn w:val="Normal"/>
    <w:next w:val="Normal"/>
    <w:link w:val="Rubrik6Char"/>
    <w:uiPriority w:val="9"/>
    <w:semiHidden/>
    <w:unhideWhenUsed/>
    <w:qFormat/>
    <w:rsid w:val="0041598D"/>
    <w:pPr>
      <w:keepNext/>
      <w:keepLines/>
      <w:spacing w:before="4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41598D"/>
    <w:pPr>
      <w:keepNext/>
      <w:keepLines/>
      <w:spacing w:before="4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41598D"/>
    <w:pPr>
      <w:keepNext/>
      <w:keepLines/>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41598D"/>
    <w:pPr>
      <w:keepNext/>
      <w:keepLines/>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HARTitle">
    <w:name w:val="HAR_Title"/>
    <w:basedOn w:val="HARNormal"/>
    <w:next w:val="HARNormal"/>
    <w:qFormat/>
    <w:rsid w:val="00E301FF"/>
    <w:pPr>
      <w:spacing w:before="1600" w:after="400"/>
      <w:jc w:val="center"/>
    </w:pPr>
    <w:rPr>
      <w:rFonts w:ascii="Arial" w:hAnsi="Arial"/>
      <w:b/>
      <w:sz w:val="56"/>
    </w:rPr>
  </w:style>
  <w:style w:type="paragraph" w:customStyle="1" w:styleId="HARSubtitle">
    <w:name w:val="HAR_Subtitle"/>
    <w:basedOn w:val="HARNormal"/>
    <w:next w:val="HARNormal"/>
    <w:qFormat/>
    <w:rsid w:val="007D698B"/>
    <w:pPr>
      <w:spacing w:after="960"/>
      <w:jc w:val="center"/>
    </w:pPr>
    <w:rPr>
      <w:rFonts w:ascii="Arial" w:hAnsi="Arial"/>
      <w:sz w:val="36"/>
    </w:rPr>
  </w:style>
  <w:style w:type="paragraph" w:customStyle="1" w:styleId="HARAuthorname">
    <w:name w:val="HAR_Authorname"/>
    <w:basedOn w:val="HARNormal"/>
    <w:next w:val="HARNormal"/>
    <w:qFormat/>
    <w:rsid w:val="007D698B"/>
    <w:pPr>
      <w:jc w:val="center"/>
    </w:pPr>
    <w:rPr>
      <w:rFonts w:ascii="Arial" w:hAnsi="Arial"/>
      <w:b/>
      <w:sz w:val="36"/>
    </w:rPr>
  </w:style>
  <w:style w:type="paragraph" w:customStyle="1" w:styleId="HARTitlepage">
    <w:name w:val="HAR_Titlepage"/>
    <w:basedOn w:val="HARNormal"/>
    <w:qFormat/>
    <w:rsid w:val="003E5E32"/>
    <w:pPr>
      <w:spacing w:after="200"/>
      <w:jc w:val="center"/>
    </w:pPr>
    <w:rPr>
      <w:rFonts w:ascii="Arial" w:hAnsi="Arial"/>
    </w:rPr>
  </w:style>
  <w:style w:type="paragraph" w:customStyle="1" w:styleId="HARBodytext">
    <w:name w:val="HAR_Bodytext"/>
    <w:basedOn w:val="HARNormal"/>
    <w:qFormat/>
    <w:rsid w:val="004F2F8B"/>
    <w:pPr>
      <w:spacing w:after="200" w:line="276" w:lineRule="auto"/>
      <w:jc w:val="both"/>
    </w:pPr>
    <w:rPr>
      <w:sz w:val="22"/>
    </w:rPr>
  </w:style>
  <w:style w:type="paragraph" w:customStyle="1" w:styleId="HARHeading">
    <w:name w:val="HAR_Heading"/>
    <w:basedOn w:val="HARNormal"/>
    <w:next w:val="HARNormal"/>
    <w:qFormat/>
    <w:rsid w:val="004F601B"/>
    <w:pPr>
      <w:keepNext/>
      <w:spacing w:before="400" w:after="960"/>
      <w:outlineLvl w:val="0"/>
    </w:pPr>
    <w:rPr>
      <w:rFonts w:ascii="Arial" w:hAnsi="Arial"/>
      <w:b/>
      <w:sz w:val="36"/>
    </w:rPr>
  </w:style>
  <w:style w:type="paragraph" w:customStyle="1" w:styleId="HARHeadingNOTOC">
    <w:name w:val="HAR_Heading_NOTOC"/>
    <w:basedOn w:val="HARNormal"/>
    <w:qFormat/>
    <w:rsid w:val="007D698B"/>
    <w:pPr>
      <w:spacing w:before="400" w:after="960"/>
    </w:pPr>
    <w:rPr>
      <w:rFonts w:ascii="Arial" w:hAnsi="Arial"/>
      <w:b/>
      <w:sz w:val="36"/>
    </w:rPr>
  </w:style>
  <w:style w:type="paragraph" w:customStyle="1" w:styleId="HARNote">
    <w:name w:val="HAR_Note"/>
    <w:basedOn w:val="HARNormal"/>
    <w:qFormat/>
    <w:rsid w:val="00FA42CA"/>
    <w:pPr>
      <w:spacing w:after="120" w:line="288" w:lineRule="auto"/>
      <w:jc w:val="both"/>
    </w:pPr>
    <w:rPr>
      <w:rFonts w:ascii="Arial" w:hAnsi="Arial"/>
      <w:sz w:val="16"/>
    </w:rPr>
  </w:style>
  <w:style w:type="paragraph" w:styleId="Innehll1">
    <w:name w:val="toc 1"/>
    <w:basedOn w:val="Normal"/>
    <w:next w:val="Normal"/>
    <w:autoRedefine/>
    <w:uiPriority w:val="39"/>
    <w:unhideWhenUsed/>
    <w:rsid w:val="00AA76F8"/>
    <w:pPr>
      <w:tabs>
        <w:tab w:val="right" w:leader="dot" w:pos="7360"/>
      </w:tabs>
      <w:spacing w:before="200" w:after="100"/>
      <w:ind w:left="340" w:hanging="340"/>
    </w:pPr>
    <w:rPr>
      <w:rFonts w:ascii="Times New Roman" w:hAnsi="Times New Roman"/>
      <w:b/>
      <w:sz w:val="22"/>
    </w:rPr>
  </w:style>
  <w:style w:type="character" w:styleId="Hyperlnk">
    <w:name w:val="Hyperlink"/>
    <w:basedOn w:val="Standardstycketeckensnitt"/>
    <w:uiPriority w:val="99"/>
    <w:unhideWhenUsed/>
    <w:rsid w:val="00B37137"/>
    <w:rPr>
      <w:color w:val="0563C1" w:themeColor="hyperlink"/>
      <w:u w:val="single"/>
    </w:rPr>
  </w:style>
  <w:style w:type="paragraph" w:styleId="Sidhuvud">
    <w:name w:val="header"/>
    <w:basedOn w:val="HARNormal"/>
    <w:link w:val="SidhuvudChar"/>
    <w:uiPriority w:val="99"/>
    <w:unhideWhenUsed/>
    <w:rsid w:val="009337FB"/>
    <w:pPr>
      <w:tabs>
        <w:tab w:val="center" w:pos="4536"/>
        <w:tab w:val="right" w:pos="9072"/>
      </w:tabs>
    </w:pPr>
  </w:style>
  <w:style w:type="character" w:customStyle="1" w:styleId="SidhuvudChar">
    <w:name w:val="Sidhuvud Char"/>
    <w:basedOn w:val="Standardstycketeckensnitt"/>
    <w:link w:val="Sidhuvud"/>
    <w:uiPriority w:val="99"/>
    <w:rsid w:val="008F033F"/>
    <w:rPr>
      <w:rFonts w:ascii="Times New Roman" w:hAnsi="Times New Roman"/>
    </w:rPr>
  </w:style>
  <w:style w:type="paragraph" w:styleId="Sidfot">
    <w:name w:val="footer"/>
    <w:basedOn w:val="HARNormal"/>
    <w:link w:val="SidfotChar"/>
    <w:uiPriority w:val="99"/>
    <w:unhideWhenUsed/>
    <w:rsid w:val="009337FB"/>
    <w:rPr>
      <w:sz w:val="20"/>
    </w:rPr>
  </w:style>
  <w:style w:type="character" w:customStyle="1" w:styleId="SidfotChar">
    <w:name w:val="Sidfot Char"/>
    <w:basedOn w:val="Standardstycketeckensnitt"/>
    <w:link w:val="Sidfot"/>
    <w:uiPriority w:val="99"/>
    <w:rsid w:val="008F033F"/>
    <w:rPr>
      <w:rFonts w:ascii="Times New Roman" w:hAnsi="Times New Roman"/>
      <w:sz w:val="20"/>
    </w:rPr>
  </w:style>
  <w:style w:type="character" w:styleId="Sidnummer">
    <w:name w:val="page number"/>
    <w:basedOn w:val="Standardstycketeckensnitt"/>
    <w:uiPriority w:val="99"/>
    <w:semiHidden/>
    <w:unhideWhenUsed/>
    <w:rsid w:val="009337FB"/>
  </w:style>
  <w:style w:type="paragraph" w:customStyle="1" w:styleId="HARAbbreviations">
    <w:name w:val="HAR_Abbreviations"/>
    <w:basedOn w:val="HARNormal"/>
    <w:qFormat/>
    <w:rsid w:val="00ED3598"/>
    <w:pPr>
      <w:spacing w:after="120"/>
      <w:ind w:left="1418" w:hanging="1418"/>
      <w:jc w:val="both"/>
    </w:pPr>
    <w:rPr>
      <w:sz w:val="22"/>
    </w:rPr>
  </w:style>
  <w:style w:type="paragraph" w:customStyle="1" w:styleId="HARHeading1">
    <w:name w:val="HAR_Heading_1"/>
    <w:basedOn w:val="HARNormal"/>
    <w:qFormat/>
    <w:rsid w:val="001B292B"/>
    <w:pPr>
      <w:keepNext/>
      <w:numPr>
        <w:numId w:val="1"/>
      </w:numPr>
      <w:spacing w:before="400" w:after="960"/>
      <w:outlineLvl w:val="0"/>
    </w:pPr>
    <w:rPr>
      <w:rFonts w:ascii="Arial" w:hAnsi="Arial"/>
      <w:b/>
      <w:sz w:val="36"/>
    </w:rPr>
  </w:style>
  <w:style w:type="paragraph" w:customStyle="1" w:styleId="HARHeading2">
    <w:name w:val="HAR_Heading_2"/>
    <w:basedOn w:val="HARNormal"/>
    <w:qFormat/>
    <w:rsid w:val="00F34698"/>
    <w:pPr>
      <w:keepNext/>
      <w:numPr>
        <w:ilvl w:val="1"/>
        <w:numId w:val="1"/>
      </w:numPr>
      <w:spacing w:before="600" w:after="200"/>
      <w:ind w:left="794" w:hanging="794"/>
      <w:outlineLvl w:val="1"/>
    </w:pPr>
    <w:rPr>
      <w:rFonts w:ascii="Arial" w:hAnsi="Arial"/>
      <w:b/>
    </w:rPr>
  </w:style>
  <w:style w:type="paragraph" w:styleId="Innehll2">
    <w:name w:val="toc 2"/>
    <w:basedOn w:val="Normal"/>
    <w:next w:val="Normal"/>
    <w:autoRedefine/>
    <w:uiPriority w:val="39"/>
    <w:unhideWhenUsed/>
    <w:rsid w:val="00AA76F8"/>
    <w:pPr>
      <w:spacing w:after="100"/>
      <w:ind w:left="794" w:hanging="454"/>
    </w:pPr>
    <w:rPr>
      <w:rFonts w:ascii="Times New Roman" w:hAnsi="Times New Roman"/>
      <w:sz w:val="22"/>
    </w:rPr>
  </w:style>
  <w:style w:type="paragraph" w:customStyle="1" w:styleId="HARHeading3">
    <w:name w:val="HAR_Heading_3"/>
    <w:basedOn w:val="Normal"/>
    <w:qFormat/>
    <w:rsid w:val="00691C32"/>
    <w:pPr>
      <w:jc w:val="both"/>
    </w:pPr>
  </w:style>
  <w:style w:type="paragraph" w:customStyle="1" w:styleId="HARHeading4">
    <w:name w:val="HAR_Heading_4"/>
    <w:basedOn w:val="HARNormal"/>
    <w:qFormat/>
    <w:rsid w:val="001C157F"/>
    <w:pPr>
      <w:keepNext/>
      <w:numPr>
        <w:ilvl w:val="3"/>
        <w:numId w:val="1"/>
      </w:numPr>
      <w:spacing w:before="400" w:after="200"/>
      <w:outlineLvl w:val="3"/>
    </w:pPr>
    <w:rPr>
      <w:rFonts w:ascii="Arial" w:hAnsi="Arial"/>
      <w:sz w:val="20"/>
    </w:rPr>
  </w:style>
  <w:style w:type="paragraph" w:styleId="Fotnotstext">
    <w:name w:val="footnote text"/>
    <w:basedOn w:val="HARNormal"/>
    <w:link w:val="FotnotstextChar"/>
    <w:uiPriority w:val="99"/>
    <w:semiHidden/>
    <w:unhideWhenUsed/>
    <w:rsid w:val="00261A7C"/>
    <w:pPr>
      <w:spacing w:after="40"/>
      <w:jc w:val="both"/>
    </w:pPr>
    <w:rPr>
      <w:sz w:val="16"/>
      <w:szCs w:val="20"/>
    </w:rPr>
  </w:style>
  <w:style w:type="character" w:customStyle="1" w:styleId="FotnotstextChar">
    <w:name w:val="Fotnotstext Char"/>
    <w:basedOn w:val="Standardstycketeckensnitt"/>
    <w:link w:val="Fotnotstext"/>
    <w:uiPriority w:val="99"/>
    <w:semiHidden/>
    <w:rsid w:val="008F033F"/>
    <w:rPr>
      <w:rFonts w:ascii="Times New Roman" w:hAnsi="Times New Roman"/>
      <w:sz w:val="16"/>
      <w:szCs w:val="20"/>
    </w:rPr>
  </w:style>
  <w:style w:type="character" w:styleId="Fotnotsreferens">
    <w:name w:val="footnote reference"/>
    <w:basedOn w:val="Standardstycketeckensnitt"/>
    <w:uiPriority w:val="99"/>
    <w:semiHidden/>
    <w:unhideWhenUsed/>
    <w:rsid w:val="00D442B4"/>
    <w:rPr>
      <w:vertAlign w:val="superscript"/>
    </w:rPr>
  </w:style>
  <w:style w:type="paragraph" w:customStyle="1" w:styleId="HARBlockquote">
    <w:name w:val="HAR_Blockquote"/>
    <w:basedOn w:val="HARBodytext"/>
    <w:qFormat/>
    <w:rsid w:val="00D442B4"/>
    <w:pPr>
      <w:ind w:left="284"/>
    </w:pPr>
    <w:rPr>
      <w:sz w:val="18"/>
    </w:rPr>
  </w:style>
  <w:style w:type="paragraph" w:styleId="Innehll3">
    <w:name w:val="toc 3"/>
    <w:basedOn w:val="Normal"/>
    <w:next w:val="Normal"/>
    <w:autoRedefine/>
    <w:uiPriority w:val="39"/>
    <w:unhideWhenUsed/>
    <w:rsid w:val="00AA76F8"/>
    <w:pPr>
      <w:spacing w:after="100"/>
      <w:ind w:left="1361" w:hanging="567"/>
    </w:pPr>
    <w:rPr>
      <w:rFonts w:ascii="Times New Roman" w:hAnsi="Times New Roman"/>
      <w:sz w:val="22"/>
    </w:rPr>
  </w:style>
  <w:style w:type="paragraph" w:customStyle="1" w:styleId="HARReferenceList">
    <w:name w:val="HAR_Reference_List"/>
    <w:basedOn w:val="HARNormal"/>
    <w:qFormat/>
    <w:rsid w:val="00E05F4E"/>
    <w:pPr>
      <w:spacing w:after="120"/>
      <w:ind w:left="284" w:hanging="284"/>
      <w:jc w:val="both"/>
    </w:pPr>
    <w:rPr>
      <w:sz w:val="22"/>
    </w:rPr>
  </w:style>
  <w:style w:type="paragraph" w:customStyle="1" w:styleId="HARHeading1ReferenceList">
    <w:name w:val="HAR_Heading_1_Reference_List"/>
    <w:basedOn w:val="HARNormal"/>
    <w:next w:val="HARReferenceList"/>
    <w:qFormat/>
    <w:rsid w:val="008F033F"/>
    <w:pPr>
      <w:keepNext/>
      <w:spacing w:before="600" w:after="200"/>
    </w:pPr>
    <w:rPr>
      <w:rFonts w:ascii="Arial" w:hAnsi="Arial"/>
      <w:b/>
    </w:rPr>
  </w:style>
  <w:style w:type="paragraph" w:customStyle="1" w:styleId="HARHeading2ReferenceList">
    <w:name w:val="HAR_Heading_2_Reference_List"/>
    <w:basedOn w:val="HARNormal"/>
    <w:next w:val="HARReferenceList"/>
    <w:qFormat/>
    <w:rsid w:val="008F033F"/>
    <w:pPr>
      <w:spacing w:before="400" w:after="200"/>
    </w:pPr>
    <w:rPr>
      <w:rFonts w:ascii="Arial" w:hAnsi="Arial"/>
      <w:sz w:val="22"/>
    </w:rPr>
  </w:style>
  <w:style w:type="paragraph" w:customStyle="1" w:styleId="HARNormal">
    <w:name w:val="HAR_Normal"/>
    <w:basedOn w:val="Normal"/>
    <w:qFormat/>
    <w:rsid w:val="00E2587F"/>
    <w:rPr>
      <w:rFonts w:ascii="Times New Roman" w:hAnsi="Times New Roman"/>
    </w:rPr>
  </w:style>
  <w:style w:type="paragraph" w:customStyle="1" w:styleId="HARNoteStrong">
    <w:name w:val="HAR_Note_Strong"/>
    <w:basedOn w:val="HARNote"/>
    <w:qFormat/>
    <w:rsid w:val="00D230BF"/>
    <w:rPr>
      <w:b/>
      <w:sz w:val="20"/>
      <w:lang w:val="en-US"/>
    </w:rPr>
  </w:style>
  <w:style w:type="character" w:customStyle="1" w:styleId="apple-converted-space">
    <w:name w:val="apple-converted-space"/>
    <w:basedOn w:val="Standardstycketeckensnitt"/>
    <w:rsid w:val="00EB5985"/>
  </w:style>
  <w:style w:type="character" w:styleId="Stark">
    <w:name w:val="Strong"/>
    <w:basedOn w:val="Standardstycketeckensnitt"/>
    <w:uiPriority w:val="22"/>
    <w:qFormat/>
    <w:rsid w:val="00EB5985"/>
    <w:rPr>
      <w:b/>
      <w:bCs/>
    </w:rPr>
  </w:style>
  <w:style w:type="character" w:customStyle="1" w:styleId="Rubrik4Char">
    <w:name w:val="Rubrik 4 Char"/>
    <w:basedOn w:val="Standardstycketeckensnitt"/>
    <w:link w:val="Rubrik4"/>
    <w:uiPriority w:val="9"/>
    <w:semiHidden/>
    <w:rsid w:val="0027720E"/>
    <w:rPr>
      <w:rFonts w:eastAsiaTheme="majorEastAsia" w:cstheme="majorBidi"/>
      <w:i/>
      <w:iCs/>
      <w:color w:val="2F5496" w:themeColor="accent1" w:themeShade="BF"/>
      <w:lang w:val="en-GB"/>
    </w:rPr>
  </w:style>
  <w:style w:type="character" w:customStyle="1" w:styleId="ng-star-inserted">
    <w:name w:val="ng-star-inserted"/>
    <w:basedOn w:val="Standardstycketeckensnitt"/>
    <w:rsid w:val="00FB0029"/>
  </w:style>
  <w:style w:type="character" w:customStyle="1" w:styleId="bold">
    <w:name w:val="bold"/>
    <w:basedOn w:val="Standardstycketeckensnitt"/>
    <w:rsid w:val="00FB0029"/>
  </w:style>
  <w:style w:type="paragraph" w:styleId="Normalwebb">
    <w:name w:val="Normal (Web)"/>
    <w:basedOn w:val="Normal"/>
    <w:uiPriority w:val="99"/>
    <w:unhideWhenUsed/>
    <w:rsid w:val="00A355F1"/>
    <w:pPr>
      <w:spacing w:before="100" w:beforeAutospacing="1" w:after="100" w:afterAutospacing="1"/>
    </w:pPr>
    <w:rPr>
      <w:rFonts w:ascii="Times New Roman" w:eastAsia="Times New Roman" w:hAnsi="Times New Roman" w:cs="Times New Roman"/>
      <w:lang w:val="en-IE" w:eastAsia="en-GB"/>
    </w:rPr>
  </w:style>
  <w:style w:type="paragraph" w:styleId="Liststycke">
    <w:name w:val="List Paragraph"/>
    <w:basedOn w:val="Normal"/>
    <w:uiPriority w:val="34"/>
    <w:qFormat/>
    <w:rsid w:val="00D413BC"/>
    <w:pPr>
      <w:ind w:left="720"/>
      <w:contextualSpacing/>
    </w:pPr>
  </w:style>
  <w:style w:type="character" w:styleId="Betoning">
    <w:name w:val="Emphasis"/>
    <w:basedOn w:val="Standardstycketeckensnitt"/>
    <w:uiPriority w:val="20"/>
    <w:qFormat/>
    <w:rsid w:val="005804EE"/>
    <w:rPr>
      <w:i/>
      <w:iCs/>
    </w:rPr>
  </w:style>
  <w:style w:type="character" w:customStyle="1" w:styleId="Rubrik1Char">
    <w:name w:val="Rubrik 1 Char"/>
    <w:basedOn w:val="Standardstycketeckensnitt"/>
    <w:link w:val="Rubrik1"/>
    <w:uiPriority w:val="9"/>
    <w:rsid w:val="0041598D"/>
    <w:rPr>
      <w:rFonts w:asciiTheme="majorHAnsi" w:eastAsiaTheme="majorEastAsia" w:hAnsiTheme="majorHAnsi" w:cstheme="majorBidi"/>
      <w:color w:val="2F5496" w:themeColor="accent1" w:themeShade="BF"/>
      <w:sz w:val="40"/>
      <w:szCs w:val="40"/>
      <w:lang w:val="en-GB"/>
    </w:rPr>
  </w:style>
  <w:style w:type="character" w:customStyle="1" w:styleId="Rubrik2Char">
    <w:name w:val="Rubrik 2 Char"/>
    <w:basedOn w:val="Standardstycketeckensnitt"/>
    <w:link w:val="Rubrik2"/>
    <w:uiPriority w:val="9"/>
    <w:semiHidden/>
    <w:rsid w:val="0041598D"/>
    <w:rPr>
      <w:rFonts w:asciiTheme="majorHAnsi" w:eastAsiaTheme="majorEastAsia" w:hAnsiTheme="majorHAnsi" w:cstheme="majorBidi"/>
      <w:color w:val="2F5496" w:themeColor="accent1" w:themeShade="BF"/>
      <w:sz w:val="32"/>
      <w:szCs w:val="32"/>
      <w:lang w:val="en-GB"/>
    </w:rPr>
  </w:style>
  <w:style w:type="character" w:customStyle="1" w:styleId="Rubrik3Char">
    <w:name w:val="Rubrik 3 Char"/>
    <w:basedOn w:val="Standardstycketeckensnitt"/>
    <w:link w:val="Rubrik3"/>
    <w:uiPriority w:val="9"/>
    <w:semiHidden/>
    <w:rsid w:val="0041598D"/>
    <w:rPr>
      <w:rFonts w:eastAsiaTheme="majorEastAsia" w:cstheme="majorBidi"/>
      <w:color w:val="2F5496" w:themeColor="accent1" w:themeShade="BF"/>
      <w:sz w:val="28"/>
      <w:szCs w:val="28"/>
      <w:lang w:val="en-GB"/>
    </w:rPr>
  </w:style>
  <w:style w:type="character" w:customStyle="1" w:styleId="Rubrik5Char">
    <w:name w:val="Rubrik 5 Char"/>
    <w:basedOn w:val="Standardstycketeckensnitt"/>
    <w:link w:val="Rubrik5"/>
    <w:uiPriority w:val="9"/>
    <w:semiHidden/>
    <w:rsid w:val="0041598D"/>
    <w:rPr>
      <w:rFonts w:eastAsiaTheme="majorEastAsia" w:cstheme="majorBidi"/>
      <w:color w:val="2F5496" w:themeColor="accent1" w:themeShade="BF"/>
      <w:lang w:val="en-GB"/>
    </w:rPr>
  </w:style>
  <w:style w:type="character" w:customStyle="1" w:styleId="Rubrik6Char">
    <w:name w:val="Rubrik 6 Char"/>
    <w:basedOn w:val="Standardstycketeckensnitt"/>
    <w:link w:val="Rubrik6"/>
    <w:uiPriority w:val="9"/>
    <w:semiHidden/>
    <w:rsid w:val="0041598D"/>
    <w:rPr>
      <w:rFonts w:eastAsiaTheme="majorEastAsia" w:cstheme="majorBidi"/>
      <w:i/>
      <w:iCs/>
      <w:color w:val="595959" w:themeColor="text1" w:themeTint="A6"/>
      <w:lang w:val="en-GB"/>
    </w:rPr>
  </w:style>
  <w:style w:type="character" w:customStyle="1" w:styleId="Rubrik7Char">
    <w:name w:val="Rubrik 7 Char"/>
    <w:basedOn w:val="Standardstycketeckensnitt"/>
    <w:link w:val="Rubrik7"/>
    <w:uiPriority w:val="9"/>
    <w:semiHidden/>
    <w:rsid w:val="0041598D"/>
    <w:rPr>
      <w:rFonts w:eastAsiaTheme="majorEastAsia" w:cstheme="majorBidi"/>
      <w:color w:val="595959" w:themeColor="text1" w:themeTint="A6"/>
      <w:lang w:val="en-GB"/>
    </w:rPr>
  </w:style>
  <w:style w:type="character" w:customStyle="1" w:styleId="Rubrik8Char">
    <w:name w:val="Rubrik 8 Char"/>
    <w:basedOn w:val="Standardstycketeckensnitt"/>
    <w:link w:val="Rubrik8"/>
    <w:uiPriority w:val="9"/>
    <w:semiHidden/>
    <w:rsid w:val="0041598D"/>
    <w:rPr>
      <w:rFonts w:eastAsiaTheme="majorEastAsia" w:cstheme="majorBidi"/>
      <w:i/>
      <w:iCs/>
      <w:color w:val="272727" w:themeColor="text1" w:themeTint="D8"/>
      <w:lang w:val="en-GB"/>
    </w:rPr>
  </w:style>
  <w:style w:type="character" w:customStyle="1" w:styleId="Rubrik9Char">
    <w:name w:val="Rubrik 9 Char"/>
    <w:basedOn w:val="Standardstycketeckensnitt"/>
    <w:link w:val="Rubrik9"/>
    <w:uiPriority w:val="9"/>
    <w:semiHidden/>
    <w:rsid w:val="0041598D"/>
    <w:rPr>
      <w:rFonts w:eastAsiaTheme="majorEastAsia" w:cstheme="majorBidi"/>
      <w:color w:val="272727" w:themeColor="text1" w:themeTint="D8"/>
      <w:lang w:val="en-GB"/>
    </w:rPr>
  </w:style>
  <w:style w:type="paragraph" w:styleId="Rubrik">
    <w:name w:val="Title"/>
    <w:basedOn w:val="Normal"/>
    <w:next w:val="Normal"/>
    <w:link w:val="RubrikChar"/>
    <w:uiPriority w:val="10"/>
    <w:qFormat/>
    <w:rsid w:val="0041598D"/>
    <w:pPr>
      <w:spacing w:after="80"/>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41598D"/>
    <w:rPr>
      <w:rFonts w:asciiTheme="majorHAnsi" w:eastAsiaTheme="majorEastAsia" w:hAnsiTheme="majorHAnsi" w:cstheme="majorBidi"/>
      <w:spacing w:val="-10"/>
      <w:kern w:val="28"/>
      <w:sz w:val="56"/>
      <w:szCs w:val="56"/>
      <w:lang w:val="en-GB"/>
    </w:rPr>
  </w:style>
  <w:style w:type="paragraph" w:styleId="Underrubrik">
    <w:name w:val="Subtitle"/>
    <w:basedOn w:val="Normal"/>
    <w:next w:val="Normal"/>
    <w:link w:val="UnderrubrikChar"/>
    <w:uiPriority w:val="11"/>
    <w:qFormat/>
    <w:rsid w:val="0041598D"/>
    <w:pPr>
      <w:numPr>
        <w:ilvl w:val="1"/>
      </w:numPr>
      <w:spacing w:after="160"/>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41598D"/>
    <w:rPr>
      <w:rFonts w:eastAsiaTheme="majorEastAsia" w:cstheme="majorBidi"/>
      <w:color w:val="595959" w:themeColor="text1" w:themeTint="A6"/>
      <w:spacing w:val="15"/>
      <w:sz w:val="28"/>
      <w:szCs w:val="28"/>
      <w:lang w:val="en-GB"/>
    </w:rPr>
  </w:style>
  <w:style w:type="paragraph" w:styleId="Citat">
    <w:name w:val="Quote"/>
    <w:basedOn w:val="Normal"/>
    <w:next w:val="Normal"/>
    <w:link w:val="CitatChar"/>
    <w:uiPriority w:val="29"/>
    <w:qFormat/>
    <w:rsid w:val="0041598D"/>
    <w:pPr>
      <w:spacing w:before="160" w:after="160"/>
      <w:jc w:val="center"/>
    </w:pPr>
    <w:rPr>
      <w:i/>
      <w:iCs/>
      <w:color w:val="404040" w:themeColor="text1" w:themeTint="BF"/>
    </w:rPr>
  </w:style>
  <w:style w:type="character" w:customStyle="1" w:styleId="CitatChar">
    <w:name w:val="Citat Char"/>
    <w:basedOn w:val="Standardstycketeckensnitt"/>
    <w:link w:val="Citat"/>
    <w:uiPriority w:val="29"/>
    <w:rsid w:val="0041598D"/>
    <w:rPr>
      <w:i/>
      <w:iCs/>
      <w:color w:val="404040" w:themeColor="text1" w:themeTint="BF"/>
      <w:lang w:val="en-GB"/>
    </w:rPr>
  </w:style>
  <w:style w:type="character" w:styleId="Starkbetoning">
    <w:name w:val="Intense Emphasis"/>
    <w:basedOn w:val="Standardstycketeckensnitt"/>
    <w:uiPriority w:val="21"/>
    <w:qFormat/>
    <w:rsid w:val="0041598D"/>
    <w:rPr>
      <w:i/>
      <w:iCs/>
      <w:color w:val="2F5496" w:themeColor="accent1" w:themeShade="BF"/>
    </w:rPr>
  </w:style>
  <w:style w:type="paragraph" w:styleId="Starktcitat">
    <w:name w:val="Intense Quote"/>
    <w:basedOn w:val="Normal"/>
    <w:next w:val="Normal"/>
    <w:link w:val="StarktcitatChar"/>
    <w:uiPriority w:val="30"/>
    <w:qFormat/>
    <w:rsid w:val="0041598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StarktcitatChar">
    <w:name w:val="Starkt citat Char"/>
    <w:basedOn w:val="Standardstycketeckensnitt"/>
    <w:link w:val="Starktcitat"/>
    <w:uiPriority w:val="30"/>
    <w:rsid w:val="0041598D"/>
    <w:rPr>
      <w:i/>
      <w:iCs/>
      <w:color w:val="2F5496" w:themeColor="accent1" w:themeShade="BF"/>
      <w:lang w:val="en-GB"/>
    </w:rPr>
  </w:style>
  <w:style w:type="character" w:styleId="Starkreferens">
    <w:name w:val="Intense Reference"/>
    <w:basedOn w:val="Standardstycketeckensnitt"/>
    <w:uiPriority w:val="32"/>
    <w:qFormat/>
    <w:rsid w:val="0041598D"/>
    <w:rPr>
      <w:b/>
      <w:bCs/>
      <w:smallCaps/>
      <w:color w:val="2F5496" w:themeColor="accent1" w:themeShade="BF"/>
      <w:spacing w:val="5"/>
    </w:rPr>
  </w:style>
  <w:style w:type="character" w:customStyle="1" w:styleId="textlayer--absolute">
    <w:name w:val="textlayer--absolute"/>
    <w:basedOn w:val="Standardstycketeckensnitt"/>
    <w:rsid w:val="0041598D"/>
  </w:style>
  <w:style w:type="character" w:customStyle="1" w:styleId="card--role">
    <w:name w:val="card--role"/>
    <w:basedOn w:val="Standardstycketeckensnitt"/>
    <w:rsid w:val="0041598D"/>
  </w:style>
  <w:style w:type="character" w:styleId="Olstomnmnande">
    <w:name w:val="Unresolved Mention"/>
    <w:basedOn w:val="Standardstycketeckensnitt"/>
    <w:uiPriority w:val="99"/>
    <w:semiHidden/>
    <w:unhideWhenUsed/>
    <w:rsid w:val="0041598D"/>
    <w:rPr>
      <w:color w:val="605E5C"/>
      <w:shd w:val="clear" w:color="auto" w:fill="E1DFDD"/>
    </w:rPr>
  </w:style>
  <w:style w:type="character" w:styleId="AnvndHyperlnk">
    <w:name w:val="FollowedHyperlink"/>
    <w:basedOn w:val="Standardstycketeckensnitt"/>
    <w:uiPriority w:val="99"/>
    <w:semiHidden/>
    <w:unhideWhenUsed/>
    <w:rsid w:val="0041598D"/>
    <w:rPr>
      <w:color w:val="954F72" w:themeColor="followedHyperlink"/>
      <w:u w:val="single"/>
    </w:rPr>
  </w:style>
  <w:style w:type="character" w:styleId="Kommentarsreferens">
    <w:name w:val="annotation reference"/>
    <w:basedOn w:val="Standardstycketeckensnitt"/>
    <w:uiPriority w:val="99"/>
    <w:semiHidden/>
    <w:unhideWhenUsed/>
    <w:rsid w:val="00FF0479"/>
    <w:rPr>
      <w:sz w:val="16"/>
      <w:szCs w:val="16"/>
    </w:rPr>
  </w:style>
  <w:style w:type="paragraph" w:styleId="Kommentarer">
    <w:name w:val="annotation text"/>
    <w:basedOn w:val="Normal"/>
    <w:link w:val="KommentarerChar"/>
    <w:uiPriority w:val="99"/>
    <w:semiHidden/>
    <w:unhideWhenUsed/>
    <w:rsid w:val="00FF0479"/>
    <w:rPr>
      <w:sz w:val="20"/>
      <w:szCs w:val="20"/>
    </w:rPr>
  </w:style>
  <w:style w:type="character" w:customStyle="1" w:styleId="KommentarerChar">
    <w:name w:val="Kommentarer Char"/>
    <w:basedOn w:val="Standardstycketeckensnitt"/>
    <w:link w:val="Kommentarer"/>
    <w:uiPriority w:val="99"/>
    <w:semiHidden/>
    <w:rsid w:val="00FF0479"/>
    <w:rPr>
      <w:sz w:val="20"/>
      <w:szCs w:val="20"/>
      <w:lang w:val="en-GB"/>
    </w:rPr>
  </w:style>
  <w:style w:type="paragraph" w:styleId="Kommentarsmne">
    <w:name w:val="annotation subject"/>
    <w:basedOn w:val="Kommentarer"/>
    <w:next w:val="Kommentarer"/>
    <w:link w:val="KommentarsmneChar"/>
    <w:uiPriority w:val="99"/>
    <w:semiHidden/>
    <w:unhideWhenUsed/>
    <w:rsid w:val="00FF0479"/>
    <w:rPr>
      <w:b/>
      <w:bCs/>
    </w:rPr>
  </w:style>
  <w:style w:type="character" w:customStyle="1" w:styleId="KommentarsmneChar">
    <w:name w:val="Kommentarsämne Char"/>
    <w:basedOn w:val="KommentarerChar"/>
    <w:link w:val="Kommentarsmne"/>
    <w:uiPriority w:val="99"/>
    <w:semiHidden/>
    <w:rsid w:val="00FF0479"/>
    <w:rPr>
      <w:b/>
      <w:bCs/>
      <w:sz w:val="20"/>
      <w:szCs w:val="20"/>
      <w:lang w:val="en-GB"/>
    </w:rPr>
  </w:style>
  <w:style w:type="paragraph" w:styleId="Revision">
    <w:name w:val="Revision"/>
    <w:hidden/>
    <w:uiPriority w:val="99"/>
    <w:semiHidden/>
    <w:rsid w:val="001B048B"/>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4368648">
      <w:bodyDiv w:val="1"/>
      <w:marLeft w:val="0"/>
      <w:marRight w:val="0"/>
      <w:marTop w:val="0"/>
      <w:marBottom w:val="0"/>
      <w:divBdr>
        <w:top w:val="none" w:sz="0" w:space="0" w:color="auto"/>
        <w:left w:val="none" w:sz="0" w:space="0" w:color="auto"/>
        <w:bottom w:val="none" w:sz="0" w:space="0" w:color="auto"/>
        <w:right w:val="none" w:sz="0" w:space="0" w:color="auto"/>
      </w:divBdr>
    </w:div>
    <w:div w:id="1054502350">
      <w:bodyDiv w:val="1"/>
      <w:marLeft w:val="0"/>
      <w:marRight w:val="0"/>
      <w:marTop w:val="0"/>
      <w:marBottom w:val="0"/>
      <w:divBdr>
        <w:top w:val="none" w:sz="0" w:space="0" w:color="auto"/>
        <w:left w:val="none" w:sz="0" w:space="0" w:color="auto"/>
        <w:bottom w:val="none" w:sz="0" w:space="0" w:color="auto"/>
        <w:right w:val="none" w:sz="0" w:space="0" w:color="auto"/>
      </w:divBdr>
    </w:div>
    <w:div w:id="1116218868">
      <w:bodyDiv w:val="1"/>
      <w:marLeft w:val="0"/>
      <w:marRight w:val="0"/>
      <w:marTop w:val="0"/>
      <w:marBottom w:val="0"/>
      <w:divBdr>
        <w:top w:val="none" w:sz="0" w:space="0" w:color="auto"/>
        <w:left w:val="none" w:sz="0" w:space="0" w:color="auto"/>
        <w:bottom w:val="none" w:sz="0" w:space="0" w:color="auto"/>
        <w:right w:val="none" w:sz="0" w:space="0" w:color="auto"/>
      </w:divBdr>
      <w:divsChild>
        <w:div w:id="1285425054">
          <w:marLeft w:val="0"/>
          <w:marRight w:val="0"/>
          <w:marTop w:val="0"/>
          <w:marBottom w:val="0"/>
          <w:divBdr>
            <w:top w:val="none" w:sz="0" w:space="0" w:color="auto"/>
            <w:left w:val="none" w:sz="0" w:space="0" w:color="auto"/>
            <w:bottom w:val="none" w:sz="0" w:space="0" w:color="auto"/>
            <w:right w:val="none" w:sz="0" w:space="0" w:color="auto"/>
          </w:divBdr>
        </w:div>
      </w:divsChild>
    </w:div>
    <w:div w:id="1574316247">
      <w:bodyDiv w:val="1"/>
      <w:marLeft w:val="0"/>
      <w:marRight w:val="0"/>
      <w:marTop w:val="0"/>
      <w:marBottom w:val="0"/>
      <w:divBdr>
        <w:top w:val="none" w:sz="0" w:space="0" w:color="auto"/>
        <w:left w:val="none" w:sz="0" w:space="0" w:color="auto"/>
        <w:bottom w:val="none" w:sz="0" w:space="0" w:color="auto"/>
        <w:right w:val="none" w:sz="0" w:space="0" w:color="auto"/>
      </w:divBdr>
    </w:div>
    <w:div w:id="1592547273">
      <w:bodyDiv w:val="1"/>
      <w:marLeft w:val="0"/>
      <w:marRight w:val="0"/>
      <w:marTop w:val="0"/>
      <w:marBottom w:val="0"/>
      <w:divBdr>
        <w:top w:val="none" w:sz="0" w:space="0" w:color="auto"/>
        <w:left w:val="none" w:sz="0" w:space="0" w:color="auto"/>
        <w:bottom w:val="none" w:sz="0" w:space="0" w:color="auto"/>
        <w:right w:val="none" w:sz="0" w:space="0" w:color="auto"/>
      </w:divBdr>
    </w:div>
    <w:div w:id="1911500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diagramLayout" Target="diagrams/layout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footer" Target="footer4.xml"/><Relationship Id="rId2" Type="http://schemas.openxmlformats.org/officeDocument/2006/relationships/numbering" Target="numbering.xml"/><Relationship Id="rId16"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diagramColors" Target="diagrams/colors1.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QuickStyle" Target="diagrams/quickStyle1.xml"/></Relationships>
</file>

<file path=word/_rels/footnotes.xml.rels><?xml version="1.0" encoding="UTF-8" standalone="yes"?>
<Relationships xmlns="http://schemas.openxmlformats.org/package/2006/relationships"><Relationship Id="rId8" Type="http://schemas.openxmlformats.org/officeDocument/2006/relationships/hyperlink" Target="https://cepa.org/article/eu-copyright-needs-reform-to-spur-fair-ai/" TargetMode="External"/><Relationship Id="rId3" Type="http://schemas.openxmlformats.org/officeDocument/2006/relationships/hyperlink" Target="https://papers.ssrn.com/sol3/papers.cfm?abstract_id=4594873" TargetMode="External"/><Relationship Id="rId7" Type="http://schemas.openxmlformats.org/officeDocument/2006/relationships/hyperlink" Target="https://papers.ssrn.com/sol3/papers.cfm?abstract_id=4594873" TargetMode="External"/><Relationship Id="rId12" Type="http://schemas.openxmlformats.org/officeDocument/2006/relationships/hyperlink" Target="https://www.acescritores.com/wp-content/uploads/Qbo-ENCUESTA-USO-DE-LAS-OBRAS-PARA-EL-ENTRENAMIENTO-IAG1.pdf" TargetMode="External"/><Relationship Id="rId2" Type="http://schemas.openxmlformats.org/officeDocument/2006/relationships/hyperlink" Target="https://www.researchgate.net/publication/379200742_Authors'_Moral_Rights_in_the_Digital_Environment" TargetMode="External"/><Relationship Id="rId1" Type="http://schemas.openxmlformats.org/officeDocument/2006/relationships/hyperlink" Target="https://vlex.com/vid/publishing-europe-freelancers-society-29347480" TargetMode="External"/><Relationship Id="rId6" Type="http://schemas.openxmlformats.org/officeDocument/2006/relationships/hyperlink" Target="https://papers.ssrn.com/sol3/papers.cfm?abstract_id=4912701" TargetMode="External"/><Relationship Id="rId11" Type="http://schemas.openxmlformats.org/officeDocument/2006/relationships/hyperlink" Target="https://papers.ssrn.com/sol3/papers.cfm?abstract_id=4594873" TargetMode="External"/><Relationship Id="rId5" Type="http://schemas.openxmlformats.org/officeDocument/2006/relationships/hyperlink" Target="https://papers.ssrn.com/sol3/papers.cfm?abstract_id=4526326" TargetMode="External"/><Relationship Id="rId10" Type="http://schemas.openxmlformats.org/officeDocument/2006/relationships/hyperlink" Target="https://www.technollama.co.uk/the-eu-ai-act-and-copyright" TargetMode="External"/><Relationship Id="rId4" Type="http://schemas.openxmlformats.org/officeDocument/2006/relationships/hyperlink" Target="https://arxiv.org/abs/2305.14822" TargetMode="External"/><Relationship Id="rId9" Type="http://schemas.openxmlformats.org/officeDocument/2006/relationships/hyperlink" Target="https://www.europarl.europa.eu/thinktank/en/document/EPRS_BRI(2021)698792"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7FA3647-3FEC-1048-8941-F0E6D670E973}" type="doc">
      <dgm:prSet loTypeId="urn:microsoft.com/office/officeart/2005/8/layout/process2" loCatId="" qsTypeId="urn:microsoft.com/office/officeart/2005/8/quickstyle/simple1" qsCatId="simple" csTypeId="urn:microsoft.com/office/officeart/2005/8/colors/accent1_2" csCatId="accent1" phldr="1"/>
      <dgm:spPr/>
    </dgm:pt>
    <dgm:pt modelId="{FDCC968F-AC81-2A44-8DC1-AD1D0053D465}">
      <dgm:prSet phldrT="[Text]"/>
      <dgm:spPr/>
      <dgm:t>
        <a:bodyPr/>
        <a:lstStyle/>
        <a:p>
          <a:r>
            <a:rPr lang="en-GB"/>
            <a:t>Content creation</a:t>
          </a:r>
        </a:p>
      </dgm:t>
    </dgm:pt>
    <dgm:pt modelId="{EE7C5B85-B81C-014B-93BA-DF4B53906386}" type="parTrans" cxnId="{47354037-19E9-2245-A419-E74F78A5B160}">
      <dgm:prSet/>
      <dgm:spPr/>
    </dgm:pt>
    <dgm:pt modelId="{2E0A6BAD-59CD-E044-9742-A335DD026F27}" type="sibTrans" cxnId="{47354037-19E9-2245-A419-E74F78A5B160}">
      <dgm:prSet/>
      <dgm:spPr/>
      <dgm:t>
        <a:bodyPr/>
        <a:lstStyle/>
        <a:p>
          <a:endParaRPr lang="en-GB"/>
        </a:p>
      </dgm:t>
    </dgm:pt>
    <dgm:pt modelId="{EB121290-76E2-4044-83BA-DCDB59027AAA}">
      <dgm:prSet phldrT="[Text]"/>
      <dgm:spPr/>
      <dgm:t>
        <a:bodyPr/>
        <a:lstStyle/>
        <a:p>
          <a:r>
            <a:rPr lang="en-GB"/>
            <a:t>Generation</a:t>
          </a:r>
        </a:p>
      </dgm:t>
    </dgm:pt>
    <dgm:pt modelId="{C419D909-C505-8C4F-93F1-A83E408EB5EB}" type="parTrans" cxnId="{BDFAD64C-2D4A-9445-ADB0-CE9D7635F9C6}">
      <dgm:prSet/>
      <dgm:spPr/>
    </dgm:pt>
    <dgm:pt modelId="{BF1EE5FF-F650-4C49-B48A-DC4D01A69CEA}" type="sibTrans" cxnId="{BDFAD64C-2D4A-9445-ADB0-CE9D7635F9C6}">
      <dgm:prSet/>
      <dgm:spPr/>
      <dgm:t>
        <a:bodyPr/>
        <a:lstStyle/>
        <a:p>
          <a:endParaRPr lang="en-GB"/>
        </a:p>
      </dgm:t>
    </dgm:pt>
    <dgm:pt modelId="{E917F43A-C2E3-6740-897E-CCEB4C310F75}">
      <dgm:prSet phldrT="[Text]"/>
      <dgm:spPr/>
      <dgm:t>
        <a:bodyPr/>
        <a:lstStyle/>
        <a:p>
          <a:r>
            <a:rPr lang="en-GB"/>
            <a:t>Alignment</a:t>
          </a:r>
        </a:p>
      </dgm:t>
    </dgm:pt>
    <dgm:pt modelId="{DA130AEE-0D8A-5B4D-9894-E2E1CBC1EC3E}" type="parTrans" cxnId="{06929838-DB4A-EB45-A610-F9DD4333C20A}">
      <dgm:prSet/>
      <dgm:spPr/>
    </dgm:pt>
    <dgm:pt modelId="{CF97A5D1-B9B6-034B-97E0-616168B52BEE}" type="sibTrans" cxnId="{06929838-DB4A-EB45-A610-F9DD4333C20A}">
      <dgm:prSet/>
      <dgm:spPr/>
    </dgm:pt>
    <dgm:pt modelId="{73154653-6191-7E4E-9FE1-C4A628DCE81C}">
      <dgm:prSet/>
      <dgm:spPr/>
      <dgm:t>
        <a:bodyPr/>
        <a:lstStyle/>
        <a:p>
          <a:r>
            <a:rPr lang="en-GB"/>
            <a:t>Data transformation</a:t>
          </a:r>
        </a:p>
      </dgm:t>
    </dgm:pt>
    <dgm:pt modelId="{BF7764B6-ED31-9349-A853-144197271FED}" type="parTrans" cxnId="{2F544F55-CC7B-D44F-9D1B-8D30A93C86E1}">
      <dgm:prSet/>
      <dgm:spPr/>
    </dgm:pt>
    <dgm:pt modelId="{37C35CCF-9278-5E47-AFF7-E907CB69D869}" type="sibTrans" cxnId="{2F544F55-CC7B-D44F-9D1B-8D30A93C86E1}">
      <dgm:prSet/>
      <dgm:spPr/>
      <dgm:t>
        <a:bodyPr/>
        <a:lstStyle/>
        <a:p>
          <a:endParaRPr lang="en-GB"/>
        </a:p>
      </dgm:t>
    </dgm:pt>
    <dgm:pt modelId="{1529A419-2930-0A46-99DF-B25B98518E9B}">
      <dgm:prSet/>
      <dgm:spPr/>
      <dgm:t>
        <a:bodyPr/>
        <a:lstStyle/>
        <a:p>
          <a:r>
            <a:rPr lang="en-GB"/>
            <a:t>Dataset curation</a:t>
          </a:r>
        </a:p>
      </dgm:t>
    </dgm:pt>
    <dgm:pt modelId="{3B000448-DF57-924F-A397-FA25F8BA1378}" type="parTrans" cxnId="{40C418E2-582A-0947-BCFC-82D1297757D6}">
      <dgm:prSet/>
      <dgm:spPr/>
    </dgm:pt>
    <dgm:pt modelId="{C404CF77-B711-0242-A370-0E27F8AA33F7}" type="sibTrans" cxnId="{40C418E2-582A-0947-BCFC-82D1297757D6}">
      <dgm:prSet/>
      <dgm:spPr/>
      <dgm:t>
        <a:bodyPr/>
        <a:lstStyle/>
        <a:p>
          <a:endParaRPr lang="en-GB"/>
        </a:p>
      </dgm:t>
    </dgm:pt>
    <dgm:pt modelId="{BD096598-3CEE-1348-8799-86994255CB5D}">
      <dgm:prSet/>
      <dgm:spPr/>
      <dgm:t>
        <a:bodyPr/>
        <a:lstStyle/>
        <a:p>
          <a:r>
            <a:rPr lang="en-GB"/>
            <a:t>Base model training </a:t>
          </a:r>
        </a:p>
      </dgm:t>
    </dgm:pt>
    <dgm:pt modelId="{3A6BE5ED-653E-F544-AB56-110B7A713F3E}" type="parTrans" cxnId="{3CF72ACD-0095-9E45-87C3-0F548F00B27A}">
      <dgm:prSet/>
      <dgm:spPr/>
    </dgm:pt>
    <dgm:pt modelId="{96954AC1-7EB0-B642-A653-AEF99E17A519}" type="sibTrans" cxnId="{3CF72ACD-0095-9E45-87C3-0F548F00B27A}">
      <dgm:prSet/>
      <dgm:spPr/>
      <dgm:t>
        <a:bodyPr/>
        <a:lstStyle/>
        <a:p>
          <a:endParaRPr lang="en-GB"/>
        </a:p>
      </dgm:t>
    </dgm:pt>
    <dgm:pt modelId="{24E71C23-5EF5-FB44-B6D8-22576307E7AF}">
      <dgm:prSet/>
      <dgm:spPr/>
      <dgm:t>
        <a:bodyPr/>
        <a:lstStyle/>
        <a:p>
          <a:r>
            <a:rPr lang="en-GB"/>
            <a:t>Fine-tuning</a:t>
          </a:r>
        </a:p>
      </dgm:t>
    </dgm:pt>
    <dgm:pt modelId="{F318F453-E9BA-C349-B21D-003CF382F26D}" type="parTrans" cxnId="{E533FC7B-20C0-BC49-9778-25F81C4070E5}">
      <dgm:prSet/>
      <dgm:spPr/>
    </dgm:pt>
    <dgm:pt modelId="{4393473B-7B1A-B241-BC64-B32D2C73D7B2}" type="sibTrans" cxnId="{E533FC7B-20C0-BC49-9778-25F81C4070E5}">
      <dgm:prSet/>
      <dgm:spPr/>
      <dgm:t>
        <a:bodyPr/>
        <a:lstStyle/>
        <a:p>
          <a:endParaRPr lang="en-GB"/>
        </a:p>
      </dgm:t>
    </dgm:pt>
    <dgm:pt modelId="{65F24913-4859-7543-AA1F-8074D49103DF}">
      <dgm:prSet/>
      <dgm:spPr/>
      <dgm:t>
        <a:bodyPr/>
        <a:lstStyle/>
        <a:p>
          <a:r>
            <a:rPr lang="en-GB"/>
            <a:t>Deployment</a:t>
          </a:r>
        </a:p>
      </dgm:t>
    </dgm:pt>
    <dgm:pt modelId="{7043802D-155F-4D4C-8615-0AE5E35025EF}" type="parTrans" cxnId="{85DD9C7C-147D-DE4D-A7D1-75417130C884}">
      <dgm:prSet/>
      <dgm:spPr/>
    </dgm:pt>
    <dgm:pt modelId="{3D202985-91F6-2E4D-BBB8-AC99736D2105}" type="sibTrans" cxnId="{85DD9C7C-147D-DE4D-A7D1-75417130C884}">
      <dgm:prSet/>
      <dgm:spPr/>
      <dgm:t>
        <a:bodyPr/>
        <a:lstStyle/>
        <a:p>
          <a:endParaRPr lang="en-GB"/>
        </a:p>
      </dgm:t>
    </dgm:pt>
    <dgm:pt modelId="{0B9D755D-87BD-7441-863E-2AF581509D3B}" type="pres">
      <dgm:prSet presAssocID="{87FA3647-3FEC-1048-8941-F0E6D670E973}" presName="linearFlow" presStyleCnt="0">
        <dgm:presLayoutVars>
          <dgm:resizeHandles val="exact"/>
        </dgm:presLayoutVars>
      </dgm:prSet>
      <dgm:spPr/>
    </dgm:pt>
    <dgm:pt modelId="{83964C50-A39B-0142-8BC9-427B0E656D6D}" type="pres">
      <dgm:prSet presAssocID="{FDCC968F-AC81-2A44-8DC1-AD1D0053D465}" presName="node" presStyleLbl="node1" presStyleIdx="0" presStyleCnt="8">
        <dgm:presLayoutVars>
          <dgm:bulletEnabled val="1"/>
        </dgm:presLayoutVars>
      </dgm:prSet>
      <dgm:spPr/>
    </dgm:pt>
    <dgm:pt modelId="{E0EE2B99-677A-3A44-9596-928BE50AB2A5}" type="pres">
      <dgm:prSet presAssocID="{2E0A6BAD-59CD-E044-9742-A335DD026F27}" presName="sibTrans" presStyleLbl="sibTrans2D1" presStyleIdx="0" presStyleCnt="7"/>
      <dgm:spPr/>
    </dgm:pt>
    <dgm:pt modelId="{997DB9E7-A43B-4949-9606-3FFAE9AD1844}" type="pres">
      <dgm:prSet presAssocID="{2E0A6BAD-59CD-E044-9742-A335DD026F27}" presName="connectorText" presStyleLbl="sibTrans2D1" presStyleIdx="0" presStyleCnt="7"/>
      <dgm:spPr/>
    </dgm:pt>
    <dgm:pt modelId="{06D3C6D9-2C5F-6340-8419-91656C4D4ABF}" type="pres">
      <dgm:prSet presAssocID="{73154653-6191-7E4E-9FE1-C4A628DCE81C}" presName="node" presStyleLbl="node1" presStyleIdx="1" presStyleCnt="8">
        <dgm:presLayoutVars>
          <dgm:bulletEnabled val="1"/>
        </dgm:presLayoutVars>
      </dgm:prSet>
      <dgm:spPr/>
    </dgm:pt>
    <dgm:pt modelId="{3C905D86-3B49-D14A-8ABC-252A73E52B6C}" type="pres">
      <dgm:prSet presAssocID="{37C35CCF-9278-5E47-AFF7-E907CB69D869}" presName="sibTrans" presStyleLbl="sibTrans2D1" presStyleIdx="1" presStyleCnt="7"/>
      <dgm:spPr/>
    </dgm:pt>
    <dgm:pt modelId="{D1882356-1C07-274A-9396-AA18F84A5AEB}" type="pres">
      <dgm:prSet presAssocID="{37C35CCF-9278-5E47-AFF7-E907CB69D869}" presName="connectorText" presStyleLbl="sibTrans2D1" presStyleIdx="1" presStyleCnt="7"/>
      <dgm:spPr/>
    </dgm:pt>
    <dgm:pt modelId="{BD2E929A-9A09-3E4D-A85B-B82BE98AEF4E}" type="pres">
      <dgm:prSet presAssocID="{1529A419-2930-0A46-99DF-B25B98518E9B}" presName="node" presStyleLbl="node1" presStyleIdx="2" presStyleCnt="8">
        <dgm:presLayoutVars>
          <dgm:bulletEnabled val="1"/>
        </dgm:presLayoutVars>
      </dgm:prSet>
      <dgm:spPr/>
    </dgm:pt>
    <dgm:pt modelId="{50A4186C-71FE-6844-8D25-2F7E0EBD5EC6}" type="pres">
      <dgm:prSet presAssocID="{C404CF77-B711-0242-A370-0E27F8AA33F7}" presName="sibTrans" presStyleLbl="sibTrans2D1" presStyleIdx="2" presStyleCnt="7"/>
      <dgm:spPr/>
    </dgm:pt>
    <dgm:pt modelId="{3A29631B-6B1D-794A-99F2-B4FC622B2FCF}" type="pres">
      <dgm:prSet presAssocID="{C404CF77-B711-0242-A370-0E27F8AA33F7}" presName="connectorText" presStyleLbl="sibTrans2D1" presStyleIdx="2" presStyleCnt="7"/>
      <dgm:spPr/>
    </dgm:pt>
    <dgm:pt modelId="{F7A1D6CA-633F-2148-8D6E-5099F2530DEF}" type="pres">
      <dgm:prSet presAssocID="{BD096598-3CEE-1348-8799-86994255CB5D}" presName="node" presStyleLbl="node1" presStyleIdx="3" presStyleCnt="8">
        <dgm:presLayoutVars>
          <dgm:bulletEnabled val="1"/>
        </dgm:presLayoutVars>
      </dgm:prSet>
      <dgm:spPr/>
    </dgm:pt>
    <dgm:pt modelId="{63E24577-A7FA-B04B-A5F2-A5BC77253D72}" type="pres">
      <dgm:prSet presAssocID="{96954AC1-7EB0-B642-A653-AEF99E17A519}" presName="sibTrans" presStyleLbl="sibTrans2D1" presStyleIdx="3" presStyleCnt="7"/>
      <dgm:spPr/>
    </dgm:pt>
    <dgm:pt modelId="{C4AC7A4B-BCFE-924F-9105-050F4799B0D4}" type="pres">
      <dgm:prSet presAssocID="{96954AC1-7EB0-B642-A653-AEF99E17A519}" presName="connectorText" presStyleLbl="sibTrans2D1" presStyleIdx="3" presStyleCnt="7"/>
      <dgm:spPr/>
    </dgm:pt>
    <dgm:pt modelId="{31936F41-041E-FB4E-8056-BBB7CC4382C8}" type="pres">
      <dgm:prSet presAssocID="{24E71C23-5EF5-FB44-B6D8-22576307E7AF}" presName="node" presStyleLbl="node1" presStyleIdx="4" presStyleCnt="8">
        <dgm:presLayoutVars>
          <dgm:bulletEnabled val="1"/>
        </dgm:presLayoutVars>
      </dgm:prSet>
      <dgm:spPr/>
    </dgm:pt>
    <dgm:pt modelId="{0A8E987E-D348-534E-8162-5B85FA42DB5F}" type="pres">
      <dgm:prSet presAssocID="{4393473B-7B1A-B241-BC64-B32D2C73D7B2}" presName="sibTrans" presStyleLbl="sibTrans2D1" presStyleIdx="4" presStyleCnt="7"/>
      <dgm:spPr/>
    </dgm:pt>
    <dgm:pt modelId="{BCE13122-AFCE-D24D-9970-63F1203F0505}" type="pres">
      <dgm:prSet presAssocID="{4393473B-7B1A-B241-BC64-B32D2C73D7B2}" presName="connectorText" presStyleLbl="sibTrans2D1" presStyleIdx="4" presStyleCnt="7"/>
      <dgm:spPr/>
    </dgm:pt>
    <dgm:pt modelId="{FFBD7ACC-0F29-1442-9BA7-B79895806B22}" type="pres">
      <dgm:prSet presAssocID="{65F24913-4859-7543-AA1F-8074D49103DF}" presName="node" presStyleLbl="node1" presStyleIdx="5" presStyleCnt="8">
        <dgm:presLayoutVars>
          <dgm:bulletEnabled val="1"/>
        </dgm:presLayoutVars>
      </dgm:prSet>
      <dgm:spPr/>
    </dgm:pt>
    <dgm:pt modelId="{3CECD60D-D63F-C142-8CB4-94811A1D1A42}" type="pres">
      <dgm:prSet presAssocID="{3D202985-91F6-2E4D-BBB8-AC99736D2105}" presName="sibTrans" presStyleLbl="sibTrans2D1" presStyleIdx="5" presStyleCnt="7"/>
      <dgm:spPr/>
    </dgm:pt>
    <dgm:pt modelId="{ACE87694-2894-EA47-8E00-DBACAD6683CA}" type="pres">
      <dgm:prSet presAssocID="{3D202985-91F6-2E4D-BBB8-AC99736D2105}" presName="connectorText" presStyleLbl="sibTrans2D1" presStyleIdx="5" presStyleCnt="7"/>
      <dgm:spPr/>
    </dgm:pt>
    <dgm:pt modelId="{43ED2AE4-7B58-714B-B1D1-ED0B4C7F188E}" type="pres">
      <dgm:prSet presAssocID="{EB121290-76E2-4044-83BA-DCDB59027AAA}" presName="node" presStyleLbl="node1" presStyleIdx="6" presStyleCnt="8">
        <dgm:presLayoutVars>
          <dgm:bulletEnabled val="1"/>
        </dgm:presLayoutVars>
      </dgm:prSet>
      <dgm:spPr/>
    </dgm:pt>
    <dgm:pt modelId="{0DF43955-EF86-1A4E-93DF-B450CC4BEFE2}" type="pres">
      <dgm:prSet presAssocID="{BF1EE5FF-F650-4C49-B48A-DC4D01A69CEA}" presName="sibTrans" presStyleLbl="sibTrans2D1" presStyleIdx="6" presStyleCnt="7"/>
      <dgm:spPr/>
    </dgm:pt>
    <dgm:pt modelId="{5FA1CC2F-D116-1E43-BB07-C5A9E27A7D30}" type="pres">
      <dgm:prSet presAssocID="{BF1EE5FF-F650-4C49-B48A-DC4D01A69CEA}" presName="connectorText" presStyleLbl="sibTrans2D1" presStyleIdx="6" presStyleCnt="7"/>
      <dgm:spPr/>
    </dgm:pt>
    <dgm:pt modelId="{943D5988-288C-2D45-A101-77328CEAFF03}" type="pres">
      <dgm:prSet presAssocID="{E917F43A-C2E3-6740-897E-CCEB4C310F75}" presName="node" presStyleLbl="node1" presStyleIdx="7" presStyleCnt="8">
        <dgm:presLayoutVars>
          <dgm:bulletEnabled val="1"/>
        </dgm:presLayoutVars>
      </dgm:prSet>
      <dgm:spPr/>
    </dgm:pt>
  </dgm:ptLst>
  <dgm:cxnLst>
    <dgm:cxn modelId="{C2A58102-1B04-D445-A7CF-28D48C74D861}" type="presOf" srcId="{1529A419-2930-0A46-99DF-B25B98518E9B}" destId="{BD2E929A-9A09-3E4D-A85B-B82BE98AEF4E}" srcOrd="0" destOrd="0" presId="urn:microsoft.com/office/officeart/2005/8/layout/process2"/>
    <dgm:cxn modelId="{5635FA09-9038-9E4E-9B3F-D5B070C7CE46}" type="presOf" srcId="{BF1EE5FF-F650-4C49-B48A-DC4D01A69CEA}" destId="{5FA1CC2F-D116-1E43-BB07-C5A9E27A7D30}" srcOrd="1" destOrd="0" presId="urn:microsoft.com/office/officeart/2005/8/layout/process2"/>
    <dgm:cxn modelId="{9E65070F-0F22-A747-83EB-FD3D6DDD216C}" type="presOf" srcId="{4393473B-7B1A-B241-BC64-B32D2C73D7B2}" destId="{BCE13122-AFCE-D24D-9970-63F1203F0505}" srcOrd="1" destOrd="0" presId="urn:microsoft.com/office/officeart/2005/8/layout/process2"/>
    <dgm:cxn modelId="{627DF41C-F242-0B49-8BCD-5E564AFEF519}" type="presOf" srcId="{3D202985-91F6-2E4D-BBB8-AC99736D2105}" destId="{3CECD60D-D63F-C142-8CB4-94811A1D1A42}" srcOrd="0" destOrd="0" presId="urn:microsoft.com/office/officeart/2005/8/layout/process2"/>
    <dgm:cxn modelId="{3124FA32-3CDB-3842-A652-8C60FC594052}" type="presOf" srcId="{C404CF77-B711-0242-A370-0E27F8AA33F7}" destId="{50A4186C-71FE-6844-8D25-2F7E0EBD5EC6}" srcOrd="0" destOrd="0" presId="urn:microsoft.com/office/officeart/2005/8/layout/process2"/>
    <dgm:cxn modelId="{47354037-19E9-2245-A419-E74F78A5B160}" srcId="{87FA3647-3FEC-1048-8941-F0E6D670E973}" destId="{FDCC968F-AC81-2A44-8DC1-AD1D0053D465}" srcOrd="0" destOrd="0" parTransId="{EE7C5B85-B81C-014B-93BA-DF4B53906386}" sibTransId="{2E0A6BAD-59CD-E044-9742-A335DD026F27}"/>
    <dgm:cxn modelId="{06929838-DB4A-EB45-A610-F9DD4333C20A}" srcId="{87FA3647-3FEC-1048-8941-F0E6D670E973}" destId="{E917F43A-C2E3-6740-897E-CCEB4C310F75}" srcOrd="7" destOrd="0" parTransId="{DA130AEE-0D8A-5B4D-9894-E2E1CBC1EC3E}" sibTransId="{CF97A5D1-B9B6-034B-97E0-616168B52BEE}"/>
    <dgm:cxn modelId="{17335740-7BB0-464C-BC34-295BED99EFB0}" type="presOf" srcId="{96954AC1-7EB0-B642-A653-AEF99E17A519}" destId="{63E24577-A7FA-B04B-A5F2-A5BC77253D72}" srcOrd="0" destOrd="0" presId="urn:microsoft.com/office/officeart/2005/8/layout/process2"/>
    <dgm:cxn modelId="{11F30D42-FB87-5345-A593-EBD3D382A345}" type="presOf" srcId="{EB121290-76E2-4044-83BA-DCDB59027AAA}" destId="{43ED2AE4-7B58-714B-B1D1-ED0B4C7F188E}" srcOrd="0" destOrd="0" presId="urn:microsoft.com/office/officeart/2005/8/layout/process2"/>
    <dgm:cxn modelId="{29D34B43-955D-9B4C-940A-05D0A991D0FF}" type="presOf" srcId="{96954AC1-7EB0-B642-A653-AEF99E17A519}" destId="{C4AC7A4B-BCFE-924F-9105-050F4799B0D4}" srcOrd="1" destOrd="0" presId="urn:microsoft.com/office/officeart/2005/8/layout/process2"/>
    <dgm:cxn modelId="{BDFAD64C-2D4A-9445-ADB0-CE9D7635F9C6}" srcId="{87FA3647-3FEC-1048-8941-F0E6D670E973}" destId="{EB121290-76E2-4044-83BA-DCDB59027AAA}" srcOrd="6" destOrd="0" parTransId="{C419D909-C505-8C4F-93F1-A83E408EB5EB}" sibTransId="{BF1EE5FF-F650-4C49-B48A-DC4D01A69CEA}"/>
    <dgm:cxn modelId="{27EB4A50-BB19-A042-98E6-94C5DB03A603}" type="presOf" srcId="{73154653-6191-7E4E-9FE1-C4A628DCE81C}" destId="{06D3C6D9-2C5F-6340-8419-91656C4D4ABF}" srcOrd="0" destOrd="0" presId="urn:microsoft.com/office/officeart/2005/8/layout/process2"/>
    <dgm:cxn modelId="{BF18E352-0375-8949-B76B-1134251C5F4F}" type="presOf" srcId="{87FA3647-3FEC-1048-8941-F0E6D670E973}" destId="{0B9D755D-87BD-7441-863E-2AF581509D3B}" srcOrd="0" destOrd="0" presId="urn:microsoft.com/office/officeart/2005/8/layout/process2"/>
    <dgm:cxn modelId="{2F544F55-CC7B-D44F-9D1B-8D30A93C86E1}" srcId="{87FA3647-3FEC-1048-8941-F0E6D670E973}" destId="{73154653-6191-7E4E-9FE1-C4A628DCE81C}" srcOrd="1" destOrd="0" parTransId="{BF7764B6-ED31-9349-A853-144197271FED}" sibTransId="{37C35CCF-9278-5E47-AFF7-E907CB69D869}"/>
    <dgm:cxn modelId="{58E91F56-DC91-7E4C-BB67-136B077E6D16}" type="presOf" srcId="{C404CF77-B711-0242-A370-0E27F8AA33F7}" destId="{3A29631B-6B1D-794A-99F2-B4FC622B2FCF}" srcOrd="1" destOrd="0" presId="urn:microsoft.com/office/officeart/2005/8/layout/process2"/>
    <dgm:cxn modelId="{A416C157-E842-5A42-8D7C-52FBF16D9F4E}" type="presOf" srcId="{E917F43A-C2E3-6740-897E-CCEB4C310F75}" destId="{943D5988-288C-2D45-A101-77328CEAFF03}" srcOrd="0" destOrd="0" presId="urn:microsoft.com/office/officeart/2005/8/layout/process2"/>
    <dgm:cxn modelId="{B0CD8060-2D22-8942-84C5-293C4D564852}" type="presOf" srcId="{4393473B-7B1A-B241-BC64-B32D2C73D7B2}" destId="{0A8E987E-D348-534E-8162-5B85FA42DB5F}" srcOrd="0" destOrd="0" presId="urn:microsoft.com/office/officeart/2005/8/layout/process2"/>
    <dgm:cxn modelId="{65765662-300B-6540-A4D0-8E6E86E641CF}" type="presOf" srcId="{37C35CCF-9278-5E47-AFF7-E907CB69D869}" destId="{3C905D86-3B49-D14A-8ABC-252A73E52B6C}" srcOrd="0" destOrd="0" presId="urn:microsoft.com/office/officeart/2005/8/layout/process2"/>
    <dgm:cxn modelId="{C80B4179-76FF-D644-98F2-F1E2C693EC3D}" type="presOf" srcId="{BF1EE5FF-F650-4C49-B48A-DC4D01A69CEA}" destId="{0DF43955-EF86-1A4E-93DF-B450CC4BEFE2}" srcOrd="0" destOrd="0" presId="urn:microsoft.com/office/officeart/2005/8/layout/process2"/>
    <dgm:cxn modelId="{8BDB2E7A-4C4F-C045-9DDA-F9863051E31F}" type="presOf" srcId="{3D202985-91F6-2E4D-BBB8-AC99736D2105}" destId="{ACE87694-2894-EA47-8E00-DBACAD6683CA}" srcOrd="1" destOrd="0" presId="urn:microsoft.com/office/officeart/2005/8/layout/process2"/>
    <dgm:cxn modelId="{E533FC7B-20C0-BC49-9778-25F81C4070E5}" srcId="{87FA3647-3FEC-1048-8941-F0E6D670E973}" destId="{24E71C23-5EF5-FB44-B6D8-22576307E7AF}" srcOrd="4" destOrd="0" parTransId="{F318F453-E9BA-C349-B21D-003CF382F26D}" sibTransId="{4393473B-7B1A-B241-BC64-B32D2C73D7B2}"/>
    <dgm:cxn modelId="{85DD9C7C-147D-DE4D-A7D1-75417130C884}" srcId="{87FA3647-3FEC-1048-8941-F0E6D670E973}" destId="{65F24913-4859-7543-AA1F-8074D49103DF}" srcOrd="5" destOrd="0" parTransId="{7043802D-155F-4D4C-8615-0AE5E35025EF}" sibTransId="{3D202985-91F6-2E4D-BBB8-AC99736D2105}"/>
    <dgm:cxn modelId="{32E77889-9DBE-2F4F-B103-1D324567FF1A}" type="presOf" srcId="{BD096598-3CEE-1348-8799-86994255CB5D}" destId="{F7A1D6CA-633F-2148-8D6E-5099F2530DEF}" srcOrd="0" destOrd="0" presId="urn:microsoft.com/office/officeart/2005/8/layout/process2"/>
    <dgm:cxn modelId="{4FFD088B-F9E9-0140-BEBE-07517BCBAC3F}" type="presOf" srcId="{24E71C23-5EF5-FB44-B6D8-22576307E7AF}" destId="{31936F41-041E-FB4E-8056-BBB7CC4382C8}" srcOrd="0" destOrd="0" presId="urn:microsoft.com/office/officeart/2005/8/layout/process2"/>
    <dgm:cxn modelId="{4C1B73B4-3611-EC49-BD57-5256E1F1D792}" type="presOf" srcId="{2E0A6BAD-59CD-E044-9742-A335DD026F27}" destId="{E0EE2B99-677A-3A44-9596-928BE50AB2A5}" srcOrd="0" destOrd="0" presId="urn:microsoft.com/office/officeart/2005/8/layout/process2"/>
    <dgm:cxn modelId="{79F1D0C3-368B-5049-B861-35A206D139E1}" type="presOf" srcId="{FDCC968F-AC81-2A44-8DC1-AD1D0053D465}" destId="{83964C50-A39B-0142-8BC9-427B0E656D6D}" srcOrd="0" destOrd="0" presId="urn:microsoft.com/office/officeart/2005/8/layout/process2"/>
    <dgm:cxn modelId="{CD22CDC4-09F5-DB43-A5B9-5E67B1420567}" type="presOf" srcId="{65F24913-4859-7543-AA1F-8074D49103DF}" destId="{FFBD7ACC-0F29-1442-9BA7-B79895806B22}" srcOrd="0" destOrd="0" presId="urn:microsoft.com/office/officeart/2005/8/layout/process2"/>
    <dgm:cxn modelId="{3CF72ACD-0095-9E45-87C3-0F548F00B27A}" srcId="{87FA3647-3FEC-1048-8941-F0E6D670E973}" destId="{BD096598-3CEE-1348-8799-86994255CB5D}" srcOrd="3" destOrd="0" parTransId="{3A6BE5ED-653E-F544-AB56-110B7A713F3E}" sibTransId="{96954AC1-7EB0-B642-A653-AEF99E17A519}"/>
    <dgm:cxn modelId="{40C418E2-582A-0947-BCFC-82D1297757D6}" srcId="{87FA3647-3FEC-1048-8941-F0E6D670E973}" destId="{1529A419-2930-0A46-99DF-B25B98518E9B}" srcOrd="2" destOrd="0" parTransId="{3B000448-DF57-924F-A397-FA25F8BA1378}" sibTransId="{C404CF77-B711-0242-A370-0E27F8AA33F7}"/>
    <dgm:cxn modelId="{1C852CEA-7F13-284E-9AE0-409194F54314}" type="presOf" srcId="{2E0A6BAD-59CD-E044-9742-A335DD026F27}" destId="{997DB9E7-A43B-4949-9606-3FFAE9AD1844}" srcOrd="1" destOrd="0" presId="urn:microsoft.com/office/officeart/2005/8/layout/process2"/>
    <dgm:cxn modelId="{AFEE6FF9-B21D-9E4D-A770-D2B421D05946}" type="presOf" srcId="{37C35CCF-9278-5E47-AFF7-E907CB69D869}" destId="{D1882356-1C07-274A-9396-AA18F84A5AEB}" srcOrd="1" destOrd="0" presId="urn:microsoft.com/office/officeart/2005/8/layout/process2"/>
    <dgm:cxn modelId="{989A8BF1-CDB0-874B-8277-2F4790A1D6D9}" type="presParOf" srcId="{0B9D755D-87BD-7441-863E-2AF581509D3B}" destId="{83964C50-A39B-0142-8BC9-427B0E656D6D}" srcOrd="0" destOrd="0" presId="urn:microsoft.com/office/officeart/2005/8/layout/process2"/>
    <dgm:cxn modelId="{538BE2D2-B9E5-244D-BD4F-09026BC6EC98}" type="presParOf" srcId="{0B9D755D-87BD-7441-863E-2AF581509D3B}" destId="{E0EE2B99-677A-3A44-9596-928BE50AB2A5}" srcOrd="1" destOrd="0" presId="urn:microsoft.com/office/officeart/2005/8/layout/process2"/>
    <dgm:cxn modelId="{02117651-580F-AA4C-85C7-492C433EA519}" type="presParOf" srcId="{E0EE2B99-677A-3A44-9596-928BE50AB2A5}" destId="{997DB9E7-A43B-4949-9606-3FFAE9AD1844}" srcOrd="0" destOrd="0" presId="urn:microsoft.com/office/officeart/2005/8/layout/process2"/>
    <dgm:cxn modelId="{3D87DCEC-9950-604F-9FA0-19CC052019D3}" type="presParOf" srcId="{0B9D755D-87BD-7441-863E-2AF581509D3B}" destId="{06D3C6D9-2C5F-6340-8419-91656C4D4ABF}" srcOrd="2" destOrd="0" presId="urn:microsoft.com/office/officeart/2005/8/layout/process2"/>
    <dgm:cxn modelId="{C6371FBF-565A-9544-8136-067E2F1DE209}" type="presParOf" srcId="{0B9D755D-87BD-7441-863E-2AF581509D3B}" destId="{3C905D86-3B49-D14A-8ABC-252A73E52B6C}" srcOrd="3" destOrd="0" presId="urn:microsoft.com/office/officeart/2005/8/layout/process2"/>
    <dgm:cxn modelId="{23AB42F0-6AD5-AF47-9BDB-AD6906C92509}" type="presParOf" srcId="{3C905D86-3B49-D14A-8ABC-252A73E52B6C}" destId="{D1882356-1C07-274A-9396-AA18F84A5AEB}" srcOrd="0" destOrd="0" presId="urn:microsoft.com/office/officeart/2005/8/layout/process2"/>
    <dgm:cxn modelId="{6488EA0B-3DE5-9B4A-95FB-94CAFB9D7ADA}" type="presParOf" srcId="{0B9D755D-87BD-7441-863E-2AF581509D3B}" destId="{BD2E929A-9A09-3E4D-A85B-B82BE98AEF4E}" srcOrd="4" destOrd="0" presId="urn:microsoft.com/office/officeart/2005/8/layout/process2"/>
    <dgm:cxn modelId="{ADF48594-BDD5-7C49-9384-BEA6A9E1A106}" type="presParOf" srcId="{0B9D755D-87BD-7441-863E-2AF581509D3B}" destId="{50A4186C-71FE-6844-8D25-2F7E0EBD5EC6}" srcOrd="5" destOrd="0" presId="urn:microsoft.com/office/officeart/2005/8/layout/process2"/>
    <dgm:cxn modelId="{7044CC79-4B53-8A45-A0A8-578CE4F27946}" type="presParOf" srcId="{50A4186C-71FE-6844-8D25-2F7E0EBD5EC6}" destId="{3A29631B-6B1D-794A-99F2-B4FC622B2FCF}" srcOrd="0" destOrd="0" presId="urn:microsoft.com/office/officeart/2005/8/layout/process2"/>
    <dgm:cxn modelId="{F2644874-AC66-324C-B280-659EBD66AE0E}" type="presParOf" srcId="{0B9D755D-87BD-7441-863E-2AF581509D3B}" destId="{F7A1D6CA-633F-2148-8D6E-5099F2530DEF}" srcOrd="6" destOrd="0" presId="urn:microsoft.com/office/officeart/2005/8/layout/process2"/>
    <dgm:cxn modelId="{4A0A66F1-939C-D34A-9DC9-CC6359D92727}" type="presParOf" srcId="{0B9D755D-87BD-7441-863E-2AF581509D3B}" destId="{63E24577-A7FA-B04B-A5F2-A5BC77253D72}" srcOrd="7" destOrd="0" presId="urn:microsoft.com/office/officeart/2005/8/layout/process2"/>
    <dgm:cxn modelId="{F1CBB1EA-73F2-B549-B9D7-0E3DC4C6A3B3}" type="presParOf" srcId="{63E24577-A7FA-B04B-A5F2-A5BC77253D72}" destId="{C4AC7A4B-BCFE-924F-9105-050F4799B0D4}" srcOrd="0" destOrd="0" presId="urn:microsoft.com/office/officeart/2005/8/layout/process2"/>
    <dgm:cxn modelId="{38CCBBD7-6544-0146-9522-19A916A6AB77}" type="presParOf" srcId="{0B9D755D-87BD-7441-863E-2AF581509D3B}" destId="{31936F41-041E-FB4E-8056-BBB7CC4382C8}" srcOrd="8" destOrd="0" presId="urn:microsoft.com/office/officeart/2005/8/layout/process2"/>
    <dgm:cxn modelId="{4F57710E-532E-7948-8534-6FA5BD674D0F}" type="presParOf" srcId="{0B9D755D-87BD-7441-863E-2AF581509D3B}" destId="{0A8E987E-D348-534E-8162-5B85FA42DB5F}" srcOrd="9" destOrd="0" presId="urn:microsoft.com/office/officeart/2005/8/layout/process2"/>
    <dgm:cxn modelId="{39089458-0992-1748-967E-C7CA571B5FA2}" type="presParOf" srcId="{0A8E987E-D348-534E-8162-5B85FA42DB5F}" destId="{BCE13122-AFCE-D24D-9970-63F1203F0505}" srcOrd="0" destOrd="0" presId="urn:microsoft.com/office/officeart/2005/8/layout/process2"/>
    <dgm:cxn modelId="{70656A4E-864D-5445-AEDF-617A9AFD3669}" type="presParOf" srcId="{0B9D755D-87BD-7441-863E-2AF581509D3B}" destId="{FFBD7ACC-0F29-1442-9BA7-B79895806B22}" srcOrd="10" destOrd="0" presId="urn:microsoft.com/office/officeart/2005/8/layout/process2"/>
    <dgm:cxn modelId="{909FB49C-5B82-C941-9D85-77CF40597E11}" type="presParOf" srcId="{0B9D755D-87BD-7441-863E-2AF581509D3B}" destId="{3CECD60D-D63F-C142-8CB4-94811A1D1A42}" srcOrd="11" destOrd="0" presId="urn:microsoft.com/office/officeart/2005/8/layout/process2"/>
    <dgm:cxn modelId="{7982B09D-A0AA-C14D-B23F-EA0366E45B84}" type="presParOf" srcId="{3CECD60D-D63F-C142-8CB4-94811A1D1A42}" destId="{ACE87694-2894-EA47-8E00-DBACAD6683CA}" srcOrd="0" destOrd="0" presId="urn:microsoft.com/office/officeart/2005/8/layout/process2"/>
    <dgm:cxn modelId="{952FB1F9-38CB-D145-A728-CFC782C0CFB5}" type="presParOf" srcId="{0B9D755D-87BD-7441-863E-2AF581509D3B}" destId="{43ED2AE4-7B58-714B-B1D1-ED0B4C7F188E}" srcOrd="12" destOrd="0" presId="urn:microsoft.com/office/officeart/2005/8/layout/process2"/>
    <dgm:cxn modelId="{6595C86D-C954-BE43-9146-6CBEF0803412}" type="presParOf" srcId="{0B9D755D-87BD-7441-863E-2AF581509D3B}" destId="{0DF43955-EF86-1A4E-93DF-B450CC4BEFE2}" srcOrd="13" destOrd="0" presId="urn:microsoft.com/office/officeart/2005/8/layout/process2"/>
    <dgm:cxn modelId="{134CB414-850E-0C4F-A1C1-AB0E80986DF7}" type="presParOf" srcId="{0DF43955-EF86-1A4E-93DF-B450CC4BEFE2}" destId="{5FA1CC2F-D116-1E43-BB07-C5A9E27A7D30}" srcOrd="0" destOrd="0" presId="urn:microsoft.com/office/officeart/2005/8/layout/process2"/>
    <dgm:cxn modelId="{CED27784-A5A3-A348-AECE-DE365A921A1A}" type="presParOf" srcId="{0B9D755D-87BD-7441-863E-2AF581509D3B}" destId="{943D5988-288C-2D45-A101-77328CEAFF03}" srcOrd="14" destOrd="0" presId="urn:microsoft.com/office/officeart/2005/8/layout/process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3964C50-A39B-0142-8BC9-427B0E656D6D}">
      <dsp:nvSpPr>
        <dsp:cNvPr id="0" name=""/>
        <dsp:cNvSpPr/>
      </dsp:nvSpPr>
      <dsp:spPr>
        <a:xfrm>
          <a:off x="1880740" y="666"/>
          <a:ext cx="918469" cy="23726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GB" sz="800" kern="1200"/>
            <a:t>Content creation</a:t>
          </a:r>
        </a:p>
      </dsp:txBody>
      <dsp:txXfrm>
        <a:off x="1887689" y="7615"/>
        <a:ext cx="904571" cy="223365"/>
      </dsp:txXfrm>
    </dsp:sp>
    <dsp:sp modelId="{E0EE2B99-677A-3A44-9596-928BE50AB2A5}">
      <dsp:nvSpPr>
        <dsp:cNvPr id="0" name=""/>
        <dsp:cNvSpPr/>
      </dsp:nvSpPr>
      <dsp:spPr>
        <a:xfrm rot="5400000">
          <a:off x="2295488" y="243861"/>
          <a:ext cx="88973" cy="10676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5400000">
        <a:off x="2307945" y="252758"/>
        <a:ext cx="64060" cy="62281"/>
      </dsp:txXfrm>
    </dsp:sp>
    <dsp:sp modelId="{06D3C6D9-2C5F-6340-8419-91656C4D4ABF}">
      <dsp:nvSpPr>
        <dsp:cNvPr id="0" name=""/>
        <dsp:cNvSpPr/>
      </dsp:nvSpPr>
      <dsp:spPr>
        <a:xfrm>
          <a:off x="1880740" y="356561"/>
          <a:ext cx="918469" cy="23726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GB" sz="800" kern="1200"/>
            <a:t>Data transformation</a:t>
          </a:r>
        </a:p>
      </dsp:txBody>
      <dsp:txXfrm>
        <a:off x="1887689" y="363510"/>
        <a:ext cx="904571" cy="223365"/>
      </dsp:txXfrm>
    </dsp:sp>
    <dsp:sp modelId="{3C905D86-3B49-D14A-8ABC-252A73E52B6C}">
      <dsp:nvSpPr>
        <dsp:cNvPr id="0" name=""/>
        <dsp:cNvSpPr/>
      </dsp:nvSpPr>
      <dsp:spPr>
        <a:xfrm rot="5400000">
          <a:off x="2295488" y="599757"/>
          <a:ext cx="88973" cy="10676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5400000">
        <a:off x="2307945" y="608654"/>
        <a:ext cx="64060" cy="62281"/>
      </dsp:txXfrm>
    </dsp:sp>
    <dsp:sp modelId="{BD2E929A-9A09-3E4D-A85B-B82BE98AEF4E}">
      <dsp:nvSpPr>
        <dsp:cNvPr id="0" name=""/>
        <dsp:cNvSpPr/>
      </dsp:nvSpPr>
      <dsp:spPr>
        <a:xfrm>
          <a:off x="1880740" y="712457"/>
          <a:ext cx="918469" cy="23726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GB" sz="800" kern="1200"/>
            <a:t>Dataset curation</a:t>
          </a:r>
        </a:p>
      </dsp:txBody>
      <dsp:txXfrm>
        <a:off x="1887689" y="719406"/>
        <a:ext cx="904571" cy="223365"/>
      </dsp:txXfrm>
    </dsp:sp>
    <dsp:sp modelId="{50A4186C-71FE-6844-8D25-2F7E0EBD5EC6}">
      <dsp:nvSpPr>
        <dsp:cNvPr id="0" name=""/>
        <dsp:cNvSpPr/>
      </dsp:nvSpPr>
      <dsp:spPr>
        <a:xfrm rot="5400000">
          <a:off x="2295488" y="955652"/>
          <a:ext cx="88973" cy="10676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5400000">
        <a:off x="2307945" y="964549"/>
        <a:ext cx="64060" cy="62281"/>
      </dsp:txXfrm>
    </dsp:sp>
    <dsp:sp modelId="{F7A1D6CA-633F-2148-8D6E-5099F2530DEF}">
      <dsp:nvSpPr>
        <dsp:cNvPr id="0" name=""/>
        <dsp:cNvSpPr/>
      </dsp:nvSpPr>
      <dsp:spPr>
        <a:xfrm>
          <a:off x="1880740" y="1068352"/>
          <a:ext cx="918469" cy="23726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GB" sz="800" kern="1200"/>
            <a:t>Base model training </a:t>
          </a:r>
        </a:p>
      </dsp:txBody>
      <dsp:txXfrm>
        <a:off x="1887689" y="1075301"/>
        <a:ext cx="904571" cy="223365"/>
      </dsp:txXfrm>
    </dsp:sp>
    <dsp:sp modelId="{63E24577-A7FA-B04B-A5F2-A5BC77253D72}">
      <dsp:nvSpPr>
        <dsp:cNvPr id="0" name=""/>
        <dsp:cNvSpPr/>
      </dsp:nvSpPr>
      <dsp:spPr>
        <a:xfrm rot="5400000">
          <a:off x="2295488" y="1311548"/>
          <a:ext cx="88973" cy="10676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5400000">
        <a:off x="2307945" y="1320445"/>
        <a:ext cx="64060" cy="62281"/>
      </dsp:txXfrm>
    </dsp:sp>
    <dsp:sp modelId="{31936F41-041E-FB4E-8056-BBB7CC4382C8}">
      <dsp:nvSpPr>
        <dsp:cNvPr id="0" name=""/>
        <dsp:cNvSpPr/>
      </dsp:nvSpPr>
      <dsp:spPr>
        <a:xfrm>
          <a:off x="1880740" y="1424248"/>
          <a:ext cx="918469" cy="23726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GB" sz="800" kern="1200"/>
            <a:t>Fine-tuning</a:t>
          </a:r>
        </a:p>
      </dsp:txBody>
      <dsp:txXfrm>
        <a:off x="1887689" y="1431197"/>
        <a:ext cx="904571" cy="223365"/>
      </dsp:txXfrm>
    </dsp:sp>
    <dsp:sp modelId="{0A8E987E-D348-534E-8162-5B85FA42DB5F}">
      <dsp:nvSpPr>
        <dsp:cNvPr id="0" name=""/>
        <dsp:cNvSpPr/>
      </dsp:nvSpPr>
      <dsp:spPr>
        <a:xfrm rot="5400000">
          <a:off x="2295488" y="1667443"/>
          <a:ext cx="88973" cy="10676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5400000">
        <a:off x="2307945" y="1676340"/>
        <a:ext cx="64060" cy="62281"/>
      </dsp:txXfrm>
    </dsp:sp>
    <dsp:sp modelId="{FFBD7ACC-0F29-1442-9BA7-B79895806B22}">
      <dsp:nvSpPr>
        <dsp:cNvPr id="0" name=""/>
        <dsp:cNvSpPr/>
      </dsp:nvSpPr>
      <dsp:spPr>
        <a:xfrm>
          <a:off x="1880740" y="1780143"/>
          <a:ext cx="918469" cy="23726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GB" sz="800" kern="1200"/>
            <a:t>Deployment</a:t>
          </a:r>
        </a:p>
      </dsp:txBody>
      <dsp:txXfrm>
        <a:off x="1887689" y="1787092"/>
        <a:ext cx="904571" cy="223365"/>
      </dsp:txXfrm>
    </dsp:sp>
    <dsp:sp modelId="{3CECD60D-D63F-C142-8CB4-94811A1D1A42}">
      <dsp:nvSpPr>
        <dsp:cNvPr id="0" name=""/>
        <dsp:cNvSpPr/>
      </dsp:nvSpPr>
      <dsp:spPr>
        <a:xfrm rot="5400000">
          <a:off x="2295488" y="2023339"/>
          <a:ext cx="88973" cy="10676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5400000">
        <a:off x="2307945" y="2032236"/>
        <a:ext cx="64060" cy="62281"/>
      </dsp:txXfrm>
    </dsp:sp>
    <dsp:sp modelId="{43ED2AE4-7B58-714B-B1D1-ED0B4C7F188E}">
      <dsp:nvSpPr>
        <dsp:cNvPr id="0" name=""/>
        <dsp:cNvSpPr/>
      </dsp:nvSpPr>
      <dsp:spPr>
        <a:xfrm>
          <a:off x="1880740" y="2136039"/>
          <a:ext cx="918469" cy="23726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GB" sz="800" kern="1200"/>
            <a:t>Generation</a:t>
          </a:r>
        </a:p>
      </dsp:txBody>
      <dsp:txXfrm>
        <a:off x="1887689" y="2142988"/>
        <a:ext cx="904571" cy="223365"/>
      </dsp:txXfrm>
    </dsp:sp>
    <dsp:sp modelId="{0DF43955-EF86-1A4E-93DF-B450CC4BEFE2}">
      <dsp:nvSpPr>
        <dsp:cNvPr id="0" name=""/>
        <dsp:cNvSpPr/>
      </dsp:nvSpPr>
      <dsp:spPr>
        <a:xfrm rot="5400000">
          <a:off x="2295488" y="2379234"/>
          <a:ext cx="88973" cy="10676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5400000">
        <a:off x="2307945" y="2388131"/>
        <a:ext cx="64060" cy="62281"/>
      </dsp:txXfrm>
    </dsp:sp>
    <dsp:sp modelId="{943D5988-288C-2D45-A101-77328CEAFF03}">
      <dsp:nvSpPr>
        <dsp:cNvPr id="0" name=""/>
        <dsp:cNvSpPr/>
      </dsp:nvSpPr>
      <dsp:spPr>
        <a:xfrm>
          <a:off x="1880740" y="2491934"/>
          <a:ext cx="918469" cy="23726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GB" sz="800" kern="1200"/>
            <a:t>Alignment</a:t>
          </a:r>
        </a:p>
      </dsp:txBody>
      <dsp:txXfrm>
        <a:off x="1887689" y="2498883"/>
        <a:ext cx="904571" cy="22336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648588-7A9A-1041-B963-16D1CD29BAA5}">
  <ds:schemaRefs>
    <ds:schemaRef ds:uri="http://schemas.openxmlformats.org/officeDocument/2006/bibliography"/>
  </ds:schemaRefs>
</ds:datastoreItem>
</file>

<file path=docMetadata/LabelInfo.xml><?xml version="1.0" encoding="utf-8"?>
<clbl:labelList xmlns:clbl="http://schemas.microsoft.com/office/2020/mipLabelMetadata">
  <clbl:label id="{7aa68094-6104-41a6-b443-d4b52451f617}" enabled="0" method="" siteId="{7aa68094-6104-41a6-b443-d4b52451f617}"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41</Pages>
  <Words>14192</Words>
  <Characters>75221</Characters>
  <Application>Microsoft Office Word</Application>
  <DocSecurity>0</DocSecurity>
  <Lines>626</Lines>
  <Paragraphs>178</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89235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Jonas Ledendal</dc:creator>
  <cp:keywords/>
  <dc:description/>
  <cp:lastModifiedBy>Jonas Ledendal</cp:lastModifiedBy>
  <cp:revision>3</cp:revision>
  <cp:lastPrinted>2023-08-02T17:30:00Z</cp:lastPrinted>
  <dcterms:created xsi:type="dcterms:W3CDTF">2025-10-18T15:55:00Z</dcterms:created>
  <dcterms:modified xsi:type="dcterms:W3CDTF">2025-10-18T15:55:00Z</dcterms:modified>
</cp:coreProperties>
</file>