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bookmarkStart w:id="0" w:name="_Toc378660962"/>
    <w:bookmarkStart w:id="1" w:name="_Toc41476152"/>
    <w:bookmarkStart w:id="2" w:name="_GoBack"/>
    <w:bookmarkEnd w:id="2"/>
    <w:p w14:paraId="79785B5B" w14:textId="77777777" w:rsidR="00B817E8" w:rsidRPr="00AA3D0C" w:rsidRDefault="00F5433C">
      <w:pPr>
        <w:spacing w:after="200" w:line="276" w:lineRule="auto"/>
      </w:pPr>
      <w:r w:rsidRPr="00AA3D0C">
        <w:rPr>
          <w:noProof/>
          <w:lang w:eastAsia="en-GB"/>
        </w:rPr>
        <mc:AlternateContent>
          <mc:Choice Requires="wps">
            <w:drawing>
              <wp:anchor distT="0" distB="0" distL="114300" distR="114300" simplePos="0" relativeHeight="251569664" behindDoc="1" locked="0" layoutInCell="1" allowOverlap="1" wp14:anchorId="77F04546" wp14:editId="5DBBC32C">
                <wp:simplePos x="0" y="0"/>
                <wp:positionH relativeFrom="column">
                  <wp:posOffset>-746984</wp:posOffset>
                </wp:positionH>
                <wp:positionV relativeFrom="paragraph">
                  <wp:posOffset>-773878</wp:posOffset>
                </wp:positionV>
                <wp:extent cx="6573296" cy="9299836"/>
                <wp:effectExtent l="0" t="0" r="18415" b="15875"/>
                <wp:wrapNone/>
                <wp:docPr id="1517" name="Rectangle 1517"/>
                <wp:cNvGraphicFramePr/>
                <a:graphic xmlns:a="http://schemas.openxmlformats.org/drawingml/2006/main">
                  <a:graphicData uri="http://schemas.microsoft.com/office/word/2010/wordprocessingShape">
                    <wps:wsp>
                      <wps:cNvSpPr/>
                      <wps:spPr>
                        <a:xfrm>
                          <a:off x="0" y="0"/>
                          <a:ext cx="6573296" cy="9299836"/>
                        </a:xfrm>
                        <a:prstGeom prst="rect">
                          <a:avLst/>
                        </a:prstGeom>
                        <a:solidFill>
                          <a:srgbClr val="D7BF95">
                            <a:alpha val="25000"/>
                          </a:srgbClr>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610F1F1" id="Rectangle 1517" o:spid="_x0000_s1026" style="position:absolute;margin-left:-58.8pt;margin-top:-60.95pt;width:517.6pt;height:732.25pt;z-index:-251746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" fillcolor="#d7bf95" strokecolor="#243f60 [1604]" strokeweight="2pt">
                <v:fill opacity="16448f"/>
              </v:rect>
            </w:pict>
          </mc:Fallback>
        </mc:AlternateContent>
      </w:r>
    </w:p>
    <w:p w14:paraId="1955ACA5" w14:textId="77777777" w:rsidR="00B817E8" w:rsidRPr="00AA3D0C" w:rsidRDefault="00F5433C" w:rsidP="00F5433C">
      <w:pPr>
        <w:tabs>
          <w:tab w:val="left" w:pos="7369"/>
        </w:tabs>
        <w:spacing w:after="200" w:line="276" w:lineRule="auto"/>
      </w:pPr>
      <w:r w:rsidRPr="00AA3D0C">
        <w:tab/>
      </w:r>
    </w:p>
    <w:p w14:paraId="06CCEFB7" w14:textId="77777777" w:rsidR="00B817E8" w:rsidRPr="00AA3D0C" w:rsidRDefault="00B817E8">
      <w:pPr>
        <w:spacing w:after="200" w:line="276" w:lineRule="auto"/>
      </w:pPr>
    </w:p>
    <w:p w14:paraId="7F14F4AD" w14:textId="77777777" w:rsidR="001745AF" w:rsidRPr="00AA3D0C" w:rsidRDefault="001745AF">
      <w:pPr>
        <w:spacing w:after="200" w:line="276" w:lineRule="auto"/>
      </w:pPr>
    </w:p>
    <w:p w14:paraId="61FB8FB3" w14:textId="77777777" w:rsidR="001745AF" w:rsidRPr="00AA3D0C" w:rsidRDefault="002B7D6E">
      <w:pPr>
        <w:spacing w:after="200" w:line="276" w:lineRule="auto"/>
      </w:pPr>
      <w:r w:rsidRPr="00AA3D0C">
        <w:rPr>
          <w:noProof/>
          <w:lang w:eastAsia="en-GB"/>
        </w:rPr>
        <mc:AlternateContent>
          <mc:Choice Requires="wps">
            <w:drawing>
              <wp:anchor distT="0" distB="0" distL="114300" distR="114300" simplePos="0" relativeHeight="251577856" behindDoc="0" locked="0" layoutInCell="1" allowOverlap="1" wp14:anchorId="7A0C006C" wp14:editId="073B59E9">
                <wp:simplePos x="0" y="0"/>
                <wp:positionH relativeFrom="column">
                  <wp:posOffset>1036955</wp:posOffset>
                </wp:positionH>
                <wp:positionV relativeFrom="paragraph">
                  <wp:posOffset>70485</wp:posOffset>
                </wp:positionV>
                <wp:extent cx="4780915" cy="2073275"/>
                <wp:effectExtent l="0" t="0" r="635" b="3175"/>
                <wp:wrapNone/>
                <wp:docPr id="132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780915" cy="2073275"/>
                        </a:xfrm>
                        <a:prstGeom prst="rect">
                          <a:avLst/>
                        </a:prstGeom>
                        <a:solidFill>
                          <a:schemeClr val="bg1">
                            <a:lumMod val="85000"/>
                            <a:alpha val="59000"/>
                          </a:schemeClr>
                        </a:solidFill>
                        <a:ln w="9525">
                          <a:solidFill>
                            <a:schemeClr val="bg1"/>
                          </a:solidFill>
                          <a:miter lim="800000"/>
                          <a:headEnd/>
                          <a:tailEnd/>
                        </a:ln>
                      </wps:spPr>
                      <wps:txbx>
                        <w:txbxContent>
                          <w:p w14:paraId="50069EB9" w14:textId="3C3D1BF3" w:rsidR="00D22D7F" w:rsidRPr="0071181F" w:rsidRDefault="00D22D7F" w:rsidP="0071181F">
                            <w:pPr>
                              <w:pBdr>
                                <w:bottom w:val="single" w:sz="6" w:space="1" w:color="auto"/>
                              </w:pBdr>
                              <w:spacing w:after="200" w:line="276" w:lineRule="auto"/>
                              <w:jc w:val="both"/>
                              <w:rPr>
                                <w:rFonts w:ascii="Adobe Garamond Pro" w:hAnsi="Adobe Garamond Pro"/>
                                <w:b/>
                                <w:sz w:val="44"/>
                                <w:lang w:val="en-US"/>
                              </w:rPr>
                            </w:pPr>
                            <w:r>
                              <w:rPr>
                                <w:rFonts w:ascii="Adobe Garamond Pro" w:hAnsi="Adobe Garamond Pro"/>
                                <w:b/>
                                <w:sz w:val="44"/>
                                <w:lang w:val="en-US"/>
                              </w:rPr>
                              <w:t>A concept to evaluate dynamic</w:t>
                            </w:r>
                            <w:r>
                              <w:rPr>
                                <w:rFonts w:ascii="Adobe Garamond Pro" w:hAnsi="Adobe Garamond Pro"/>
                                <w:b/>
                                <w:sz w:val="44"/>
                                <w:lang w:val="en-US"/>
                              </w:rPr>
                              <w:tab/>
                              <w:t xml:space="preserve"> daylight glare</w:t>
                            </w:r>
                          </w:p>
                          <w:p w14:paraId="290404A9" w14:textId="77777777" w:rsidR="00D22D7F" w:rsidRDefault="00D22D7F" w:rsidP="001745AF">
                            <w:pPr>
                              <w:spacing w:after="200" w:line="276" w:lineRule="auto"/>
                              <w:rPr>
                                <w:rFonts w:ascii="Adobe Garamond Pro" w:hAnsi="Adobe Garamond Pro"/>
                                <w:sz w:val="28"/>
                                <w:lang w:val="en-US"/>
                              </w:rPr>
                            </w:pPr>
                            <w:r>
                              <w:rPr>
                                <w:rFonts w:ascii="Adobe Garamond Pro" w:hAnsi="Adobe Garamond Pro"/>
                                <w:sz w:val="28"/>
                                <w:lang w:val="en-US"/>
                              </w:rPr>
                              <w:t>Efthymia Eirini Tsianaka</w:t>
                            </w:r>
                          </w:p>
                          <w:p w14:paraId="1A339EFD" w14:textId="77777777" w:rsidR="00D22D7F" w:rsidRPr="009933AC" w:rsidRDefault="00D22D7F" w:rsidP="001745AF">
                            <w:pPr>
                              <w:spacing w:after="200" w:line="276" w:lineRule="auto"/>
                              <w:rPr>
                                <w:rFonts w:ascii="Adobe Garamond Pro" w:hAnsi="Adobe Garamond Pro"/>
                                <w:sz w:val="28"/>
                                <w:lang w:val="en-US"/>
                              </w:rPr>
                            </w:pPr>
                            <w:r w:rsidRPr="009933AC">
                              <w:rPr>
                                <w:rFonts w:ascii="Adobe Garamond Pro" w:hAnsi="Adobe Garamond Pro"/>
                                <w:sz w:val="28"/>
                                <w:lang w:val="en-US"/>
                              </w:rPr>
                              <w:t xml:space="preserve">Master thesis in Energy-efficient and </w:t>
                            </w:r>
                            <w:r>
                              <w:rPr>
                                <w:rFonts w:ascii="Adobe Garamond Pro" w:hAnsi="Adobe Garamond Pro"/>
                                <w:sz w:val="28"/>
                                <w:lang w:val="en-US"/>
                              </w:rPr>
                              <w:t>E</w:t>
                            </w:r>
                            <w:r w:rsidRPr="009933AC">
                              <w:rPr>
                                <w:rFonts w:ascii="Adobe Garamond Pro" w:hAnsi="Adobe Garamond Pro"/>
                                <w:sz w:val="28"/>
                                <w:lang w:val="en-US"/>
                              </w:rPr>
                              <w:t xml:space="preserve">nvironmental </w:t>
                            </w:r>
                            <w:r>
                              <w:rPr>
                                <w:rFonts w:ascii="Adobe Garamond Pro" w:hAnsi="Adobe Garamond Pro"/>
                                <w:sz w:val="28"/>
                                <w:lang w:val="en-US"/>
                              </w:rPr>
                              <w:t>B</w:t>
                            </w:r>
                            <w:r w:rsidRPr="009933AC">
                              <w:rPr>
                                <w:rFonts w:ascii="Adobe Garamond Pro" w:hAnsi="Adobe Garamond Pro"/>
                                <w:sz w:val="28"/>
                                <w:lang w:val="en-US"/>
                              </w:rPr>
                              <w:t>uildings</w:t>
                            </w:r>
                            <w:r>
                              <w:rPr>
                                <w:rFonts w:ascii="Adobe Garamond Pro" w:hAnsi="Adobe Garamond Pro"/>
                                <w:sz w:val="28"/>
                                <w:lang w:val="en-US"/>
                              </w:rPr>
                              <w:br/>
                            </w:r>
                            <w:r w:rsidRPr="009933AC">
                              <w:rPr>
                                <w:rFonts w:ascii="Adobe Garamond Pro" w:hAnsi="Adobe Garamond Pro"/>
                                <w:sz w:val="28"/>
                                <w:lang w:val="en-US"/>
                              </w:rPr>
                              <w:t xml:space="preserve">Faculty of Engineering </w:t>
                            </w:r>
                            <w:r>
                              <w:rPr>
                                <w:rFonts w:ascii="Calibri" w:hAnsi="Calibri"/>
                                <w:sz w:val="28"/>
                                <w:lang w:val="en-US"/>
                              </w:rPr>
                              <w:t>|</w:t>
                            </w:r>
                            <w:r w:rsidRPr="009933AC">
                              <w:rPr>
                                <w:rFonts w:ascii="Adobe Garamond Pro" w:hAnsi="Adobe Garamond Pro"/>
                                <w:sz w:val="28"/>
                                <w:lang w:val="en-US"/>
                              </w:rPr>
                              <w:t xml:space="preserve"> Lund University</w:t>
                            </w:r>
                          </w:p>
                          <w:p w14:paraId="49671059" w14:textId="77777777" w:rsidR="00D22D7F" w:rsidRPr="00233FEB" w:rsidRDefault="00D22D7F">
                            <w:pPr>
                              <w:rPr>
                                <w:lang w:val="en-US"/>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7A0C006C" id="_x0000_t202" coordsize="21600,21600" o:spt="202" path="m,l,21600r21600,l21600,xe">
                <v:stroke joinstyle="miter"/>
                <v:path gradientshapeok="t" o:connecttype="rect"/>
              </v:shapetype>
              <v:shape id="Text Box 2" o:spid="_x0000_s1026" type="#_x0000_t202" style="position:absolute;margin-left:81.65pt;margin-top:5.55pt;width:376.45pt;height:163.25pt;z-index:2515778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" fillcolor="#d8d8d8 [2732]" strokecolor="white [3212]">
                <v:fill opacity="38550f"/>
                <v:textbox>
                  <w:txbxContent>
                    <w:p w14:paraId="50069EB9" w14:textId="3C3D1BF3" w:rsidR="00D22D7F" w:rsidRPr="0071181F" w:rsidRDefault="00D22D7F" w:rsidP="0071181F">
                      <w:pPr>
                        <w:pBdr>
                          <w:bottom w:val="single" w:sz="6" w:space="1" w:color="auto"/>
                        </w:pBdr>
                        <w:spacing w:after="200" w:line="276" w:lineRule="auto"/>
                        <w:jc w:val="both"/>
                        <w:rPr>
                          <w:rFonts w:ascii="Adobe Garamond Pro" w:hAnsi="Adobe Garamond Pro"/>
                          <w:b/>
                          <w:sz w:val="44"/>
                          <w:lang w:val="en-US"/>
                        </w:rPr>
                      </w:pPr>
                      <w:r>
                        <w:rPr>
                          <w:rFonts w:ascii="Adobe Garamond Pro" w:hAnsi="Adobe Garamond Pro"/>
                          <w:b/>
                          <w:sz w:val="44"/>
                          <w:lang w:val="en-US"/>
                        </w:rPr>
                        <w:t>A concept to evaluate dynamic</w:t>
                      </w:r>
                      <w:r>
                        <w:rPr>
                          <w:rFonts w:ascii="Adobe Garamond Pro" w:hAnsi="Adobe Garamond Pro"/>
                          <w:b/>
                          <w:sz w:val="44"/>
                          <w:lang w:val="en-US"/>
                        </w:rPr>
                        <w:tab/>
                        <w:t xml:space="preserve"> daylight glare</w:t>
                      </w:r>
                    </w:p>
                    <w:p w14:paraId="290404A9" w14:textId="77777777" w:rsidR="00D22D7F" w:rsidRDefault="00D22D7F" w:rsidP="001745AF">
                      <w:pPr>
                        <w:spacing w:after="200" w:line="276" w:lineRule="auto"/>
                        <w:rPr>
                          <w:rFonts w:ascii="Adobe Garamond Pro" w:hAnsi="Adobe Garamond Pro"/>
                          <w:sz w:val="28"/>
                          <w:lang w:val="en-US"/>
                        </w:rPr>
                      </w:pPr>
                      <w:r>
                        <w:rPr>
                          <w:rFonts w:ascii="Adobe Garamond Pro" w:hAnsi="Adobe Garamond Pro"/>
                          <w:sz w:val="28"/>
                          <w:lang w:val="en-US"/>
                        </w:rPr>
                        <w:t>Efthymia Eirini Tsianaka</w:t>
                      </w:r>
                    </w:p>
                    <w:p w14:paraId="1A339EFD" w14:textId="77777777" w:rsidR="00D22D7F" w:rsidRPr="009933AC" w:rsidRDefault="00D22D7F" w:rsidP="001745AF">
                      <w:pPr>
                        <w:spacing w:after="200" w:line="276" w:lineRule="auto"/>
                        <w:rPr>
                          <w:rFonts w:ascii="Adobe Garamond Pro" w:hAnsi="Adobe Garamond Pro"/>
                          <w:sz w:val="28"/>
                          <w:lang w:val="en-US"/>
                        </w:rPr>
                      </w:pPr>
                      <w:r w:rsidRPr="009933AC">
                        <w:rPr>
                          <w:rFonts w:ascii="Adobe Garamond Pro" w:hAnsi="Adobe Garamond Pro"/>
                          <w:sz w:val="28"/>
                          <w:lang w:val="en-US"/>
                        </w:rPr>
                        <w:t xml:space="preserve">Master thesis in Energy-efficient and </w:t>
                      </w:r>
                      <w:r>
                        <w:rPr>
                          <w:rFonts w:ascii="Adobe Garamond Pro" w:hAnsi="Adobe Garamond Pro"/>
                          <w:sz w:val="28"/>
                          <w:lang w:val="en-US"/>
                        </w:rPr>
                        <w:t>E</w:t>
                      </w:r>
                      <w:r w:rsidRPr="009933AC">
                        <w:rPr>
                          <w:rFonts w:ascii="Adobe Garamond Pro" w:hAnsi="Adobe Garamond Pro"/>
                          <w:sz w:val="28"/>
                          <w:lang w:val="en-US"/>
                        </w:rPr>
                        <w:t xml:space="preserve">nvironmental </w:t>
                      </w:r>
                      <w:r>
                        <w:rPr>
                          <w:rFonts w:ascii="Adobe Garamond Pro" w:hAnsi="Adobe Garamond Pro"/>
                          <w:sz w:val="28"/>
                          <w:lang w:val="en-US"/>
                        </w:rPr>
                        <w:t>B</w:t>
                      </w:r>
                      <w:r w:rsidRPr="009933AC">
                        <w:rPr>
                          <w:rFonts w:ascii="Adobe Garamond Pro" w:hAnsi="Adobe Garamond Pro"/>
                          <w:sz w:val="28"/>
                          <w:lang w:val="en-US"/>
                        </w:rPr>
                        <w:t>uildings</w:t>
                      </w:r>
                      <w:r>
                        <w:rPr>
                          <w:rFonts w:ascii="Adobe Garamond Pro" w:hAnsi="Adobe Garamond Pro"/>
                          <w:sz w:val="28"/>
                          <w:lang w:val="en-US"/>
                        </w:rPr>
                        <w:br/>
                      </w:r>
                      <w:r w:rsidRPr="009933AC">
                        <w:rPr>
                          <w:rFonts w:ascii="Adobe Garamond Pro" w:hAnsi="Adobe Garamond Pro"/>
                          <w:sz w:val="28"/>
                          <w:lang w:val="en-US"/>
                        </w:rPr>
                        <w:t xml:space="preserve">Faculty of Engineering </w:t>
                      </w:r>
                      <w:r>
                        <w:rPr>
                          <w:rFonts w:ascii="Calibri" w:hAnsi="Calibri"/>
                          <w:sz w:val="28"/>
                          <w:lang w:val="en-US"/>
                        </w:rPr>
                        <w:t>|</w:t>
                      </w:r>
                      <w:r w:rsidRPr="009933AC">
                        <w:rPr>
                          <w:rFonts w:ascii="Adobe Garamond Pro" w:hAnsi="Adobe Garamond Pro"/>
                          <w:sz w:val="28"/>
                          <w:lang w:val="en-US"/>
                        </w:rPr>
                        <w:t xml:space="preserve"> Lund University</w:t>
                      </w:r>
                    </w:p>
                    <w:p w14:paraId="49671059" w14:textId="77777777" w:rsidR="00D22D7F" w:rsidRPr="00233FEB" w:rsidRDefault="00D22D7F">
                      <w:pPr>
                        <w:rPr>
                          <w:lang w:val="en-US"/>
                        </w:rPr>
                      </w:pPr>
                    </w:p>
                  </w:txbxContent>
                </v:textbox>
              </v:shape>
            </w:pict>
          </mc:Fallback>
        </mc:AlternateContent>
      </w:r>
    </w:p>
    <w:p w14:paraId="0AC4B3CD" w14:textId="77777777" w:rsidR="001745AF" w:rsidRPr="00AA3D0C" w:rsidRDefault="001745AF">
      <w:pPr>
        <w:spacing w:after="200" w:line="276" w:lineRule="auto"/>
      </w:pPr>
    </w:p>
    <w:p w14:paraId="373276EC" w14:textId="77777777" w:rsidR="001745AF" w:rsidRPr="00AA3D0C" w:rsidRDefault="001745AF">
      <w:pPr>
        <w:spacing w:after="200" w:line="276" w:lineRule="auto"/>
      </w:pPr>
    </w:p>
    <w:p w14:paraId="2608FF19" w14:textId="77777777" w:rsidR="001745AF" w:rsidRPr="00AA3D0C" w:rsidRDefault="001745AF">
      <w:pPr>
        <w:spacing w:after="200" w:line="276" w:lineRule="auto"/>
      </w:pPr>
    </w:p>
    <w:p w14:paraId="422F20DF" w14:textId="77777777" w:rsidR="00B817E8" w:rsidRPr="00AA3D0C" w:rsidRDefault="00160436">
      <w:pPr>
        <w:spacing w:after="200" w:line="276" w:lineRule="auto"/>
        <w:rPr>
          <w:rFonts w:cs="Arial"/>
          <w:b/>
          <w:bCs/>
          <w:kern w:val="32"/>
          <w:sz w:val="32"/>
          <w:szCs w:val="32"/>
        </w:rPr>
      </w:pPr>
      <w:r w:rsidRPr="00AA3D0C">
        <w:rPr>
          <w:rFonts w:cs="Arial"/>
          <w:b/>
          <w:bCs/>
          <w:noProof/>
          <w:kern w:val="32"/>
          <w:sz w:val="32"/>
          <w:szCs w:val="32"/>
          <w:lang w:eastAsia="en-GB"/>
        </w:rPr>
        <w:drawing>
          <wp:anchor distT="0" distB="0" distL="114300" distR="114300" simplePos="0" relativeHeight="251576832" behindDoc="1" locked="1" layoutInCell="1" allowOverlap="1" wp14:anchorId="7AB8BB03" wp14:editId="0AF4FAD7">
            <wp:simplePos x="0" y="0"/>
            <wp:positionH relativeFrom="column">
              <wp:posOffset>4021455</wp:posOffset>
            </wp:positionH>
            <wp:positionV relativeFrom="page">
              <wp:posOffset>7593330</wp:posOffset>
            </wp:positionV>
            <wp:extent cx="1800000" cy="1648800"/>
            <wp:effectExtent l="0" t="0" r="0" b="8890"/>
            <wp:wrapNone/>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ogo.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1800000" cy="1648800"/>
                    </a:xfrm>
                    <a:prstGeom prst="rect">
                      <a:avLst/>
                    </a:prstGeom>
                  </pic:spPr>
                </pic:pic>
              </a:graphicData>
            </a:graphic>
          </wp:anchor>
        </w:drawing>
      </w:r>
      <w:r w:rsidR="00B817E8" w:rsidRPr="00AA3D0C">
        <w:br w:type="page"/>
      </w:r>
    </w:p>
    <w:p w14:paraId="250CED18" w14:textId="77777777" w:rsidR="001745AF" w:rsidRPr="00AA3D0C" w:rsidRDefault="001745AF">
      <w:pPr>
        <w:spacing w:after="200" w:line="276" w:lineRule="auto"/>
      </w:pPr>
    </w:p>
    <w:p w14:paraId="7BF082A3" w14:textId="77777777" w:rsidR="00D24588" w:rsidRPr="00AA3D0C" w:rsidRDefault="00D24588" w:rsidP="00D24588">
      <w:pPr>
        <w:spacing w:after="200" w:line="276" w:lineRule="auto"/>
        <w:rPr>
          <w:b/>
          <w:sz w:val="28"/>
        </w:rPr>
      </w:pPr>
      <w:r w:rsidRPr="00AA3D0C">
        <w:rPr>
          <w:b/>
          <w:sz w:val="28"/>
        </w:rPr>
        <w:t>Lund University</w:t>
      </w:r>
    </w:p>
    <w:p w14:paraId="54D0AE03" w14:textId="77777777" w:rsidR="00D24588" w:rsidRPr="00AA3D0C" w:rsidRDefault="00D24588" w:rsidP="00D24588">
      <w:pPr>
        <w:spacing w:after="200" w:line="276" w:lineRule="auto"/>
        <w:rPr>
          <w:sz w:val="22"/>
        </w:rPr>
      </w:pPr>
      <w:r w:rsidRPr="00AA3D0C">
        <w:rPr>
          <w:sz w:val="22"/>
        </w:rPr>
        <w:t xml:space="preserve">Lund University, with eight faculties and a number of </w:t>
      </w:r>
      <w:proofErr w:type="gramStart"/>
      <w:r w:rsidRPr="00AA3D0C">
        <w:rPr>
          <w:sz w:val="22"/>
        </w:rPr>
        <w:t>research</w:t>
      </w:r>
      <w:proofErr w:type="gramEnd"/>
      <w:r w:rsidRPr="00AA3D0C">
        <w:rPr>
          <w:sz w:val="22"/>
        </w:rPr>
        <w:t xml:space="preserve"> </w:t>
      </w:r>
      <w:proofErr w:type="spellStart"/>
      <w:r w:rsidR="006F4580" w:rsidRPr="00AA3D0C">
        <w:rPr>
          <w:sz w:val="22"/>
        </w:rPr>
        <w:t>centers</w:t>
      </w:r>
      <w:proofErr w:type="spellEnd"/>
      <w:r w:rsidRPr="00AA3D0C">
        <w:rPr>
          <w:sz w:val="22"/>
        </w:rPr>
        <w:t xml:space="preserve"> and specialized institutes, is the largest establishment for research and higher education in Scandinavia. The main part of the University is situated in the small city of Lund which has about 112 000 inhabitants. </w:t>
      </w:r>
      <w:proofErr w:type="gramStart"/>
      <w:r w:rsidRPr="00AA3D0C">
        <w:rPr>
          <w:sz w:val="22"/>
        </w:rPr>
        <w:t>A number of</w:t>
      </w:r>
      <w:proofErr w:type="gramEnd"/>
      <w:r w:rsidRPr="00AA3D0C">
        <w:rPr>
          <w:sz w:val="22"/>
        </w:rPr>
        <w:t xml:space="preserve"> departments for research and education are, however, located in Malmö. Lund University was founded in 1666 and has today a total staff of 6 000 employees and 47 000 students attending </w:t>
      </w:r>
      <w:proofErr w:type="gramStart"/>
      <w:r w:rsidRPr="00AA3D0C">
        <w:rPr>
          <w:sz w:val="22"/>
        </w:rPr>
        <w:t>280 degree</w:t>
      </w:r>
      <w:proofErr w:type="gramEnd"/>
      <w:r w:rsidRPr="00AA3D0C">
        <w:rPr>
          <w:sz w:val="22"/>
        </w:rPr>
        <w:t xml:space="preserve"> programmes and 2 300 subject courses offered by 63 departments.</w:t>
      </w:r>
    </w:p>
    <w:p w14:paraId="64B07A3C" w14:textId="77777777" w:rsidR="00D24588" w:rsidRPr="00AA3D0C" w:rsidRDefault="00D24588" w:rsidP="00D24588">
      <w:pPr>
        <w:spacing w:after="200" w:line="276" w:lineRule="auto"/>
      </w:pPr>
    </w:p>
    <w:p w14:paraId="614E4522" w14:textId="77777777" w:rsidR="00D24588" w:rsidRPr="00AA3D0C" w:rsidRDefault="00D24588" w:rsidP="00D24588">
      <w:pPr>
        <w:spacing w:after="200" w:line="276" w:lineRule="auto"/>
        <w:rPr>
          <w:b/>
        </w:rPr>
      </w:pPr>
      <w:r w:rsidRPr="00AA3D0C">
        <w:rPr>
          <w:b/>
        </w:rPr>
        <w:t>Master Programme in Energy-efficient and Environmental Building Design</w:t>
      </w:r>
    </w:p>
    <w:p w14:paraId="12BF146D" w14:textId="77777777" w:rsidR="00D24588" w:rsidRPr="00AA3D0C" w:rsidRDefault="00D24588" w:rsidP="00D24588">
      <w:pPr>
        <w:spacing w:after="200" w:line="276" w:lineRule="auto"/>
        <w:rPr>
          <w:sz w:val="22"/>
        </w:rPr>
      </w:pPr>
      <w:r w:rsidRPr="00AA3D0C">
        <w:rPr>
          <w:sz w:val="22"/>
        </w:rPr>
        <w:t xml:space="preserve">This international programme provides knowledge, skills and competencies within the area of energy-efficient and environmental building design in cold climates. The goal is to train highly skilled professionals, who will significantly contribute to and influence the design, building or renovation of energy-efficient buildings, taking into consideration the architecture and environment, the inhabitants’ behaviour and needs, their health and comfort as well as the overall economy. </w:t>
      </w:r>
    </w:p>
    <w:p w14:paraId="477F62BA" w14:textId="77777777" w:rsidR="00D24588" w:rsidRPr="00AA3D0C" w:rsidRDefault="00D24588" w:rsidP="00D24588">
      <w:pPr>
        <w:spacing w:after="200" w:line="276" w:lineRule="auto"/>
        <w:rPr>
          <w:sz w:val="22"/>
        </w:rPr>
      </w:pPr>
      <w:r w:rsidRPr="00AA3D0C">
        <w:rPr>
          <w:sz w:val="22"/>
        </w:rPr>
        <w:t xml:space="preserve">The degree project is the final part of the master programme </w:t>
      </w:r>
      <w:r w:rsidR="00233FEB" w:rsidRPr="00AA3D0C">
        <w:rPr>
          <w:sz w:val="22"/>
        </w:rPr>
        <w:t>leading</w:t>
      </w:r>
      <w:r w:rsidRPr="00AA3D0C">
        <w:rPr>
          <w:sz w:val="22"/>
        </w:rPr>
        <w:t xml:space="preserve"> to a Master of Science (120 credits) in Energy-efficient and Environmental Buildings.</w:t>
      </w:r>
    </w:p>
    <w:p w14:paraId="7CFB5E32" w14:textId="77777777" w:rsidR="00D24588" w:rsidRPr="00AA3D0C" w:rsidRDefault="00D24588">
      <w:pPr>
        <w:spacing w:after="200" w:line="276" w:lineRule="auto"/>
      </w:pPr>
    </w:p>
    <w:p w14:paraId="5259A231" w14:textId="77777777" w:rsidR="00BC32AE" w:rsidRPr="00AA3D0C" w:rsidRDefault="00BC32AE" w:rsidP="00BC32AE">
      <w:pPr>
        <w:spacing w:after="200" w:line="276" w:lineRule="auto"/>
        <w:rPr>
          <w:sz w:val="22"/>
          <w:szCs w:val="22"/>
        </w:rPr>
      </w:pPr>
      <w:r w:rsidRPr="00AA3D0C">
        <w:t xml:space="preserve">Examiner: </w:t>
      </w:r>
      <w:r w:rsidR="00AE5939" w:rsidRPr="00AA3D0C">
        <w:t>Marie-Claude Dubois (Energy and Building Design)</w:t>
      </w:r>
    </w:p>
    <w:p w14:paraId="53B01FB8" w14:textId="77777777" w:rsidR="00BC32AE" w:rsidRPr="00AA3D0C" w:rsidRDefault="00BC32AE" w:rsidP="00BC32AE">
      <w:pPr>
        <w:spacing w:after="240" w:line="276" w:lineRule="auto"/>
      </w:pPr>
      <w:r w:rsidRPr="00AA3D0C">
        <w:t xml:space="preserve">Supervisor: </w:t>
      </w:r>
      <w:r w:rsidR="00AE5939" w:rsidRPr="00AA3D0C">
        <w:t>Niko Gentile (Energy and Building Design)</w:t>
      </w:r>
    </w:p>
    <w:p w14:paraId="26BDC198" w14:textId="77777777" w:rsidR="001745AF" w:rsidRPr="00AA3D0C" w:rsidRDefault="00B817E8">
      <w:pPr>
        <w:spacing w:after="200" w:line="276" w:lineRule="auto"/>
      </w:pPr>
      <w:r w:rsidRPr="00AA3D0C">
        <w:t xml:space="preserve">Keywords: </w:t>
      </w:r>
      <w:r w:rsidR="00AE5939" w:rsidRPr="00AA3D0C">
        <w:t>glare, daylight, zonal, long-term, adaptation possibility, TPG, STG, directional glare, weighting system, dynamic, visual comfort, fenestration system</w:t>
      </w:r>
    </w:p>
    <w:p w14:paraId="58B89F56" w14:textId="77777777" w:rsidR="00F20E35" w:rsidRPr="00AA3D0C" w:rsidRDefault="001745AF" w:rsidP="00B817E8">
      <w:pPr>
        <w:spacing w:after="200" w:line="276" w:lineRule="auto"/>
      </w:pPr>
      <w:r w:rsidRPr="00AA3D0C">
        <w:t>T</w:t>
      </w:r>
      <w:r w:rsidR="00B817E8" w:rsidRPr="00AA3D0C">
        <w:t>hesis: EEBD</w:t>
      </w:r>
      <w:r w:rsidR="00F20E35" w:rsidRPr="00AA3D0C">
        <w:t xml:space="preserve"> </w:t>
      </w:r>
      <w:r w:rsidR="00B817E8" w:rsidRPr="00AA3D0C">
        <w:t>-</w:t>
      </w:r>
      <w:r w:rsidR="00F20E35" w:rsidRPr="00AA3D0C">
        <w:t xml:space="preserve"> </w:t>
      </w:r>
      <w:r w:rsidR="00B817E8" w:rsidRPr="00AA3D0C">
        <w:t xml:space="preserve"># </w:t>
      </w:r>
      <w:bookmarkEnd w:id="0"/>
      <w:bookmarkEnd w:id="1"/>
      <w:r w:rsidR="00F20E35" w:rsidRPr="00AA3D0C">
        <w:t>/</w:t>
      </w:r>
      <w:r w:rsidR="00AE5939" w:rsidRPr="00AA3D0C">
        <w:t xml:space="preserve"> 18</w:t>
      </w:r>
    </w:p>
    <w:p w14:paraId="3DC58C25" w14:textId="77777777" w:rsidR="00B5154C" w:rsidRPr="00AA3D0C" w:rsidRDefault="002B7D6E">
      <w:pPr>
        <w:spacing w:after="200" w:line="276" w:lineRule="auto"/>
      </w:pPr>
      <w:r w:rsidRPr="00AA3D0C">
        <w:rPr>
          <w:noProof/>
          <w:lang w:eastAsia="en-GB"/>
        </w:rPr>
        <mc:AlternateContent>
          <mc:Choice Requires="wps">
            <w:drawing>
              <wp:anchor distT="0" distB="0" distL="114300" distR="114300" simplePos="0" relativeHeight="251578880" behindDoc="0" locked="0" layoutInCell="1" allowOverlap="1" wp14:anchorId="301849B7" wp14:editId="7347D09C">
                <wp:simplePos x="0" y="0"/>
                <wp:positionH relativeFrom="column">
                  <wp:posOffset>2469515</wp:posOffset>
                </wp:positionH>
                <wp:positionV relativeFrom="paragraph">
                  <wp:posOffset>2116455</wp:posOffset>
                </wp:positionV>
                <wp:extent cx="329565" cy="308610"/>
                <wp:effectExtent l="0" t="0" r="0" b="0"/>
                <wp:wrapNone/>
                <wp:docPr id="1321" name="Rectangle 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29565" cy="30861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15CD662" id="Rectangle 7" o:spid="_x0000_s1026" style="position:absolute;margin-left:194.45pt;margin-top:166.65pt;width:25.95pt;height:24.3pt;z-index:2515788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" stroked="f"/>
            </w:pict>
          </mc:Fallback>
        </mc:AlternateContent>
      </w:r>
    </w:p>
    <w:p w14:paraId="5E9E427A" w14:textId="77777777" w:rsidR="00B5154C" w:rsidRPr="00AA3D0C" w:rsidRDefault="00B5154C">
      <w:pPr>
        <w:spacing w:after="200" w:line="276" w:lineRule="auto"/>
      </w:pPr>
      <w:r w:rsidRPr="00AA3D0C">
        <w:br w:type="page"/>
      </w:r>
    </w:p>
    <w:p w14:paraId="786936C1" w14:textId="77777777" w:rsidR="002B7D6E" w:rsidRPr="00AA3D0C" w:rsidRDefault="002B7D6E" w:rsidP="002B7D6E">
      <w:pPr>
        <w:spacing w:after="200" w:line="276" w:lineRule="auto"/>
      </w:pPr>
    </w:p>
    <w:p w14:paraId="776694A7" w14:textId="77777777" w:rsidR="002B7D6E" w:rsidRPr="00AA3D0C" w:rsidRDefault="002B7D6E" w:rsidP="002B7D6E">
      <w:pPr>
        <w:pStyle w:val="Rubrik1-Byfy"/>
        <w:numPr>
          <w:ilvl w:val="0"/>
          <w:numId w:val="0"/>
        </w:numPr>
      </w:pPr>
      <w:bookmarkStart w:id="3" w:name="_Toc532751553"/>
      <w:r w:rsidRPr="00AA3D0C">
        <w:t>Abstract</w:t>
      </w:r>
      <w:bookmarkEnd w:id="3"/>
    </w:p>
    <w:p w14:paraId="3561C554" w14:textId="77777777" w:rsidR="002B7D6E" w:rsidRPr="00AA3D0C" w:rsidRDefault="002B7D6E" w:rsidP="002B7D6E">
      <w:pPr>
        <w:jc w:val="both"/>
        <w:rPr>
          <w:sz w:val="22"/>
          <w:szCs w:val="22"/>
        </w:rPr>
      </w:pPr>
    </w:p>
    <w:p w14:paraId="02DBE855" w14:textId="0A3835CB" w:rsidR="002B7D6E" w:rsidRPr="00AA3D0C" w:rsidRDefault="002B7D6E" w:rsidP="002B7D6E">
      <w:pPr>
        <w:jc w:val="both"/>
        <w:rPr>
          <w:sz w:val="22"/>
          <w:szCs w:val="22"/>
        </w:rPr>
      </w:pPr>
      <w:r w:rsidRPr="00AA3D0C">
        <w:rPr>
          <w:sz w:val="22"/>
          <w:szCs w:val="22"/>
        </w:rPr>
        <w:t xml:space="preserve">Visual comfort is becoming a significant </w:t>
      </w:r>
      <w:r w:rsidR="00C10976">
        <w:rPr>
          <w:sz w:val="22"/>
          <w:szCs w:val="22"/>
        </w:rPr>
        <w:t>concern</w:t>
      </w:r>
      <w:r w:rsidRPr="00AA3D0C">
        <w:rPr>
          <w:sz w:val="22"/>
          <w:szCs w:val="22"/>
        </w:rPr>
        <w:t xml:space="preserve"> of contemporary building design. The increased interest for utilizing daylight in buildings sets the question for visual comfort. One of the serious challenges in the whole process is the identification and </w:t>
      </w:r>
      <w:r w:rsidR="00A21EDC">
        <w:rPr>
          <w:sz w:val="22"/>
          <w:szCs w:val="22"/>
        </w:rPr>
        <w:t>reduction</w:t>
      </w:r>
      <w:r w:rsidRPr="00AA3D0C">
        <w:rPr>
          <w:sz w:val="22"/>
          <w:szCs w:val="22"/>
        </w:rPr>
        <w:t xml:space="preserve"> of glare issues. The objective of this study is to propose </w:t>
      </w:r>
      <w:r w:rsidR="009C7740">
        <w:rPr>
          <w:sz w:val="22"/>
          <w:szCs w:val="22"/>
        </w:rPr>
        <w:t xml:space="preserve">the concept of </w:t>
      </w:r>
      <w:r w:rsidRPr="00AA3D0C">
        <w:rPr>
          <w:sz w:val="22"/>
          <w:szCs w:val="22"/>
        </w:rPr>
        <w:t xml:space="preserve">an evaluation methodology of the discomfort glare in a dynamic and zonal way, using </w:t>
      </w:r>
      <w:r w:rsidR="00A21EDC">
        <w:rPr>
          <w:sz w:val="22"/>
          <w:szCs w:val="22"/>
        </w:rPr>
        <w:t>existing</w:t>
      </w:r>
      <w:r w:rsidRPr="00AA3D0C">
        <w:rPr>
          <w:sz w:val="22"/>
          <w:szCs w:val="22"/>
        </w:rPr>
        <w:t xml:space="preserve"> glare indices. In more detail, </w:t>
      </w:r>
      <w:r w:rsidR="006D2422">
        <w:rPr>
          <w:sz w:val="22"/>
          <w:szCs w:val="22"/>
        </w:rPr>
        <w:t xml:space="preserve">the method </w:t>
      </w:r>
      <w:r w:rsidR="00971B15">
        <w:rPr>
          <w:sz w:val="22"/>
          <w:szCs w:val="22"/>
        </w:rPr>
        <w:t xml:space="preserve">considers </w:t>
      </w:r>
      <w:r w:rsidR="006D2422" w:rsidRPr="00AA3D0C">
        <w:rPr>
          <w:sz w:val="22"/>
          <w:szCs w:val="22"/>
        </w:rPr>
        <w:t xml:space="preserve">different </w:t>
      </w:r>
      <w:r w:rsidR="00027E64">
        <w:rPr>
          <w:sz w:val="22"/>
          <w:szCs w:val="22"/>
        </w:rPr>
        <w:t xml:space="preserve">observer’s </w:t>
      </w:r>
      <w:r w:rsidR="006D2422" w:rsidRPr="00AA3D0C">
        <w:rPr>
          <w:sz w:val="22"/>
          <w:szCs w:val="22"/>
        </w:rPr>
        <w:t>positions</w:t>
      </w:r>
      <w:r w:rsidR="00971B15">
        <w:rPr>
          <w:sz w:val="22"/>
          <w:szCs w:val="22"/>
        </w:rPr>
        <w:t xml:space="preserve"> and</w:t>
      </w:r>
      <w:r w:rsidR="006D2422" w:rsidRPr="00AA3D0C">
        <w:rPr>
          <w:sz w:val="22"/>
          <w:szCs w:val="22"/>
        </w:rPr>
        <w:t xml:space="preserve"> gaze direction</w:t>
      </w:r>
      <w:r w:rsidR="006D2422">
        <w:rPr>
          <w:sz w:val="22"/>
          <w:szCs w:val="22"/>
        </w:rPr>
        <w:t>s</w:t>
      </w:r>
      <w:r w:rsidR="006D2422" w:rsidRPr="00AA3D0C">
        <w:rPr>
          <w:sz w:val="22"/>
          <w:szCs w:val="22"/>
        </w:rPr>
        <w:t xml:space="preserve">, </w:t>
      </w:r>
      <w:r w:rsidR="00971B15">
        <w:rPr>
          <w:sz w:val="22"/>
          <w:szCs w:val="22"/>
        </w:rPr>
        <w:t>as well as</w:t>
      </w:r>
      <w:r w:rsidR="00027E64">
        <w:rPr>
          <w:sz w:val="22"/>
          <w:szCs w:val="22"/>
        </w:rPr>
        <w:t xml:space="preserve"> observer’s </w:t>
      </w:r>
      <w:r w:rsidR="006D2422" w:rsidRPr="00AA3D0C">
        <w:rPr>
          <w:sz w:val="22"/>
          <w:szCs w:val="22"/>
        </w:rPr>
        <w:t xml:space="preserve">adaptation possibility </w:t>
      </w:r>
      <w:r w:rsidR="00971B15">
        <w:rPr>
          <w:sz w:val="22"/>
          <w:szCs w:val="22"/>
        </w:rPr>
        <w:t xml:space="preserve">in terms of head rotation and glare duration. </w:t>
      </w:r>
      <w:r w:rsidR="00027E64">
        <w:rPr>
          <w:sz w:val="22"/>
          <w:szCs w:val="22"/>
        </w:rPr>
        <w:t>In order to account for glare extended in space and duration, the method currently uses</w:t>
      </w:r>
      <w:r w:rsidR="006D2422" w:rsidRPr="00AA3D0C">
        <w:rPr>
          <w:sz w:val="22"/>
          <w:szCs w:val="22"/>
        </w:rPr>
        <w:t xml:space="preserve"> a</w:t>
      </w:r>
      <w:r w:rsidR="00027E64">
        <w:rPr>
          <w:sz w:val="22"/>
          <w:szCs w:val="22"/>
        </w:rPr>
        <w:t>n arbitrary</w:t>
      </w:r>
      <w:r w:rsidR="006D2422" w:rsidRPr="00AA3D0C">
        <w:rPr>
          <w:sz w:val="22"/>
          <w:szCs w:val="22"/>
        </w:rPr>
        <w:t xml:space="preserve"> weighting system.</w:t>
      </w:r>
      <w:r w:rsidR="006D2422">
        <w:rPr>
          <w:sz w:val="22"/>
          <w:szCs w:val="22"/>
        </w:rPr>
        <w:t xml:space="preserve"> </w:t>
      </w:r>
      <w:r w:rsidR="006D2422" w:rsidRPr="00AA3D0C">
        <w:rPr>
          <w:sz w:val="22"/>
          <w:szCs w:val="22"/>
        </w:rPr>
        <w:t xml:space="preserve">The </w:t>
      </w:r>
      <w:r w:rsidR="00971B15">
        <w:rPr>
          <w:sz w:val="22"/>
          <w:szCs w:val="22"/>
        </w:rPr>
        <w:t>method</w:t>
      </w:r>
      <w:r w:rsidR="006D2422" w:rsidRPr="00AA3D0C">
        <w:rPr>
          <w:sz w:val="22"/>
          <w:szCs w:val="22"/>
        </w:rPr>
        <w:t xml:space="preserve"> </w:t>
      </w:r>
      <w:r w:rsidR="00027E64">
        <w:rPr>
          <w:sz w:val="22"/>
          <w:szCs w:val="22"/>
        </w:rPr>
        <w:t>is first applied</w:t>
      </w:r>
      <w:r w:rsidR="00971B15">
        <w:rPr>
          <w:sz w:val="22"/>
          <w:szCs w:val="22"/>
        </w:rPr>
        <w:t xml:space="preserve"> in a point-in-time analysis</w:t>
      </w:r>
      <w:r w:rsidR="00971B15" w:rsidRPr="00F41753">
        <w:rPr>
          <w:sz w:val="22"/>
          <w:szCs w:val="22"/>
        </w:rPr>
        <w:t xml:space="preserve">. </w:t>
      </w:r>
      <w:r w:rsidR="00027E64">
        <w:rPr>
          <w:sz w:val="22"/>
          <w:szCs w:val="22"/>
        </w:rPr>
        <w:t xml:space="preserve">Later, the thesis shows the application of </w:t>
      </w:r>
      <w:r w:rsidR="00971B15" w:rsidRPr="008C63D2">
        <w:rPr>
          <w:sz w:val="22"/>
          <w:szCs w:val="22"/>
        </w:rPr>
        <w:t>the proposed methodology in</w:t>
      </w:r>
      <w:r w:rsidRPr="00F41753">
        <w:rPr>
          <w:sz w:val="22"/>
          <w:szCs w:val="22"/>
        </w:rPr>
        <w:t xml:space="preserve"> a </w:t>
      </w:r>
      <w:r w:rsidR="00F41753">
        <w:rPr>
          <w:sz w:val="22"/>
          <w:szCs w:val="22"/>
        </w:rPr>
        <w:t>hypothetical</w:t>
      </w:r>
      <w:r w:rsidRPr="00F41753">
        <w:rPr>
          <w:sz w:val="22"/>
          <w:szCs w:val="22"/>
        </w:rPr>
        <w:t xml:space="preserve"> library</w:t>
      </w:r>
      <w:r w:rsidR="00F41753" w:rsidRPr="008C63D2">
        <w:rPr>
          <w:sz w:val="22"/>
          <w:szCs w:val="22"/>
        </w:rPr>
        <w:t xml:space="preserve"> room with different shading devices</w:t>
      </w:r>
      <w:r w:rsidRPr="00F41753">
        <w:rPr>
          <w:sz w:val="22"/>
          <w:szCs w:val="22"/>
        </w:rPr>
        <w:t xml:space="preserve"> </w:t>
      </w:r>
      <w:r w:rsidR="00DD73A6" w:rsidRPr="008C63D2">
        <w:rPr>
          <w:sz w:val="22"/>
          <w:szCs w:val="22"/>
        </w:rPr>
        <w:t xml:space="preserve">using </w:t>
      </w:r>
      <w:r w:rsidR="00971B15" w:rsidRPr="008C63D2">
        <w:rPr>
          <w:sz w:val="22"/>
          <w:szCs w:val="22"/>
        </w:rPr>
        <w:t xml:space="preserve">the existing glare metrics of </w:t>
      </w:r>
      <w:r w:rsidRPr="00F41753">
        <w:rPr>
          <w:sz w:val="22"/>
          <w:szCs w:val="22"/>
        </w:rPr>
        <w:t xml:space="preserve">DGP, DGI and DGPs. </w:t>
      </w:r>
      <w:r w:rsidR="009C7740">
        <w:rPr>
          <w:sz w:val="22"/>
          <w:szCs w:val="22"/>
        </w:rPr>
        <w:t>With the foreseen increase in computational power and given that an evidence-based weighting system would replace the proposed one, the thesis shows that</w:t>
      </w:r>
      <w:r w:rsidRPr="00F41753">
        <w:rPr>
          <w:sz w:val="22"/>
          <w:szCs w:val="22"/>
        </w:rPr>
        <w:t xml:space="preserve"> </w:t>
      </w:r>
      <w:r w:rsidR="009C7740">
        <w:rPr>
          <w:sz w:val="22"/>
          <w:szCs w:val="22"/>
        </w:rPr>
        <w:t>the proposed method</w:t>
      </w:r>
      <w:r w:rsidR="00027E64">
        <w:rPr>
          <w:sz w:val="22"/>
          <w:szCs w:val="22"/>
        </w:rPr>
        <w:t xml:space="preserve"> may</w:t>
      </w:r>
      <w:r w:rsidRPr="00AA3D0C">
        <w:rPr>
          <w:sz w:val="22"/>
          <w:szCs w:val="22"/>
        </w:rPr>
        <w:t xml:space="preserve"> </w:t>
      </w:r>
      <w:r w:rsidR="009C7740">
        <w:rPr>
          <w:sz w:val="22"/>
          <w:szCs w:val="22"/>
        </w:rPr>
        <w:t>help at the early design stage of interior design of spaces, e.g. by guiding in the placement of desks</w:t>
      </w:r>
      <w:r w:rsidRPr="00AA3D0C">
        <w:rPr>
          <w:sz w:val="22"/>
          <w:szCs w:val="22"/>
        </w:rPr>
        <w:t>.</w:t>
      </w:r>
    </w:p>
    <w:p w14:paraId="496CBCED" w14:textId="77777777" w:rsidR="002B7D6E" w:rsidRPr="00AA3D0C" w:rsidRDefault="002B7D6E" w:rsidP="002B7D6E">
      <w:pPr>
        <w:jc w:val="both"/>
        <w:rPr>
          <w:sz w:val="22"/>
          <w:szCs w:val="22"/>
        </w:rPr>
      </w:pPr>
    </w:p>
    <w:p w14:paraId="6B98A4D7" w14:textId="77777777" w:rsidR="002B7D6E" w:rsidRPr="00AA3D0C" w:rsidRDefault="002B7D6E" w:rsidP="002B7D6E">
      <w:pPr>
        <w:jc w:val="both"/>
        <w:rPr>
          <w:sz w:val="22"/>
          <w:szCs w:val="22"/>
        </w:rPr>
      </w:pPr>
    </w:p>
    <w:p w14:paraId="59F8CDA8" w14:textId="77777777" w:rsidR="002B7D6E" w:rsidRPr="00AA3D0C" w:rsidRDefault="002B7D6E" w:rsidP="002B7D6E">
      <w:pPr>
        <w:jc w:val="both"/>
        <w:rPr>
          <w:sz w:val="22"/>
          <w:szCs w:val="22"/>
        </w:rPr>
      </w:pPr>
    </w:p>
    <w:p w14:paraId="38F6821E" w14:textId="77777777" w:rsidR="002B7D6E" w:rsidRPr="00AA3D0C" w:rsidRDefault="002B7D6E" w:rsidP="002B7D6E">
      <w:pPr>
        <w:jc w:val="both"/>
        <w:rPr>
          <w:sz w:val="22"/>
          <w:szCs w:val="22"/>
        </w:rPr>
      </w:pPr>
    </w:p>
    <w:p w14:paraId="63EA9BCD" w14:textId="77777777" w:rsidR="002B7D6E" w:rsidRPr="00AA3D0C" w:rsidRDefault="002B7D6E" w:rsidP="002B7D6E">
      <w:pPr>
        <w:jc w:val="both"/>
        <w:rPr>
          <w:sz w:val="22"/>
          <w:szCs w:val="22"/>
        </w:rPr>
      </w:pPr>
    </w:p>
    <w:p w14:paraId="3A67FEAF" w14:textId="77777777" w:rsidR="002B7D6E" w:rsidRPr="00AA3D0C" w:rsidRDefault="002B7D6E" w:rsidP="002B7D6E">
      <w:pPr>
        <w:jc w:val="both"/>
        <w:rPr>
          <w:sz w:val="22"/>
          <w:szCs w:val="22"/>
        </w:rPr>
      </w:pPr>
    </w:p>
    <w:p w14:paraId="42A2590A" w14:textId="77777777" w:rsidR="002B7D6E" w:rsidRPr="00AA3D0C" w:rsidRDefault="002B7D6E" w:rsidP="002B7D6E">
      <w:pPr>
        <w:jc w:val="both"/>
        <w:rPr>
          <w:sz w:val="22"/>
          <w:szCs w:val="22"/>
        </w:rPr>
      </w:pPr>
    </w:p>
    <w:p w14:paraId="693EA9D3" w14:textId="77777777" w:rsidR="002B7D6E" w:rsidRPr="00AA3D0C" w:rsidRDefault="002B7D6E" w:rsidP="002B7D6E">
      <w:pPr>
        <w:jc w:val="both"/>
        <w:rPr>
          <w:sz w:val="22"/>
          <w:szCs w:val="22"/>
        </w:rPr>
      </w:pPr>
    </w:p>
    <w:p w14:paraId="2405F1A6" w14:textId="77777777" w:rsidR="002B7D6E" w:rsidRPr="00AA3D0C" w:rsidRDefault="002B7D6E" w:rsidP="002B7D6E">
      <w:pPr>
        <w:jc w:val="both"/>
        <w:rPr>
          <w:sz w:val="22"/>
          <w:szCs w:val="22"/>
        </w:rPr>
      </w:pPr>
    </w:p>
    <w:p w14:paraId="131439A9" w14:textId="77777777" w:rsidR="002B7D6E" w:rsidRPr="00AA3D0C" w:rsidRDefault="002B7D6E" w:rsidP="002B7D6E">
      <w:pPr>
        <w:jc w:val="both"/>
        <w:rPr>
          <w:sz w:val="22"/>
          <w:szCs w:val="22"/>
        </w:rPr>
      </w:pPr>
    </w:p>
    <w:p w14:paraId="09F4BF65" w14:textId="77777777" w:rsidR="002B7D6E" w:rsidRPr="00AA3D0C" w:rsidRDefault="002B7D6E" w:rsidP="002B7D6E">
      <w:pPr>
        <w:pStyle w:val="Normal-Byfy"/>
      </w:pPr>
    </w:p>
    <w:p w14:paraId="0D5F459C" w14:textId="77777777" w:rsidR="002B7D6E" w:rsidRPr="00AA3D0C" w:rsidRDefault="002B7D6E" w:rsidP="002B7D6E">
      <w:pPr>
        <w:pStyle w:val="Rubrik1-Byfy"/>
        <w:numPr>
          <w:ilvl w:val="0"/>
          <w:numId w:val="0"/>
        </w:numPr>
      </w:pPr>
      <w:bookmarkStart w:id="4" w:name="_Toc532751554"/>
      <w:r w:rsidRPr="00AA3D0C">
        <w:t>Acknowledgments</w:t>
      </w:r>
      <w:bookmarkEnd w:id="4"/>
    </w:p>
    <w:p w14:paraId="1AFE22D4" w14:textId="77777777" w:rsidR="00D445CD" w:rsidRPr="00AA3D0C" w:rsidRDefault="002B7D6E" w:rsidP="00D445CD">
      <w:pPr>
        <w:ind w:firstLine="578"/>
        <w:jc w:val="both"/>
        <w:rPr>
          <w:sz w:val="22"/>
          <w:szCs w:val="22"/>
        </w:rPr>
      </w:pPr>
      <w:r w:rsidRPr="00AA3D0C">
        <w:rPr>
          <w:sz w:val="22"/>
          <w:szCs w:val="22"/>
        </w:rPr>
        <w:t xml:space="preserve">The author would like to express her great appreciation and gratitude to her supervisor Niko Gentile, for his enthusiastic encouragement, guidance and valuable suggestions during the development of this thesis. Furthermore, the author is </w:t>
      </w:r>
      <w:r w:rsidR="00D445CD" w:rsidRPr="00AA3D0C">
        <w:rPr>
          <w:sz w:val="22"/>
          <w:szCs w:val="22"/>
        </w:rPr>
        <w:t>thankful</w:t>
      </w:r>
      <w:r w:rsidRPr="00AA3D0C">
        <w:rPr>
          <w:sz w:val="22"/>
          <w:szCs w:val="22"/>
        </w:rPr>
        <w:t xml:space="preserve"> to the staff of Inform Design </w:t>
      </w:r>
      <w:r w:rsidR="00044F3E" w:rsidRPr="00AA3D0C">
        <w:rPr>
          <w:sz w:val="22"/>
          <w:szCs w:val="22"/>
        </w:rPr>
        <w:t>AB</w:t>
      </w:r>
      <w:r w:rsidRPr="00AA3D0C">
        <w:rPr>
          <w:sz w:val="22"/>
          <w:szCs w:val="22"/>
        </w:rPr>
        <w:t xml:space="preserve"> for the constructive and beneficial discussions that we had during the first stage of the thesis. </w:t>
      </w:r>
      <w:r w:rsidR="006748D0" w:rsidRPr="00AA3D0C">
        <w:rPr>
          <w:sz w:val="22"/>
          <w:szCs w:val="22"/>
        </w:rPr>
        <w:t>Moreover</w:t>
      </w:r>
      <w:r w:rsidRPr="00AA3D0C">
        <w:rPr>
          <w:sz w:val="22"/>
          <w:szCs w:val="22"/>
        </w:rPr>
        <w:t xml:space="preserve">, the author would like to thank Nathaniel Jones and </w:t>
      </w:r>
      <w:proofErr w:type="spellStart"/>
      <w:r w:rsidRPr="00AA3D0C">
        <w:rPr>
          <w:sz w:val="22"/>
          <w:szCs w:val="22"/>
        </w:rPr>
        <w:t>Mostapha</w:t>
      </w:r>
      <w:proofErr w:type="spellEnd"/>
      <w:r w:rsidRPr="00AA3D0C">
        <w:rPr>
          <w:sz w:val="22"/>
          <w:szCs w:val="22"/>
        </w:rPr>
        <w:t xml:space="preserve"> </w:t>
      </w:r>
      <w:proofErr w:type="spellStart"/>
      <w:r w:rsidRPr="00AA3D0C">
        <w:rPr>
          <w:sz w:val="22"/>
          <w:szCs w:val="22"/>
        </w:rPr>
        <w:t>Sadeghipour</w:t>
      </w:r>
      <w:proofErr w:type="spellEnd"/>
      <w:r w:rsidRPr="00AA3D0C">
        <w:rPr>
          <w:sz w:val="22"/>
          <w:szCs w:val="22"/>
        </w:rPr>
        <w:t xml:space="preserve"> </w:t>
      </w:r>
      <w:proofErr w:type="spellStart"/>
      <w:r w:rsidRPr="00AA3D0C">
        <w:rPr>
          <w:sz w:val="22"/>
          <w:szCs w:val="22"/>
        </w:rPr>
        <w:t>Roudsari</w:t>
      </w:r>
      <w:proofErr w:type="spellEnd"/>
      <w:r w:rsidRPr="00AA3D0C">
        <w:rPr>
          <w:sz w:val="22"/>
          <w:szCs w:val="22"/>
        </w:rPr>
        <w:t xml:space="preserve"> for answering questions regarding </w:t>
      </w:r>
      <w:proofErr w:type="spellStart"/>
      <w:r w:rsidRPr="00AA3D0C">
        <w:rPr>
          <w:sz w:val="22"/>
          <w:szCs w:val="22"/>
        </w:rPr>
        <w:t>Accelerad</w:t>
      </w:r>
      <w:proofErr w:type="spellEnd"/>
      <w:r w:rsidRPr="00AA3D0C">
        <w:rPr>
          <w:sz w:val="22"/>
          <w:szCs w:val="22"/>
        </w:rPr>
        <w:t xml:space="preserve"> and Honeybee plug in compatibility.</w:t>
      </w:r>
    </w:p>
    <w:p w14:paraId="228AD87D" w14:textId="77777777" w:rsidR="002B7D6E" w:rsidRPr="00AA3D0C" w:rsidRDefault="002B7D6E" w:rsidP="002B7D6E">
      <w:pPr>
        <w:jc w:val="both"/>
        <w:rPr>
          <w:sz w:val="22"/>
          <w:szCs w:val="22"/>
        </w:rPr>
      </w:pPr>
    </w:p>
    <w:p w14:paraId="439FF319" w14:textId="77777777" w:rsidR="002B7D6E" w:rsidRPr="00AA3D0C" w:rsidRDefault="002B7D6E" w:rsidP="002B7D6E">
      <w:pPr>
        <w:jc w:val="both"/>
        <w:rPr>
          <w:sz w:val="22"/>
          <w:szCs w:val="22"/>
        </w:rPr>
      </w:pPr>
    </w:p>
    <w:p w14:paraId="6A3DEF0E" w14:textId="77777777" w:rsidR="002B7D6E" w:rsidRPr="00AA3D0C" w:rsidRDefault="002B7D6E" w:rsidP="002B7D6E">
      <w:pPr>
        <w:jc w:val="both"/>
        <w:rPr>
          <w:sz w:val="22"/>
          <w:szCs w:val="22"/>
        </w:rPr>
      </w:pPr>
    </w:p>
    <w:p w14:paraId="6508D848" w14:textId="77777777" w:rsidR="002B7D6E" w:rsidRPr="00AA3D0C" w:rsidRDefault="002B7D6E" w:rsidP="002B7D6E">
      <w:pPr>
        <w:jc w:val="both"/>
        <w:rPr>
          <w:sz w:val="22"/>
          <w:szCs w:val="22"/>
        </w:rPr>
      </w:pPr>
    </w:p>
    <w:p w14:paraId="1F5E2716" w14:textId="77777777" w:rsidR="002B7D6E" w:rsidRPr="00AA3D0C" w:rsidRDefault="002B7D6E" w:rsidP="002B7D6E">
      <w:pPr>
        <w:jc w:val="both"/>
        <w:rPr>
          <w:sz w:val="22"/>
          <w:szCs w:val="22"/>
        </w:rPr>
      </w:pPr>
    </w:p>
    <w:p w14:paraId="7A0E442A" w14:textId="77777777" w:rsidR="002B7D6E" w:rsidRPr="00AA3D0C" w:rsidRDefault="002B7D6E" w:rsidP="002B7D6E">
      <w:pPr>
        <w:ind w:firstLine="578"/>
        <w:jc w:val="both"/>
        <w:rPr>
          <w:sz w:val="22"/>
          <w:szCs w:val="22"/>
        </w:rPr>
      </w:pPr>
    </w:p>
    <w:p w14:paraId="105A02E9" w14:textId="77777777" w:rsidR="002B7D6E" w:rsidRPr="00AA3D0C" w:rsidRDefault="002B7D6E" w:rsidP="002B7D6E">
      <w:pPr>
        <w:ind w:firstLine="578"/>
        <w:jc w:val="both"/>
        <w:rPr>
          <w:sz w:val="22"/>
          <w:szCs w:val="22"/>
        </w:rPr>
      </w:pPr>
    </w:p>
    <w:p w14:paraId="682E5DAA" w14:textId="77777777" w:rsidR="002B7D6E" w:rsidRPr="00AA3D0C" w:rsidRDefault="002B7D6E" w:rsidP="002B7D6E">
      <w:pPr>
        <w:jc w:val="both"/>
        <w:rPr>
          <w:sz w:val="22"/>
          <w:szCs w:val="22"/>
        </w:rPr>
      </w:pPr>
    </w:p>
    <w:p w14:paraId="4A041733" w14:textId="29767AEC" w:rsidR="005A13D2" w:rsidRPr="00AA3D0C" w:rsidRDefault="002B7D6E" w:rsidP="002B7D6E">
      <w:pPr>
        <w:pStyle w:val="Rubrik1-Byfy"/>
        <w:numPr>
          <w:ilvl w:val="0"/>
          <w:numId w:val="0"/>
        </w:numPr>
      </w:pPr>
      <w:bookmarkStart w:id="5" w:name="_Toc532751555"/>
      <w:r w:rsidRPr="00AA3D0C">
        <w:t>Table of content</w:t>
      </w:r>
      <w:bookmarkEnd w:id="5"/>
    </w:p>
    <w:p w14:paraId="76F38B56" w14:textId="51F59FE9" w:rsidR="009B6A90" w:rsidRDefault="002B7D6E">
      <w:pPr>
        <w:pStyle w:val="TOC1"/>
        <w:rPr>
          <w:rFonts w:asciiTheme="minorHAnsi" w:eastAsiaTheme="minorEastAsia" w:hAnsiTheme="minorHAnsi" w:cstheme="minorBidi"/>
          <w:noProof/>
          <w:szCs w:val="22"/>
          <w:lang w:eastAsia="en-GB"/>
        </w:rPr>
      </w:pPr>
      <w:r w:rsidRPr="00AA3D0C">
        <w:fldChar w:fldCharType="begin"/>
      </w:r>
      <w:r w:rsidRPr="00AA3D0C">
        <w:instrText xml:space="preserve"> TOC \o "1-5" \h \z \u </w:instrText>
      </w:r>
      <w:r w:rsidRPr="00AA3D0C">
        <w:fldChar w:fldCharType="separate"/>
      </w:r>
      <w:hyperlink w:anchor="_Toc532751553" w:history="1">
        <w:r w:rsidR="009B6A90" w:rsidRPr="00461C65">
          <w:rPr>
            <w:rStyle w:val="Hyperlink"/>
            <w:noProof/>
          </w:rPr>
          <w:t>Abstract</w:t>
        </w:r>
        <w:r w:rsidR="009B6A90">
          <w:rPr>
            <w:noProof/>
            <w:webHidden/>
          </w:rPr>
          <w:tab/>
        </w:r>
        <w:r w:rsidR="009B6A90">
          <w:rPr>
            <w:noProof/>
            <w:webHidden/>
          </w:rPr>
          <w:fldChar w:fldCharType="begin"/>
        </w:r>
        <w:r w:rsidR="009B6A90">
          <w:rPr>
            <w:noProof/>
            <w:webHidden/>
          </w:rPr>
          <w:instrText xml:space="preserve"> PAGEREF _Toc532751553 \h </w:instrText>
        </w:r>
        <w:r w:rsidR="009B6A90">
          <w:rPr>
            <w:noProof/>
            <w:webHidden/>
          </w:rPr>
        </w:r>
        <w:r w:rsidR="009B6A90">
          <w:rPr>
            <w:noProof/>
            <w:webHidden/>
          </w:rPr>
          <w:fldChar w:fldCharType="separate"/>
        </w:r>
        <w:r w:rsidR="00F65D54">
          <w:rPr>
            <w:noProof/>
            <w:webHidden/>
          </w:rPr>
          <w:t>3</w:t>
        </w:r>
        <w:r w:rsidR="009B6A90">
          <w:rPr>
            <w:noProof/>
            <w:webHidden/>
          </w:rPr>
          <w:fldChar w:fldCharType="end"/>
        </w:r>
      </w:hyperlink>
    </w:p>
    <w:p w14:paraId="78355601" w14:textId="29E31869" w:rsidR="009B6A90" w:rsidRDefault="00B030DD">
      <w:pPr>
        <w:pStyle w:val="TOC1"/>
        <w:rPr>
          <w:rFonts w:asciiTheme="minorHAnsi" w:eastAsiaTheme="minorEastAsia" w:hAnsiTheme="minorHAnsi" w:cstheme="minorBidi"/>
          <w:noProof/>
          <w:szCs w:val="22"/>
          <w:lang w:eastAsia="en-GB"/>
        </w:rPr>
      </w:pPr>
      <w:hyperlink w:anchor="_Toc532751554" w:history="1">
        <w:r w:rsidR="009B6A90" w:rsidRPr="00461C65">
          <w:rPr>
            <w:rStyle w:val="Hyperlink"/>
            <w:noProof/>
          </w:rPr>
          <w:t>Acknowledgments</w:t>
        </w:r>
        <w:r w:rsidR="009B6A90">
          <w:rPr>
            <w:noProof/>
            <w:webHidden/>
          </w:rPr>
          <w:tab/>
        </w:r>
        <w:r w:rsidR="009B6A90">
          <w:rPr>
            <w:noProof/>
            <w:webHidden/>
          </w:rPr>
          <w:fldChar w:fldCharType="begin"/>
        </w:r>
        <w:r w:rsidR="009B6A90">
          <w:rPr>
            <w:noProof/>
            <w:webHidden/>
          </w:rPr>
          <w:instrText xml:space="preserve"> PAGEREF _Toc532751554 \h </w:instrText>
        </w:r>
        <w:r w:rsidR="009B6A90">
          <w:rPr>
            <w:noProof/>
            <w:webHidden/>
          </w:rPr>
        </w:r>
        <w:r w:rsidR="009B6A90">
          <w:rPr>
            <w:noProof/>
            <w:webHidden/>
          </w:rPr>
          <w:fldChar w:fldCharType="separate"/>
        </w:r>
        <w:r w:rsidR="00F65D54">
          <w:rPr>
            <w:noProof/>
            <w:webHidden/>
          </w:rPr>
          <w:t>3</w:t>
        </w:r>
        <w:r w:rsidR="009B6A90">
          <w:rPr>
            <w:noProof/>
            <w:webHidden/>
          </w:rPr>
          <w:fldChar w:fldCharType="end"/>
        </w:r>
      </w:hyperlink>
    </w:p>
    <w:p w14:paraId="313156A1" w14:textId="26F4EB81" w:rsidR="009B6A90" w:rsidRDefault="00B030DD">
      <w:pPr>
        <w:pStyle w:val="TOC1"/>
        <w:rPr>
          <w:rFonts w:asciiTheme="minorHAnsi" w:eastAsiaTheme="minorEastAsia" w:hAnsiTheme="minorHAnsi" w:cstheme="minorBidi"/>
          <w:noProof/>
          <w:szCs w:val="22"/>
          <w:lang w:eastAsia="en-GB"/>
        </w:rPr>
      </w:pPr>
      <w:hyperlink w:anchor="_Toc532751555" w:history="1">
        <w:r w:rsidR="009B6A90" w:rsidRPr="00461C65">
          <w:rPr>
            <w:rStyle w:val="Hyperlink"/>
            <w:noProof/>
          </w:rPr>
          <w:t>Table of content</w:t>
        </w:r>
        <w:r w:rsidR="009B6A90">
          <w:rPr>
            <w:noProof/>
            <w:webHidden/>
          </w:rPr>
          <w:tab/>
        </w:r>
        <w:r w:rsidR="009B6A90">
          <w:rPr>
            <w:noProof/>
            <w:webHidden/>
          </w:rPr>
          <w:fldChar w:fldCharType="begin"/>
        </w:r>
        <w:r w:rsidR="009B6A90">
          <w:rPr>
            <w:noProof/>
            <w:webHidden/>
          </w:rPr>
          <w:instrText xml:space="preserve"> PAGEREF _Toc532751555 \h </w:instrText>
        </w:r>
        <w:r w:rsidR="009B6A90">
          <w:rPr>
            <w:noProof/>
            <w:webHidden/>
          </w:rPr>
        </w:r>
        <w:r w:rsidR="009B6A90">
          <w:rPr>
            <w:noProof/>
            <w:webHidden/>
          </w:rPr>
          <w:fldChar w:fldCharType="separate"/>
        </w:r>
        <w:r w:rsidR="00F65D54">
          <w:rPr>
            <w:noProof/>
            <w:webHidden/>
          </w:rPr>
          <w:t>4</w:t>
        </w:r>
        <w:r w:rsidR="009B6A90">
          <w:rPr>
            <w:noProof/>
            <w:webHidden/>
          </w:rPr>
          <w:fldChar w:fldCharType="end"/>
        </w:r>
      </w:hyperlink>
    </w:p>
    <w:p w14:paraId="4CD5387A" w14:textId="77EE35C7" w:rsidR="009B6A90" w:rsidRDefault="00B030DD">
      <w:pPr>
        <w:pStyle w:val="TOC1"/>
        <w:rPr>
          <w:rFonts w:asciiTheme="minorHAnsi" w:eastAsiaTheme="minorEastAsia" w:hAnsiTheme="minorHAnsi" w:cstheme="minorBidi"/>
          <w:noProof/>
          <w:szCs w:val="22"/>
          <w:lang w:eastAsia="en-GB"/>
        </w:rPr>
      </w:pPr>
      <w:hyperlink w:anchor="_Toc532751556" w:history="1">
        <w:r w:rsidR="009B6A90" w:rsidRPr="00461C65">
          <w:rPr>
            <w:rStyle w:val="Hyperlink"/>
            <w:noProof/>
          </w:rPr>
          <w:t>Symbols</w:t>
        </w:r>
        <w:r w:rsidR="009B6A90">
          <w:rPr>
            <w:noProof/>
            <w:webHidden/>
          </w:rPr>
          <w:tab/>
        </w:r>
        <w:r w:rsidR="009B6A90">
          <w:rPr>
            <w:noProof/>
            <w:webHidden/>
          </w:rPr>
          <w:fldChar w:fldCharType="begin"/>
        </w:r>
        <w:r w:rsidR="009B6A90">
          <w:rPr>
            <w:noProof/>
            <w:webHidden/>
          </w:rPr>
          <w:instrText xml:space="preserve"> PAGEREF _Toc532751556 \h </w:instrText>
        </w:r>
        <w:r w:rsidR="009B6A90">
          <w:rPr>
            <w:noProof/>
            <w:webHidden/>
          </w:rPr>
        </w:r>
        <w:r w:rsidR="009B6A90">
          <w:rPr>
            <w:noProof/>
            <w:webHidden/>
          </w:rPr>
          <w:fldChar w:fldCharType="separate"/>
        </w:r>
        <w:r w:rsidR="00F65D54">
          <w:rPr>
            <w:noProof/>
            <w:webHidden/>
          </w:rPr>
          <w:t>6</w:t>
        </w:r>
        <w:r w:rsidR="009B6A90">
          <w:rPr>
            <w:noProof/>
            <w:webHidden/>
          </w:rPr>
          <w:fldChar w:fldCharType="end"/>
        </w:r>
      </w:hyperlink>
    </w:p>
    <w:p w14:paraId="2AE47FEE" w14:textId="6550B456" w:rsidR="009B6A90" w:rsidRDefault="00B030DD">
      <w:pPr>
        <w:pStyle w:val="TOC1"/>
        <w:rPr>
          <w:rFonts w:asciiTheme="minorHAnsi" w:eastAsiaTheme="minorEastAsia" w:hAnsiTheme="minorHAnsi" w:cstheme="minorBidi"/>
          <w:noProof/>
          <w:szCs w:val="22"/>
          <w:lang w:eastAsia="en-GB"/>
        </w:rPr>
      </w:pPr>
      <w:hyperlink w:anchor="_Toc532751557" w:history="1">
        <w:r w:rsidR="009B6A90" w:rsidRPr="00461C65">
          <w:rPr>
            <w:rStyle w:val="Hyperlink"/>
            <w:noProof/>
          </w:rPr>
          <w:t>Abbreviations</w:t>
        </w:r>
        <w:r w:rsidR="009B6A90">
          <w:rPr>
            <w:noProof/>
            <w:webHidden/>
          </w:rPr>
          <w:tab/>
        </w:r>
        <w:r w:rsidR="009B6A90">
          <w:rPr>
            <w:noProof/>
            <w:webHidden/>
          </w:rPr>
          <w:fldChar w:fldCharType="begin"/>
        </w:r>
        <w:r w:rsidR="009B6A90">
          <w:rPr>
            <w:noProof/>
            <w:webHidden/>
          </w:rPr>
          <w:instrText xml:space="preserve"> PAGEREF _Toc532751557 \h </w:instrText>
        </w:r>
        <w:r w:rsidR="009B6A90">
          <w:rPr>
            <w:noProof/>
            <w:webHidden/>
          </w:rPr>
        </w:r>
        <w:r w:rsidR="009B6A90">
          <w:rPr>
            <w:noProof/>
            <w:webHidden/>
          </w:rPr>
          <w:fldChar w:fldCharType="separate"/>
        </w:r>
        <w:r w:rsidR="00F65D54">
          <w:rPr>
            <w:noProof/>
            <w:webHidden/>
          </w:rPr>
          <w:t>6</w:t>
        </w:r>
        <w:r w:rsidR="009B6A90">
          <w:rPr>
            <w:noProof/>
            <w:webHidden/>
          </w:rPr>
          <w:fldChar w:fldCharType="end"/>
        </w:r>
      </w:hyperlink>
    </w:p>
    <w:p w14:paraId="1B0C9E9C" w14:textId="33EC8677" w:rsidR="009B6A90" w:rsidRDefault="00B030DD">
      <w:pPr>
        <w:pStyle w:val="TOC1"/>
        <w:rPr>
          <w:rFonts w:asciiTheme="minorHAnsi" w:eastAsiaTheme="minorEastAsia" w:hAnsiTheme="minorHAnsi" w:cstheme="minorBidi"/>
          <w:noProof/>
          <w:szCs w:val="22"/>
          <w:lang w:eastAsia="en-GB"/>
        </w:rPr>
      </w:pPr>
      <w:hyperlink w:anchor="_Toc532751558" w:history="1">
        <w:r w:rsidR="009B6A90" w:rsidRPr="00461C65">
          <w:rPr>
            <w:rStyle w:val="Hyperlink"/>
            <w:noProof/>
          </w:rPr>
          <w:t>Definitions</w:t>
        </w:r>
        <w:r w:rsidR="009B6A90">
          <w:rPr>
            <w:noProof/>
            <w:webHidden/>
          </w:rPr>
          <w:tab/>
        </w:r>
        <w:r w:rsidR="009B6A90">
          <w:rPr>
            <w:noProof/>
            <w:webHidden/>
          </w:rPr>
          <w:fldChar w:fldCharType="begin"/>
        </w:r>
        <w:r w:rsidR="009B6A90">
          <w:rPr>
            <w:noProof/>
            <w:webHidden/>
          </w:rPr>
          <w:instrText xml:space="preserve"> PAGEREF _Toc532751558 \h </w:instrText>
        </w:r>
        <w:r w:rsidR="009B6A90">
          <w:rPr>
            <w:noProof/>
            <w:webHidden/>
          </w:rPr>
        </w:r>
        <w:r w:rsidR="009B6A90">
          <w:rPr>
            <w:noProof/>
            <w:webHidden/>
          </w:rPr>
          <w:fldChar w:fldCharType="separate"/>
        </w:r>
        <w:r w:rsidR="00F65D54">
          <w:rPr>
            <w:noProof/>
            <w:webHidden/>
          </w:rPr>
          <w:t>7</w:t>
        </w:r>
        <w:r w:rsidR="009B6A90">
          <w:rPr>
            <w:noProof/>
            <w:webHidden/>
          </w:rPr>
          <w:fldChar w:fldCharType="end"/>
        </w:r>
      </w:hyperlink>
    </w:p>
    <w:p w14:paraId="4E2D95A5" w14:textId="5DE9CEB4" w:rsidR="009B6A90" w:rsidRDefault="00B030DD">
      <w:pPr>
        <w:pStyle w:val="TOC1"/>
        <w:rPr>
          <w:rFonts w:asciiTheme="minorHAnsi" w:eastAsiaTheme="minorEastAsia" w:hAnsiTheme="minorHAnsi" w:cstheme="minorBidi"/>
          <w:noProof/>
          <w:szCs w:val="22"/>
          <w:lang w:eastAsia="en-GB"/>
        </w:rPr>
      </w:pPr>
      <w:hyperlink w:anchor="_Toc532751559" w:history="1">
        <w:r w:rsidR="009B6A90" w:rsidRPr="00461C65">
          <w:rPr>
            <w:rStyle w:val="Hyperlink"/>
            <w:noProof/>
          </w:rPr>
          <w:t>1</w:t>
        </w:r>
        <w:r w:rsidR="009B6A90">
          <w:rPr>
            <w:rFonts w:asciiTheme="minorHAnsi" w:eastAsiaTheme="minorEastAsia" w:hAnsiTheme="minorHAnsi" w:cstheme="minorBidi"/>
            <w:noProof/>
            <w:szCs w:val="22"/>
            <w:lang w:eastAsia="en-GB"/>
          </w:rPr>
          <w:tab/>
        </w:r>
        <w:r w:rsidR="009B6A90" w:rsidRPr="00461C65">
          <w:rPr>
            <w:rStyle w:val="Hyperlink"/>
            <w:noProof/>
          </w:rPr>
          <w:t>Introduction</w:t>
        </w:r>
        <w:r w:rsidR="009B6A90">
          <w:rPr>
            <w:noProof/>
            <w:webHidden/>
          </w:rPr>
          <w:tab/>
        </w:r>
        <w:r w:rsidR="009B6A90">
          <w:rPr>
            <w:noProof/>
            <w:webHidden/>
          </w:rPr>
          <w:fldChar w:fldCharType="begin"/>
        </w:r>
        <w:r w:rsidR="009B6A90">
          <w:rPr>
            <w:noProof/>
            <w:webHidden/>
          </w:rPr>
          <w:instrText xml:space="preserve"> PAGEREF _Toc532751559 \h </w:instrText>
        </w:r>
        <w:r w:rsidR="009B6A90">
          <w:rPr>
            <w:noProof/>
            <w:webHidden/>
          </w:rPr>
        </w:r>
        <w:r w:rsidR="009B6A90">
          <w:rPr>
            <w:noProof/>
            <w:webHidden/>
          </w:rPr>
          <w:fldChar w:fldCharType="separate"/>
        </w:r>
        <w:r w:rsidR="00F65D54">
          <w:rPr>
            <w:noProof/>
            <w:webHidden/>
          </w:rPr>
          <w:t>9</w:t>
        </w:r>
        <w:r w:rsidR="009B6A90">
          <w:rPr>
            <w:noProof/>
            <w:webHidden/>
          </w:rPr>
          <w:fldChar w:fldCharType="end"/>
        </w:r>
      </w:hyperlink>
    </w:p>
    <w:p w14:paraId="45D2C604" w14:textId="7230F86F" w:rsidR="009B6A90" w:rsidRDefault="00B030DD">
      <w:pPr>
        <w:pStyle w:val="TOC2"/>
        <w:rPr>
          <w:rFonts w:asciiTheme="minorHAnsi" w:eastAsiaTheme="minorEastAsia" w:hAnsiTheme="minorHAnsi" w:cstheme="minorBidi"/>
          <w:noProof/>
          <w:szCs w:val="22"/>
          <w:lang w:eastAsia="en-GB"/>
        </w:rPr>
      </w:pPr>
      <w:hyperlink w:anchor="_Toc532751560" w:history="1">
        <w:r w:rsidR="009B6A90" w:rsidRPr="00461C65">
          <w:rPr>
            <w:rStyle w:val="Hyperlink"/>
            <w:noProof/>
          </w:rPr>
          <w:t>1.1</w:t>
        </w:r>
        <w:r w:rsidR="009B6A90">
          <w:rPr>
            <w:rFonts w:asciiTheme="minorHAnsi" w:eastAsiaTheme="minorEastAsia" w:hAnsiTheme="minorHAnsi" w:cstheme="minorBidi"/>
            <w:noProof/>
            <w:szCs w:val="22"/>
            <w:lang w:eastAsia="en-GB"/>
          </w:rPr>
          <w:tab/>
        </w:r>
        <w:r w:rsidR="009B6A90" w:rsidRPr="00461C65">
          <w:rPr>
            <w:rStyle w:val="Hyperlink"/>
            <w:noProof/>
          </w:rPr>
          <w:t>Aim</w:t>
        </w:r>
        <w:r w:rsidR="009B6A90">
          <w:rPr>
            <w:noProof/>
            <w:webHidden/>
          </w:rPr>
          <w:tab/>
        </w:r>
        <w:r w:rsidR="009B6A90">
          <w:rPr>
            <w:noProof/>
            <w:webHidden/>
          </w:rPr>
          <w:fldChar w:fldCharType="begin"/>
        </w:r>
        <w:r w:rsidR="009B6A90">
          <w:rPr>
            <w:noProof/>
            <w:webHidden/>
          </w:rPr>
          <w:instrText xml:space="preserve"> PAGEREF _Toc532751560 \h </w:instrText>
        </w:r>
        <w:r w:rsidR="009B6A90">
          <w:rPr>
            <w:noProof/>
            <w:webHidden/>
          </w:rPr>
        </w:r>
        <w:r w:rsidR="009B6A90">
          <w:rPr>
            <w:noProof/>
            <w:webHidden/>
          </w:rPr>
          <w:fldChar w:fldCharType="separate"/>
        </w:r>
        <w:r w:rsidR="00F65D54">
          <w:rPr>
            <w:noProof/>
            <w:webHidden/>
          </w:rPr>
          <w:t>9</w:t>
        </w:r>
        <w:r w:rsidR="009B6A90">
          <w:rPr>
            <w:noProof/>
            <w:webHidden/>
          </w:rPr>
          <w:fldChar w:fldCharType="end"/>
        </w:r>
      </w:hyperlink>
    </w:p>
    <w:p w14:paraId="42035095" w14:textId="2F1785D9" w:rsidR="009B6A90" w:rsidRDefault="00B030DD">
      <w:pPr>
        <w:pStyle w:val="TOC2"/>
        <w:rPr>
          <w:rFonts w:asciiTheme="minorHAnsi" w:eastAsiaTheme="minorEastAsia" w:hAnsiTheme="minorHAnsi" w:cstheme="minorBidi"/>
          <w:noProof/>
          <w:szCs w:val="22"/>
          <w:lang w:eastAsia="en-GB"/>
        </w:rPr>
      </w:pPr>
      <w:hyperlink w:anchor="_Toc532751561" w:history="1">
        <w:r w:rsidR="009B6A90" w:rsidRPr="00461C65">
          <w:rPr>
            <w:rStyle w:val="Hyperlink"/>
            <w:noProof/>
          </w:rPr>
          <w:t>1.2</w:t>
        </w:r>
        <w:r w:rsidR="009B6A90">
          <w:rPr>
            <w:rFonts w:asciiTheme="minorHAnsi" w:eastAsiaTheme="minorEastAsia" w:hAnsiTheme="minorHAnsi" w:cstheme="minorBidi"/>
            <w:noProof/>
            <w:szCs w:val="22"/>
            <w:lang w:eastAsia="en-GB"/>
          </w:rPr>
          <w:tab/>
        </w:r>
        <w:r w:rsidR="009B6A90" w:rsidRPr="00461C65">
          <w:rPr>
            <w:rStyle w:val="Hyperlink"/>
            <w:noProof/>
          </w:rPr>
          <w:t>Background</w:t>
        </w:r>
        <w:r w:rsidR="009B6A90">
          <w:rPr>
            <w:noProof/>
            <w:webHidden/>
          </w:rPr>
          <w:tab/>
        </w:r>
        <w:r w:rsidR="009B6A90">
          <w:rPr>
            <w:noProof/>
            <w:webHidden/>
          </w:rPr>
          <w:fldChar w:fldCharType="begin"/>
        </w:r>
        <w:r w:rsidR="009B6A90">
          <w:rPr>
            <w:noProof/>
            <w:webHidden/>
          </w:rPr>
          <w:instrText xml:space="preserve"> PAGEREF _Toc532751561 \h </w:instrText>
        </w:r>
        <w:r w:rsidR="009B6A90">
          <w:rPr>
            <w:noProof/>
            <w:webHidden/>
          </w:rPr>
        </w:r>
        <w:r w:rsidR="009B6A90">
          <w:rPr>
            <w:noProof/>
            <w:webHidden/>
          </w:rPr>
          <w:fldChar w:fldCharType="separate"/>
        </w:r>
        <w:r w:rsidR="00F65D54">
          <w:rPr>
            <w:noProof/>
            <w:webHidden/>
          </w:rPr>
          <w:t>9</w:t>
        </w:r>
        <w:r w:rsidR="009B6A90">
          <w:rPr>
            <w:noProof/>
            <w:webHidden/>
          </w:rPr>
          <w:fldChar w:fldCharType="end"/>
        </w:r>
      </w:hyperlink>
    </w:p>
    <w:p w14:paraId="143748C3" w14:textId="460224E4" w:rsidR="009B6A90" w:rsidRDefault="00B030DD">
      <w:pPr>
        <w:pStyle w:val="TOC2"/>
        <w:rPr>
          <w:rFonts w:asciiTheme="minorHAnsi" w:eastAsiaTheme="minorEastAsia" w:hAnsiTheme="minorHAnsi" w:cstheme="minorBidi"/>
          <w:noProof/>
          <w:szCs w:val="22"/>
          <w:lang w:eastAsia="en-GB"/>
        </w:rPr>
      </w:pPr>
      <w:hyperlink w:anchor="_Toc532751562" w:history="1">
        <w:r w:rsidR="009B6A90" w:rsidRPr="00461C65">
          <w:rPr>
            <w:rStyle w:val="Hyperlink"/>
            <w:noProof/>
          </w:rPr>
          <w:t>1.3</w:t>
        </w:r>
        <w:r w:rsidR="009B6A90">
          <w:rPr>
            <w:rFonts w:asciiTheme="minorHAnsi" w:eastAsiaTheme="minorEastAsia" w:hAnsiTheme="minorHAnsi" w:cstheme="minorBidi"/>
            <w:noProof/>
            <w:szCs w:val="22"/>
            <w:lang w:eastAsia="en-GB"/>
          </w:rPr>
          <w:tab/>
        </w:r>
        <w:r w:rsidR="009B6A90" w:rsidRPr="00461C65">
          <w:rPr>
            <w:rStyle w:val="Hyperlink"/>
            <w:noProof/>
          </w:rPr>
          <w:t>Literature Review</w:t>
        </w:r>
        <w:r w:rsidR="009B6A90">
          <w:rPr>
            <w:noProof/>
            <w:webHidden/>
          </w:rPr>
          <w:tab/>
        </w:r>
        <w:r w:rsidR="009B6A90">
          <w:rPr>
            <w:noProof/>
            <w:webHidden/>
          </w:rPr>
          <w:fldChar w:fldCharType="begin"/>
        </w:r>
        <w:r w:rsidR="009B6A90">
          <w:rPr>
            <w:noProof/>
            <w:webHidden/>
          </w:rPr>
          <w:instrText xml:space="preserve"> PAGEREF _Toc532751562 \h </w:instrText>
        </w:r>
        <w:r w:rsidR="009B6A90">
          <w:rPr>
            <w:noProof/>
            <w:webHidden/>
          </w:rPr>
        </w:r>
        <w:r w:rsidR="009B6A90">
          <w:rPr>
            <w:noProof/>
            <w:webHidden/>
          </w:rPr>
          <w:fldChar w:fldCharType="separate"/>
        </w:r>
        <w:r w:rsidR="00F65D54">
          <w:rPr>
            <w:noProof/>
            <w:webHidden/>
          </w:rPr>
          <w:t>9</w:t>
        </w:r>
        <w:r w:rsidR="009B6A90">
          <w:rPr>
            <w:noProof/>
            <w:webHidden/>
          </w:rPr>
          <w:fldChar w:fldCharType="end"/>
        </w:r>
      </w:hyperlink>
    </w:p>
    <w:p w14:paraId="27EF1225" w14:textId="602EB19B" w:rsidR="009B6A90" w:rsidRDefault="00B030DD">
      <w:pPr>
        <w:pStyle w:val="TOC3"/>
        <w:rPr>
          <w:rFonts w:asciiTheme="minorHAnsi" w:eastAsiaTheme="minorEastAsia" w:hAnsiTheme="minorHAnsi" w:cstheme="minorBidi"/>
          <w:noProof/>
          <w:szCs w:val="22"/>
          <w:lang w:eastAsia="en-GB"/>
        </w:rPr>
      </w:pPr>
      <w:hyperlink w:anchor="_Toc532751563" w:history="1">
        <w:r w:rsidR="009B6A90" w:rsidRPr="00461C65">
          <w:rPr>
            <w:rStyle w:val="Hyperlink"/>
            <w:noProof/>
          </w:rPr>
          <w:t>1.3.1</w:t>
        </w:r>
        <w:r w:rsidR="009B6A90">
          <w:rPr>
            <w:rFonts w:asciiTheme="minorHAnsi" w:eastAsiaTheme="minorEastAsia" w:hAnsiTheme="minorHAnsi" w:cstheme="minorBidi"/>
            <w:noProof/>
            <w:szCs w:val="22"/>
            <w:lang w:eastAsia="en-GB"/>
          </w:rPr>
          <w:tab/>
        </w:r>
        <w:r w:rsidR="009B6A90" w:rsidRPr="00461C65">
          <w:rPr>
            <w:rStyle w:val="Hyperlink"/>
            <w:noProof/>
          </w:rPr>
          <w:t>Glare metrics</w:t>
        </w:r>
        <w:r w:rsidR="009B6A90">
          <w:rPr>
            <w:noProof/>
            <w:webHidden/>
          </w:rPr>
          <w:tab/>
        </w:r>
        <w:r w:rsidR="009B6A90">
          <w:rPr>
            <w:noProof/>
            <w:webHidden/>
          </w:rPr>
          <w:fldChar w:fldCharType="begin"/>
        </w:r>
        <w:r w:rsidR="009B6A90">
          <w:rPr>
            <w:noProof/>
            <w:webHidden/>
          </w:rPr>
          <w:instrText xml:space="preserve"> PAGEREF _Toc532751563 \h </w:instrText>
        </w:r>
        <w:r w:rsidR="009B6A90">
          <w:rPr>
            <w:noProof/>
            <w:webHidden/>
          </w:rPr>
        </w:r>
        <w:r w:rsidR="009B6A90">
          <w:rPr>
            <w:noProof/>
            <w:webHidden/>
          </w:rPr>
          <w:fldChar w:fldCharType="separate"/>
        </w:r>
        <w:r w:rsidR="00F65D54">
          <w:rPr>
            <w:noProof/>
            <w:webHidden/>
          </w:rPr>
          <w:t>9</w:t>
        </w:r>
        <w:r w:rsidR="009B6A90">
          <w:rPr>
            <w:noProof/>
            <w:webHidden/>
          </w:rPr>
          <w:fldChar w:fldCharType="end"/>
        </w:r>
      </w:hyperlink>
    </w:p>
    <w:p w14:paraId="1997DCDA" w14:textId="63A8E4DB" w:rsidR="009B6A90" w:rsidRDefault="00B030DD">
      <w:pPr>
        <w:pStyle w:val="TOC3"/>
        <w:rPr>
          <w:rFonts w:asciiTheme="minorHAnsi" w:eastAsiaTheme="minorEastAsia" w:hAnsiTheme="minorHAnsi" w:cstheme="minorBidi"/>
          <w:noProof/>
          <w:szCs w:val="22"/>
          <w:lang w:eastAsia="en-GB"/>
        </w:rPr>
      </w:pPr>
      <w:hyperlink w:anchor="_Toc532751564" w:history="1">
        <w:r w:rsidR="009B6A90" w:rsidRPr="00461C65">
          <w:rPr>
            <w:rStyle w:val="Hyperlink"/>
            <w:noProof/>
          </w:rPr>
          <w:t>1.3.2</w:t>
        </w:r>
        <w:r w:rsidR="009B6A90">
          <w:rPr>
            <w:rFonts w:asciiTheme="minorHAnsi" w:eastAsiaTheme="minorEastAsia" w:hAnsiTheme="minorHAnsi" w:cstheme="minorBidi"/>
            <w:noProof/>
            <w:szCs w:val="22"/>
            <w:lang w:eastAsia="en-GB"/>
          </w:rPr>
          <w:tab/>
        </w:r>
        <w:r w:rsidR="009B6A90" w:rsidRPr="00461C65">
          <w:rPr>
            <w:rStyle w:val="Hyperlink"/>
            <w:noProof/>
          </w:rPr>
          <w:t>Policies framework</w:t>
        </w:r>
        <w:r w:rsidR="009B6A90">
          <w:rPr>
            <w:noProof/>
            <w:webHidden/>
          </w:rPr>
          <w:tab/>
        </w:r>
        <w:r w:rsidR="009B6A90">
          <w:rPr>
            <w:noProof/>
            <w:webHidden/>
          </w:rPr>
          <w:fldChar w:fldCharType="begin"/>
        </w:r>
        <w:r w:rsidR="009B6A90">
          <w:rPr>
            <w:noProof/>
            <w:webHidden/>
          </w:rPr>
          <w:instrText xml:space="preserve"> PAGEREF _Toc532751564 \h </w:instrText>
        </w:r>
        <w:r w:rsidR="009B6A90">
          <w:rPr>
            <w:noProof/>
            <w:webHidden/>
          </w:rPr>
        </w:r>
        <w:r w:rsidR="009B6A90">
          <w:rPr>
            <w:noProof/>
            <w:webHidden/>
          </w:rPr>
          <w:fldChar w:fldCharType="separate"/>
        </w:r>
        <w:r w:rsidR="00F65D54">
          <w:rPr>
            <w:noProof/>
            <w:webHidden/>
          </w:rPr>
          <w:t>13</w:t>
        </w:r>
        <w:r w:rsidR="009B6A90">
          <w:rPr>
            <w:noProof/>
            <w:webHidden/>
          </w:rPr>
          <w:fldChar w:fldCharType="end"/>
        </w:r>
      </w:hyperlink>
    </w:p>
    <w:p w14:paraId="72004EA4" w14:textId="50B61EB0" w:rsidR="009B6A90" w:rsidRDefault="00B030DD">
      <w:pPr>
        <w:pStyle w:val="TOC2"/>
        <w:rPr>
          <w:rFonts w:asciiTheme="minorHAnsi" w:eastAsiaTheme="minorEastAsia" w:hAnsiTheme="minorHAnsi" w:cstheme="minorBidi"/>
          <w:noProof/>
          <w:szCs w:val="22"/>
          <w:lang w:eastAsia="en-GB"/>
        </w:rPr>
      </w:pPr>
      <w:hyperlink w:anchor="_Toc532751565" w:history="1">
        <w:r w:rsidR="009B6A90" w:rsidRPr="00461C65">
          <w:rPr>
            <w:rStyle w:val="Hyperlink"/>
            <w:noProof/>
          </w:rPr>
          <w:t>1.4</w:t>
        </w:r>
        <w:r w:rsidR="009B6A90">
          <w:rPr>
            <w:rFonts w:asciiTheme="minorHAnsi" w:eastAsiaTheme="minorEastAsia" w:hAnsiTheme="minorHAnsi" w:cstheme="minorBidi"/>
            <w:noProof/>
            <w:szCs w:val="22"/>
            <w:lang w:eastAsia="en-GB"/>
          </w:rPr>
          <w:tab/>
        </w:r>
        <w:r w:rsidR="009B6A90" w:rsidRPr="00461C65">
          <w:rPr>
            <w:rStyle w:val="Hyperlink"/>
            <w:noProof/>
          </w:rPr>
          <w:t>Thesis questions</w:t>
        </w:r>
        <w:r w:rsidR="009B6A90">
          <w:rPr>
            <w:noProof/>
            <w:webHidden/>
          </w:rPr>
          <w:tab/>
        </w:r>
        <w:r w:rsidR="009B6A90">
          <w:rPr>
            <w:noProof/>
            <w:webHidden/>
          </w:rPr>
          <w:fldChar w:fldCharType="begin"/>
        </w:r>
        <w:r w:rsidR="009B6A90">
          <w:rPr>
            <w:noProof/>
            <w:webHidden/>
          </w:rPr>
          <w:instrText xml:space="preserve"> PAGEREF _Toc532751565 \h </w:instrText>
        </w:r>
        <w:r w:rsidR="009B6A90">
          <w:rPr>
            <w:noProof/>
            <w:webHidden/>
          </w:rPr>
        </w:r>
        <w:r w:rsidR="009B6A90">
          <w:rPr>
            <w:noProof/>
            <w:webHidden/>
          </w:rPr>
          <w:fldChar w:fldCharType="separate"/>
        </w:r>
        <w:r w:rsidR="00F65D54">
          <w:rPr>
            <w:noProof/>
            <w:webHidden/>
          </w:rPr>
          <w:t>14</w:t>
        </w:r>
        <w:r w:rsidR="009B6A90">
          <w:rPr>
            <w:noProof/>
            <w:webHidden/>
          </w:rPr>
          <w:fldChar w:fldCharType="end"/>
        </w:r>
      </w:hyperlink>
    </w:p>
    <w:p w14:paraId="10D5D34E" w14:textId="01349943" w:rsidR="009B6A90" w:rsidRDefault="00B030DD">
      <w:pPr>
        <w:pStyle w:val="TOC2"/>
        <w:rPr>
          <w:rFonts w:asciiTheme="minorHAnsi" w:eastAsiaTheme="minorEastAsia" w:hAnsiTheme="minorHAnsi" w:cstheme="minorBidi"/>
          <w:noProof/>
          <w:szCs w:val="22"/>
          <w:lang w:eastAsia="en-GB"/>
        </w:rPr>
      </w:pPr>
      <w:hyperlink w:anchor="_Toc532751566" w:history="1">
        <w:r w:rsidR="009B6A90" w:rsidRPr="00461C65">
          <w:rPr>
            <w:rStyle w:val="Hyperlink"/>
            <w:noProof/>
          </w:rPr>
          <w:t>1.5</w:t>
        </w:r>
        <w:r w:rsidR="009B6A90">
          <w:rPr>
            <w:rFonts w:asciiTheme="minorHAnsi" w:eastAsiaTheme="minorEastAsia" w:hAnsiTheme="minorHAnsi" w:cstheme="minorBidi"/>
            <w:noProof/>
            <w:szCs w:val="22"/>
            <w:lang w:eastAsia="en-GB"/>
          </w:rPr>
          <w:tab/>
        </w:r>
        <w:r w:rsidR="009B6A90" w:rsidRPr="00461C65">
          <w:rPr>
            <w:rStyle w:val="Hyperlink"/>
            <w:noProof/>
          </w:rPr>
          <w:t>Hypotheses - Limitations</w:t>
        </w:r>
        <w:r w:rsidR="009B6A90">
          <w:rPr>
            <w:noProof/>
            <w:webHidden/>
          </w:rPr>
          <w:tab/>
        </w:r>
        <w:r w:rsidR="009B6A90">
          <w:rPr>
            <w:noProof/>
            <w:webHidden/>
          </w:rPr>
          <w:fldChar w:fldCharType="begin"/>
        </w:r>
        <w:r w:rsidR="009B6A90">
          <w:rPr>
            <w:noProof/>
            <w:webHidden/>
          </w:rPr>
          <w:instrText xml:space="preserve"> PAGEREF _Toc532751566 \h </w:instrText>
        </w:r>
        <w:r w:rsidR="009B6A90">
          <w:rPr>
            <w:noProof/>
            <w:webHidden/>
          </w:rPr>
        </w:r>
        <w:r w:rsidR="009B6A90">
          <w:rPr>
            <w:noProof/>
            <w:webHidden/>
          </w:rPr>
          <w:fldChar w:fldCharType="separate"/>
        </w:r>
        <w:r w:rsidR="00F65D54">
          <w:rPr>
            <w:noProof/>
            <w:webHidden/>
          </w:rPr>
          <w:t>14</w:t>
        </w:r>
        <w:r w:rsidR="009B6A90">
          <w:rPr>
            <w:noProof/>
            <w:webHidden/>
          </w:rPr>
          <w:fldChar w:fldCharType="end"/>
        </w:r>
      </w:hyperlink>
    </w:p>
    <w:p w14:paraId="76181633" w14:textId="3E7387FB" w:rsidR="009B6A90" w:rsidRDefault="00B030DD">
      <w:pPr>
        <w:pStyle w:val="TOC1"/>
        <w:rPr>
          <w:rFonts w:asciiTheme="minorHAnsi" w:eastAsiaTheme="minorEastAsia" w:hAnsiTheme="minorHAnsi" w:cstheme="minorBidi"/>
          <w:noProof/>
          <w:szCs w:val="22"/>
          <w:lang w:eastAsia="en-GB"/>
        </w:rPr>
      </w:pPr>
      <w:hyperlink w:anchor="_Toc532751567" w:history="1">
        <w:r w:rsidR="009B6A90" w:rsidRPr="00461C65">
          <w:rPr>
            <w:rStyle w:val="Hyperlink"/>
            <w:noProof/>
          </w:rPr>
          <w:t>2</w:t>
        </w:r>
        <w:r w:rsidR="009B6A90">
          <w:rPr>
            <w:rFonts w:asciiTheme="minorHAnsi" w:eastAsiaTheme="minorEastAsia" w:hAnsiTheme="minorHAnsi" w:cstheme="minorBidi"/>
            <w:noProof/>
            <w:szCs w:val="22"/>
            <w:lang w:eastAsia="en-GB"/>
          </w:rPr>
          <w:tab/>
        </w:r>
        <w:r w:rsidR="009B6A90" w:rsidRPr="00461C65">
          <w:rPr>
            <w:rStyle w:val="Hyperlink"/>
            <w:noProof/>
          </w:rPr>
          <w:t>Methodology</w:t>
        </w:r>
        <w:r w:rsidR="009B6A90">
          <w:rPr>
            <w:noProof/>
            <w:webHidden/>
          </w:rPr>
          <w:tab/>
        </w:r>
        <w:r w:rsidR="009B6A90">
          <w:rPr>
            <w:noProof/>
            <w:webHidden/>
          </w:rPr>
          <w:fldChar w:fldCharType="begin"/>
        </w:r>
        <w:r w:rsidR="009B6A90">
          <w:rPr>
            <w:noProof/>
            <w:webHidden/>
          </w:rPr>
          <w:instrText xml:space="preserve"> PAGEREF _Toc532751567 \h </w:instrText>
        </w:r>
        <w:r w:rsidR="009B6A90">
          <w:rPr>
            <w:noProof/>
            <w:webHidden/>
          </w:rPr>
        </w:r>
        <w:r w:rsidR="009B6A90">
          <w:rPr>
            <w:noProof/>
            <w:webHidden/>
          </w:rPr>
          <w:fldChar w:fldCharType="separate"/>
        </w:r>
        <w:r w:rsidR="00F65D54">
          <w:rPr>
            <w:noProof/>
            <w:webHidden/>
          </w:rPr>
          <w:t>16</w:t>
        </w:r>
        <w:r w:rsidR="009B6A90">
          <w:rPr>
            <w:noProof/>
            <w:webHidden/>
          </w:rPr>
          <w:fldChar w:fldCharType="end"/>
        </w:r>
      </w:hyperlink>
    </w:p>
    <w:p w14:paraId="15188B94" w14:textId="07950489" w:rsidR="009B6A90" w:rsidRDefault="00B030DD">
      <w:pPr>
        <w:pStyle w:val="TOC2"/>
        <w:rPr>
          <w:rFonts w:asciiTheme="minorHAnsi" w:eastAsiaTheme="minorEastAsia" w:hAnsiTheme="minorHAnsi" w:cstheme="minorBidi"/>
          <w:noProof/>
          <w:szCs w:val="22"/>
          <w:lang w:eastAsia="en-GB"/>
        </w:rPr>
      </w:pPr>
      <w:hyperlink w:anchor="_Toc532751568" w:history="1">
        <w:r w:rsidR="009B6A90" w:rsidRPr="00461C65">
          <w:rPr>
            <w:rStyle w:val="Hyperlink"/>
            <w:noProof/>
          </w:rPr>
          <w:t>2.1</w:t>
        </w:r>
        <w:r w:rsidR="009B6A90">
          <w:rPr>
            <w:rFonts w:asciiTheme="minorHAnsi" w:eastAsiaTheme="minorEastAsia" w:hAnsiTheme="minorHAnsi" w:cstheme="minorBidi"/>
            <w:noProof/>
            <w:szCs w:val="22"/>
            <w:lang w:eastAsia="en-GB"/>
          </w:rPr>
          <w:tab/>
        </w:r>
        <w:r w:rsidR="009B6A90" w:rsidRPr="00461C65">
          <w:rPr>
            <w:rStyle w:val="Hyperlink"/>
            <w:noProof/>
          </w:rPr>
          <w:t>Conceptual framework</w:t>
        </w:r>
        <w:r w:rsidR="009B6A90">
          <w:rPr>
            <w:noProof/>
            <w:webHidden/>
          </w:rPr>
          <w:tab/>
        </w:r>
        <w:r w:rsidR="009B6A90">
          <w:rPr>
            <w:noProof/>
            <w:webHidden/>
          </w:rPr>
          <w:fldChar w:fldCharType="begin"/>
        </w:r>
        <w:r w:rsidR="009B6A90">
          <w:rPr>
            <w:noProof/>
            <w:webHidden/>
          </w:rPr>
          <w:instrText xml:space="preserve"> PAGEREF _Toc532751568 \h </w:instrText>
        </w:r>
        <w:r w:rsidR="009B6A90">
          <w:rPr>
            <w:noProof/>
            <w:webHidden/>
          </w:rPr>
        </w:r>
        <w:r w:rsidR="009B6A90">
          <w:rPr>
            <w:noProof/>
            <w:webHidden/>
          </w:rPr>
          <w:fldChar w:fldCharType="separate"/>
        </w:r>
        <w:r w:rsidR="00F65D54">
          <w:rPr>
            <w:noProof/>
            <w:webHidden/>
          </w:rPr>
          <w:t>16</w:t>
        </w:r>
        <w:r w:rsidR="009B6A90">
          <w:rPr>
            <w:noProof/>
            <w:webHidden/>
          </w:rPr>
          <w:fldChar w:fldCharType="end"/>
        </w:r>
      </w:hyperlink>
    </w:p>
    <w:p w14:paraId="69AF79B7" w14:textId="58719A79" w:rsidR="009B6A90" w:rsidRDefault="00B030DD">
      <w:pPr>
        <w:pStyle w:val="TOC3"/>
        <w:rPr>
          <w:rFonts w:asciiTheme="minorHAnsi" w:eastAsiaTheme="minorEastAsia" w:hAnsiTheme="minorHAnsi" w:cstheme="minorBidi"/>
          <w:noProof/>
          <w:szCs w:val="22"/>
          <w:lang w:eastAsia="en-GB"/>
        </w:rPr>
      </w:pPr>
      <w:hyperlink w:anchor="_Toc532751569" w:history="1">
        <w:r w:rsidR="009B6A90" w:rsidRPr="00461C65">
          <w:rPr>
            <w:rStyle w:val="Hyperlink"/>
            <w:noProof/>
          </w:rPr>
          <w:t>2.1.1</w:t>
        </w:r>
        <w:r w:rsidR="009B6A90">
          <w:rPr>
            <w:rFonts w:asciiTheme="minorHAnsi" w:eastAsiaTheme="minorEastAsia" w:hAnsiTheme="minorHAnsi" w:cstheme="minorBidi"/>
            <w:noProof/>
            <w:szCs w:val="22"/>
            <w:lang w:eastAsia="en-GB"/>
          </w:rPr>
          <w:tab/>
        </w:r>
        <w:r w:rsidR="009B6A90" w:rsidRPr="00461C65">
          <w:rPr>
            <w:rStyle w:val="Hyperlink"/>
            <w:noProof/>
          </w:rPr>
          <w:t>Investigated glare metrics</w:t>
        </w:r>
        <w:r w:rsidR="009B6A90">
          <w:rPr>
            <w:noProof/>
            <w:webHidden/>
          </w:rPr>
          <w:tab/>
        </w:r>
        <w:r w:rsidR="009B6A90">
          <w:rPr>
            <w:noProof/>
            <w:webHidden/>
          </w:rPr>
          <w:fldChar w:fldCharType="begin"/>
        </w:r>
        <w:r w:rsidR="009B6A90">
          <w:rPr>
            <w:noProof/>
            <w:webHidden/>
          </w:rPr>
          <w:instrText xml:space="preserve"> PAGEREF _Toc532751569 \h </w:instrText>
        </w:r>
        <w:r w:rsidR="009B6A90">
          <w:rPr>
            <w:noProof/>
            <w:webHidden/>
          </w:rPr>
        </w:r>
        <w:r w:rsidR="009B6A90">
          <w:rPr>
            <w:noProof/>
            <w:webHidden/>
          </w:rPr>
          <w:fldChar w:fldCharType="separate"/>
        </w:r>
        <w:r w:rsidR="00F65D54">
          <w:rPr>
            <w:noProof/>
            <w:webHidden/>
          </w:rPr>
          <w:t>16</w:t>
        </w:r>
        <w:r w:rsidR="009B6A90">
          <w:rPr>
            <w:noProof/>
            <w:webHidden/>
          </w:rPr>
          <w:fldChar w:fldCharType="end"/>
        </w:r>
      </w:hyperlink>
    </w:p>
    <w:p w14:paraId="0BDD503A" w14:textId="44F9F820" w:rsidR="009B6A90" w:rsidRDefault="00B030DD">
      <w:pPr>
        <w:pStyle w:val="TOC3"/>
        <w:rPr>
          <w:rFonts w:asciiTheme="minorHAnsi" w:eastAsiaTheme="minorEastAsia" w:hAnsiTheme="minorHAnsi" w:cstheme="minorBidi"/>
          <w:noProof/>
          <w:szCs w:val="22"/>
          <w:lang w:eastAsia="en-GB"/>
        </w:rPr>
      </w:pPr>
      <w:hyperlink w:anchor="_Toc532751570" w:history="1">
        <w:r w:rsidR="009B6A90" w:rsidRPr="00461C65">
          <w:rPr>
            <w:rStyle w:val="Hyperlink"/>
            <w:noProof/>
          </w:rPr>
          <w:t>2.1.2</w:t>
        </w:r>
        <w:r w:rsidR="009B6A90">
          <w:rPr>
            <w:rFonts w:asciiTheme="minorHAnsi" w:eastAsiaTheme="minorEastAsia" w:hAnsiTheme="minorHAnsi" w:cstheme="minorBidi"/>
            <w:noProof/>
            <w:szCs w:val="22"/>
            <w:lang w:eastAsia="en-GB"/>
          </w:rPr>
          <w:tab/>
        </w:r>
        <w:r w:rsidR="009B6A90" w:rsidRPr="00461C65">
          <w:rPr>
            <w:rStyle w:val="Hyperlink"/>
            <w:noProof/>
          </w:rPr>
          <w:t>Position and Gaze direction</w:t>
        </w:r>
        <w:r w:rsidR="009B6A90">
          <w:rPr>
            <w:noProof/>
            <w:webHidden/>
          </w:rPr>
          <w:tab/>
        </w:r>
        <w:r w:rsidR="009B6A90">
          <w:rPr>
            <w:noProof/>
            <w:webHidden/>
          </w:rPr>
          <w:fldChar w:fldCharType="begin"/>
        </w:r>
        <w:r w:rsidR="009B6A90">
          <w:rPr>
            <w:noProof/>
            <w:webHidden/>
          </w:rPr>
          <w:instrText xml:space="preserve"> PAGEREF _Toc532751570 \h </w:instrText>
        </w:r>
        <w:r w:rsidR="009B6A90">
          <w:rPr>
            <w:noProof/>
            <w:webHidden/>
          </w:rPr>
        </w:r>
        <w:r w:rsidR="009B6A90">
          <w:rPr>
            <w:noProof/>
            <w:webHidden/>
          </w:rPr>
          <w:fldChar w:fldCharType="separate"/>
        </w:r>
        <w:r w:rsidR="00F65D54">
          <w:rPr>
            <w:noProof/>
            <w:webHidden/>
          </w:rPr>
          <w:t>17</w:t>
        </w:r>
        <w:r w:rsidR="009B6A90">
          <w:rPr>
            <w:noProof/>
            <w:webHidden/>
          </w:rPr>
          <w:fldChar w:fldCharType="end"/>
        </w:r>
      </w:hyperlink>
    </w:p>
    <w:p w14:paraId="445B8661" w14:textId="4C1387E2" w:rsidR="009B6A90" w:rsidRDefault="00B030DD">
      <w:pPr>
        <w:pStyle w:val="TOC3"/>
        <w:rPr>
          <w:rFonts w:asciiTheme="minorHAnsi" w:eastAsiaTheme="minorEastAsia" w:hAnsiTheme="minorHAnsi" w:cstheme="minorBidi"/>
          <w:noProof/>
          <w:szCs w:val="22"/>
          <w:lang w:eastAsia="en-GB"/>
        </w:rPr>
      </w:pPr>
      <w:hyperlink w:anchor="_Toc532751571" w:history="1">
        <w:r w:rsidR="009B6A90" w:rsidRPr="00461C65">
          <w:rPr>
            <w:rStyle w:val="Hyperlink"/>
            <w:noProof/>
            <w:lang w:val="sv-SE"/>
          </w:rPr>
          <w:t>2.1.3</w:t>
        </w:r>
        <w:r w:rsidR="009B6A90">
          <w:rPr>
            <w:rFonts w:asciiTheme="minorHAnsi" w:eastAsiaTheme="minorEastAsia" w:hAnsiTheme="minorHAnsi" w:cstheme="minorBidi"/>
            <w:noProof/>
            <w:szCs w:val="22"/>
            <w:lang w:eastAsia="en-GB"/>
          </w:rPr>
          <w:tab/>
        </w:r>
        <w:r w:rsidR="009B6A90" w:rsidRPr="00461C65">
          <w:rPr>
            <w:rStyle w:val="Hyperlink"/>
            <w:noProof/>
            <w:lang w:val="sv-SE"/>
          </w:rPr>
          <w:t>Adaptation Possibility</w:t>
        </w:r>
        <w:r w:rsidR="009B6A90">
          <w:rPr>
            <w:noProof/>
            <w:webHidden/>
          </w:rPr>
          <w:tab/>
        </w:r>
        <w:r w:rsidR="009B6A90">
          <w:rPr>
            <w:noProof/>
            <w:webHidden/>
          </w:rPr>
          <w:fldChar w:fldCharType="begin"/>
        </w:r>
        <w:r w:rsidR="009B6A90">
          <w:rPr>
            <w:noProof/>
            <w:webHidden/>
          </w:rPr>
          <w:instrText xml:space="preserve"> PAGEREF _Toc532751571 \h </w:instrText>
        </w:r>
        <w:r w:rsidR="009B6A90">
          <w:rPr>
            <w:noProof/>
            <w:webHidden/>
          </w:rPr>
        </w:r>
        <w:r w:rsidR="009B6A90">
          <w:rPr>
            <w:noProof/>
            <w:webHidden/>
          </w:rPr>
          <w:fldChar w:fldCharType="separate"/>
        </w:r>
        <w:r w:rsidR="00F65D54">
          <w:rPr>
            <w:noProof/>
            <w:webHidden/>
          </w:rPr>
          <w:t>18</w:t>
        </w:r>
        <w:r w:rsidR="009B6A90">
          <w:rPr>
            <w:noProof/>
            <w:webHidden/>
          </w:rPr>
          <w:fldChar w:fldCharType="end"/>
        </w:r>
      </w:hyperlink>
    </w:p>
    <w:p w14:paraId="063F11C1" w14:textId="4B36537F" w:rsidR="009B6A90" w:rsidRDefault="00B030DD">
      <w:pPr>
        <w:pStyle w:val="TOC4"/>
        <w:tabs>
          <w:tab w:val="left" w:pos="1540"/>
        </w:tabs>
        <w:rPr>
          <w:rFonts w:asciiTheme="minorHAnsi" w:eastAsiaTheme="minorEastAsia" w:hAnsiTheme="minorHAnsi" w:cstheme="minorBidi"/>
          <w:noProof/>
          <w:szCs w:val="22"/>
          <w:lang w:eastAsia="en-GB"/>
        </w:rPr>
      </w:pPr>
      <w:hyperlink w:anchor="_Toc532751572" w:history="1">
        <w:r w:rsidR="009B6A90" w:rsidRPr="00461C65">
          <w:rPr>
            <w:rStyle w:val="Hyperlink"/>
            <w:noProof/>
          </w:rPr>
          <w:t>2.1.3.1</w:t>
        </w:r>
        <w:r w:rsidR="009B6A90">
          <w:rPr>
            <w:rFonts w:asciiTheme="minorHAnsi" w:eastAsiaTheme="minorEastAsia" w:hAnsiTheme="minorHAnsi" w:cstheme="minorBidi"/>
            <w:noProof/>
            <w:szCs w:val="22"/>
            <w:lang w:eastAsia="en-GB"/>
          </w:rPr>
          <w:tab/>
        </w:r>
        <w:r w:rsidR="009B6A90" w:rsidRPr="00461C65">
          <w:rPr>
            <w:rStyle w:val="Hyperlink"/>
            <w:noProof/>
          </w:rPr>
          <w:t>Adaptation possibility in terms of head rotation</w:t>
        </w:r>
        <w:r w:rsidR="009B6A90">
          <w:rPr>
            <w:noProof/>
            <w:webHidden/>
          </w:rPr>
          <w:tab/>
        </w:r>
        <w:r w:rsidR="009B6A90">
          <w:rPr>
            <w:noProof/>
            <w:webHidden/>
          </w:rPr>
          <w:fldChar w:fldCharType="begin"/>
        </w:r>
        <w:r w:rsidR="009B6A90">
          <w:rPr>
            <w:noProof/>
            <w:webHidden/>
          </w:rPr>
          <w:instrText xml:space="preserve"> PAGEREF _Toc532751572 \h </w:instrText>
        </w:r>
        <w:r w:rsidR="009B6A90">
          <w:rPr>
            <w:noProof/>
            <w:webHidden/>
          </w:rPr>
        </w:r>
        <w:r w:rsidR="009B6A90">
          <w:rPr>
            <w:noProof/>
            <w:webHidden/>
          </w:rPr>
          <w:fldChar w:fldCharType="separate"/>
        </w:r>
        <w:r w:rsidR="00F65D54">
          <w:rPr>
            <w:noProof/>
            <w:webHidden/>
          </w:rPr>
          <w:t>18</w:t>
        </w:r>
        <w:r w:rsidR="009B6A90">
          <w:rPr>
            <w:noProof/>
            <w:webHidden/>
          </w:rPr>
          <w:fldChar w:fldCharType="end"/>
        </w:r>
      </w:hyperlink>
    </w:p>
    <w:p w14:paraId="3C98DCC6" w14:textId="46C4F45F" w:rsidR="009B6A90" w:rsidRDefault="00B030DD">
      <w:pPr>
        <w:pStyle w:val="TOC4"/>
        <w:tabs>
          <w:tab w:val="left" w:pos="1540"/>
        </w:tabs>
        <w:rPr>
          <w:rFonts w:asciiTheme="minorHAnsi" w:eastAsiaTheme="minorEastAsia" w:hAnsiTheme="minorHAnsi" w:cstheme="minorBidi"/>
          <w:noProof/>
          <w:szCs w:val="22"/>
          <w:lang w:eastAsia="en-GB"/>
        </w:rPr>
      </w:pPr>
      <w:hyperlink w:anchor="_Toc532751573" w:history="1">
        <w:r w:rsidR="009B6A90" w:rsidRPr="00461C65">
          <w:rPr>
            <w:rStyle w:val="Hyperlink"/>
            <w:noProof/>
          </w:rPr>
          <w:t>2.1.3.2</w:t>
        </w:r>
        <w:r w:rsidR="009B6A90">
          <w:rPr>
            <w:rFonts w:asciiTheme="minorHAnsi" w:eastAsiaTheme="minorEastAsia" w:hAnsiTheme="minorHAnsi" w:cstheme="minorBidi"/>
            <w:noProof/>
            <w:szCs w:val="22"/>
            <w:lang w:eastAsia="en-GB"/>
          </w:rPr>
          <w:tab/>
        </w:r>
        <w:r w:rsidR="009B6A90" w:rsidRPr="00461C65">
          <w:rPr>
            <w:rStyle w:val="Hyperlink"/>
            <w:noProof/>
          </w:rPr>
          <w:t>Adaptation possibility in terms of glare duration</w:t>
        </w:r>
        <w:r w:rsidR="009B6A90">
          <w:rPr>
            <w:noProof/>
            <w:webHidden/>
          </w:rPr>
          <w:tab/>
        </w:r>
        <w:r w:rsidR="009B6A90">
          <w:rPr>
            <w:noProof/>
            <w:webHidden/>
          </w:rPr>
          <w:fldChar w:fldCharType="begin"/>
        </w:r>
        <w:r w:rsidR="009B6A90">
          <w:rPr>
            <w:noProof/>
            <w:webHidden/>
          </w:rPr>
          <w:instrText xml:space="preserve"> PAGEREF _Toc532751573 \h </w:instrText>
        </w:r>
        <w:r w:rsidR="009B6A90">
          <w:rPr>
            <w:noProof/>
            <w:webHidden/>
          </w:rPr>
        </w:r>
        <w:r w:rsidR="009B6A90">
          <w:rPr>
            <w:noProof/>
            <w:webHidden/>
          </w:rPr>
          <w:fldChar w:fldCharType="separate"/>
        </w:r>
        <w:r w:rsidR="00F65D54">
          <w:rPr>
            <w:noProof/>
            <w:webHidden/>
          </w:rPr>
          <w:t>20</w:t>
        </w:r>
        <w:r w:rsidR="009B6A90">
          <w:rPr>
            <w:noProof/>
            <w:webHidden/>
          </w:rPr>
          <w:fldChar w:fldCharType="end"/>
        </w:r>
      </w:hyperlink>
    </w:p>
    <w:p w14:paraId="4F5A7298" w14:textId="7F335265" w:rsidR="009B6A90" w:rsidRDefault="00B030DD">
      <w:pPr>
        <w:pStyle w:val="TOC4"/>
        <w:tabs>
          <w:tab w:val="left" w:pos="1540"/>
        </w:tabs>
        <w:rPr>
          <w:rFonts w:asciiTheme="minorHAnsi" w:eastAsiaTheme="minorEastAsia" w:hAnsiTheme="minorHAnsi" w:cstheme="minorBidi"/>
          <w:noProof/>
          <w:szCs w:val="22"/>
          <w:lang w:eastAsia="en-GB"/>
        </w:rPr>
      </w:pPr>
      <w:hyperlink w:anchor="_Toc532751574" w:history="1">
        <w:r w:rsidR="009B6A90" w:rsidRPr="00461C65">
          <w:rPr>
            <w:rStyle w:val="Hyperlink"/>
            <w:noProof/>
          </w:rPr>
          <w:t>2.1.3.3</w:t>
        </w:r>
        <w:r w:rsidR="009B6A90">
          <w:rPr>
            <w:rFonts w:asciiTheme="minorHAnsi" w:eastAsiaTheme="minorEastAsia" w:hAnsiTheme="minorHAnsi" w:cstheme="minorBidi"/>
            <w:noProof/>
            <w:szCs w:val="22"/>
            <w:lang w:eastAsia="en-GB"/>
          </w:rPr>
          <w:tab/>
        </w:r>
        <w:r w:rsidR="009B6A90" w:rsidRPr="00461C65">
          <w:rPr>
            <w:rStyle w:val="Hyperlink"/>
            <w:noProof/>
            <w:lang w:val="sv-SE"/>
          </w:rPr>
          <w:t>TPG</w:t>
        </w:r>
        <w:r w:rsidR="009B6A90">
          <w:rPr>
            <w:noProof/>
            <w:webHidden/>
          </w:rPr>
          <w:tab/>
        </w:r>
        <w:r w:rsidR="009B6A90">
          <w:rPr>
            <w:noProof/>
            <w:webHidden/>
          </w:rPr>
          <w:fldChar w:fldCharType="begin"/>
        </w:r>
        <w:r w:rsidR="009B6A90">
          <w:rPr>
            <w:noProof/>
            <w:webHidden/>
          </w:rPr>
          <w:instrText xml:space="preserve"> PAGEREF _Toc532751574 \h </w:instrText>
        </w:r>
        <w:r w:rsidR="009B6A90">
          <w:rPr>
            <w:noProof/>
            <w:webHidden/>
          </w:rPr>
        </w:r>
        <w:r w:rsidR="009B6A90">
          <w:rPr>
            <w:noProof/>
            <w:webHidden/>
          </w:rPr>
          <w:fldChar w:fldCharType="separate"/>
        </w:r>
        <w:r w:rsidR="00F65D54">
          <w:rPr>
            <w:noProof/>
            <w:webHidden/>
          </w:rPr>
          <w:t>22</w:t>
        </w:r>
        <w:r w:rsidR="009B6A90">
          <w:rPr>
            <w:noProof/>
            <w:webHidden/>
          </w:rPr>
          <w:fldChar w:fldCharType="end"/>
        </w:r>
      </w:hyperlink>
    </w:p>
    <w:p w14:paraId="5BEB02D0" w14:textId="14820556" w:rsidR="009B6A90" w:rsidRDefault="00B030DD">
      <w:pPr>
        <w:pStyle w:val="TOC4"/>
        <w:tabs>
          <w:tab w:val="left" w:pos="1540"/>
        </w:tabs>
        <w:rPr>
          <w:rFonts w:asciiTheme="minorHAnsi" w:eastAsiaTheme="minorEastAsia" w:hAnsiTheme="minorHAnsi" w:cstheme="minorBidi"/>
          <w:noProof/>
          <w:szCs w:val="22"/>
          <w:lang w:eastAsia="en-GB"/>
        </w:rPr>
      </w:pPr>
      <w:hyperlink w:anchor="_Toc532751575" w:history="1">
        <w:r w:rsidR="009B6A90" w:rsidRPr="00461C65">
          <w:rPr>
            <w:rStyle w:val="Hyperlink"/>
            <w:noProof/>
          </w:rPr>
          <w:t>2.1.3.4</w:t>
        </w:r>
        <w:r w:rsidR="009B6A90">
          <w:rPr>
            <w:rFonts w:asciiTheme="minorHAnsi" w:eastAsiaTheme="minorEastAsia" w:hAnsiTheme="minorHAnsi" w:cstheme="minorBidi"/>
            <w:noProof/>
            <w:szCs w:val="22"/>
            <w:lang w:eastAsia="en-GB"/>
          </w:rPr>
          <w:tab/>
        </w:r>
        <w:r w:rsidR="009B6A90" w:rsidRPr="00461C65">
          <w:rPr>
            <w:rStyle w:val="Hyperlink"/>
            <w:noProof/>
            <w:lang w:val="sv-SE"/>
          </w:rPr>
          <w:t>STG</w:t>
        </w:r>
        <w:r w:rsidR="009B6A90">
          <w:rPr>
            <w:noProof/>
            <w:webHidden/>
          </w:rPr>
          <w:tab/>
        </w:r>
        <w:r w:rsidR="009B6A90">
          <w:rPr>
            <w:noProof/>
            <w:webHidden/>
          </w:rPr>
          <w:fldChar w:fldCharType="begin"/>
        </w:r>
        <w:r w:rsidR="009B6A90">
          <w:rPr>
            <w:noProof/>
            <w:webHidden/>
          </w:rPr>
          <w:instrText xml:space="preserve"> PAGEREF _Toc532751575 \h </w:instrText>
        </w:r>
        <w:r w:rsidR="009B6A90">
          <w:rPr>
            <w:noProof/>
            <w:webHidden/>
          </w:rPr>
        </w:r>
        <w:r w:rsidR="009B6A90">
          <w:rPr>
            <w:noProof/>
            <w:webHidden/>
          </w:rPr>
          <w:fldChar w:fldCharType="separate"/>
        </w:r>
        <w:r w:rsidR="00F65D54">
          <w:rPr>
            <w:noProof/>
            <w:webHidden/>
          </w:rPr>
          <w:t>24</w:t>
        </w:r>
        <w:r w:rsidR="009B6A90">
          <w:rPr>
            <w:noProof/>
            <w:webHidden/>
          </w:rPr>
          <w:fldChar w:fldCharType="end"/>
        </w:r>
      </w:hyperlink>
    </w:p>
    <w:p w14:paraId="61D7DE58" w14:textId="11EF15FC" w:rsidR="009B6A90" w:rsidRDefault="00B030DD">
      <w:pPr>
        <w:pStyle w:val="TOC2"/>
        <w:rPr>
          <w:rFonts w:asciiTheme="minorHAnsi" w:eastAsiaTheme="minorEastAsia" w:hAnsiTheme="minorHAnsi" w:cstheme="minorBidi"/>
          <w:noProof/>
          <w:szCs w:val="22"/>
          <w:lang w:eastAsia="en-GB"/>
        </w:rPr>
      </w:pPr>
      <w:hyperlink w:anchor="_Toc532751576" w:history="1">
        <w:r w:rsidR="009B6A90" w:rsidRPr="00461C65">
          <w:rPr>
            <w:rStyle w:val="Hyperlink"/>
            <w:noProof/>
          </w:rPr>
          <w:t>2.2</w:t>
        </w:r>
        <w:r w:rsidR="009B6A90">
          <w:rPr>
            <w:rFonts w:asciiTheme="minorHAnsi" w:eastAsiaTheme="minorEastAsia" w:hAnsiTheme="minorHAnsi" w:cstheme="minorBidi"/>
            <w:noProof/>
            <w:szCs w:val="22"/>
            <w:lang w:eastAsia="en-GB"/>
          </w:rPr>
          <w:tab/>
        </w:r>
        <w:r w:rsidR="009B6A90" w:rsidRPr="00461C65">
          <w:rPr>
            <w:rStyle w:val="Hyperlink"/>
            <w:noProof/>
          </w:rPr>
          <w:t>Case study</w:t>
        </w:r>
        <w:r w:rsidR="009B6A90">
          <w:rPr>
            <w:noProof/>
            <w:webHidden/>
          </w:rPr>
          <w:tab/>
        </w:r>
        <w:r w:rsidR="009B6A90">
          <w:rPr>
            <w:noProof/>
            <w:webHidden/>
          </w:rPr>
          <w:fldChar w:fldCharType="begin"/>
        </w:r>
        <w:r w:rsidR="009B6A90">
          <w:rPr>
            <w:noProof/>
            <w:webHidden/>
          </w:rPr>
          <w:instrText xml:space="preserve"> PAGEREF _Toc532751576 \h </w:instrText>
        </w:r>
        <w:r w:rsidR="009B6A90">
          <w:rPr>
            <w:noProof/>
            <w:webHidden/>
          </w:rPr>
        </w:r>
        <w:r w:rsidR="009B6A90">
          <w:rPr>
            <w:noProof/>
            <w:webHidden/>
          </w:rPr>
          <w:fldChar w:fldCharType="separate"/>
        </w:r>
        <w:r w:rsidR="00F65D54">
          <w:rPr>
            <w:noProof/>
            <w:webHidden/>
          </w:rPr>
          <w:t>25</w:t>
        </w:r>
        <w:r w:rsidR="009B6A90">
          <w:rPr>
            <w:noProof/>
            <w:webHidden/>
          </w:rPr>
          <w:fldChar w:fldCharType="end"/>
        </w:r>
      </w:hyperlink>
    </w:p>
    <w:p w14:paraId="3179CEAE" w14:textId="3E56580E" w:rsidR="009B6A90" w:rsidRDefault="00B030DD">
      <w:pPr>
        <w:pStyle w:val="TOC3"/>
        <w:rPr>
          <w:rFonts w:asciiTheme="minorHAnsi" w:eastAsiaTheme="minorEastAsia" w:hAnsiTheme="minorHAnsi" w:cstheme="minorBidi"/>
          <w:noProof/>
          <w:szCs w:val="22"/>
          <w:lang w:eastAsia="en-GB"/>
        </w:rPr>
      </w:pPr>
      <w:hyperlink w:anchor="_Toc532751577" w:history="1">
        <w:r w:rsidR="009B6A90" w:rsidRPr="00461C65">
          <w:rPr>
            <w:rStyle w:val="Hyperlink"/>
            <w:noProof/>
          </w:rPr>
          <w:t>2.2.1</w:t>
        </w:r>
        <w:r w:rsidR="009B6A90">
          <w:rPr>
            <w:rFonts w:asciiTheme="minorHAnsi" w:eastAsiaTheme="minorEastAsia" w:hAnsiTheme="minorHAnsi" w:cstheme="minorBidi"/>
            <w:noProof/>
            <w:szCs w:val="22"/>
            <w:lang w:eastAsia="en-GB"/>
          </w:rPr>
          <w:tab/>
        </w:r>
        <w:r w:rsidR="009B6A90" w:rsidRPr="00461C65">
          <w:rPr>
            <w:rStyle w:val="Hyperlink"/>
            <w:noProof/>
          </w:rPr>
          <w:t>Studied geometry and material properties</w:t>
        </w:r>
        <w:r w:rsidR="009B6A90">
          <w:rPr>
            <w:noProof/>
            <w:webHidden/>
          </w:rPr>
          <w:tab/>
        </w:r>
        <w:r w:rsidR="009B6A90">
          <w:rPr>
            <w:noProof/>
            <w:webHidden/>
          </w:rPr>
          <w:fldChar w:fldCharType="begin"/>
        </w:r>
        <w:r w:rsidR="009B6A90">
          <w:rPr>
            <w:noProof/>
            <w:webHidden/>
          </w:rPr>
          <w:instrText xml:space="preserve"> PAGEREF _Toc532751577 \h </w:instrText>
        </w:r>
        <w:r w:rsidR="009B6A90">
          <w:rPr>
            <w:noProof/>
            <w:webHidden/>
          </w:rPr>
        </w:r>
        <w:r w:rsidR="009B6A90">
          <w:rPr>
            <w:noProof/>
            <w:webHidden/>
          </w:rPr>
          <w:fldChar w:fldCharType="separate"/>
        </w:r>
        <w:r w:rsidR="00F65D54">
          <w:rPr>
            <w:noProof/>
            <w:webHidden/>
          </w:rPr>
          <w:t>25</w:t>
        </w:r>
        <w:r w:rsidR="009B6A90">
          <w:rPr>
            <w:noProof/>
            <w:webHidden/>
          </w:rPr>
          <w:fldChar w:fldCharType="end"/>
        </w:r>
      </w:hyperlink>
    </w:p>
    <w:p w14:paraId="28FAB497" w14:textId="01950908" w:rsidR="009B6A90" w:rsidRDefault="00B030DD">
      <w:pPr>
        <w:pStyle w:val="TOC2"/>
        <w:rPr>
          <w:rFonts w:asciiTheme="minorHAnsi" w:eastAsiaTheme="minorEastAsia" w:hAnsiTheme="minorHAnsi" w:cstheme="minorBidi"/>
          <w:noProof/>
          <w:szCs w:val="22"/>
          <w:lang w:eastAsia="en-GB"/>
        </w:rPr>
      </w:pPr>
      <w:hyperlink w:anchor="_Toc532751578" w:history="1">
        <w:r w:rsidR="009B6A90" w:rsidRPr="00461C65">
          <w:rPr>
            <w:rStyle w:val="Hyperlink"/>
            <w:noProof/>
          </w:rPr>
          <w:t>2.3</w:t>
        </w:r>
        <w:r w:rsidR="009B6A90">
          <w:rPr>
            <w:rFonts w:asciiTheme="minorHAnsi" w:eastAsiaTheme="minorEastAsia" w:hAnsiTheme="minorHAnsi" w:cstheme="minorBidi"/>
            <w:noProof/>
            <w:szCs w:val="22"/>
            <w:lang w:eastAsia="en-GB"/>
          </w:rPr>
          <w:tab/>
        </w:r>
        <w:r w:rsidR="009B6A90" w:rsidRPr="00461C65">
          <w:rPr>
            <w:rStyle w:val="Hyperlink"/>
            <w:noProof/>
          </w:rPr>
          <w:t>Software</w:t>
        </w:r>
        <w:r w:rsidR="009B6A90">
          <w:rPr>
            <w:noProof/>
            <w:webHidden/>
          </w:rPr>
          <w:tab/>
        </w:r>
        <w:r w:rsidR="009B6A90">
          <w:rPr>
            <w:noProof/>
            <w:webHidden/>
          </w:rPr>
          <w:fldChar w:fldCharType="begin"/>
        </w:r>
        <w:r w:rsidR="009B6A90">
          <w:rPr>
            <w:noProof/>
            <w:webHidden/>
          </w:rPr>
          <w:instrText xml:space="preserve"> PAGEREF _Toc532751578 \h </w:instrText>
        </w:r>
        <w:r w:rsidR="009B6A90">
          <w:rPr>
            <w:noProof/>
            <w:webHidden/>
          </w:rPr>
        </w:r>
        <w:r w:rsidR="009B6A90">
          <w:rPr>
            <w:noProof/>
            <w:webHidden/>
          </w:rPr>
          <w:fldChar w:fldCharType="separate"/>
        </w:r>
        <w:r w:rsidR="00F65D54">
          <w:rPr>
            <w:noProof/>
            <w:webHidden/>
          </w:rPr>
          <w:t>27</w:t>
        </w:r>
        <w:r w:rsidR="009B6A90">
          <w:rPr>
            <w:noProof/>
            <w:webHidden/>
          </w:rPr>
          <w:fldChar w:fldCharType="end"/>
        </w:r>
      </w:hyperlink>
    </w:p>
    <w:p w14:paraId="34EED45B" w14:textId="7A79B158" w:rsidR="009B6A90" w:rsidRDefault="00B030DD">
      <w:pPr>
        <w:pStyle w:val="TOC1"/>
        <w:rPr>
          <w:rFonts w:asciiTheme="minorHAnsi" w:eastAsiaTheme="minorEastAsia" w:hAnsiTheme="minorHAnsi" w:cstheme="minorBidi"/>
          <w:noProof/>
          <w:szCs w:val="22"/>
          <w:lang w:eastAsia="en-GB"/>
        </w:rPr>
      </w:pPr>
      <w:hyperlink w:anchor="_Toc532751579" w:history="1">
        <w:r w:rsidR="009B6A90" w:rsidRPr="00461C65">
          <w:rPr>
            <w:rStyle w:val="Hyperlink"/>
            <w:noProof/>
          </w:rPr>
          <w:t>3</w:t>
        </w:r>
        <w:r w:rsidR="009B6A90">
          <w:rPr>
            <w:rFonts w:asciiTheme="minorHAnsi" w:eastAsiaTheme="minorEastAsia" w:hAnsiTheme="minorHAnsi" w:cstheme="minorBidi"/>
            <w:noProof/>
            <w:szCs w:val="22"/>
            <w:lang w:eastAsia="en-GB"/>
          </w:rPr>
          <w:tab/>
        </w:r>
        <w:r w:rsidR="009B6A90" w:rsidRPr="00461C65">
          <w:rPr>
            <w:rStyle w:val="Hyperlink"/>
            <w:noProof/>
          </w:rPr>
          <w:t>Results</w:t>
        </w:r>
        <w:r w:rsidR="009B6A90">
          <w:rPr>
            <w:noProof/>
            <w:webHidden/>
          </w:rPr>
          <w:tab/>
        </w:r>
        <w:r w:rsidR="009B6A90">
          <w:rPr>
            <w:noProof/>
            <w:webHidden/>
          </w:rPr>
          <w:fldChar w:fldCharType="begin"/>
        </w:r>
        <w:r w:rsidR="009B6A90">
          <w:rPr>
            <w:noProof/>
            <w:webHidden/>
          </w:rPr>
          <w:instrText xml:space="preserve"> PAGEREF _Toc532751579 \h </w:instrText>
        </w:r>
        <w:r w:rsidR="009B6A90">
          <w:rPr>
            <w:noProof/>
            <w:webHidden/>
          </w:rPr>
        </w:r>
        <w:r w:rsidR="009B6A90">
          <w:rPr>
            <w:noProof/>
            <w:webHidden/>
          </w:rPr>
          <w:fldChar w:fldCharType="separate"/>
        </w:r>
        <w:r w:rsidR="00F65D54">
          <w:rPr>
            <w:noProof/>
            <w:webHidden/>
          </w:rPr>
          <w:t>29</w:t>
        </w:r>
        <w:r w:rsidR="009B6A90">
          <w:rPr>
            <w:noProof/>
            <w:webHidden/>
          </w:rPr>
          <w:fldChar w:fldCharType="end"/>
        </w:r>
      </w:hyperlink>
    </w:p>
    <w:p w14:paraId="4955762F" w14:textId="63DF161C" w:rsidR="009B6A90" w:rsidRDefault="00B030DD">
      <w:pPr>
        <w:pStyle w:val="TOC2"/>
        <w:rPr>
          <w:rFonts w:asciiTheme="minorHAnsi" w:eastAsiaTheme="minorEastAsia" w:hAnsiTheme="minorHAnsi" w:cstheme="minorBidi"/>
          <w:noProof/>
          <w:szCs w:val="22"/>
          <w:lang w:eastAsia="en-GB"/>
        </w:rPr>
      </w:pPr>
      <w:hyperlink w:anchor="_Toc532751580" w:history="1">
        <w:r w:rsidR="009B6A90" w:rsidRPr="00461C65">
          <w:rPr>
            <w:rStyle w:val="Hyperlink"/>
            <w:noProof/>
          </w:rPr>
          <w:t>3.1</w:t>
        </w:r>
        <w:r w:rsidR="009B6A90">
          <w:rPr>
            <w:rFonts w:asciiTheme="minorHAnsi" w:eastAsiaTheme="minorEastAsia" w:hAnsiTheme="minorHAnsi" w:cstheme="minorBidi"/>
            <w:noProof/>
            <w:szCs w:val="22"/>
            <w:lang w:eastAsia="en-GB"/>
          </w:rPr>
          <w:tab/>
        </w:r>
        <w:r w:rsidR="009B6A90" w:rsidRPr="00461C65">
          <w:rPr>
            <w:rStyle w:val="Hyperlink"/>
            <w:noProof/>
          </w:rPr>
          <w:t>Dynamic Daylight Glare Evaluation</w:t>
        </w:r>
        <w:r w:rsidR="009B6A90">
          <w:rPr>
            <w:noProof/>
            <w:webHidden/>
          </w:rPr>
          <w:tab/>
        </w:r>
        <w:r w:rsidR="009B6A90">
          <w:rPr>
            <w:noProof/>
            <w:webHidden/>
          </w:rPr>
          <w:fldChar w:fldCharType="begin"/>
        </w:r>
        <w:r w:rsidR="009B6A90">
          <w:rPr>
            <w:noProof/>
            <w:webHidden/>
          </w:rPr>
          <w:instrText xml:space="preserve"> PAGEREF _Toc532751580 \h </w:instrText>
        </w:r>
        <w:r w:rsidR="009B6A90">
          <w:rPr>
            <w:noProof/>
            <w:webHidden/>
          </w:rPr>
        </w:r>
        <w:r w:rsidR="009B6A90">
          <w:rPr>
            <w:noProof/>
            <w:webHidden/>
          </w:rPr>
          <w:fldChar w:fldCharType="separate"/>
        </w:r>
        <w:r w:rsidR="00F65D54">
          <w:rPr>
            <w:noProof/>
            <w:webHidden/>
          </w:rPr>
          <w:t>29</w:t>
        </w:r>
        <w:r w:rsidR="009B6A90">
          <w:rPr>
            <w:noProof/>
            <w:webHidden/>
          </w:rPr>
          <w:fldChar w:fldCharType="end"/>
        </w:r>
      </w:hyperlink>
    </w:p>
    <w:p w14:paraId="6EA3BBB8" w14:textId="035259E4" w:rsidR="009B6A90" w:rsidRDefault="00B030DD">
      <w:pPr>
        <w:pStyle w:val="TOC3"/>
        <w:rPr>
          <w:rFonts w:asciiTheme="minorHAnsi" w:eastAsiaTheme="minorEastAsia" w:hAnsiTheme="minorHAnsi" w:cstheme="minorBidi"/>
          <w:noProof/>
          <w:szCs w:val="22"/>
          <w:lang w:eastAsia="en-GB"/>
        </w:rPr>
      </w:pPr>
      <w:hyperlink w:anchor="_Toc532751581" w:history="1">
        <w:r w:rsidR="009B6A90" w:rsidRPr="00461C65">
          <w:rPr>
            <w:rStyle w:val="Hyperlink"/>
            <w:noProof/>
          </w:rPr>
          <w:t>3.1.1</w:t>
        </w:r>
        <w:r w:rsidR="009B6A90">
          <w:rPr>
            <w:rFonts w:asciiTheme="minorHAnsi" w:eastAsiaTheme="minorEastAsia" w:hAnsiTheme="minorHAnsi" w:cstheme="minorBidi"/>
            <w:noProof/>
            <w:szCs w:val="22"/>
            <w:lang w:eastAsia="en-GB"/>
          </w:rPr>
          <w:tab/>
        </w:r>
        <w:r w:rsidR="009B6A90" w:rsidRPr="00461C65">
          <w:rPr>
            <w:rStyle w:val="Hyperlink"/>
            <w:noProof/>
          </w:rPr>
          <w:t>TPG</w:t>
        </w:r>
        <w:r w:rsidR="009B6A90">
          <w:rPr>
            <w:noProof/>
            <w:webHidden/>
          </w:rPr>
          <w:tab/>
        </w:r>
        <w:r w:rsidR="009B6A90">
          <w:rPr>
            <w:noProof/>
            <w:webHidden/>
          </w:rPr>
          <w:fldChar w:fldCharType="begin"/>
        </w:r>
        <w:r w:rsidR="009B6A90">
          <w:rPr>
            <w:noProof/>
            <w:webHidden/>
          </w:rPr>
          <w:instrText xml:space="preserve"> PAGEREF _Toc532751581 \h </w:instrText>
        </w:r>
        <w:r w:rsidR="009B6A90">
          <w:rPr>
            <w:noProof/>
            <w:webHidden/>
          </w:rPr>
        </w:r>
        <w:r w:rsidR="009B6A90">
          <w:rPr>
            <w:noProof/>
            <w:webHidden/>
          </w:rPr>
          <w:fldChar w:fldCharType="separate"/>
        </w:r>
        <w:r w:rsidR="00F65D54">
          <w:rPr>
            <w:noProof/>
            <w:webHidden/>
          </w:rPr>
          <w:t>29</w:t>
        </w:r>
        <w:r w:rsidR="009B6A90">
          <w:rPr>
            <w:noProof/>
            <w:webHidden/>
          </w:rPr>
          <w:fldChar w:fldCharType="end"/>
        </w:r>
      </w:hyperlink>
    </w:p>
    <w:p w14:paraId="1A656919" w14:textId="3CC98A65" w:rsidR="009B6A90" w:rsidRDefault="00B030DD">
      <w:pPr>
        <w:pStyle w:val="TOC3"/>
        <w:rPr>
          <w:rFonts w:asciiTheme="minorHAnsi" w:eastAsiaTheme="minorEastAsia" w:hAnsiTheme="minorHAnsi" w:cstheme="minorBidi"/>
          <w:noProof/>
          <w:szCs w:val="22"/>
          <w:lang w:eastAsia="en-GB"/>
        </w:rPr>
      </w:pPr>
      <w:hyperlink w:anchor="_Toc532751582" w:history="1">
        <w:r w:rsidR="009B6A90" w:rsidRPr="00461C65">
          <w:rPr>
            <w:rStyle w:val="Hyperlink"/>
            <w:noProof/>
          </w:rPr>
          <w:t>3.1.2</w:t>
        </w:r>
        <w:r w:rsidR="009B6A90">
          <w:rPr>
            <w:rFonts w:asciiTheme="minorHAnsi" w:eastAsiaTheme="minorEastAsia" w:hAnsiTheme="minorHAnsi" w:cstheme="minorBidi"/>
            <w:noProof/>
            <w:szCs w:val="22"/>
            <w:lang w:eastAsia="en-GB"/>
          </w:rPr>
          <w:tab/>
        </w:r>
        <w:r w:rsidR="009B6A90" w:rsidRPr="00461C65">
          <w:rPr>
            <w:rStyle w:val="Hyperlink"/>
            <w:noProof/>
          </w:rPr>
          <w:t>STG</w:t>
        </w:r>
        <w:r w:rsidR="009B6A90">
          <w:rPr>
            <w:noProof/>
            <w:webHidden/>
          </w:rPr>
          <w:tab/>
        </w:r>
        <w:r w:rsidR="009B6A90">
          <w:rPr>
            <w:noProof/>
            <w:webHidden/>
          </w:rPr>
          <w:fldChar w:fldCharType="begin"/>
        </w:r>
        <w:r w:rsidR="009B6A90">
          <w:rPr>
            <w:noProof/>
            <w:webHidden/>
          </w:rPr>
          <w:instrText xml:space="preserve"> PAGEREF _Toc532751582 \h </w:instrText>
        </w:r>
        <w:r w:rsidR="009B6A90">
          <w:rPr>
            <w:noProof/>
            <w:webHidden/>
          </w:rPr>
        </w:r>
        <w:r w:rsidR="009B6A90">
          <w:rPr>
            <w:noProof/>
            <w:webHidden/>
          </w:rPr>
          <w:fldChar w:fldCharType="separate"/>
        </w:r>
        <w:r w:rsidR="00F65D54">
          <w:rPr>
            <w:noProof/>
            <w:webHidden/>
          </w:rPr>
          <w:t>34</w:t>
        </w:r>
        <w:r w:rsidR="009B6A90">
          <w:rPr>
            <w:noProof/>
            <w:webHidden/>
          </w:rPr>
          <w:fldChar w:fldCharType="end"/>
        </w:r>
      </w:hyperlink>
    </w:p>
    <w:p w14:paraId="3F7DA33F" w14:textId="14DA9FBE" w:rsidR="009B6A90" w:rsidRDefault="00B030DD">
      <w:pPr>
        <w:pStyle w:val="TOC1"/>
        <w:rPr>
          <w:rFonts w:asciiTheme="minorHAnsi" w:eastAsiaTheme="minorEastAsia" w:hAnsiTheme="minorHAnsi" w:cstheme="minorBidi"/>
          <w:noProof/>
          <w:szCs w:val="22"/>
          <w:lang w:eastAsia="en-GB"/>
        </w:rPr>
      </w:pPr>
      <w:hyperlink w:anchor="_Toc532751583" w:history="1">
        <w:r w:rsidR="009B6A90" w:rsidRPr="00461C65">
          <w:rPr>
            <w:rStyle w:val="Hyperlink"/>
            <w:noProof/>
          </w:rPr>
          <w:t>4</w:t>
        </w:r>
        <w:r w:rsidR="009B6A90">
          <w:rPr>
            <w:rFonts w:asciiTheme="minorHAnsi" w:eastAsiaTheme="minorEastAsia" w:hAnsiTheme="minorHAnsi" w:cstheme="minorBidi"/>
            <w:noProof/>
            <w:szCs w:val="22"/>
            <w:lang w:eastAsia="en-GB"/>
          </w:rPr>
          <w:tab/>
        </w:r>
        <w:r w:rsidR="009B6A90" w:rsidRPr="00461C65">
          <w:rPr>
            <w:rStyle w:val="Hyperlink"/>
            <w:noProof/>
          </w:rPr>
          <w:t>Discussion</w:t>
        </w:r>
        <w:r w:rsidR="009B6A90">
          <w:rPr>
            <w:noProof/>
            <w:webHidden/>
          </w:rPr>
          <w:tab/>
        </w:r>
        <w:r w:rsidR="009B6A90">
          <w:rPr>
            <w:noProof/>
            <w:webHidden/>
          </w:rPr>
          <w:fldChar w:fldCharType="begin"/>
        </w:r>
        <w:r w:rsidR="009B6A90">
          <w:rPr>
            <w:noProof/>
            <w:webHidden/>
          </w:rPr>
          <w:instrText xml:space="preserve"> PAGEREF _Toc532751583 \h </w:instrText>
        </w:r>
        <w:r w:rsidR="009B6A90">
          <w:rPr>
            <w:noProof/>
            <w:webHidden/>
          </w:rPr>
        </w:r>
        <w:r w:rsidR="009B6A90">
          <w:rPr>
            <w:noProof/>
            <w:webHidden/>
          </w:rPr>
          <w:fldChar w:fldCharType="separate"/>
        </w:r>
        <w:r w:rsidR="00F65D54">
          <w:rPr>
            <w:noProof/>
            <w:webHidden/>
          </w:rPr>
          <w:t>37</w:t>
        </w:r>
        <w:r w:rsidR="009B6A90">
          <w:rPr>
            <w:noProof/>
            <w:webHidden/>
          </w:rPr>
          <w:fldChar w:fldCharType="end"/>
        </w:r>
      </w:hyperlink>
    </w:p>
    <w:p w14:paraId="51EC8672" w14:textId="7C36E3B9" w:rsidR="009B6A90" w:rsidRDefault="00B030DD">
      <w:pPr>
        <w:pStyle w:val="TOC2"/>
        <w:rPr>
          <w:rFonts w:asciiTheme="minorHAnsi" w:eastAsiaTheme="minorEastAsia" w:hAnsiTheme="minorHAnsi" w:cstheme="minorBidi"/>
          <w:noProof/>
          <w:szCs w:val="22"/>
          <w:lang w:eastAsia="en-GB"/>
        </w:rPr>
      </w:pPr>
      <w:hyperlink w:anchor="_Toc532751584" w:history="1">
        <w:r w:rsidR="009B6A90" w:rsidRPr="00461C65">
          <w:rPr>
            <w:rStyle w:val="Hyperlink"/>
            <w:noProof/>
          </w:rPr>
          <w:t>4.1</w:t>
        </w:r>
        <w:r w:rsidR="009B6A90">
          <w:rPr>
            <w:rFonts w:asciiTheme="minorHAnsi" w:eastAsiaTheme="minorEastAsia" w:hAnsiTheme="minorHAnsi" w:cstheme="minorBidi"/>
            <w:noProof/>
            <w:szCs w:val="22"/>
            <w:lang w:eastAsia="en-GB"/>
          </w:rPr>
          <w:tab/>
        </w:r>
        <w:r w:rsidR="009B6A90" w:rsidRPr="00461C65">
          <w:rPr>
            <w:rStyle w:val="Hyperlink"/>
            <w:noProof/>
          </w:rPr>
          <w:t>The conceptual framework</w:t>
        </w:r>
        <w:r w:rsidR="009B6A90">
          <w:rPr>
            <w:noProof/>
            <w:webHidden/>
          </w:rPr>
          <w:tab/>
        </w:r>
        <w:r w:rsidR="009B6A90">
          <w:rPr>
            <w:noProof/>
            <w:webHidden/>
          </w:rPr>
          <w:fldChar w:fldCharType="begin"/>
        </w:r>
        <w:r w:rsidR="009B6A90">
          <w:rPr>
            <w:noProof/>
            <w:webHidden/>
          </w:rPr>
          <w:instrText xml:space="preserve"> PAGEREF _Toc532751584 \h </w:instrText>
        </w:r>
        <w:r w:rsidR="009B6A90">
          <w:rPr>
            <w:noProof/>
            <w:webHidden/>
          </w:rPr>
        </w:r>
        <w:r w:rsidR="009B6A90">
          <w:rPr>
            <w:noProof/>
            <w:webHidden/>
          </w:rPr>
          <w:fldChar w:fldCharType="separate"/>
        </w:r>
        <w:r w:rsidR="00F65D54">
          <w:rPr>
            <w:noProof/>
            <w:webHidden/>
          </w:rPr>
          <w:t>37</w:t>
        </w:r>
        <w:r w:rsidR="009B6A90">
          <w:rPr>
            <w:noProof/>
            <w:webHidden/>
          </w:rPr>
          <w:fldChar w:fldCharType="end"/>
        </w:r>
      </w:hyperlink>
    </w:p>
    <w:p w14:paraId="79EEA617" w14:textId="6C8BCF38" w:rsidR="009B6A90" w:rsidRDefault="00B030DD">
      <w:pPr>
        <w:pStyle w:val="TOC3"/>
        <w:rPr>
          <w:rFonts w:asciiTheme="minorHAnsi" w:eastAsiaTheme="minorEastAsia" w:hAnsiTheme="minorHAnsi" w:cstheme="minorBidi"/>
          <w:noProof/>
          <w:szCs w:val="22"/>
          <w:lang w:eastAsia="en-GB"/>
        </w:rPr>
      </w:pPr>
      <w:hyperlink w:anchor="_Toc532751585" w:history="1">
        <w:r w:rsidR="009B6A90" w:rsidRPr="00461C65">
          <w:rPr>
            <w:rStyle w:val="Hyperlink"/>
            <w:noProof/>
          </w:rPr>
          <w:t>4.1.1</w:t>
        </w:r>
        <w:r w:rsidR="009B6A90">
          <w:rPr>
            <w:rFonts w:asciiTheme="minorHAnsi" w:eastAsiaTheme="minorEastAsia" w:hAnsiTheme="minorHAnsi" w:cstheme="minorBidi"/>
            <w:noProof/>
            <w:szCs w:val="22"/>
            <w:lang w:eastAsia="en-GB"/>
          </w:rPr>
          <w:tab/>
        </w:r>
        <w:r w:rsidR="009B6A90" w:rsidRPr="00461C65">
          <w:rPr>
            <w:rStyle w:val="Hyperlink"/>
            <w:noProof/>
          </w:rPr>
          <w:t>Adaptation possibility</w:t>
        </w:r>
        <w:r w:rsidR="009B6A90">
          <w:rPr>
            <w:noProof/>
            <w:webHidden/>
          </w:rPr>
          <w:tab/>
        </w:r>
        <w:r w:rsidR="009B6A90">
          <w:rPr>
            <w:noProof/>
            <w:webHidden/>
          </w:rPr>
          <w:fldChar w:fldCharType="begin"/>
        </w:r>
        <w:r w:rsidR="009B6A90">
          <w:rPr>
            <w:noProof/>
            <w:webHidden/>
          </w:rPr>
          <w:instrText xml:space="preserve"> PAGEREF _Toc532751585 \h </w:instrText>
        </w:r>
        <w:r w:rsidR="009B6A90">
          <w:rPr>
            <w:noProof/>
            <w:webHidden/>
          </w:rPr>
        </w:r>
        <w:r w:rsidR="009B6A90">
          <w:rPr>
            <w:noProof/>
            <w:webHidden/>
          </w:rPr>
          <w:fldChar w:fldCharType="separate"/>
        </w:r>
        <w:r w:rsidR="00F65D54">
          <w:rPr>
            <w:noProof/>
            <w:webHidden/>
          </w:rPr>
          <w:t>37</w:t>
        </w:r>
        <w:r w:rsidR="009B6A90">
          <w:rPr>
            <w:noProof/>
            <w:webHidden/>
          </w:rPr>
          <w:fldChar w:fldCharType="end"/>
        </w:r>
      </w:hyperlink>
    </w:p>
    <w:p w14:paraId="5366C906" w14:textId="7ED6A45E" w:rsidR="009B6A90" w:rsidRDefault="00B030DD">
      <w:pPr>
        <w:pStyle w:val="TOC3"/>
        <w:rPr>
          <w:rFonts w:asciiTheme="minorHAnsi" w:eastAsiaTheme="minorEastAsia" w:hAnsiTheme="minorHAnsi" w:cstheme="minorBidi"/>
          <w:noProof/>
          <w:szCs w:val="22"/>
          <w:lang w:eastAsia="en-GB"/>
        </w:rPr>
      </w:pPr>
      <w:hyperlink w:anchor="_Toc532751586" w:history="1">
        <w:r w:rsidR="009B6A90" w:rsidRPr="00461C65">
          <w:rPr>
            <w:rStyle w:val="Hyperlink"/>
            <w:noProof/>
          </w:rPr>
          <w:t>4.1.2</w:t>
        </w:r>
        <w:r w:rsidR="009B6A90">
          <w:rPr>
            <w:rFonts w:asciiTheme="minorHAnsi" w:eastAsiaTheme="minorEastAsia" w:hAnsiTheme="minorHAnsi" w:cstheme="minorBidi"/>
            <w:noProof/>
            <w:szCs w:val="22"/>
            <w:lang w:eastAsia="en-GB"/>
          </w:rPr>
          <w:tab/>
        </w:r>
        <w:r w:rsidR="009B6A90" w:rsidRPr="00461C65">
          <w:rPr>
            <w:rStyle w:val="Hyperlink"/>
            <w:noProof/>
          </w:rPr>
          <w:t>TPG and STG</w:t>
        </w:r>
        <w:r w:rsidR="009B6A90">
          <w:rPr>
            <w:noProof/>
            <w:webHidden/>
          </w:rPr>
          <w:tab/>
        </w:r>
        <w:r w:rsidR="009B6A90">
          <w:rPr>
            <w:noProof/>
            <w:webHidden/>
          </w:rPr>
          <w:fldChar w:fldCharType="begin"/>
        </w:r>
        <w:r w:rsidR="009B6A90">
          <w:rPr>
            <w:noProof/>
            <w:webHidden/>
          </w:rPr>
          <w:instrText xml:space="preserve"> PAGEREF _Toc532751586 \h </w:instrText>
        </w:r>
        <w:r w:rsidR="009B6A90">
          <w:rPr>
            <w:noProof/>
            <w:webHidden/>
          </w:rPr>
        </w:r>
        <w:r w:rsidR="009B6A90">
          <w:rPr>
            <w:noProof/>
            <w:webHidden/>
          </w:rPr>
          <w:fldChar w:fldCharType="separate"/>
        </w:r>
        <w:r w:rsidR="00F65D54">
          <w:rPr>
            <w:noProof/>
            <w:webHidden/>
          </w:rPr>
          <w:t>37</w:t>
        </w:r>
        <w:r w:rsidR="009B6A90">
          <w:rPr>
            <w:noProof/>
            <w:webHidden/>
          </w:rPr>
          <w:fldChar w:fldCharType="end"/>
        </w:r>
      </w:hyperlink>
    </w:p>
    <w:p w14:paraId="293AD102" w14:textId="627CB444" w:rsidR="009B6A90" w:rsidRDefault="00B030DD">
      <w:pPr>
        <w:pStyle w:val="TOC2"/>
        <w:rPr>
          <w:rFonts w:asciiTheme="minorHAnsi" w:eastAsiaTheme="minorEastAsia" w:hAnsiTheme="minorHAnsi" w:cstheme="minorBidi"/>
          <w:noProof/>
          <w:szCs w:val="22"/>
          <w:lang w:eastAsia="en-GB"/>
        </w:rPr>
      </w:pPr>
      <w:hyperlink w:anchor="_Toc532751587" w:history="1">
        <w:r w:rsidR="009B6A90" w:rsidRPr="00461C65">
          <w:rPr>
            <w:rStyle w:val="Hyperlink"/>
            <w:noProof/>
          </w:rPr>
          <w:t>4.2</w:t>
        </w:r>
        <w:r w:rsidR="009B6A90">
          <w:rPr>
            <w:rFonts w:asciiTheme="minorHAnsi" w:eastAsiaTheme="minorEastAsia" w:hAnsiTheme="minorHAnsi" w:cstheme="minorBidi"/>
            <w:noProof/>
            <w:szCs w:val="22"/>
            <w:lang w:eastAsia="en-GB"/>
          </w:rPr>
          <w:tab/>
        </w:r>
        <w:r w:rsidR="009B6A90" w:rsidRPr="00461C65">
          <w:rPr>
            <w:rStyle w:val="Hyperlink"/>
            <w:noProof/>
          </w:rPr>
          <w:t>Case study application</w:t>
        </w:r>
        <w:r w:rsidR="009B6A90">
          <w:rPr>
            <w:noProof/>
            <w:webHidden/>
          </w:rPr>
          <w:tab/>
        </w:r>
        <w:r w:rsidR="009B6A90">
          <w:rPr>
            <w:noProof/>
            <w:webHidden/>
          </w:rPr>
          <w:fldChar w:fldCharType="begin"/>
        </w:r>
        <w:r w:rsidR="009B6A90">
          <w:rPr>
            <w:noProof/>
            <w:webHidden/>
          </w:rPr>
          <w:instrText xml:space="preserve"> PAGEREF _Toc532751587 \h </w:instrText>
        </w:r>
        <w:r w:rsidR="009B6A90">
          <w:rPr>
            <w:noProof/>
            <w:webHidden/>
          </w:rPr>
        </w:r>
        <w:r w:rsidR="009B6A90">
          <w:rPr>
            <w:noProof/>
            <w:webHidden/>
          </w:rPr>
          <w:fldChar w:fldCharType="separate"/>
        </w:r>
        <w:r w:rsidR="00F65D54">
          <w:rPr>
            <w:noProof/>
            <w:webHidden/>
          </w:rPr>
          <w:t>38</w:t>
        </w:r>
        <w:r w:rsidR="009B6A90">
          <w:rPr>
            <w:noProof/>
            <w:webHidden/>
          </w:rPr>
          <w:fldChar w:fldCharType="end"/>
        </w:r>
      </w:hyperlink>
    </w:p>
    <w:p w14:paraId="50710DCC" w14:textId="11789D43" w:rsidR="009B6A90" w:rsidRDefault="00B030DD">
      <w:pPr>
        <w:pStyle w:val="TOC3"/>
        <w:rPr>
          <w:rFonts w:asciiTheme="minorHAnsi" w:eastAsiaTheme="minorEastAsia" w:hAnsiTheme="minorHAnsi" w:cstheme="minorBidi"/>
          <w:noProof/>
          <w:szCs w:val="22"/>
          <w:lang w:eastAsia="en-GB"/>
        </w:rPr>
      </w:pPr>
      <w:hyperlink w:anchor="_Toc532751588" w:history="1">
        <w:r w:rsidR="009B6A90" w:rsidRPr="00461C65">
          <w:rPr>
            <w:rStyle w:val="Hyperlink"/>
            <w:noProof/>
          </w:rPr>
          <w:t>4.2.1</w:t>
        </w:r>
        <w:r w:rsidR="009B6A90">
          <w:rPr>
            <w:rFonts w:asciiTheme="minorHAnsi" w:eastAsiaTheme="minorEastAsia" w:hAnsiTheme="minorHAnsi" w:cstheme="minorBidi"/>
            <w:noProof/>
            <w:szCs w:val="22"/>
            <w:lang w:eastAsia="en-GB"/>
          </w:rPr>
          <w:tab/>
        </w:r>
        <w:r w:rsidR="009B6A90" w:rsidRPr="00461C65">
          <w:rPr>
            <w:rStyle w:val="Hyperlink"/>
            <w:noProof/>
          </w:rPr>
          <w:t>Glare metrics</w:t>
        </w:r>
        <w:r w:rsidR="009B6A90">
          <w:rPr>
            <w:noProof/>
            <w:webHidden/>
          </w:rPr>
          <w:tab/>
        </w:r>
        <w:r w:rsidR="009B6A90">
          <w:rPr>
            <w:noProof/>
            <w:webHidden/>
          </w:rPr>
          <w:fldChar w:fldCharType="begin"/>
        </w:r>
        <w:r w:rsidR="009B6A90">
          <w:rPr>
            <w:noProof/>
            <w:webHidden/>
          </w:rPr>
          <w:instrText xml:space="preserve"> PAGEREF _Toc532751588 \h </w:instrText>
        </w:r>
        <w:r w:rsidR="009B6A90">
          <w:rPr>
            <w:noProof/>
            <w:webHidden/>
          </w:rPr>
        </w:r>
        <w:r w:rsidR="009B6A90">
          <w:rPr>
            <w:noProof/>
            <w:webHidden/>
          </w:rPr>
          <w:fldChar w:fldCharType="separate"/>
        </w:r>
        <w:r w:rsidR="00F65D54">
          <w:rPr>
            <w:noProof/>
            <w:webHidden/>
          </w:rPr>
          <w:t>38</w:t>
        </w:r>
        <w:r w:rsidR="009B6A90">
          <w:rPr>
            <w:noProof/>
            <w:webHidden/>
          </w:rPr>
          <w:fldChar w:fldCharType="end"/>
        </w:r>
      </w:hyperlink>
    </w:p>
    <w:p w14:paraId="1C2B1D4F" w14:textId="3AE7DCC7" w:rsidR="009B6A90" w:rsidRDefault="00B030DD">
      <w:pPr>
        <w:pStyle w:val="TOC3"/>
        <w:rPr>
          <w:rFonts w:asciiTheme="minorHAnsi" w:eastAsiaTheme="minorEastAsia" w:hAnsiTheme="minorHAnsi" w:cstheme="minorBidi"/>
          <w:noProof/>
          <w:szCs w:val="22"/>
          <w:lang w:eastAsia="en-GB"/>
        </w:rPr>
      </w:pPr>
      <w:hyperlink w:anchor="_Toc532751589" w:history="1">
        <w:r w:rsidR="009B6A90" w:rsidRPr="00461C65">
          <w:rPr>
            <w:rStyle w:val="Hyperlink"/>
            <w:noProof/>
          </w:rPr>
          <w:t>4.2.2</w:t>
        </w:r>
        <w:r w:rsidR="009B6A90">
          <w:rPr>
            <w:rFonts w:asciiTheme="minorHAnsi" w:eastAsiaTheme="minorEastAsia" w:hAnsiTheme="minorHAnsi" w:cstheme="minorBidi"/>
            <w:noProof/>
            <w:szCs w:val="22"/>
            <w:lang w:eastAsia="en-GB"/>
          </w:rPr>
          <w:tab/>
        </w:r>
        <w:r w:rsidR="009B6A90" w:rsidRPr="00461C65">
          <w:rPr>
            <w:rStyle w:val="Hyperlink"/>
            <w:noProof/>
          </w:rPr>
          <w:t>Shading systems</w:t>
        </w:r>
        <w:r w:rsidR="009B6A90">
          <w:rPr>
            <w:noProof/>
            <w:webHidden/>
          </w:rPr>
          <w:tab/>
        </w:r>
        <w:r w:rsidR="009B6A90">
          <w:rPr>
            <w:noProof/>
            <w:webHidden/>
          </w:rPr>
          <w:fldChar w:fldCharType="begin"/>
        </w:r>
        <w:r w:rsidR="009B6A90">
          <w:rPr>
            <w:noProof/>
            <w:webHidden/>
          </w:rPr>
          <w:instrText xml:space="preserve"> PAGEREF _Toc532751589 \h </w:instrText>
        </w:r>
        <w:r w:rsidR="009B6A90">
          <w:rPr>
            <w:noProof/>
            <w:webHidden/>
          </w:rPr>
        </w:r>
        <w:r w:rsidR="009B6A90">
          <w:rPr>
            <w:noProof/>
            <w:webHidden/>
          </w:rPr>
          <w:fldChar w:fldCharType="separate"/>
        </w:r>
        <w:r w:rsidR="00F65D54">
          <w:rPr>
            <w:noProof/>
            <w:webHidden/>
          </w:rPr>
          <w:t>38</w:t>
        </w:r>
        <w:r w:rsidR="009B6A90">
          <w:rPr>
            <w:noProof/>
            <w:webHidden/>
          </w:rPr>
          <w:fldChar w:fldCharType="end"/>
        </w:r>
      </w:hyperlink>
    </w:p>
    <w:p w14:paraId="3D101D24" w14:textId="5ECED653" w:rsidR="009B6A90" w:rsidRDefault="00B030DD">
      <w:pPr>
        <w:pStyle w:val="TOC1"/>
        <w:rPr>
          <w:rFonts w:asciiTheme="minorHAnsi" w:eastAsiaTheme="minorEastAsia" w:hAnsiTheme="minorHAnsi" w:cstheme="minorBidi"/>
          <w:noProof/>
          <w:szCs w:val="22"/>
          <w:lang w:eastAsia="en-GB"/>
        </w:rPr>
      </w:pPr>
      <w:hyperlink w:anchor="_Toc532751590" w:history="1">
        <w:r w:rsidR="009B6A90" w:rsidRPr="00461C65">
          <w:rPr>
            <w:rStyle w:val="Hyperlink"/>
            <w:noProof/>
          </w:rPr>
          <w:t>5</w:t>
        </w:r>
        <w:r w:rsidR="009B6A90">
          <w:rPr>
            <w:rFonts w:asciiTheme="minorHAnsi" w:eastAsiaTheme="minorEastAsia" w:hAnsiTheme="minorHAnsi" w:cstheme="minorBidi"/>
            <w:noProof/>
            <w:szCs w:val="22"/>
            <w:lang w:eastAsia="en-GB"/>
          </w:rPr>
          <w:tab/>
        </w:r>
        <w:r w:rsidR="009B6A90" w:rsidRPr="00461C65">
          <w:rPr>
            <w:rStyle w:val="Hyperlink"/>
            <w:noProof/>
          </w:rPr>
          <w:t>Conclusion</w:t>
        </w:r>
        <w:r w:rsidR="009B6A90">
          <w:rPr>
            <w:noProof/>
            <w:webHidden/>
          </w:rPr>
          <w:tab/>
        </w:r>
        <w:r w:rsidR="009B6A90">
          <w:rPr>
            <w:noProof/>
            <w:webHidden/>
          </w:rPr>
          <w:fldChar w:fldCharType="begin"/>
        </w:r>
        <w:r w:rsidR="009B6A90">
          <w:rPr>
            <w:noProof/>
            <w:webHidden/>
          </w:rPr>
          <w:instrText xml:space="preserve"> PAGEREF _Toc532751590 \h </w:instrText>
        </w:r>
        <w:r w:rsidR="009B6A90">
          <w:rPr>
            <w:noProof/>
            <w:webHidden/>
          </w:rPr>
        </w:r>
        <w:r w:rsidR="009B6A90">
          <w:rPr>
            <w:noProof/>
            <w:webHidden/>
          </w:rPr>
          <w:fldChar w:fldCharType="separate"/>
        </w:r>
        <w:r w:rsidR="00F65D54">
          <w:rPr>
            <w:noProof/>
            <w:webHidden/>
          </w:rPr>
          <w:t>39</w:t>
        </w:r>
        <w:r w:rsidR="009B6A90">
          <w:rPr>
            <w:noProof/>
            <w:webHidden/>
          </w:rPr>
          <w:fldChar w:fldCharType="end"/>
        </w:r>
      </w:hyperlink>
    </w:p>
    <w:p w14:paraId="2E3AC5D2" w14:textId="0787744E" w:rsidR="009B6A90" w:rsidRDefault="00B030DD">
      <w:pPr>
        <w:pStyle w:val="TOC1"/>
        <w:rPr>
          <w:rFonts w:asciiTheme="minorHAnsi" w:eastAsiaTheme="minorEastAsia" w:hAnsiTheme="minorHAnsi" w:cstheme="minorBidi"/>
          <w:noProof/>
          <w:szCs w:val="22"/>
          <w:lang w:eastAsia="en-GB"/>
        </w:rPr>
      </w:pPr>
      <w:hyperlink w:anchor="_Toc532751591" w:history="1">
        <w:r w:rsidR="009B6A90" w:rsidRPr="00461C65">
          <w:rPr>
            <w:rStyle w:val="Hyperlink"/>
            <w:noProof/>
          </w:rPr>
          <w:t>Summary</w:t>
        </w:r>
        <w:r w:rsidR="009B6A90">
          <w:rPr>
            <w:noProof/>
            <w:webHidden/>
          </w:rPr>
          <w:tab/>
        </w:r>
        <w:r w:rsidR="009B6A90">
          <w:rPr>
            <w:noProof/>
            <w:webHidden/>
          </w:rPr>
          <w:fldChar w:fldCharType="begin"/>
        </w:r>
        <w:r w:rsidR="009B6A90">
          <w:rPr>
            <w:noProof/>
            <w:webHidden/>
          </w:rPr>
          <w:instrText xml:space="preserve"> PAGEREF _Toc532751591 \h </w:instrText>
        </w:r>
        <w:r w:rsidR="009B6A90">
          <w:rPr>
            <w:noProof/>
            <w:webHidden/>
          </w:rPr>
        </w:r>
        <w:r w:rsidR="009B6A90">
          <w:rPr>
            <w:noProof/>
            <w:webHidden/>
          </w:rPr>
          <w:fldChar w:fldCharType="separate"/>
        </w:r>
        <w:r w:rsidR="00F65D54">
          <w:rPr>
            <w:noProof/>
            <w:webHidden/>
          </w:rPr>
          <w:t>40</w:t>
        </w:r>
        <w:r w:rsidR="009B6A90">
          <w:rPr>
            <w:noProof/>
            <w:webHidden/>
          </w:rPr>
          <w:fldChar w:fldCharType="end"/>
        </w:r>
      </w:hyperlink>
    </w:p>
    <w:p w14:paraId="1FC3D7AB" w14:textId="075C0C60" w:rsidR="009B6A90" w:rsidRDefault="00B030DD">
      <w:pPr>
        <w:pStyle w:val="TOC1"/>
        <w:rPr>
          <w:rFonts w:asciiTheme="minorHAnsi" w:eastAsiaTheme="minorEastAsia" w:hAnsiTheme="minorHAnsi" w:cstheme="minorBidi"/>
          <w:noProof/>
          <w:szCs w:val="22"/>
          <w:lang w:eastAsia="en-GB"/>
        </w:rPr>
      </w:pPr>
      <w:hyperlink w:anchor="_Toc532751592" w:history="1">
        <w:r w:rsidR="009B6A90" w:rsidRPr="00461C65">
          <w:rPr>
            <w:rStyle w:val="Hyperlink"/>
            <w:noProof/>
          </w:rPr>
          <w:t>Popular Science Summary</w:t>
        </w:r>
        <w:r w:rsidR="009B6A90">
          <w:rPr>
            <w:noProof/>
            <w:webHidden/>
          </w:rPr>
          <w:tab/>
        </w:r>
        <w:r w:rsidR="009B6A90">
          <w:rPr>
            <w:noProof/>
            <w:webHidden/>
          </w:rPr>
          <w:fldChar w:fldCharType="begin"/>
        </w:r>
        <w:r w:rsidR="009B6A90">
          <w:rPr>
            <w:noProof/>
            <w:webHidden/>
          </w:rPr>
          <w:instrText xml:space="preserve"> PAGEREF _Toc532751592 \h </w:instrText>
        </w:r>
        <w:r w:rsidR="009B6A90">
          <w:rPr>
            <w:noProof/>
            <w:webHidden/>
          </w:rPr>
        </w:r>
        <w:r w:rsidR="009B6A90">
          <w:rPr>
            <w:noProof/>
            <w:webHidden/>
          </w:rPr>
          <w:fldChar w:fldCharType="separate"/>
        </w:r>
        <w:r w:rsidR="00F65D54">
          <w:rPr>
            <w:noProof/>
            <w:webHidden/>
          </w:rPr>
          <w:t>42</w:t>
        </w:r>
        <w:r w:rsidR="009B6A90">
          <w:rPr>
            <w:noProof/>
            <w:webHidden/>
          </w:rPr>
          <w:fldChar w:fldCharType="end"/>
        </w:r>
      </w:hyperlink>
    </w:p>
    <w:p w14:paraId="37356E73" w14:textId="2BCF1BEB" w:rsidR="009B6A90" w:rsidRDefault="00B030DD">
      <w:pPr>
        <w:pStyle w:val="TOC1"/>
        <w:rPr>
          <w:rFonts w:asciiTheme="minorHAnsi" w:eastAsiaTheme="minorEastAsia" w:hAnsiTheme="minorHAnsi" w:cstheme="minorBidi"/>
          <w:noProof/>
          <w:szCs w:val="22"/>
          <w:lang w:eastAsia="en-GB"/>
        </w:rPr>
      </w:pPr>
      <w:hyperlink w:anchor="_Toc532751593" w:history="1">
        <w:r w:rsidR="009B6A90" w:rsidRPr="00461C65">
          <w:rPr>
            <w:rStyle w:val="Hyperlink"/>
            <w:noProof/>
          </w:rPr>
          <w:t>References</w:t>
        </w:r>
        <w:r w:rsidR="009B6A90">
          <w:rPr>
            <w:noProof/>
            <w:webHidden/>
          </w:rPr>
          <w:tab/>
        </w:r>
        <w:r w:rsidR="009B6A90">
          <w:rPr>
            <w:noProof/>
            <w:webHidden/>
          </w:rPr>
          <w:fldChar w:fldCharType="begin"/>
        </w:r>
        <w:r w:rsidR="009B6A90">
          <w:rPr>
            <w:noProof/>
            <w:webHidden/>
          </w:rPr>
          <w:instrText xml:space="preserve"> PAGEREF _Toc532751593 \h </w:instrText>
        </w:r>
        <w:r w:rsidR="009B6A90">
          <w:rPr>
            <w:noProof/>
            <w:webHidden/>
          </w:rPr>
        </w:r>
        <w:r w:rsidR="009B6A90">
          <w:rPr>
            <w:noProof/>
            <w:webHidden/>
          </w:rPr>
          <w:fldChar w:fldCharType="separate"/>
        </w:r>
        <w:r w:rsidR="00F65D54">
          <w:rPr>
            <w:noProof/>
            <w:webHidden/>
          </w:rPr>
          <w:t>43</w:t>
        </w:r>
        <w:r w:rsidR="009B6A90">
          <w:rPr>
            <w:noProof/>
            <w:webHidden/>
          </w:rPr>
          <w:fldChar w:fldCharType="end"/>
        </w:r>
      </w:hyperlink>
    </w:p>
    <w:p w14:paraId="17DAF584" w14:textId="0BED73B6" w:rsidR="009B6A90" w:rsidRDefault="00B030DD">
      <w:pPr>
        <w:pStyle w:val="TOC1"/>
        <w:rPr>
          <w:rFonts w:asciiTheme="minorHAnsi" w:eastAsiaTheme="minorEastAsia" w:hAnsiTheme="minorHAnsi" w:cstheme="minorBidi"/>
          <w:noProof/>
          <w:szCs w:val="22"/>
          <w:lang w:eastAsia="en-GB"/>
        </w:rPr>
      </w:pPr>
      <w:hyperlink w:anchor="_Toc532751594" w:history="1">
        <w:r w:rsidR="009B6A90" w:rsidRPr="00461C65">
          <w:rPr>
            <w:rStyle w:val="Hyperlink"/>
            <w:noProof/>
          </w:rPr>
          <w:t>APPENDIX A</w:t>
        </w:r>
        <w:r w:rsidR="009B6A90">
          <w:rPr>
            <w:noProof/>
            <w:webHidden/>
          </w:rPr>
          <w:tab/>
        </w:r>
        <w:r w:rsidR="009B6A90">
          <w:rPr>
            <w:noProof/>
            <w:webHidden/>
          </w:rPr>
          <w:fldChar w:fldCharType="begin"/>
        </w:r>
        <w:r w:rsidR="009B6A90">
          <w:rPr>
            <w:noProof/>
            <w:webHidden/>
          </w:rPr>
          <w:instrText xml:space="preserve"> PAGEREF _Toc532751594 \h </w:instrText>
        </w:r>
        <w:r w:rsidR="009B6A90">
          <w:rPr>
            <w:noProof/>
            <w:webHidden/>
          </w:rPr>
        </w:r>
        <w:r w:rsidR="009B6A90">
          <w:rPr>
            <w:noProof/>
            <w:webHidden/>
          </w:rPr>
          <w:fldChar w:fldCharType="separate"/>
        </w:r>
        <w:r w:rsidR="00F65D54">
          <w:rPr>
            <w:noProof/>
            <w:webHidden/>
          </w:rPr>
          <w:t>48</w:t>
        </w:r>
        <w:r w:rsidR="009B6A90">
          <w:rPr>
            <w:noProof/>
            <w:webHidden/>
          </w:rPr>
          <w:fldChar w:fldCharType="end"/>
        </w:r>
      </w:hyperlink>
    </w:p>
    <w:p w14:paraId="46098439" w14:textId="613D0A25" w:rsidR="009B6A90" w:rsidRDefault="00B030DD">
      <w:pPr>
        <w:pStyle w:val="TOC2"/>
        <w:rPr>
          <w:rFonts w:asciiTheme="minorHAnsi" w:eastAsiaTheme="minorEastAsia" w:hAnsiTheme="minorHAnsi" w:cstheme="minorBidi"/>
          <w:noProof/>
          <w:szCs w:val="22"/>
          <w:lang w:eastAsia="en-GB"/>
        </w:rPr>
      </w:pPr>
      <w:hyperlink w:anchor="_Toc532751595" w:history="1">
        <w:r w:rsidR="009B6A90" w:rsidRPr="00461C65">
          <w:rPr>
            <w:rStyle w:val="Hyperlink"/>
            <w:noProof/>
          </w:rPr>
          <w:t>A.1 Glare Metrics</w:t>
        </w:r>
        <w:r w:rsidR="009B6A90">
          <w:rPr>
            <w:noProof/>
            <w:webHidden/>
          </w:rPr>
          <w:tab/>
        </w:r>
        <w:r w:rsidR="009B6A90">
          <w:rPr>
            <w:noProof/>
            <w:webHidden/>
          </w:rPr>
          <w:fldChar w:fldCharType="begin"/>
        </w:r>
        <w:r w:rsidR="009B6A90">
          <w:rPr>
            <w:noProof/>
            <w:webHidden/>
          </w:rPr>
          <w:instrText xml:space="preserve"> PAGEREF _Toc532751595 \h </w:instrText>
        </w:r>
        <w:r w:rsidR="009B6A90">
          <w:rPr>
            <w:noProof/>
            <w:webHidden/>
          </w:rPr>
        </w:r>
        <w:r w:rsidR="009B6A90">
          <w:rPr>
            <w:noProof/>
            <w:webHidden/>
          </w:rPr>
          <w:fldChar w:fldCharType="separate"/>
        </w:r>
        <w:r w:rsidR="00F65D54">
          <w:rPr>
            <w:noProof/>
            <w:webHidden/>
          </w:rPr>
          <w:t>48</w:t>
        </w:r>
        <w:r w:rsidR="009B6A90">
          <w:rPr>
            <w:noProof/>
            <w:webHidden/>
          </w:rPr>
          <w:fldChar w:fldCharType="end"/>
        </w:r>
      </w:hyperlink>
    </w:p>
    <w:p w14:paraId="76224C2E" w14:textId="0F5775B0" w:rsidR="009B6A90" w:rsidRDefault="00B030DD">
      <w:pPr>
        <w:pStyle w:val="TOC2"/>
        <w:rPr>
          <w:rFonts w:asciiTheme="minorHAnsi" w:eastAsiaTheme="minorEastAsia" w:hAnsiTheme="minorHAnsi" w:cstheme="minorBidi"/>
          <w:noProof/>
          <w:szCs w:val="22"/>
          <w:lang w:eastAsia="en-GB"/>
        </w:rPr>
      </w:pPr>
      <w:hyperlink w:anchor="_Toc532751596" w:history="1">
        <w:r w:rsidR="009B6A90" w:rsidRPr="00461C65">
          <w:rPr>
            <w:rStyle w:val="Hyperlink"/>
            <w:noProof/>
          </w:rPr>
          <w:t>A.2 Input Parameters</w:t>
        </w:r>
        <w:r w:rsidR="009B6A90">
          <w:rPr>
            <w:noProof/>
            <w:webHidden/>
          </w:rPr>
          <w:tab/>
        </w:r>
        <w:r w:rsidR="009B6A90">
          <w:rPr>
            <w:noProof/>
            <w:webHidden/>
          </w:rPr>
          <w:fldChar w:fldCharType="begin"/>
        </w:r>
        <w:r w:rsidR="009B6A90">
          <w:rPr>
            <w:noProof/>
            <w:webHidden/>
          </w:rPr>
          <w:instrText xml:space="preserve"> PAGEREF _Toc532751596 \h </w:instrText>
        </w:r>
        <w:r w:rsidR="009B6A90">
          <w:rPr>
            <w:noProof/>
            <w:webHidden/>
          </w:rPr>
        </w:r>
        <w:r w:rsidR="009B6A90">
          <w:rPr>
            <w:noProof/>
            <w:webHidden/>
          </w:rPr>
          <w:fldChar w:fldCharType="separate"/>
        </w:r>
        <w:r w:rsidR="00F65D54">
          <w:rPr>
            <w:noProof/>
            <w:webHidden/>
          </w:rPr>
          <w:t>50</w:t>
        </w:r>
        <w:r w:rsidR="009B6A90">
          <w:rPr>
            <w:noProof/>
            <w:webHidden/>
          </w:rPr>
          <w:fldChar w:fldCharType="end"/>
        </w:r>
      </w:hyperlink>
    </w:p>
    <w:p w14:paraId="1CD179DF" w14:textId="2E296CCD" w:rsidR="009B6A90" w:rsidRDefault="00B030DD">
      <w:pPr>
        <w:pStyle w:val="TOC1"/>
        <w:rPr>
          <w:rFonts w:asciiTheme="minorHAnsi" w:eastAsiaTheme="minorEastAsia" w:hAnsiTheme="minorHAnsi" w:cstheme="minorBidi"/>
          <w:noProof/>
          <w:szCs w:val="22"/>
          <w:lang w:eastAsia="en-GB"/>
        </w:rPr>
      </w:pPr>
      <w:hyperlink w:anchor="_Toc532751597" w:history="1">
        <w:r w:rsidR="009B6A90" w:rsidRPr="00461C65">
          <w:rPr>
            <w:rStyle w:val="Hyperlink"/>
            <w:noProof/>
          </w:rPr>
          <w:t>APPENDIX B</w:t>
        </w:r>
        <w:r w:rsidR="009B6A90">
          <w:rPr>
            <w:noProof/>
            <w:webHidden/>
          </w:rPr>
          <w:tab/>
        </w:r>
        <w:r w:rsidR="009B6A90">
          <w:rPr>
            <w:noProof/>
            <w:webHidden/>
          </w:rPr>
          <w:fldChar w:fldCharType="begin"/>
        </w:r>
        <w:r w:rsidR="009B6A90">
          <w:rPr>
            <w:noProof/>
            <w:webHidden/>
          </w:rPr>
          <w:instrText xml:space="preserve"> PAGEREF _Toc532751597 \h </w:instrText>
        </w:r>
        <w:r w:rsidR="009B6A90">
          <w:rPr>
            <w:noProof/>
            <w:webHidden/>
          </w:rPr>
        </w:r>
        <w:r w:rsidR="009B6A90">
          <w:rPr>
            <w:noProof/>
            <w:webHidden/>
          </w:rPr>
          <w:fldChar w:fldCharType="separate"/>
        </w:r>
        <w:r w:rsidR="00F65D54">
          <w:rPr>
            <w:noProof/>
            <w:webHidden/>
          </w:rPr>
          <w:t>51</w:t>
        </w:r>
        <w:r w:rsidR="009B6A90">
          <w:rPr>
            <w:noProof/>
            <w:webHidden/>
          </w:rPr>
          <w:fldChar w:fldCharType="end"/>
        </w:r>
      </w:hyperlink>
    </w:p>
    <w:p w14:paraId="2B3D2EEA" w14:textId="562E8383" w:rsidR="009B6A90" w:rsidRDefault="00B030DD">
      <w:pPr>
        <w:pStyle w:val="TOC2"/>
        <w:rPr>
          <w:rFonts w:asciiTheme="minorHAnsi" w:eastAsiaTheme="minorEastAsia" w:hAnsiTheme="minorHAnsi" w:cstheme="minorBidi"/>
          <w:noProof/>
          <w:szCs w:val="22"/>
          <w:lang w:eastAsia="en-GB"/>
        </w:rPr>
      </w:pPr>
      <w:hyperlink w:anchor="_Toc532751598" w:history="1">
        <w:r w:rsidR="009B6A90" w:rsidRPr="00461C65">
          <w:rPr>
            <w:rStyle w:val="Hyperlink"/>
            <w:noProof/>
          </w:rPr>
          <w:t>B.1 Base case analysis</w:t>
        </w:r>
        <w:r w:rsidR="009B6A90">
          <w:rPr>
            <w:noProof/>
            <w:webHidden/>
          </w:rPr>
          <w:tab/>
        </w:r>
        <w:r w:rsidR="009B6A90">
          <w:rPr>
            <w:noProof/>
            <w:webHidden/>
          </w:rPr>
          <w:fldChar w:fldCharType="begin"/>
        </w:r>
        <w:r w:rsidR="009B6A90">
          <w:rPr>
            <w:noProof/>
            <w:webHidden/>
          </w:rPr>
          <w:instrText xml:space="preserve"> PAGEREF _Toc532751598 \h </w:instrText>
        </w:r>
        <w:r w:rsidR="009B6A90">
          <w:rPr>
            <w:noProof/>
            <w:webHidden/>
          </w:rPr>
        </w:r>
        <w:r w:rsidR="009B6A90">
          <w:rPr>
            <w:noProof/>
            <w:webHidden/>
          </w:rPr>
          <w:fldChar w:fldCharType="separate"/>
        </w:r>
        <w:r w:rsidR="00F65D54">
          <w:rPr>
            <w:noProof/>
            <w:webHidden/>
          </w:rPr>
          <w:t>51</w:t>
        </w:r>
        <w:r w:rsidR="009B6A90">
          <w:rPr>
            <w:noProof/>
            <w:webHidden/>
          </w:rPr>
          <w:fldChar w:fldCharType="end"/>
        </w:r>
      </w:hyperlink>
    </w:p>
    <w:p w14:paraId="653D84BF" w14:textId="099832E8" w:rsidR="009B6A90" w:rsidRDefault="00B030DD">
      <w:pPr>
        <w:pStyle w:val="TOC2"/>
        <w:rPr>
          <w:rFonts w:asciiTheme="minorHAnsi" w:eastAsiaTheme="minorEastAsia" w:hAnsiTheme="minorHAnsi" w:cstheme="minorBidi"/>
          <w:noProof/>
          <w:szCs w:val="22"/>
          <w:lang w:eastAsia="en-GB"/>
        </w:rPr>
      </w:pPr>
      <w:hyperlink w:anchor="_Toc532751599" w:history="1">
        <w:r w:rsidR="009B6A90" w:rsidRPr="00461C65">
          <w:rPr>
            <w:rStyle w:val="Hyperlink"/>
            <w:noProof/>
          </w:rPr>
          <w:t>B.2 Shading Systems</w:t>
        </w:r>
        <w:r w:rsidR="009B6A90">
          <w:rPr>
            <w:noProof/>
            <w:webHidden/>
          </w:rPr>
          <w:tab/>
        </w:r>
        <w:r w:rsidR="009B6A90">
          <w:rPr>
            <w:noProof/>
            <w:webHidden/>
          </w:rPr>
          <w:fldChar w:fldCharType="begin"/>
        </w:r>
        <w:r w:rsidR="009B6A90">
          <w:rPr>
            <w:noProof/>
            <w:webHidden/>
          </w:rPr>
          <w:instrText xml:space="preserve"> PAGEREF _Toc532751599 \h </w:instrText>
        </w:r>
        <w:r w:rsidR="009B6A90">
          <w:rPr>
            <w:noProof/>
            <w:webHidden/>
          </w:rPr>
        </w:r>
        <w:r w:rsidR="009B6A90">
          <w:rPr>
            <w:noProof/>
            <w:webHidden/>
          </w:rPr>
          <w:fldChar w:fldCharType="separate"/>
        </w:r>
        <w:r w:rsidR="00F65D54">
          <w:rPr>
            <w:noProof/>
            <w:webHidden/>
          </w:rPr>
          <w:t>53</w:t>
        </w:r>
        <w:r w:rsidR="009B6A90">
          <w:rPr>
            <w:noProof/>
            <w:webHidden/>
          </w:rPr>
          <w:fldChar w:fldCharType="end"/>
        </w:r>
      </w:hyperlink>
    </w:p>
    <w:p w14:paraId="5ADF23E5" w14:textId="482CBA4A" w:rsidR="008C63D2" w:rsidRDefault="002B7D6E" w:rsidP="008C63D2">
      <w:pPr>
        <w:pStyle w:val="Normal-Byfy"/>
        <w:jc w:val="both"/>
        <w:rPr>
          <w:szCs w:val="24"/>
        </w:rPr>
      </w:pPr>
      <w:r w:rsidRPr="00AA3D0C">
        <w:rPr>
          <w:szCs w:val="24"/>
        </w:rPr>
        <w:fldChar w:fldCharType="end"/>
      </w:r>
    </w:p>
    <w:p w14:paraId="001AEE3F" w14:textId="32F39306" w:rsidR="008C63D2" w:rsidRDefault="008C63D2" w:rsidP="008C63D2">
      <w:pPr>
        <w:pStyle w:val="Normal-Byfy"/>
        <w:jc w:val="both"/>
        <w:rPr>
          <w:szCs w:val="24"/>
        </w:rPr>
      </w:pPr>
    </w:p>
    <w:p w14:paraId="455C25F8" w14:textId="529A457C" w:rsidR="008C63D2" w:rsidRDefault="008C63D2" w:rsidP="008C63D2">
      <w:pPr>
        <w:pStyle w:val="Normal-Byfy"/>
        <w:jc w:val="both"/>
        <w:rPr>
          <w:szCs w:val="24"/>
        </w:rPr>
      </w:pPr>
    </w:p>
    <w:p w14:paraId="036898D7" w14:textId="75182567" w:rsidR="008C63D2" w:rsidRDefault="008C63D2" w:rsidP="008C63D2">
      <w:pPr>
        <w:pStyle w:val="Normal-Byfy"/>
        <w:jc w:val="both"/>
        <w:rPr>
          <w:szCs w:val="24"/>
        </w:rPr>
      </w:pPr>
    </w:p>
    <w:p w14:paraId="3A5FE617" w14:textId="3DD95449" w:rsidR="008C63D2" w:rsidRDefault="008C63D2" w:rsidP="008C63D2">
      <w:pPr>
        <w:pStyle w:val="Normal-Byfy"/>
        <w:jc w:val="both"/>
        <w:rPr>
          <w:szCs w:val="24"/>
        </w:rPr>
      </w:pPr>
    </w:p>
    <w:p w14:paraId="55834B36" w14:textId="1EC434F8" w:rsidR="008C63D2" w:rsidRDefault="008C63D2" w:rsidP="008C63D2">
      <w:pPr>
        <w:pStyle w:val="Normal-Byfy"/>
        <w:jc w:val="both"/>
        <w:rPr>
          <w:szCs w:val="24"/>
        </w:rPr>
      </w:pPr>
    </w:p>
    <w:p w14:paraId="6830C35E" w14:textId="05CF781E" w:rsidR="008C63D2" w:rsidRDefault="008C63D2" w:rsidP="008C63D2">
      <w:pPr>
        <w:pStyle w:val="Normal-Byfy"/>
        <w:jc w:val="both"/>
        <w:rPr>
          <w:szCs w:val="24"/>
        </w:rPr>
      </w:pPr>
    </w:p>
    <w:p w14:paraId="033FC49C" w14:textId="40664081" w:rsidR="008C63D2" w:rsidRDefault="008C63D2" w:rsidP="008C63D2">
      <w:pPr>
        <w:pStyle w:val="Normal-Byfy"/>
        <w:jc w:val="both"/>
        <w:rPr>
          <w:szCs w:val="24"/>
        </w:rPr>
      </w:pPr>
    </w:p>
    <w:p w14:paraId="2DC578AC" w14:textId="11BB661E" w:rsidR="008C63D2" w:rsidRDefault="008C63D2" w:rsidP="008C63D2">
      <w:pPr>
        <w:pStyle w:val="Normal-Byfy"/>
        <w:jc w:val="both"/>
        <w:rPr>
          <w:szCs w:val="24"/>
        </w:rPr>
      </w:pPr>
    </w:p>
    <w:p w14:paraId="5D4936B5" w14:textId="6D70A66F" w:rsidR="008C63D2" w:rsidRDefault="008C63D2" w:rsidP="008C63D2">
      <w:pPr>
        <w:pStyle w:val="Normal-Byfy"/>
        <w:jc w:val="both"/>
        <w:rPr>
          <w:szCs w:val="24"/>
        </w:rPr>
      </w:pPr>
    </w:p>
    <w:p w14:paraId="15ADEBCF" w14:textId="629AA099" w:rsidR="008C63D2" w:rsidRDefault="008C63D2" w:rsidP="008C63D2">
      <w:pPr>
        <w:pStyle w:val="Normal-Byfy"/>
        <w:jc w:val="both"/>
        <w:rPr>
          <w:szCs w:val="24"/>
        </w:rPr>
      </w:pPr>
    </w:p>
    <w:p w14:paraId="610FF6A1" w14:textId="40AFA68C" w:rsidR="008C63D2" w:rsidRDefault="008C63D2" w:rsidP="008C63D2">
      <w:pPr>
        <w:pStyle w:val="Normal-Byfy"/>
        <w:jc w:val="both"/>
        <w:rPr>
          <w:szCs w:val="24"/>
        </w:rPr>
      </w:pPr>
    </w:p>
    <w:p w14:paraId="2D9516F0" w14:textId="6127221B" w:rsidR="008C63D2" w:rsidRDefault="008C63D2" w:rsidP="008C63D2">
      <w:pPr>
        <w:pStyle w:val="Normal-Byfy"/>
        <w:jc w:val="both"/>
        <w:rPr>
          <w:szCs w:val="24"/>
        </w:rPr>
      </w:pPr>
    </w:p>
    <w:p w14:paraId="355456E0" w14:textId="38F14DB6" w:rsidR="008C63D2" w:rsidRDefault="008C63D2" w:rsidP="008C63D2">
      <w:pPr>
        <w:pStyle w:val="Normal-Byfy"/>
        <w:jc w:val="both"/>
        <w:rPr>
          <w:szCs w:val="24"/>
        </w:rPr>
      </w:pPr>
    </w:p>
    <w:p w14:paraId="1C3F028E" w14:textId="132C9F23" w:rsidR="008C63D2" w:rsidRDefault="008C63D2" w:rsidP="008C63D2">
      <w:pPr>
        <w:pStyle w:val="Normal-Byfy"/>
        <w:jc w:val="both"/>
        <w:rPr>
          <w:szCs w:val="24"/>
        </w:rPr>
      </w:pPr>
    </w:p>
    <w:p w14:paraId="31E1AE73" w14:textId="2099A583" w:rsidR="008C63D2" w:rsidRDefault="008C63D2" w:rsidP="008C63D2">
      <w:pPr>
        <w:pStyle w:val="Normal-Byfy"/>
        <w:jc w:val="both"/>
        <w:rPr>
          <w:szCs w:val="24"/>
        </w:rPr>
      </w:pPr>
    </w:p>
    <w:p w14:paraId="416F666F" w14:textId="4E2CCB63" w:rsidR="008C63D2" w:rsidRDefault="008C63D2" w:rsidP="008C63D2">
      <w:pPr>
        <w:pStyle w:val="Normal-Byfy"/>
        <w:jc w:val="both"/>
        <w:rPr>
          <w:szCs w:val="24"/>
        </w:rPr>
      </w:pPr>
    </w:p>
    <w:p w14:paraId="27836FC8" w14:textId="61822CC8" w:rsidR="008C63D2" w:rsidRDefault="008C63D2" w:rsidP="008C63D2">
      <w:pPr>
        <w:pStyle w:val="Normal-Byfy"/>
        <w:jc w:val="both"/>
        <w:rPr>
          <w:szCs w:val="24"/>
        </w:rPr>
      </w:pPr>
    </w:p>
    <w:p w14:paraId="59FCEE7D" w14:textId="6F2034BF" w:rsidR="008C63D2" w:rsidRDefault="008C63D2" w:rsidP="008C63D2">
      <w:pPr>
        <w:pStyle w:val="Normal-Byfy"/>
        <w:jc w:val="both"/>
        <w:rPr>
          <w:szCs w:val="24"/>
        </w:rPr>
      </w:pPr>
    </w:p>
    <w:p w14:paraId="41946ED6" w14:textId="2F76B0AA" w:rsidR="008C63D2" w:rsidRDefault="008C63D2" w:rsidP="008C63D2">
      <w:pPr>
        <w:pStyle w:val="Normal-Byfy"/>
        <w:jc w:val="both"/>
        <w:rPr>
          <w:szCs w:val="24"/>
        </w:rPr>
      </w:pPr>
    </w:p>
    <w:p w14:paraId="77644937" w14:textId="3F0D3DA4" w:rsidR="008C63D2" w:rsidRDefault="008C63D2" w:rsidP="008C63D2">
      <w:pPr>
        <w:pStyle w:val="Normal-Byfy"/>
        <w:jc w:val="both"/>
        <w:rPr>
          <w:szCs w:val="24"/>
        </w:rPr>
      </w:pPr>
    </w:p>
    <w:p w14:paraId="7A028601" w14:textId="77777777" w:rsidR="008C63D2" w:rsidRDefault="008C63D2" w:rsidP="008C63D2">
      <w:pPr>
        <w:pStyle w:val="Normal-Byfy"/>
        <w:jc w:val="both"/>
        <w:rPr>
          <w:szCs w:val="24"/>
        </w:rPr>
      </w:pPr>
    </w:p>
    <w:p w14:paraId="74404AB1" w14:textId="77777777" w:rsidR="008C63D2" w:rsidRDefault="008C63D2" w:rsidP="008C63D2">
      <w:pPr>
        <w:pStyle w:val="Normal-Byfy"/>
        <w:jc w:val="both"/>
        <w:rPr>
          <w:szCs w:val="24"/>
        </w:rPr>
      </w:pPr>
    </w:p>
    <w:p w14:paraId="21A647AB" w14:textId="65CF4035" w:rsidR="00514A6D" w:rsidRPr="00020D19" w:rsidRDefault="00020D19" w:rsidP="00020D19">
      <w:pPr>
        <w:pStyle w:val="Rubrik1-Byfy"/>
        <w:numPr>
          <w:ilvl w:val="0"/>
          <w:numId w:val="0"/>
        </w:numPr>
        <w:ind w:left="431" w:hanging="431"/>
        <w:rPr>
          <w:rFonts w:cs="Times New Roman"/>
        </w:rPr>
      </w:pPr>
      <w:bookmarkStart w:id="6" w:name="_Toc532751556"/>
      <w:r>
        <w:rPr>
          <w:szCs w:val="24"/>
        </w:rPr>
        <w:lastRenderedPageBreak/>
        <w:t>S</w:t>
      </w:r>
      <w:r>
        <w:rPr>
          <w:rFonts w:cs="Times New Roman"/>
        </w:rPr>
        <w:t>ymbols</w:t>
      </w:r>
      <w:bookmarkEnd w:id="6"/>
    </w:p>
    <w:p w14:paraId="4FC7E057" w14:textId="77777777" w:rsidR="002B7D6E" w:rsidRPr="00AA3D0C" w:rsidRDefault="002B7D6E" w:rsidP="002B7D6E">
      <w:pPr>
        <w:pStyle w:val="Normal-Byfy"/>
        <w:jc w:val="both"/>
      </w:pPr>
      <w:r w:rsidRPr="00AA3D0C">
        <w:t>G: generic glare index [-]</w:t>
      </w:r>
    </w:p>
    <w:p w14:paraId="41F63FDA" w14:textId="77777777" w:rsidR="002B7D6E" w:rsidRPr="00AA3D0C" w:rsidRDefault="002B7D6E" w:rsidP="002B7D6E">
      <w:pPr>
        <w:pStyle w:val="Normal-Byfy"/>
        <w:jc w:val="both"/>
      </w:pPr>
      <w:r w:rsidRPr="00AA3D0C">
        <w:t>L</w:t>
      </w:r>
      <w:r w:rsidRPr="00AA3D0C">
        <w:rPr>
          <w:vertAlign w:val="subscript"/>
        </w:rPr>
        <w:t>s</w:t>
      </w:r>
      <w:r w:rsidRPr="00AA3D0C">
        <w:t>: luminance of glare source [cd/m</w:t>
      </w:r>
      <w:r w:rsidRPr="00C10976">
        <w:rPr>
          <w:vertAlign w:val="superscript"/>
        </w:rPr>
        <w:t>2</w:t>
      </w:r>
      <w:r w:rsidRPr="00AA3D0C">
        <w:t>]</w:t>
      </w:r>
    </w:p>
    <w:p w14:paraId="1EFC5B4D" w14:textId="77777777" w:rsidR="002B7D6E" w:rsidRPr="00AA3D0C" w:rsidRDefault="002B7D6E" w:rsidP="002B7D6E">
      <w:pPr>
        <w:pStyle w:val="Normal-Byfy"/>
        <w:jc w:val="both"/>
      </w:pPr>
      <w:r w:rsidRPr="00AA3D0C">
        <w:t>L</w:t>
      </w:r>
      <w:r w:rsidRPr="00AA3D0C">
        <w:rPr>
          <w:vertAlign w:val="subscript"/>
        </w:rPr>
        <w:t>b</w:t>
      </w:r>
      <w:r w:rsidRPr="00AA3D0C">
        <w:t>: background luminance [cd/m</w:t>
      </w:r>
      <w:r w:rsidRPr="00C10976">
        <w:rPr>
          <w:vertAlign w:val="superscript"/>
        </w:rPr>
        <w:t>2</w:t>
      </w:r>
      <w:r w:rsidRPr="00AA3D0C">
        <w:t>]</w:t>
      </w:r>
    </w:p>
    <w:p w14:paraId="524748ED" w14:textId="77777777" w:rsidR="002B7D6E" w:rsidRPr="00B8793F" w:rsidRDefault="002B7D6E" w:rsidP="002B7D6E">
      <w:pPr>
        <w:pStyle w:val="Normal-Byfy"/>
        <w:jc w:val="both"/>
      </w:pPr>
      <w:proofErr w:type="spellStart"/>
      <w:r w:rsidRPr="00B8793F">
        <w:t>ω</w:t>
      </w:r>
      <w:r w:rsidRPr="00B8793F">
        <w:rPr>
          <w:vertAlign w:val="subscript"/>
        </w:rPr>
        <w:t>s</w:t>
      </w:r>
      <w:proofErr w:type="spellEnd"/>
      <w:r w:rsidRPr="00B8793F">
        <w:t>: the solid angle subtended by the glare source [</w:t>
      </w:r>
      <w:r w:rsidR="00C10976" w:rsidRPr="00B8793F">
        <w:t>steradians</w:t>
      </w:r>
      <w:r w:rsidRPr="00B8793F">
        <w:t>]</w:t>
      </w:r>
    </w:p>
    <w:p w14:paraId="13C58F88" w14:textId="77777777" w:rsidR="002B7D6E" w:rsidRPr="00B8793F" w:rsidRDefault="002B7D6E" w:rsidP="002B7D6E">
      <w:pPr>
        <w:pStyle w:val="Normal-Byfy"/>
        <w:jc w:val="both"/>
      </w:pPr>
      <w:proofErr w:type="spellStart"/>
      <w:r w:rsidRPr="00B8793F">
        <w:t>Ω</w:t>
      </w:r>
      <w:r w:rsidRPr="00B8793F">
        <w:rPr>
          <w:vertAlign w:val="subscript"/>
        </w:rPr>
        <w:t>s</w:t>
      </w:r>
      <w:proofErr w:type="spellEnd"/>
      <w:r w:rsidRPr="00B8793F">
        <w:t>: the solid angle altered to include the effect of the observer’s position related to the source [</w:t>
      </w:r>
      <w:r w:rsidR="00C10976" w:rsidRPr="00B8793F">
        <w:t>steradians</w:t>
      </w:r>
      <w:r w:rsidRPr="00B8793F">
        <w:t>]</w:t>
      </w:r>
    </w:p>
    <w:p w14:paraId="1D20094F" w14:textId="77777777" w:rsidR="002B7D6E" w:rsidRPr="00B8793F" w:rsidRDefault="002B7D6E" w:rsidP="002B7D6E">
      <w:pPr>
        <w:pStyle w:val="Normal-Byfy"/>
        <w:jc w:val="both"/>
      </w:pPr>
      <w:proofErr w:type="spellStart"/>
      <w:r w:rsidRPr="00B8793F">
        <w:t>E</w:t>
      </w:r>
      <w:r w:rsidRPr="00B8793F">
        <w:rPr>
          <w:vertAlign w:val="subscript"/>
        </w:rPr>
        <w:t>v</w:t>
      </w:r>
      <w:proofErr w:type="spellEnd"/>
      <w:r w:rsidRPr="00B8793F">
        <w:t>: vertical illuminance at the eye [lx]</w:t>
      </w:r>
    </w:p>
    <w:p w14:paraId="7111D850" w14:textId="77777777" w:rsidR="002B7D6E" w:rsidRPr="00AA3D0C" w:rsidRDefault="002B7D6E" w:rsidP="002B7D6E">
      <w:pPr>
        <w:pStyle w:val="Normal-Byfy"/>
        <w:jc w:val="both"/>
      </w:pPr>
      <w:r w:rsidRPr="00AA3D0C">
        <w:t>E</w:t>
      </w:r>
      <w:r w:rsidRPr="00AA3D0C">
        <w:rPr>
          <w:vertAlign w:val="subscript"/>
        </w:rPr>
        <w:t>d</w:t>
      </w:r>
      <w:r w:rsidRPr="00AA3D0C">
        <w:t>: direct vertical illuminance at the eye [lx]</w:t>
      </w:r>
    </w:p>
    <w:p w14:paraId="54A4733E" w14:textId="77777777" w:rsidR="002B7D6E" w:rsidRPr="00AA3D0C" w:rsidRDefault="002B7D6E" w:rsidP="002B7D6E">
      <w:pPr>
        <w:pStyle w:val="Normal-Byfy"/>
        <w:jc w:val="both"/>
      </w:pPr>
      <w:r w:rsidRPr="00AA3D0C">
        <w:t>P: position index [-]</w:t>
      </w:r>
    </w:p>
    <w:p w14:paraId="43E5E6DE" w14:textId="77777777" w:rsidR="002B7D6E" w:rsidRPr="00AA3D0C" w:rsidRDefault="002B7D6E" w:rsidP="002B7D6E">
      <w:pPr>
        <w:pStyle w:val="Normal-Byfy"/>
        <w:jc w:val="both"/>
      </w:pPr>
      <w:r w:rsidRPr="00AA3D0C">
        <w:t>φ: weighting value for directional gaze [-]</w:t>
      </w:r>
    </w:p>
    <w:p w14:paraId="65D6A837" w14:textId="77777777" w:rsidR="002B7D6E" w:rsidRPr="00AA3D0C" w:rsidRDefault="002B7D6E" w:rsidP="002B7D6E">
      <w:pPr>
        <w:pStyle w:val="Normal-Byfy"/>
        <w:jc w:val="both"/>
      </w:pPr>
      <w:r w:rsidRPr="00AA3D0C">
        <w:t>t: percentage of time duration without imperceptible glare [%]</w:t>
      </w:r>
    </w:p>
    <w:p w14:paraId="77003073" w14:textId="77777777" w:rsidR="002B7D6E" w:rsidRDefault="002B7D6E" w:rsidP="002B7D6E">
      <w:pPr>
        <w:pStyle w:val="Normal-Byfy"/>
        <w:jc w:val="both"/>
      </w:pPr>
      <w:proofErr w:type="spellStart"/>
      <w:r w:rsidRPr="00AA3D0C">
        <w:t>ω</w:t>
      </w:r>
      <w:r w:rsidRPr="00AA3D0C">
        <w:rPr>
          <w:vertAlign w:val="subscript"/>
        </w:rPr>
        <w:t>tot</w:t>
      </w:r>
      <w:proofErr w:type="spellEnd"/>
      <w:r w:rsidRPr="00AA3D0C">
        <w:t xml:space="preserve">: total studied </w:t>
      </w:r>
      <w:proofErr w:type="gramStart"/>
      <w:r w:rsidRPr="00AA3D0C">
        <w:t>period of time</w:t>
      </w:r>
      <w:proofErr w:type="gramEnd"/>
      <w:r w:rsidRPr="00AA3D0C">
        <w:t xml:space="preserve"> [h]</w:t>
      </w:r>
    </w:p>
    <w:p w14:paraId="5D4FB040" w14:textId="77777777" w:rsidR="002B7D6E" w:rsidRPr="00AA3D0C" w:rsidRDefault="002B7D6E" w:rsidP="002B7D6E">
      <w:pPr>
        <w:pStyle w:val="Rubrik1-Byfy"/>
        <w:numPr>
          <w:ilvl w:val="0"/>
          <w:numId w:val="0"/>
        </w:numPr>
        <w:ind w:left="431" w:hanging="431"/>
        <w:rPr>
          <w:rFonts w:cs="Times New Roman"/>
        </w:rPr>
      </w:pPr>
      <w:bookmarkStart w:id="7" w:name="_Toc532751557"/>
      <w:r w:rsidRPr="00AA3D0C">
        <w:rPr>
          <w:rFonts w:cs="Times New Roman"/>
        </w:rPr>
        <w:t>Abbreviations</w:t>
      </w:r>
      <w:bookmarkEnd w:id="7"/>
    </w:p>
    <w:p w14:paraId="5529667C" w14:textId="77777777" w:rsidR="002B7D6E" w:rsidRPr="00AA3D0C" w:rsidRDefault="002B7D6E" w:rsidP="002B7D6E">
      <w:pPr>
        <w:pStyle w:val="Normal-Byfy"/>
        <w:jc w:val="both"/>
      </w:pPr>
      <w:r w:rsidRPr="00AA3D0C">
        <w:t>HDRI: High dynamic range imaging</w:t>
      </w:r>
    </w:p>
    <w:p w14:paraId="304D77B8" w14:textId="77777777" w:rsidR="002B7D6E" w:rsidRPr="00AA3D0C" w:rsidRDefault="002B7D6E" w:rsidP="002B7D6E">
      <w:pPr>
        <w:pStyle w:val="Normal-Byfy"/>
        <w:jc w:val="both"/>
      </w:pPr>
      <w:r w:rsidRPr="00AA3D0C">
        <w:t xml:space="preserve">BREEAM: </w:t>
      </w:r>
      <w:r w:rsidRPr="00AA3D0C">
        <w:rPr>
          <w:rStyle w:val="y0nh2b"/>
        </w:rPr>
        <w:t>Building Research Establishment Environmental Assessment Method</w:t>
      </w:r>
    </w:p>
    <w:p w14:paraId="26F68B10" w14:textId="77777777" w:rsidR="002B7D6E" w:rsidRPr="00AA3D0C" w:rsidRDefault="002B7D6E" w:rsidP="002B7D6E">
      <w:pPr>
        <w:pStyle w:val="Normal-Byfy"/>
        <w:jc w:val="both"/>
      </w:pPr>
      <w:proofErr w:type="spellStart"/>
      <w:r w:rsidRPr="00AA3D0C">
        <w:t>sDA</w:t>
      </w:r>
      <w:proofErr w:type="spellEnd"/>
      <w:r w:rsidRPr="00AA3D0C">
        <w:t>: Sp</w:t>
      </w:r>
      <w:r w:rsidR="00C10976">
        <w:t>at</w:t>
      </w:r>
      <w:r w:rsidRPr="00AA3D0C">
        <w:t>ial daylight autonomy</w:t>
      </w:r>
    </w:p>
    <w:p w14:paraId="5B41A7A6" w14:textId="77777777" w:rsidR="002B7D6E" w:rsidRPr="00AA3D0C" w:rsidRDefault="002B7D6E" w:rsidP="002B7D6E">
      <w:pPr>
        <w:pStyle w:val="Normal-Byfy"/>
        <w:jc w:val="both"/>
      </w:pPr>
      <w:r w:rsidRPr="00AA3D0C">
        <w:t>ASE</w:t>
      </w:r>
      <w:r w:rsidRPr="00AA3D0C">
        <w:rPr>
          <w:vertAlign w:val="subscript"/>
        </w:rPr>
        <w:t>1000,250</w:t>
      </w:r>
      <w:r w:rsidRPr="00AA3D0C">
        <w:t>: Annual sunlight exposure</w:t>
      </w:r>
    </w:p>
    <w:p w14:paraId="00C9660C" w14:textId="77777777" w:rsidR="002B7D6E" w:rsidRPr="00AA3D0C" w:rsidRDefault="002B7D6E" w:rsidP="002B7D6E">
      <w:pPr>
        <w:pStyle w:val="Normal-Byfy"/>
        <w:jc w:val="both"/>
      </w:pPr>
      <w:r w:rsidRPr="00AA3D0C">
        <w:t>OF: Openness factor</w:t>
      </w:r>
    </w:p>
    <w:p w14:paraId="495C8C90" w14:textId="77777777" w:rsidR="002B7D6E" w:rsidRPr="00AA3D0C" w:rsidRDefault="002B7D6E" w:rsidP="002B7D6E">
      <w:pPr>
        <w:pStyle w:val="Normal-Byfy"/>
        <w:jc w:val="both"/>
      </w:pPr>
      <w:proofErr w:type="spellStart"/>
      <w:r w:rsidRPr="00AA3D0C">
        <w:t>T</w:t>
      </w:r>
      <w:r w:rsidRPr="00AA3D0C">
        <w:rPr>
          <w:vertAlign w:val="subscript"/>
        </w:rPr>
        <w:t>vis</w:t>
      </w:r>
      <w:proofErr w:type="spellEnd"/>
      <w:r w:rsidRPr="00AA3D0C">
        <w:t>: Visual transmittance</w:t>
      </w:r>
    </w:p>
    <w:p w14:paraId="7E893E9C" w14:textId="77777777" w:rsidR="002B7D6E" w:rsidRPr="00AA3D0C" w:rsidRDefault="002B7D6E" w:rsidP="002B7D6E">
      <w:pPr>
        <w:pStyle w:val="Normal-Byfy"/>
        <w:jc w:val="both"/>
      </w:pPr>
      <w:proofErr w:type="spellStart"/>
      <w:r w:rsidRPr="00AA3D0C">
        <w:t>DGP</w:t>
      </w:r>
      <w:r w:rsidRPr="00AA3D0C">
        <w:rPr>
          <w:vertAlign w:val="subscript"/>
        </w:rPr>
        <w:t>t</w:t>
      </w:r>
      <w:proofErr w:type="spellEnd"/>
      <w:r w:rsidRPr="00AA3D0C">
        <w:t xml:space="preserve">: Threshold </w:t>
      </w:r>
      <w:r w:rsidR="00C10976">
        <w:t>DGP</w:t>
      </w:r>
      <w:r w:rsidRPr="00AA3D0C">
        <w:t xml:space="preserve"> for a critical glare situation</w:t>
      </w:r>
    </w:p>
    <w:p w14:paraId="7233EB38" w14:textId="6F296D0F" w:rsidR="002B7D6E" w:rsidRPr="00AA3D0C" w:rsidRDefault="002B7D6E" w:rsidP="002B7D6E">
      <w:pPr>
        <w:pStyle w:val="Normal-Byfy"/>
        <w:jc w:val="both"/>
      </w:pPr>
      <w:proofErr w:type="spellStart"/>
      <w:r w:rsidRPr="00AA3D0C">
        <w:t>G</w:t>
      </w:r>
      <w:r w:rsidRPr="00AA3D0C">
        <w:rPr>
          <w:vertAlign w:val="subscript"/>
        </w:rPr>
        <w:t>dir</w:t>
      </w:r>
      <w:proofErr w:type="spellEnd"/>
      <w:r w:rsidRPr="00AA3D0C">
        <w:t xml:space="preserve">: </w:t>
      </w:r>
      <w:r w:rsidR="0099291D">
        <w:t>d</w:t>
      </w:r>
      <w:r w:rsidRPr="00AA3D0C">
        <w:t xml:space="preserve">irectional </w:t>
      </w:r>
      <w:r w:rsidR="00D22D7F">
        <w:t>g</w:t>
      </w:r>
      <w:r w:rsidRPr="00AA3D0C">
        <w:t>lare</w:t>
      </w:r>
    </w:p>
    <w:p w14:paraId="4CD3A99F" w14:textId="62263A8E" w:rsidR="002B7D6E" w:rsidRPr="00AA3D0C" w:rsidRDefault="002B7D6E" w:rsidP="002B7D6E">
      <w:pPr>
        <w:pStyle w:val="Normal-Byfy"/>
        <w:jc w:val="both"/>
      </w:pPr>
      <w:r w:rsidRPr="00AA3D0C">
        <w:t xml:space="preserve">TPG: Total Point </w:t>
      </w:r>
      <w:r w:rsidR="00D22D7F">
        <w:t>g</w:t>
      </w:r>
      <w:r w:rsidRPr="00AA3D0C">
        <w:t>lare</w:t>
      </w:r>
    </w:p>
    <w:p w14:paraId="6F1F105A" w14:textId="18F92ED9" w:rsidR="002B7D6E" w:rsidRPr="00AA3D0C" w:rsidRDefault="002B7D6E" w:rsidP="002B7D6E">
      <w:pPr>
        <w:pStyle w:val="Normal-Byfy"/>
        <w:jc w:val="both"/>
      </w:pPr>
      <w:r w:rsidRPr="00AA3D0C">
        <w:t xml:space="preserve">STG: Space-Time </w:t>
      </w:r>
      <w:r w:rsidR="00D22D7F">
        <w:t>g</w:t>
      </w:r>
      <w:r w:rsidRPr="00AA3D0C">
        <w:t>lare</w:t>
      </w:r>
    </w:p>
    <w:p w14:paraId="15C33380" w14:textId="34F437BE" w:rsidR="002B7D6E" w:rsidRDefault="002B7D6E" w:rsidP="002B7D6E">
      <w:pPr>
        <w:pStyle w:val="Normal-Byfy"/>
        <w:jc w:val="both"/>
      </w:pPr>
      <w:r w:rsidRPr="00AA3D0C">
        <w:t>BSDF: Bidirectional scattering distribution function</w:t>
      </w:r>
    </w:p>
    <w:p w14:paraId="7C9B7111" w14:textId="77777777" w:rsidR="002B7D6E" w:rsidRPr="00AA3D0C" w:rsidRDefault="002B7D6E" w:rsidP="002B7D6E">
      <w:pPr>
        <w:pStyle w:val="Rubrik1-Byfy"/>
        <w:numPr>
          <w:ilvl w:val="0"/>
          <w:numId w:val="0"/>
        </w:numPr>
        <w:ind w:left="431" w:hanging="431"/>
        <w:rPr>
          <w:rFonts w:cs="Times New Roman"/>
        </w:rPr>
      </w:pPr>
      <w:bookmarkStart w:id="8" w:name="_Toc532751558"/>
      <w:r w:rsidRPr="00AA3D0C">
        <w:rPr>
          <w:rFonts w:cs="Times New Roman"/>
        </w:rPr>
        <w:lastRenderedPageBreak/>
        <w:t>Definitions</w:t>
      </w:r>
      <w:bookmarkEnd w:id="8"/>
    </w:p>
    <w:p w14:paraId="724D8286" w14:textId="77777777" w:rsidR="002B7D6E" w:rsidRPr="00AA3D0C" w:rsidRDefault="002B7D6E" w:rsidP="002B7D6E">
      <w:pPr>
        <w:pStyle w:val="Normal-Byfy"/>
        <w:jc w:val="both"/>
      </w:pPr>
      <w:r w:rsidRPr="00AA3D0C">
        <w:t>Non-uniform glare source: Glare source with non-uniform luminance distribution (i.e. window)</w:t>
      </w:r>
    </w:p>
    <w:p w14:paraId="22953782" w14:textId="77777777" w:rsidR="002B7D6E" w:rsidRPr="00AA3D0C" w:rsidRDefault="002B7D6E" w:rsidP="002B7D6E">
      <w:pPr>
        <w:pStyle w:val="Normal-Byfy"/>
        <w:jc w:val="both"/>
      </w:pPr>
      <w:r w:rsidRPr="00AA3D0C">
        <w:t>Uniform glare source: Glare source with uniform luminance distribution (i.e. artificial lighting)</w:t>
      </w:r>
    </w:p>
    <w:p w14:paraId="517F2E32" w14:textId="77777777" w:rsidR="002B7D6E" w:rsidRPr="00AA3D0C" w:rsidRDefault="002B7D6E" w:rsidP="002B7D6E">
      <w:pPr>
        <w:pStyle w:val="Normal-Byfy"/>
        <w:jc w:val="both"/>
      </w:pPr>
      <w:r w:rsidRPr="00AA3D0C">
        <w:t>Position Index: The position of the glare source in the field of view</w:t>
      </w:r>
    </w:p>
    <w:p w14:paraId="171C284E" w14:textId="77777777" w:rsidR="002B7D6E" w:rsidRPr="00AA3D0C" w:rsidRDefault="002B7D6E" w:rsidP="002B7D6E">
      <w:pPr>
        <w:pStyle w:val="Normal-Byfy"/>
        <w:jc w:val="both"/>
      </w:pPr>
      <w:r w:rsidRPr="00AA3D0C">
        <w:t xml:space="preserve">Vertical Illuminance: </w:t>
      </w:r>
      <w:r w:rsidRPr="007D45C0">
        <w:t xml:space="preserve">Illuminance measured </w:t>
      </w:r>
      <w:r w:rsidR="007D45C0">
        <w:t xml:space="preserve">at the eye level, specifically on </w:t>
      </w:r>
      <w:r w:rsidRPr="007D45C0">
        <w:t>a plane perpendicular to the line of sight</w:t>
      </w:r>
    </w:p>
    <w:p w14:paraId="2E4300A5" w14:textId="77777777" w:rsidR="002B7D6E" w:rsidRPr="00AA3D0C" w:rsidRDefault="002B7D6E" w:rsidP="002B7D6E">
      <w:pPr>
        <w:pStyle w:val="Normal-Byfy"/>
        <w:jc w:val="both"/>
      </w:pPr>
      <w:r w:rsidRPr="00AA3D0C">
        <w:t>Background luminance: The average luminance of the surrounding (background) with the luminance of the glare source being excluded.</w:t>
      </w:r>
    </w:p>
    <w:p w14:paraId="5B7C7848" w14:textId="77777777" w:rsidR="002B7D6E" w:rsidRPr="00AA3D0C" w:rsidRDefault="002B7D6E" w:rsidP="002B7D6E">
      <w:pPr>
        <w:pStyle w:val="Normal-Byfy"/>
        <w:jc w:val="both"/>
      </w:pPr>
    </w:p>
    <w:p w14:paraId="511F40CA" w14:textId="77777777" w:rsidR="002B7D6E" w:rsidRPr="00AA3D0C" w:rsidRDefault="002B7D6E" w:rsidP="002B7D6E">
      <w:pPr>
        <w:pStyle w:val="Normal-Byfy"/>
        <w:jc w:val="both"/>
      </w:pPr>
    </w:p>
    <w:p w14:paraId="37056F08" w14:textId="77777777" w:rsidR="002B7D6E" w:rsidRPr="00AA3D0C" w:rsidRDefault="002B7D6E" w:rsidP="002B7D6E">
      <w:pPr>
        <w:pStyle w:val="Normal-Byfy"/>
        <w:jc w:val="both"/>
      </w:pPr>
    </w:p>
    <w:p w14:paraId="66816417" w14:textId="77777777" w:rsidR="002B7D6E" w:rsidRPr="00AA3D0C" w:rsidRDefault="002B7D6E" w:rsidP="002B7D6E">
      <w:pPr>
        <w:pStyle w:val="Normal-Byfy"/>
        <w:jc w:val="both"/>
      </w:pPr>
    </w:p>
    <w:p w14:paraId="0CE9AC90" w14:textId="77777777" w:rsidR="002B7D6E" w:rsidRPr="00AA3D0C" w:rsidRDefault="002B7D6E" w:rsidP="002B7D6E">
      <w:pPr>
        <w:pStyle w:val="Normal-Byfy"/>
        <w:jc w:val="both"/>
      </w:pPr>
    </w:p>
    <w:p w14:paraId="7B8DBA7E" w14:textId="77777777" w:rsidR="002B7D6E" w:rsidRPr="00AA3D0C" w:rsidRDefault="002B7D6E" w:rsidP="002B7D6E">
      <w:pPr>
        <w:pStyle w:val="Normal-Byfy"/>
        <w:jc w:val="both"/>
      </w:pPr>
    </w:p>
    <w:p w14:paraId="07387E18" w14:textId="77777777" w:rsidR="002B7D6E" w:rsidRPr="00AA3D0C" w:rsidRDefault="002B7D6E" w:rsidP="002B7D6E">
      <w:pPr>
        <w:pStyle w:val="Normal-Byfy"/>
        <w:jc w:val="both"/>
      </w:pPr>
    </w:p>
    <w:p w14:paraId="16A88441" w14:textId="77777777" w:rsidR="00F41753" w:rsidRPr="00AA3D0C" w:rsidRDefault="00F41753" w:rsidP="002B7D6E">
      <w:pPr>
        <w:pStyle w:val="Normal-Byfy"/>
        <w:jc w:val="both"/>
      </w:pPr>
    </w:p>
    <w:p w14:paraId="37975FB1" w14:textId="77777777" w:rsidR="00F41753" w:rsidRPr="00AA3D0C" w:rsidRDefault="00F41753" w:rsidP="002B7D6E">
      <w:pPr>
        <w:pStyle w:val="Normal-Byfy"/>
        <w:jc w:val="both"/>
      </w:pPr>
    </w:p>
    <w:p w14:paraId="0AE5E290" w14:textId="77777777" w:rsidR="002B7D6E" w:rsidRPr="00AA3D0C" w:rsidRDefault="002B7D6E" w:rsidP="002B7D6E">
      <w:pPr>
        <w:pStyle w:val="Normal-Byfy"/>
        <w:jc w:val="both"/>
      </w:pPr>
    </w:p>
    <w:p w14:paraId="30315653" w14:textId="77777777" w:rsidR="002B7D6E" w:rsidRPr="00AA3D0C" w:rsidRDefault="002B7D6E" w:rsidP="002B7D6E">
      <w:pPr>
        <w:pStyle w:val="Normal-Byfy"/>
        <w:jc w:val="both"/>
      </w:pPr>
    </w:p>
    <w:p w14:paraId="6FC987D7" w14:textId="77777777" w:rsidR="002B7D6E" w:rsidRPr="00AA3D0C" w:rsidRDefault="002B7D6E" w:rsidP="002B7D6E">
      <w:pPr>
        <w:pStyle w:val="Normal-Byfy"/>
        <w:jc w:val="both"/>
      </w:pPr>
    </w:p>
    <w:p w14:paraId="216D2D35" w14:textId="77777777" w:rsidR="002B7D6E" w:rsidRPr="00AA3D0C" w:rsidRDefault="002B7D6E" w:rsidP="002B7D6E">
      <w:pPr>
        <w:pStyle w:val="Normal-Byfy"/>
        <w:jc w:val="both"/>
      </w:pPr>
    </w:p>
    <w:p w14:paraId="746C0585" w14:textId="77777777" w:rsidR="002B7D6E" w:rsidRPr="00AA3D0C" w:rsidRDefault="002B7D6E" w:rsidP="002B7D6E">
      <w:pPr>
        <w:pStyle w:val="Normal-Byfy"/>
        <w:jc w:val="both"/>
      </w:pPr>
    </w:p>
    <w:p w14:paraId="6F1CB327" w14:textId="77777777" w:rsidR="002B7D6E" w:rsidRPr="00AA3D0C" w:rsidRDefault="002B7D6E" w:rsidP="002B7D6E">
      <w:pPr>
        <w:pStyle w:val="Normal-Byfy"/>
        <w:jc w:val="both"/>
      </w:pPr>
    </w:p>
    <w:p w14:paraId="3B11D87A" w14:textId="77777777" w:rsidR="002B7D6E" w:rsidRPr="00AA3D0C" w:rsidRDefault="002B7D6E" w:rsidP="002B7D6E">
      <w:pPr>
        <w:pStyle w:val="Normal-Byfy"/>
        <w:jc w:val="both"/>
      </w:pPr>
    </w:p>
    <w:p w14:paraId="36AA9D28" w14:textId="77777777" w:rsidR="002B7D6E" w:rsidRPr="00AA3D0C" w:rsidRDefault="002B7D6E" w:rsidP="002B7D6E">
      <w:pPr>
        <w:pStyle w:val="Normal-Byfy"/>
        <w:jc w:val="both"/>
      </w:pPr>
    </w:p>
    <w:p w14:paraId="4A5BE365" w14:textId="77777777" w:rsidR="002B7D6E" w:rsidRPr="00AA3D0C" w:rsidRDefault="002B7D6E" w:rsidP="002B7D6E">
      <w:pPr>
        <w:pStyle w:val="Normal-Byfy"/>
        <w:jc w:val="both"/>
      </w:pPr>
    </w:p>
    <w:p w14:paraId="422F67B1" w14:textId="77777777" w:rsidR="002B7D6E" w:rsidRPr="00AA3D0C" w:rsidRDefault="002B7D6E" w:rsidP="002B7D6E">
      <w:pPr>
        <w:pStyle w:val="Normal-Byfy"/>
        <w:jc w:val="both"/>
      </w:pPr>
    </w:p>
    <w:p w14:paraId="2FA9CE83" w14:textId="77777777" w:rsidR="002B7D6E" w:rsidRPr="00AA3D0C" w:rsidRDefault="002B7D6E" w:rsidP="002B7D6E">
      <w:pPr>
        <w:pStyle w:val="Normal-Byfy"/>
        <w:jc w:val="both"/>
      </w:pPr>
    </w:p>
    <w:p w14:paraId="20644FEF" w14:textId="77777777" w:rsidR="002B7D6E" w:rsidRPr="00AA3D0C" w:rsidRDefault="002B7D6E" w:rsidP="002B7D6E">
      <w:pPr>
        <w:pStyle w:val="Normal-Byfy"/>
        <w:jc w:val="both"/>
      </w:pPr>
    </w:p>
    <w:p w14:paraId="435B3D38" w14:textId="77777777" w:rsidR="002B7D6E" w:rsidRPr="00AA3D0C" w:rsidRDefault="002B7D6E" w:rsidP="002B7D6E">
      <w:pPr>
        <w:pStyle w:val="Normal-Byfy"/>
        <w:jc w:val="both"/>
      </w:pPr>
    </w:p>
    <w:p w14:paraId="1E486C6E" w14:textId="77777777" w:rsidR="002B7D6E" w:rsidRPr="00AA3D0C" w:rsidRDefault="002B7D6E" w:rsidP="002B7D6E">
      <w:pPr>
        <w:pStyle w:val="Normal-Byfy"/>
        <w:jc w:val="both"/>
      </w:pPr>
    </w:p>
    <w:p w14:paraId="5B747EB1" w14:textId="77777777" w:rsidR="002B7D6E" w:rsidRPr="00AA3D0C" w:rsidRDefault="002B7D6E" w:rsidP="002B7D6E">
      <w:pPr>
        <w:pStyle w:val="Normal-Byfy"/>
        <w:jc w:val="both"/>
      </w:pPr>
    </w:p>
    <w:p w14:paraId="1F2D3820" w14:textId="77777777" w:rsidR="002B7D6E" w:rsidRPr="00AA3D0C" w:rsidRDefault="009105D5" w:rsidP="002B7D6E">
      <w:pPr>
        <w:pStyle w:val="Normal-Byfy"/>
        <w:jc w:val="both"/>
      </w:pPr>
      <w:r w:rsidRPr="00AA3D0C">
        <w:rPr>
          <w:noProof/>
          <w:lang w:eastAsia="en-GB"/>
        </w:rPr>
        <mc:AlternateContent>
          <mc:Choice Requires="wps">
            <w:drawing>
              <wp:anchor distT="45720" distB="45720" distL="114300" distR="114300" simplePos="0" relativeHeight="251582976" behindDoc="0" locked="0" layoutInCell="1" allowOverlap="1" wp14:anchorId="1A7101D6" wp14:editId="251AEDF4">
                <wp:simplePos x="0" y="0"/>
                <wp:positionH relativeFrom="column">
                  <wp:posOffset>3034665</wp:posOffset>
                </wp:positionH>
                <wp:positionV relativeFrom="paragraph">
                  <wp:posOffset>530561</wp:posOffset>
                </wp:positionV>
                <wp:extent cx="2073910" cy="1038860"/>
                <wp:effectExtent l="0" t="0" r="0" b="0"/>
                <wp:wrapTopAndBottom/>
                <wp:docPr id="1320"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73910" cy="103886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00A8DBB1" w14:textId="77777777" w:rsidR="00D22D7F" w:rsidRDefault="00D22D7F" w:rsidP="002B7D6E">
                            <w:pPr>
                              <w:pStyle w:val="Normal-Byfy"/>
                              <w:jc w:val="right"/>
                              <w:rPr>
                                <w:i/>
                                <w:lang w:val="en-US"/>
                              </w:rPr>
                            </w:pPr>
                            <w:r w:rsidRPr="00FD1F00">
                              <w:rPr>
                                <w:i/>
                                <w:lang w:val="en-US"/>
                              </w:rPr>
                              <w:t>“Don’t ask me about this building or that one, don’t look at what I do, see what I see.”</w:t>
                            </w:r>
                          </w:p>
                          <w:p w14:paraId="6900D79C" w14:textId="77777777" w:rsidR="00D22D7F" w:rsidRPr="00FD1F00" w:rsidRDefault="00D22D7F" w:rsidP="002B7D6E">
                            <w:pPr>
                              <w:pStyle w:val="Normal-Byfy"/>
                              <w:jc w:val="right"/>
                              <w:rPr>
                                <w:lang w:val="en-US"/>
                              </w:rPr>
                            </w:pPr>
                            <w:r w:rsidRPr="00FD1F00">
                              <w:rPr>
                                <w:lang w:val="en-US"/>
                              </w:rPr>
                              <w:t>-</w:t>
                            </w:r>
                            <w:r>
                              <w:rPr>
                                <w:lang w:val="en-US"/>
                              </w:rPr>
                              <w:t xml:space="preserve"> Luis Barragan</w:t>
                            </w:r>
                          </w:p>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w:pict>
              <v:shape w14:anchorId="1A7101D6" id="_x0000_s1027" type="#_x0000_t202" style="position:absolute;left:0;text-align:left;margin-left:238.95pt;margin-top:41.8pt;width:163.3pt;height:81.8pt;z-index:251582976;visibility:visible;mso-wrap-style:square;mso-width-percent:400;mso-height-percent:200;mso-wrap-distance-left:9pt;mso-wrap-distance-top:3.6pt;mso-wrap-distance-right:9pt;mso-wrap-distance-bottom:3.6pt;mso-position-horizontal:absolute;mso-position-horizontal-relative:text;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" filled="f" stroked="f">
                <v:textbox style="mso-fit-shape-to-text:t">
                  <w:txbxContent>
                    <w:p w14:paraId="00A8DBB1" w14:textId="77777777" w:rsidR="00D22D7F" w:rsidRDefault="00D22D7F" w:rsidP="002B7D6E">
                      <w:pPr>
                        <w:pStyle w:val="Normal-Byfy"/>
                        <w:jc w:val="right"/>
                        <w:rPr>
                          <w:i/>
                          <w:lang w:val="en-US"/>
                        </w:rPr>
                      </w:pPr>
                      <w:r w:rsidRPr="00FD1F00">
                        <w:rPr>
                          <w:i/>
                          <w:lang w:val="en-US"/>
                        </w:rPr>
                        <w:t>“Don’t ask me about this building or that one, don’t look at what I do, see what I see.”</w:t>
                      </w:r>
                    </w:p>
                    <w:p w14:paraId="6900D79C" w14:textId="77777777" w:rsidR="00D22D7F" w:rsidRPr="00FD1F00" w:rsidRDefault="00D22D7F" w:rsidP="002B7D6E">
                      <w:pPr>
                        <w:pStyle w:val="Normal-Byfy"/>
                        <w:jc w:val="right"/>
                        <w:rPr>
                          <w:lang w:val="en-US"/>
                        </w:rPr>
                      </w:pPr>
                      <w:r w:rsidRPr="00FD1F00">
                        <w:rPr>
                          <w:lang w:val="en-US"/>
                        </w:rPr>
                        <w:t>-</w:t>
                      </w:r>
                      <w:r>
                        <w:rPr>
                          <w:lang w:val="en-US"/>
                        </w:rPr>
                        <w:t xml:space="preserve"> Luis Barragan</w:t>
                      </w:r>
                    </w:p>
                  </w:txbxContent>
                </v:textbox>
                <w10:wrap type="topAndBottom"/>
              </v:shape>
            </w:pict>
          </mc:Fallback>
        </mc:AlternateContent>
      </w:r>
    </w:p>
    <w:p w14:paraId="24CEE5B7" w14:textId="77777777" w:rsidR="009105D5" w:rsidRPr="00AA3D0C" w:rsidRDefault="009105D5" w:rsidP="002B7D6E">
      <w:pPr>
        <w:pStyle w:val="Normal-Byfy"/>
        <w:jc w:val="both"/>
      </w:pPr>
    </w:p>
    <w:p w14:paraId="304F58E6" w14:textId="77777777" w:rsidR="009105D5" w:rsidRPr="00AA3D0C" w:rsidRDefault="009105D5" w:rsidP="002B7D6E">
      <w:pPr>
        <w:pStyle w:val="Normal-Byfy"/>
        <w:jc w:val="both"/>
      </w:pPr>
    </w:p>
    <w:p w14:paraId="6F124AF7" w14:textId="77777777" w:rsidR="009105D5" w:rsidRPr="00AA3D0C" w:rsidRDefault="009105D5" w:rsidP="002B7D6E">
      <w:pPr>
        <w:pStyle w:val="Normal-Byfy"/>
        <w:jc w:val="both"/>
      </w:pPr>
    </w:p>
    <w:p w14:paraId="2BD2D6A6" w14:textId="77777777" w:rsidR="002B7D6E" w:rsidRPr="00AA3D0C" w:rsidRDefault="002B7D6E" w:rsidP="002B7D6E">
      <w:pPr>
        <w:pStyle w:val="Normal-Byfy"/>
        <w:jc w:val="both"/>
      </w:pPr>
    </w:p>
    <w:p w14:paraId="52816DF4" w14:textId="77777777" w:rsidR="002B7D6E" w:rsidRPr="00AA3D0C" w:rsidRDefault="002B7D6E" w:rsidP="002B7D6E">
      <w:pPr>
        <w:pStyle w:val="Normal-Byfy"/>
        <w:jc w:val="both"/>
      </w:pPr>
    </w:p>
    <w:p w14:paraId="4A6406B4" w14:textId="77777777" w:rsidR="002B7D6E" w:rsidRPr="00AA3D0C" w:rsidRDefault="002B7D6E" w:rsidP="002B7D6E">
      <w:pPr>
        <w:pStyle w:val="Normal-Byfy"/>
        <w:jc w:val="both"/>
      </w:pPr>
    </w:p>
    <w:p w14:paraId="7A61F1CB" w14:textId="77777777" w:rsidR="002B7D6E" w:rsidRPr="00AA3D0C" w:rsidRDefault="002B7D6E" w:rsidP="002B7D6E">
      <w:pPr>
        <w:pStyle w:val="Normal-Byfy"/>
        <w:jc w:val="both"/>
      </w:pPr>
    </w:p>
    <w:p w14:paraId="1A85E0C0" w14:textId="77777777" w:rsidR="002B7D6E" w:rsidRPr="00AA3D0C" w:rsidRDefault="002B7D6E" w:rsidP="002B7D6E">
      <w:pPr>
        <w:pStyle w:val="Normal-Byfy"/>
        <w:jc w:val="both"/>
      </w:pPr>
    </w:p>
    <w:p w14:paraId="1D0BDDB9" w14:textId="77777777" w:rsidR="009105D5" w:rsidRPr="00AA3D0C" w:rsidRDefault="009105D5" w:rsidP="002B7D6E">
      <w:pPr>
        <w:pStyle w:val="Normal-Byfy"/>
        <w:jc w:val="both"/>
      </w:pPr>
    </w:p>
    <w:p w14:paraId="6B45CFFB" w14:textId="77777777" w:rsidR="002B7D6E" w:rsidRPr="00AA3D0C" w:rsidRDefault="002B7D6E" w:rsidP="002B7D6E">
      <w:pPr>
        <w:pStyle w:val="Normal-Byfy"/>
        <w:jc w:val="both"/>
      </w:pPr>
    </w:p>
    <w:p w14:paraId="7048BEDA" w14:textId="77777777" w:rsidR="002B7D6E" w:rsidRPr="00AA3D0C" w:rsidRDefault="002B7D6E" w:rsidP="002B7D6E">
      <w:pPr>
        <w:pStyle w:val="Normal-Byfy"/>
        <w:jc w:val="both"/>
      </w:pPr>
    </w:p>
    <w:p w14:paraId="31CE95FA" w14:textId="77777777" w:rsidR="002B7D6E" w:rsidRPr="00AA3D0C" w:rsidRDefault="002B7D6E" w:rsidP="002B7D6E">
      <w:pPr>
        <w:pStyle w:val="Rubrik1-Byfy"/>
        <w:rPr>
          <w:rFonts w:cs="Times New Roman"/>
        </w:rPr>
      </w:pPr>
      <w:bookmarkStart w:id="9" w:name="_Toc532751559"/>
      <w:r w:rsidRPr="00AA3D0C">
        <w:rPr>
          <w:rFonts w:cs="Times New Roman"/>
        </w:rPr>
        <w:lastRenderedPageBreak/>
        <w:t>Introduction</w:t>
      </w:r>
      <w:bookmarkEnd w:id="9"/>
    </w:p>
    <w:p w14:paraId="5D5C5722" w14:textId="77777777" w:rsidR="002B7D6E" w:rsidRPr="00AA3D0C" w:rsidRDefault="002B7D6E" w:rsidP="002B7D6E">
      <w:pPr>
        <w:pStyle w:val="Rubrik2-Byfy"/>
        <w:rPr>
          <w:rFonts w:cs="Times New Roman"/>
        </w:rPr>
      </w:pPr>
      <w:bookmarkStart w:id="10" w:name="_Toc532751560"/>
      <w:r w:rsidRPr="00AA3D0C">
        <w:rPr>
          <w:rFonts w:cs="Times New Roman"/>
        </w:rPr>
        <w:t>Aim</w:t>
      </w:r>
      <w:bookmarkEnd w:id="10"/>
    </w:p>
    <w:p w14:paraId="3A879FD9" w14:textId="0858AA42" w:rsidR="002B7D6E" w:rsidRPr="00AA3D0C" w:rsidRDefault="002B7D6E" w:rsidP="002B7D6E">
      <w:pPr>
        <w:jc w:val="both"/>
        <w:rPr>
          <w:sz w:val="22"/>
          <w:szCs w:val="22"/>
        </w:rPr>
      </w:pPr>
      <w:r w:rsidRPr="00AA3D0C">
        <w:rPr>
          <w:sz w:val="22"/>
          <w:szCs w:val="22"/>
        </w:rPr>
        <w:t>The main objective of the thesis is to propose a</w:t>
      </w:r>
      <w:r w:rsidR="00AB4C7D">
        <w:rPr>
          <w:sz w:val="22"/>
          <w:szCs w:val="22"/>
        </w:rPr>
        <w:t xml:space="preserve"> conceptual framework for </w:t>
      </w:r>
      <w:r w:rsidRPr="00AA3D0C">
        <w:rPr>
          <w:sz w:val="22"/>
          <w:szCs w:val="22"/>
        </w:rPr>
        <w:t>dynamic and zonal glare assessment, based on existing glare indices.</w:t>
      </w:r>
    </w:p>
    <w:p w14:paraId="000C2246" w14:textId="77777777" w:rsidR="002B7D6E" w:rsidRPr="00AA3D0C" w:rsidRDefault="002B7D6E" w:rsidP="002B7D6E">
      <w:pPr>
        <w:jc w:val="both"/>
        <w:rPr>
          <w:sz w:val="22"/>
          <w:szCs w:val="22"/>
        </w:rPr>
      </w:pPr>
    </w:p>
    <w:p w14:paraId="6C8B941F" w14:textId="6CC9D203" w:rsidR="002B7D6E" w:rsidRPr="00AA3D0C" w:rsidRDefault="002B7D6E" w:rsidP="002B7D6E">
      <w:pPr>
        <w:jc w:val="both"/>
        <w:rPr>
          <w:sz w:val="22"/>
          <w:szCs w:val="22"/>
        </w:rPr>
      </w:pPr>
      <w:r w:rsidRPr="00AA3D0C">
        <w:rPr>
          <w:sz w:val="22"/>
          <w:szCs w:val="22"/>
        </w:rPr>
        <w:t xml:space="preserve">The </w:t>
      </w:r>
      <w:r w:rsidR="00AB4C7D">
        <w:rPr>
          <w:sz w:val="22"/>
          <w:szCs w:val="22"/>
        </w:rPr>
        <w:t>conceptual framework consists of repeated glare analysis for different observer positions and different time</w:t>
      </w:r>
      <w:r w:rsidR="00A21EDC">
        <w:rPr>
          <w:sz w:val="22"/>
          <w:szCs w:val="22"/>
        </w:rPr>
        <w:t>s</w:t>
      </w:r>
      <w:r w:rsidR="00AB4C7D">
        <w:rPr>
          <w:sz w:val="22"/>
          <w:szCs w:val="22"/>
        </w:rPr>
        <w:t xml:space="preserve">. The information </w:t>
      </w:r>
      <w:r w:rsidR="007D76FD">
        <w:rPr>
          <w:sz w:val="22"/>
          <w:szCs w:val="22"/>
        </w:rPr>
        <w:t>is</w:t>
      </w:r>
      <w:r w:rsidR="00A21EDC">
        <w:rPr>
          <w:sz w:val="22"/>
          <w:szCs w:val="22"/>
        </w:rPr>
        <w:t xml:space="preserve"> </w:t>
      </w:r>
      <w:r w:rsidR="00AB4C7D">
        <w:rPr>
          <w:sz w:val="22"/>
          <w:szCs w:val="22"/>
        </w:rPr>
        <w:t>combined in order to obtain an overall glare risk evaluation for a certain area.</w:t>
      </w:r>
      <w:r w:rsidRPr="00AA3D0C">
        <w:rPr>
          <w:sz w:val="22"/>
          <w:szCs w:val="22"/>
        </w:rPr>
        <w:t xml:space="preserve"> Consequently, the method should support the late-stage of the design process, namely the proper positioning of indoor partitions or furniture arrangement.</w:t>
      </w:r>
    </w:p>
    <w:p w14:paraId="41BE480C" w14:textId="77777777" w:rsidR="002B7D6E" w:rsidRPr="00AA3D0C" w:rsidRDefault="002B7D6E" w:rsidP="00556B54">
      <w:pPr>
        <w:jc w:val="both"/>
      </w:pPr>
    </w:p>
    <w:p w14:paraId="3BDED34B" w14:textId="77777777" w:rsidR="002B7D6E" w:rsidRPr="00AA3D0C" w:rsidRDefault="002B7D6E" w:rsidP="002B7D6E">
      <w:pPr>
        <w:pStyle w:val="Rubrik2-Byfy"/>
        <w:rPr>
          <w:rFonts w:cs="Times New Roman"/>
        </w:rPr>
      </w:pPr>
      <w:bookmarkStart w:id="11" w:name="_Toc532751561"/>
      <w:r w:rsidRPr="00AA3D0C">
        <w:rPr>
          <w:rFonts w:cs="Times New Roman"/>
        </w:rPr>
        <w:t>Background</w:t>
      </w:r>
      <w:bookmarkEnd w:id="11"/>
    </w:p>
    <w:p w14:paraId="4AED6875" w14:textId="2A2E9657" w:rsidR="002B7D6E" w:rsidRDefault="00A21EDC" w:rsidP="002B7D6E">
      <w:pPr>
        <w:jc w:val="both"/>
        <w:rPr>
          <w:sz w:val="22"/>
          <w:szCs w:val="22"/>
        </w:rPr>
      </w:pPr>
      <w:r>
        <w:rPr>
          <w:sz w:val="22"/>
          <w:szCs w:val="22"/>
        </w:rPr>
        <w:t>Existing glare indexes</w:t>
      </w:r>
      <w:r w:rsidR="00464E73" w:rsidRPr="00AA3D0C">
        <w:rPr>
          <w:sz w:val="22"/>
          <w:szCs w:val="22"/>
        </w:rPr>
        <w:t xml:space="preserve"> refer to specific condition for </w:t>
      </w:r>
      <w:r w:rsidR="00464E73" w:rsidRPr="00AA3D0C">
        <w:rPr>
          <w:i/>
          <w:sz w:val="22"/>
          <w:szCs w:val="22"/>
        </w:rPr>
        <w:t>a point in time</w:t>
      </w:r>
      <w:r w:rsidR="00464E73" w:rsidRPr="00AA3D0C">
        <w:rPr>
          <w:sz w:val="22"/>
          <w:szCs w:val="22"/>
        </w:rPr>
        <w:t xml:space="preserve"> and </w:t>
      </w:r>
      <w:r w:rsidR="00464E73" w:rsidRPr="00AA3D0C">
        <w:rPr>
          <w:i/>
          <w:sz w:val="22"/>
          <w:szCs w:val="22"/>
        </w:rPr>
        <w:t>a point in space with a direction of sight</w:t>
      </w:r>
      <w:r w:rsidR="00464E73" w:rsidRPr="00AA3D0C">
        <w:rPr>
          <w:sz w:val="22"/>
          <w:szCs w:val="22"/>
        </w:rPr>
        <w:t>. This implies that they are mostly useful to predict glare at a very late design stage, that is when the fenestration system is already designed, and all the laying out of the space is decided (e.g. desk position, partitions)</w:t>
      </w:r>
      <w:r w:rsidR="002B7D6E" w:rsidRPr="00AA3D0C">
        <w:rPr>
          <w:sz w:val="22"/>
          <w:szCs w:val="22"/>
        </w:rPr>
        <w:t>. The equations describing glare probability estimate glare according to the parameter that they are based on</w:t>
      </w:r>
      <w:r w:rsidR="00464E73">
        <w:rPr>
          <w:rStyle w:val="FootnoteReference"/>
          <w:sz w:val="22"/>
          <w:szCs w:val="22"/>
        </w:rPr>
        <w:footnoteReference w:id="1"/>
      </w:r>
      <w:r w:rsidR="002B7D6E" w:rsidRPr="00AA3D0C">
        <w:rPr>
          <w:sz w:val="22"/>
          <w:szCs w:val="22"/>
        </w:rPr>
        <w:t xml:space="preserve"> </w:t>
      </w:r>
      <w:r w:rsidR="002B7D6E" w:rsidRPr="00AA3D0C">
        <w:rPr>
          <w:sz w:val="22"/>
          <w:szCs w:val="22"/>
        </w:rPr>
        <w:fldChar w:fldCharType="begin" w:fldLock="1"/>
      </w:r>
      <w:r w:rsidR="005952EA">
        <w:rPr>
          <w:sz w:val="22"/>
          <w:szCs w:val="22"/>
        </w:rPr>
        <w:instrText>ADDIN CSL_CITATION { "citationItems" : [ { "id" : "ITEM-1", "itemData" : { "DOI" : "10.1080/15502724.2015.1090880", "ISSN" : "1550-2724", "abstract" : "A new visual comfort concept is introduced to describe the long-term visual impression of space occupants. This concept, in contrast to instantaneous assessment of visual comfort, aims to describe an overall rating of visual quality in a space. A paired study consisting of occupant surveys and detailed 6-minute time step visual comfort simulations was performed for the studio spaces of Gund Hall in Cambridge, Massachusetts, which is occupied by approximately 500 students. Occupants reported four primary ways of experiencing visual discomfort: discomfort glare, insufficient monitor contrast, direct visibility of the sun, and direct sunlight on the workplane. Survey results were located spatially and in terms of orientation within Gund Hall, and a simulation model was calibrated based on furniture layout, measured material reflectances, and local measured weather data. The results of the study illustrate that it is possible to use current simulation-based visual comfort predictions to predict occupants\ufffd long-term visual comfort assessments in a complex daylit space. By classifying occupant responses into two broad groupings of comfortable and uncomfortable, the prediction methodology correctly identifies reported comfort or discomfort from 73.2% to 86.5% of cases depending on time of day; however, more research is required for broader application of the long-term visual comfort model to other buildings. Through a spatial and temporal presentation of the simulation data, this new methodology can be used as feedback during the process of designing daylit spaces, avoiding visual discomfort, and increasing satisfaction within the built environment. Copyright \ufffd Illuminating Engineering Society.", "author" : [ { "dropping-particle" : "", "family" : "Jakubiec", "given" : "J A", "non-dropping-particle" : "", "parse-names" : false, "suffix" : "" }, { "dropping-particle" : "", "family" : "Reinhart", "given" : "C F", "non-dropping-particle" : "", "parse-names" : false, "suffix" : "" } ], "container-title" : "LEUKOS - Journal of Illuminating Engineering Society of North America", "id" : "ITEM-1", "issue" : "4", "issued" : { "date-parts" : [ [ "2016" ] ] }, "note" : "Cited By :3", "page" : "185-202", "publisher" : "Taylor and Francis Inc.", "publisher-place" : "Affiliation: Architecture and Sustainable Design, Singapore University of Technology and Design, Singapore, Singapore; Affiliation: Department of Architecture, Massachusetts Institute of Technology, Cambridge, MA, United States; Correspondence Address: Ja", "title" : "A Concept for Predicting Occupants' Long-Term Visual Comfort within Daylit Spaces", "type" : "article-journal", "volume" : "12" }, "uris" : [ "http://www.mendeley.com/documents/?uuid=335920d5-dbf7-4e5a-931b-883cfeb05029", "http://www.mendeley.com/documents/?uuid=c6b902ca-a2e8-4a0c-be98-9df871d73c02" ] } ], "mendeley" : { "formattedCitation" : "(Jakubiec and Reinhart, 2016)", "plainTextFormattedCitation" : "(Jakubiec and Reinhart, 2016)", "previouslyFormattedCitation" : "(Jakubiec and Reinhart, 2016)" }, "properties" : { "noteIndex" : 0 }, "schema" : "https://github.com/citation-style-language/schema/raw/master/csl-citation.json" }</w:instrText>
      </w:r>
      <w:r w:rsidR="002B7D6E" w:rsidRPr="00AA3D0C">
        <w:rPr>
          <w:sz w:val="22"/>
          <w:szCs w:val="22"/>
        </w:rPr>
        <w:fldChar w:fldCharType="separate"/>
      </w:r>
      <w:r w:rsidR="002B7D6E" w:rsidRPr="00AA3D0C">
        <w:rPr>
          <w:noProof/>
          <w:sz w:val="22"/>
          <w:szCs w:val="22"/>
        </w:rPr>
        <w:t>(Jakubiec and Reinhart, 2016)</w:t>
      </w:r>
      <w:r w:rsidR="002B7D6E" w:rsidRPr="00AA3D0C">
        <w:rPr>
          <w:sz w:val="22"/>
          <w:szCs w:val="22"/>
        </w:rPr>
        <w:fldChar w:fldCharType="end"/>
      </w:r>
      <w:r w:rsidR="00464E73">
        <w:rPr>
          <w:sz w:val="22"/>
          <w:szCs w:val="22"/>
        </w:rPr>
        <w:t xml:space="preserve">, ignoring any possible </w:t>
      </w:r>
      <w:r w:rsidR="002B7D6E" w:rsidRPr="00AA3D0C">
        <w:rPr>
          <w:sz w:val="22"/>
          <w:szCs w:val="22"/>
        </w:rPr>
        <w:t>change in user’s position and his gaze</w:t>
      </w:r>
      <w:r w:rsidR="00464E73">
        <w:rPr>
          <w:sz w:val="22"/>
          <w:szCs w:val="22"/>
        </w:rPr>
        <w:t xml:space="preserve"> during the occupation time</w:t>
      </w:r>
      <w:r w:rsidR="002B7D6E" w:rsidRPr="00AA3D0C">
        <w:rPr>
          <w:sz w:val="22"/>
          <w:szCs w:val="22"/>
        </w:rPr>
        <w:t xml:space="preserve">. Therefore, the search for a new criterion comparing the existing indices and including all the aforementioned factors is </w:t>
      </w:r>
      <w:r w:rsidR="00D22D7F">
        <w:rPr>
          <w:sz w:val="22"/>
          <w:szCs w:val="22"/>
        </w:rPr>
        <w:t>needed</w:t>
      </w:r>
      <w:r w:rsidR="002B7D6E" w:rsidRPr="00AA3D0C">
        <w:rPr>
          <w:sz w:val="22"/>
          <w:szCs w:val="22"/>
        </w:rPr>
        <w:t>.</w:t>
      </w:r>
    </w:p>
    <w:p w14:paraId="10CD4060" w14:textId="77777777" w:rsidR="00A64D2D" w:rsidRDefault="00A64D2D" w:rsidP="002B7D6E">
      <w:pPr>
        <w:jc w:val="both"/>
        <w:rPr>
          <w:sz w:val="22"/>
          <w:szCs w:val="22"/>
        </w:rPr>
      </w:pPr>
    </w:p>
    <w:p w14:paraId="2D2B5D9F" w14:textId="4B156B9B" w:rsidR="00A64D2D" w:rsidRPr="00AA3D0C" w:rsidRDefault="00AB4C7D" w:rsidP="002B7D6E">
      <w:pPr>
        <w:jc w:val="both"/>
        <w:rPr>
          <w:sz w:val="22"/>
          <w:szCs w:val="22"/>
        </w:rPr>
      </w:pPr>
      <w:r>
        <w:rPr>
          <w:sz w:val="22"/>
          <w:szCs w:val="22"/>
        </w:rPr>
        <w:t>On the other hand</w:t>
      </w:r>
      <w:r w:rsidR="00A64D2D">
        <w:rPr>
          <w:sz w:val="22"/>
          <w:szCs w:val="22"/>
        </w:rPr>
        <w:t>,</w:t>
      </w:r>
      <w:r>
        <w:rPr>
          <w:sz w:val="22"/>
          <w:szCs w:val="22"/>
        </w:rPr>
        <w:t xml:space="preserve"> moving outside the research field,</w:t>
      </w:r>
      <w:r w:rsidR="00A64D2D">
        <w:rPr>
          <w:sz w:val="22"/>
          <w:szCs w:val="22"/>
        </w:rPr>
        <w:t xml:space="preserve"> current </w:t>
      </w:r>
      <w:r w:rsidR="00A64D2D" w:rsidRPr="00AA3D0C">
        <w:rPr>
          <w:sz w:val="22"/>
          <w:szCs w:val="22"/>
        </w:rPr>
        <w:t>policies generally propose simple methods accounting for glare</w:t>
      </w:r>
      <w:r w:rsidR="00464E73">
        <w:rPr>
          <w:rStyle w:val="FootnoteReference"/>
          <w:sz w:val="22"/>
          <w:szCs w:val="22"/>
        </w:rPr>
        <w:footnoteReference w:id="2"/>
      </w:r>
      <w:r w:rsidR="00A64D2D" w:rsidRPr="00AA3D0C">
        <w:rPr>
          <w:sz w:val="22"/>
          <w:szCs w:val="22"/>
        </w:rPr>
        <w:t>. These methods can be based on components performance (BREE</w:t>
      </w:r>
      <w:r w:rsidR="00A64D2D">
        <w:rPr>
          <w:sz w:val="22"/>
          <w:szCs w:val="22"/>
        </w:rPr>
        <w:t>A</w:t>
      </w:r>
      <w:r w:rsidR="00A64D2D" w:rsidRPr="00AA3D0C">
        <w:rPr>
          <w:sz w:val="22"/>
          <w:szCs w:val="22"/>
        </w:rPr>
        <w:t xml:space="preserve">M), or simple climate-based </w:t>
      </w:r>
      <w:r>
        <w:rPr>
          <w:sz w:val="22"/>
          <w:szCs w:val="22"/>
        </w:rPr>
        <w:t xml:space="preserve">grid </w:t>
      </w:r>
      <w:r w:rsidR="00A64D2D" w:rsidRPr="00AA3D0C">
        <w:rPr>
          <w:sz w:val="22"/>
          <w:szCs w:val="22"/>
        </w:rPr>
        <w:t>illuminance simulation</w:t>
      </w:r>
      <w:r>
        <w:rPr>
          <w:sz w:val="22"/>
          <w:szCs w:val="22"/>
        </w:rPr>
        <w:t>s</w:t>
      </w:r>
      <w:r w:rsidR="00A64D2D" w:rsidRPr="00AA3D0C">
        <w:rPr>
          <w:sz w:val="22"/>
          <w:szCs w:val="22"/>
        </w:rPr>
        <w:t xml:space="preserve"> throughout the year (LEED). They are used at an early design stage since they implicitly refer to an extended zone inside the space and a wide time span, which are supposedly glare-free. </w:t>
      </w:r>
      <w:r w:rsidR="00D22D7F">
        <w:rPr>
          <w:sz w:val="22"/>
          <w:szCs w:val="22"/>
        </w:rPr>
        <w:t>In</w:t>
      </w:r>
      <w:r w:rsidR="00A64D2D" w:rsidRPr="00AA3D0C">
        <w:rPr>
          <w:sz w:val="22"/>
          <w:szCs w:val="22"/>
        </w:rPr>
        <w:t xml:space="preserve"> other words, the policies refer to glare as </w:t>
      </w:r>
      <w:r w:rsidR="00A64D2D" w:rsidRPr="00AA3D0C">
        <w:rPr>
          <w:i/>
          <w:sz w:val="22"/>
          <w:szCs w:val="22"/>
        </w:rPr>
        <w:t>zonal</w:t>
      </w:r>
      <w:r w:rsidR="00A64D2D" w:rsidRPr="00AA3D0C">
        <w:rPr>
          <w:sz w:val="22"/>
          <w:szCs w:val="22"/>
        </w:rPr>
        <w:t xml:space="preserve"> and </w:t>
      </w:r>
      <w:r w:rsidR="00A64D2D" w:rsidRPr="00AA3D0C">
        <w:rPr>
          <w:i/>
          <w:sz w:val="22"/>
          <w:szCs w:val="22"/>
        </w:rPr>
        <w:t>dynamic</w:t>
      </w:r>
      <w:r w:rsidR="00A64D2D" w:rsidRPr="00AA3D0C">
        <w:rPr>
          <w:sz w:val="22"/>
          <w:szCs w:val="22"/>
        </w:rPr>
        <w:t>. However, the methods used by policies</w:t>
      </w:r>
      <w:r w:rsidR="00A64D2D">
        <w:rPr>
          <w:sz w:val="22"/>
          <w:szCs w:val="22"/>
        </w:rPr>
        <w:t xml:space="preserve">, presented </w:t>
      </w:r>
      <w:r w:rsidR="00013982">
        <w:rPr>
          <w:sz w:val="22"/>
          <w:szCs w:val="22"/>
        </w:rPr>
        <w:t xml:space="preserve">further </w:t>
      </w:r>
      <w:r w:rsidR="00A64D2D">
        <w:rPr>
          <w:sz w:val="22"/>
          <w:szCs w:val="22"/>
        </w:rPr>
        <w:t xml:space="preserve">below in </w:t>
      </w:r>
      <w:r w:rsidR="00013982" w:rsidRPr="00013982">
        <w:rPr>
          <w:i/>
          <w:sz w:val="22"/>
          <w:szCs w:val="22"/>
        </w:rPr>
        <w:t>Literature Review</w:t>
      </w:r>
      <w:r w:rsidR="00A64D2D">
        <w:rPr>
          <w:sz w:val="22"/>
          <w:szCs w:val="22"/>
        </w:rPr>
        <w:t>,</w:t>
      </w:r>
      <w:r w:rsidR="00A64D2D" w:rsidRPr="00AA3D0C">
        <w:rPr>
          <w:sz w:val="22"/>
          <w:szCs w:val="22"/>
        </w:rPr>
        <w:t xml:space="preserve"> are not very reliable predictors of glare.</w:t>
      </w:r>
    </w:p>
    <w:p w14:paraId="73B35FD2" w14:textId="77777777" w:rsidR="002B7D6E" w:rsidRPr="00AA3D0C" w:rsidRDefault="002B7D6E" w:rsidP="00556B54">
      <w:pPr>
        <w:pStyle w:val="Normal-Byfy"/>
        <w:spacing w:after="0"/>
      </w:pPr>
    </w:p>
    <w:p w14:paraId="436FEAEF" w14:textId="77777777" w:rsidR="002B7D6E" w:rsidRPr="00AA3D0C" w:rsidRDefault="002B7D6E" w:rsidP="002B7D6E">
      <w:pPr>
        <w:pStyle w:val="Rubrik2-Byfy"/>
      </w:pPr>
      <w:bookmarkStart w:id="12" w:name="_Toc532751562"/>
      <w:r w:rsidRPr="00AA3D0C">
        <w:rPr>
          <w:rFonts w:cs="Times New Roman"/>
        </w:rPr>
        <w:t>Literature Review</w:t>
      </w:r>
      <w:bookmarkEnd w:id="12"/>
    </w:p>
    <w:p w14:paraId="37949F2D" w14:textId="77777777" w:rsidR="002B7D6E" w:rsidRPr="00AA3D0C" w:rsidRDefault="002B7D6E" w:rsidP="002B7D6E">
      <w:pPr>
        <w:pStyle w:val="Heading3"/>
        <w:rPr>
          <w:rFonts w:ascii="Times New Roman" w:hAnsi="Times New Roman" w:cs="Times New Roman"/>
        </w:rPr>
      </w:pPr>
      <w:bookmarkStart w:id="13" w:name="_Toc532751563"/>
      <w:r w:rsidRPr="00AA3D0C">
        <w:rPr>
          <w:rFonts w:ascii="Times New Roman" w:hAnsi="Times New Roman" w:cs="Times New Roman"/>
        </w:rPr>
        <w:t>Glare metrics</w:t>
      </w:r>
      <w:bookmarkEnd w:id="13"/>
    </w:p>
    <w:p w14:paraId="5BAB5EB5" w14:textId="28580421" w:rsidR="002B7D6E" w:rsidRPr="00AA3D0C" w:rsidRDefault="002B7D6E" w:rsidP="002B7D6E">
      <w:pPr>
        <w:jc w:val="both"/>
        <w:rPr>
          <w:sz w:val="22"/>
          <w:szCs w:val="22"/>
        </w:rPr>
      </w:pPr>
      <w:r w:rsidRPr="00AA3D0C">
        <w:rPr>
          <w:sz w:val="22"/>
          <w:szCs w:val="22"/>
        </w:rPr>
        <w:t xml:space="preserve">The main reason for designing and improving indoor spatial and environmental quality has been the insurance of physical and psychological human well-being. Daylight analysis and utilization, being directly connected to those factors </w:t>
      </w:r>
      <w:r w:rsidRPr="00AA3D0C">
        <w:rPr>
          <w:sz w:val="22"/>
          <w:szCs w:val="22"/>
        </w:rPr>
        <w:fldChar w:fldCharType="begin" w:fldLock="1"/>
      </w:r>
      <w:r w:rsidR="005952EA">
        <w:rPr>
          <w:sz w:val="22"/>
          <w:szCs w:val="22"/>
        </w:rPr>
        <w:instrText>ADDIN CSL_CITATION { "citationItems" : [ { "id" : "ITEM-1", "itemData" : { "DOI" : "//doi.org/10.1016/j.buildenv.2015.03.014", "ISSN" : "0360-1323", "abstract" : "Daylighting as a research topic situates itself at the interface between psycho-physiological and environmental factors, bringing together questions relevant to architectural design and building engineering, but also to human physiology and behavior. While daylighting has a strong impact on human health and well-being, and an undeniable association with (subjective) emotional delight and perceived quality of a space, it is also highly dynamic and variable in nature, based on a combination of predictable (sun course) and stochastic (weather) patterns. This makes it both a challenging and essential aspect of how \u201cperformative\u201d a space can be considered. This paper aims to discuss selected research developments regarding how architectural engineering and other domains of science could be more strongly bridged to address the need for meaningful decision support in daylighting design: how can we better integrate the complexity of human needs in buildings into effective design strategies for daylit spaces? As a basis for discussion and to illustrate this overview, it describes a unified goal-based approach in an attempt to address the multiplicity of perspectives from which daylighting performance can \u2013 and should \u2013 be evaluated in building design. Through five very different perspectives ranging from task-driven illumination or comfort to human-driven health and perception, it proposes a simulation and visualization framework in which one can start approaching these from an integrated approach. \"", "author" : [ { "dropping-particle" : "", "family" : "Andersen", "given" : "Marilyne", "non-dropping-particle" : "", "parse-names" : false, "suffix" : "" } ], "container-title" : "Building and Environment", "id" : "ITEM-1", "issued" : { "date-parts" : [ [ "2015" ] ] }, "note" : "ID: 271434", "page" : "101-117", "title" : "Unweaving the human response in daylighting design", "type" : "article-journal", "volume" : "91" }, "uris" : [ "http://www.mendeley.com/documents/?uuid=875d9068-e33c-48a1-a249-6845f74c41b7" ] } ], "mendeley" : { "formattedCitation" : "(Andersen, 2015)", "plainTextFormattedCitation" : "(Andersen, 2015)", "previouslyFormattedCitation" : "(Andersen, 2015)" }, "properties" : { "noteIndex" : 0 }, "schema" : "https://github.com/citation-style-language/schema/raw/master/csl-citation.json" }</w:instrText>
      </w:r>
      <w:r w:rsidRPr="00AA3D0C">
        <w:rPr>
          <w:sz w:val="22"/>
          <w:szCs w:val="22"/>
        </w:rPr>
        <w:fldChar w:fldCharType="separate"/>
      </w:r>
      <w:r w:rsidRPr="00AA3D0C">
        <w:rPr>
          <w:noProof/>
          <w:sz w:val="22"/>
          <w:szCs w:val="22"/>
        </w:rPr>
        <w:t>(Andersen, 2015)</w:t>
      </w:r>
      <w:r w:rsidRPr="00AA3D0C">
        <w:rPr>
          <w:sz w:val="22"/>
          <w:szCs w:val="22"/>
        </w:rPr>
        <w:fldChar w:fldCharType="end"/>
      </w:r>
      <w:r w:rsidRPr="00AA3D0C">
        <w:rPr>
          <w:sz w:val="22"/>
          <w:szCs w:val="22"/>
        </w:rPr>
        <w:t xml:space="preserve">, comprise an important aspect of the designing process. During the past years, research in the daylight field has been intensively growing. Visual comfort and specifically prediction models for discomfort glare, though, are still largely debated in the scientific community. </w:t>
      </w:r>
    </w:p>
    <w:p w14:paraId="585D2C08" w14:textId="77777777" w:rsidR="002B7D6E" w:rsidRPr="00AA3D0C" w:rsidRDefault="002B7D6E" w:rsidP="002B7D6E">
      <w:pPr>
        <w:jc w:val="both"/>
        <w:rPr>
          <w:sz w:val="22"/>
          <w:szCs w:val="22"/>
        </w:rPr>
      </w:pPr>
    </w:p>
    <w:p w14:paraId="096F066D" w14:textId="69516744" w:rsidR="002B7D6E" w:rsidRPr="00AA3D0C" w:rsidRDefault="00A345D6" w:rsidP="002B7D6E">
      <w:pPr>
        <w:jc w:val="both"/>
        <w:rPr>
          <w:sz w:val="22"/>
          <w:szCs w:val="22"/>
        </w:rPr>
      </w:pPr>
      <w:r>
        <w:rPr>
          <w:sz w:val="22"/>
          <w:szCs w:val="22"/>
        </w:rPr>
        <w:lastRenderedPageBreak/>
        <w:t xml:space="preserve">According to </w:t>
      </w:r>
      <w:proofErr w:type="spellStart"/>
      <w:r>
        <w:rPr>
          <w:sz w:val="22"/>
          <w:szCs w:val="22"/>
        </w:rPr>
        <w:t>Wienold</w:t>
      </w:r>
      <w:proofErr w:type="spellEnd"/>
      <w:r>
        <w:rPr>
          <w:sz w:val="22"/>
          <w:szCs w:val="22"/>
        </w:rPr>
        <w:t xml:space="preserve"> and </w:t>
      </w:r>
      <w:proofErr w:type="spellStart"/>
      <w:r>
        <w:rPr>
          <w:sz w:val="22"/>
          <w:szCs w:val="22"/>
        </w:rPr>
        <w:t>Christoffersen</w:t>
      </w:r>
      <w:proofErr w:type="spellEnd"/>
      <w:r>
        <w:rPr>
          <w:sz w:val="22"/>
          <w:szCs w:val="22"/>
        </w:rPr>
        <w:t xml:space="preserve"> </w:t>
      </w:r>
      <w:r w:rsidRPr="00AA3D0C">
        <w:rPr>
          <w:sz w:val="22"/>
          <w:szCs w:val="22"/>
        </w:rPr>
        <w:fldChar w:fldCharType="begin" w:fldLock="1"/>
      </w:r>
      <w:r w:rsidR="004F26FE">
        <w:rPr>
          <w:sz w:val="22"/>
          <w:szCs w:val="22"/>
        </w:rPr>
        <w:instrText>ADDIN CSL_CITATION { "citationItems" : [ { "id" : "ITEM-1", "itemData" : { "DOI" : "10.1016/j.enbuild.2006.03.017", "ISSN" : "0378-7788", "abstract" : "Daylighting and the impact of daylighting strategies on the visual environment continue to be a vital issue for building occupants due to visual comfort and user acceptance of luminous indoor environments. Some of the critical factors affecting the level of visual comfort and quality in daylit office spaces include glare, window luminances, and luminance ratios within the field of view. One of the goals of this study was to provide new insight into the impact of luminance distributions on glare. The luminance distribution within the field of view was recorded using CCD camera-based luminance mapping technology. The technology provides a great potential for improved understandings of the relation between measured lighting conditions and user response. With the development of the RADIANCE based evaluation tool \"evalglare\", it became possible to analyse glare according to a number of daylight glare prediction models as well as contrast ratios in various daylit situations (workplace, VDU). User assessments at two locations (Copenhagen, Freiburg) with more than 70 subjects under various daylighting conditions were performed in order to assess existing glare models and to provide a reliable database for the development of a new glare prediction model. The comparison of the results of the user assessments with existing models clearly shows the great potential for improving glare prediction models. For the window luminance a squared correlation factor of only 0.12 and for the daylight glare index (DGI) of 0.56 were found. Due to the low predictive power of existing glare prediction models a new index, daylight glare probability (DGP), was developed and is presented in this paper. DGP is a function of the vertical eye illuminance as well as on the glare source luminance, its solid angle and its position index. The DGP showed a very strong correlation (squared correlation factor of 0.94) with the user's response regarding glare perception. \ufffd 2006 Elsevier B.V. All rights reserved.", "author" : [ { "dropping-particle" : "", "family" : "Wienold", "given" : "J", "non-dropping-particle" : "", "parse-names" : false, "suffix" : "" }, { "dropping-particle" : "", "family" : "Christoffersen", "given" : "J", "non-dropping-particle" : "", "parse-names" : false, "suffix" : "" } ], "container-title" : "Energy and Buildings", "id" : "ITEM-1", "issue" : "7", "issued" : { "date-parts" : [ [ "2006" ] ] }, "page" : "743-757", "publisher-place" : "Affiliation: Fraunhofer Institute for Solar Energy Systems, Heidenhofstr. 2, 79110 Freiburg, Germany; Affiliation: Danish Building Research Institute, Dr. Neergaards vej 15, 2970 Hoersholm, Denmark; Correspondence Address: Wienold, J.; Fraunhofer Institut", "title" : "Evaluation methods and development of a new glare prediction model for daylight environments with the use of CCD cameras", "type" : "article-journal", "volume" : "38" }, "uris" : [ "http://www.mendeley.com/documents/?uuid=81ec8c7e-5ea6-49e9-889a-aba6aa1d571e", "http://www.mendeley.com/documents/?uuid=5586ed27-bfce-4bd5-8f94-5e74a1d75419", "http://www.mendeley.com/documents/?uuid=96b51dac-9a05-4108-8373-86ad56e99afc" ] } ], "mendeley" : { "formattedCitation" : "(Wienold and Christoffersen, 2006)", "manualFormatting" : "(2006)", "plainTextFormattedCitation" : "(Wienold and Christoffersen, 2006)", "previouslyFormattedCitation" : "(Wienold and Christoffersen, 2006)" }, "properties" : { "noteIndex" : 0 }, "schema" : "https://github.com/citation-style-language/schema/raw/master/csl-citation.json" }</w:instrText>
      </w:r>
      <w:r w:rsidRPr="00AA3D0C">
        <w:rPr>
          <w:sz w:val="22"/>
          <w:szCs w:val="22"/>
        </w:rPr>
        <w:fldChar w:fldCharType="separate"/>
      </w:r>
      <w:r w:rsidRPr="00AA3D0C">
        <w:rPr>
          <w:noProof/>
          <w:sz w:val="22"/>
          <w:szCs w:val="22"/>
        </w:rPr>
        <w:t>(2006)</w:t>
      </w:r>
      <w:r w:rsidRPr="00AA3D0C">
        <w:rPr>
          <w:sz w:val="22"/>
          <w:szCs w:val="22"/>
        </w:rPr>
        <w:fldChar w:fldCharType="end"/>
      </w:r>
      <w:r>
        <w:rPr>
          <w:sz w:val="22"/>
          <w:szCs w:val="22"/>
        </w:rPr>
        <w:t>, m</w:t>
      </w:r>
      <w:r w:rsidR="002B7D6E" w:rsidRPr="00AA3D0C">
        <w:rPr>
          <w:sz w:val="22"/>
          <w:szCs w:val="22"/>
        </w:rPr>
        <w:t>ost of the proposed discomfort glare formulas are based on a common general form (eq.1).</w:t>
      </w:r>
    </w:p>
    <w:p w14:paraId="03563D12" w14:textId="77777777" w:rsidR="002B7D6E" w:rsidRPr="00AA3D0C" w:rsidRDefault="002B7D6E" w:rsidP="002B7D6E">
      <w:pPr>
        <w:jc w:val="both"/>
        <w:rPr>
          <w:sz w:val="22"/>
          <w:szCs w:val="22"/>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035"/>
        <w:gridCol w:w="1530"/>
        <w:gridCol w:w="1589"/>
      </w:tblGrid>
      <w:tr w:rsidR="002B7D6E" w:rsidRPr="00AA3D0C" w14:paraId="4358E575" w14:textId="77777777" w:rsidTr="006F4580">
        <w:trPr>
          <w:trHeight w:val="692"/>
        </w:trPr>
        <w:tc>
          <w:tcPr>
            <w:tcW w:w="5035" w:type="dxa"/>
          </w:tcPr>
          <w:p w14:paraId="1E719B3B" w14:textId="77777777" w:rsidR="002B7D6E" w:rsidRPr="00AA3D0C" w:rsidRDefault="002B7D6E" w:rsidP="006F4580">
            <w:pPr>
              <w:jc w:val="both"/>
              <w:rPr>
                <w:sz w:val="22"/>
                <w:szCs w:val="22"/>
              </w:rPr>
            </w:pPr>
            <m:oMathPara>
              <m:oMathParaPr>
                <m:jc m:val="right"/>
              </m:oMathParaPr>
              <m:oMath>
                <m:r>
                  <w:rPr>
                    <w:rFonts w:ascii="Cambria Math" w:hAnsi="Cambria Math"/>
                    <w:sz w:val="22"/>
                  </w:rPr>
                  <m:t>G=</m:t>
                </m:r>
                <m:d>
                  <m:dPr>
                    <m:ctrlPr>
                      <w:rPr>
                        <w:rFonts w:ascii="Cambria Math" w:hAnsi="Cambria Math"/>
                        <w:i/>
                        <w:sz w:val="22"/>
                      </w:rPr>
                    </m:ctrlPr>
                  </m:dPr>
                  <m:e>
                    <m:r>
                      <w:rPr>
                        <w:rFonts w:ascii="Cambria Math" w:hAnsi="Cambria Math"/>
                        <w:sz w:val="22"/>
                      </w:rPr>
                      <m:t xml:space="preserve"> </m:t>
                    </m:r>
                    <m:f>
                      <m:fPr>
                        <m:ctrlPr>
                          <w:rPr>
                            <w:rFonts w:ascii="Cambria Math" w:hAnsi="Cambria Math"/>
                            <w:i/>
                            <w:sz w:val="22"/>
                          </w:rPr>
                        </m:ctrlPr>
                      </m:fPr>
                      <m:num>
                        <m:sSubSup>
                          <m:sSubSupPr>
                            <m:ctrlPr>
                              <w:rPr>
                                <w:rFonts w:ascii="Cambria Math" w:hAnsi="Cambria Math"/>
                                <w:i/>
                                <w:sz w:val="22"/>
                              </w:rPr>
                            </m:ctrlPr>
                          </m:sSubSupPr>
                          <m:e>
                            <m:r>
                              <w:rPr>
                                <w:rFonts w:ascii="Cambria Math" w:hAnsi="Cambria Math"/>
                                <w:sz w:val="22"/>
                              </w:rPr>
                              <m:t>L</m:t>
                            </m:r>
                          </m:e>
                          <m:sub>
                            <m:r>
                              <w:rPr>
                                <w:rFonts w:ascii="Cambria Math" w:hAnsi="Cambria Math"/>
                                <w:sz w:val="22"/>
                              </w:rPr>
                              <m:t>s</m:t>
                            </m:r>
                          </m:sub>
                          <m:sup>
                            <m:r>
                              <w:rPr>
                                <w:rFonts w:ascii="Cambria Math" w:hAnsi="Cambria Math"/>
                                <w:sz w:val="22"/>
                              </w:rPr>
                              <m:t>e</m:t>
                            </m:r>
                          </m:sup>
                        </m:sSubSup>
                        <m:r>
                          <w:rPr>
                            <w:rFonts w:ascii="Cambria Math" w:hAnsi="Cambria Math"/>
                            <w:sz w:val="22"/>
                          </w:rPr>
                          <m:t>∙</m:t>
                        </m:r>
                        <m:sSubSup>
                          <m:sSubSupPr>
                            <m:ctrlPr>
                              <w:rPr>
                                <w:rFonts w:ascii="Cambria Math" w:hAnsi="Cambria Math"/>
                                <w:i/>
                                <w:sz w:val="22"/>
                              </w:rPr>
                            </m:ctrlPr>
                          </m:sSubSupPr>
                          <m:e>
                            <m:r>
                              <w:rPr>
                                <w:rFonts w:ascii="Cambria Math" w:hAnsi="Cambria Math"/>
                                <w:sz w:val="22"/>
                              </w:rPr>
                              <m:t>ω</m:t>
                            </m:r>
                          </m:e>
                          <m:sub>
                            <m:r>
                              <w:rPr>
                                <w:rFonts w:ascii="Cambria Math" w:hAnsi="Cambria Math"/>
                                <w:sz w:val="22"/>
                              </w:rPr>
                              <m:t>s</m:t>
                            </m:r>
                          </m:sub>
                          <m:sup>
                            <m:r>
                              <w:rPr>
                                <w:rFonts w:ascii="Cambria Math" w:hAnsi="Cambria Math"/>
                                <w:sz w:val="22"/>
                              </w:rPr>
                              <m:t>f</m:t>
                            </m:r>
                          </m:sup>
                        </m:sSubSup>
                      </m:num>
                      <m:den>
                        <m:sSubSup>
                          <m:sSubSupPr>
                            <m:ctrlPr>
                              <w:rPr>
                                <w:rFonts w:ascii="Cambria Math" w:hAnsi="Cambria Math"/>
                                <w:i/>
                                <w:sz w:val="22"/>
                              </w:rPr>
                            </m:ctrlPr>
                          </m:sSubSupPr>
                          <m:e>
                            <m:r>
                              <w:rPr>
                                <w:rFonts w:ascii="Cambria Math" w:hAnsi="Cambria Math"/>
                                <w:sz w:val="22"/>
                              </w:rPr>
                              <m:t>L</m:t>
                            </m:r>
                          </m:e>
                          <m:sub>
                            <m:r>
                              <w:rPr>
                                <w:rFonts w:ascii="Cambria Math" w:hAnsi="Cambria Math"/>
                                <w:sz w:val="22"/>
                              </w:rPr>
                              <m:t>b</m:t>
                            </m:r>
                          </m:sub>
                          <m:sup>
                            <m:r>
                              <w:rPr>
                                <w:rFonts w:ascii="Cambria Math" w:hAnsi="Cambria Math"/>
                                <w:sz w:val="22"/>
                              </w:rPr>
                              <m:t>g</m:t>
                            </m:r>
                          </m:sup>
                        </m:sSubSup>
                        <m:r>
                          <w:rPr>
                            <w:rFonts w:ascii="Cambria Math" w:hAnsi="Cambria Math"/>
                            <w:sz w:val="22"/>
                          </w:rPr>
                          <m:t>∙f</m:t>
                        </m:r>
                        <m:d>
                          <m:dPr>
                            <m:ctrlPr>
                              <w:rPr>
                                <w:rFonts w:ascii="Cambria Math" w:hAnsi="Cambria Math"/>
                                <w:i/>
                                <w:sz w:val="22"/>
                              </w:rPr>
                            </m:ctrlPr>
                          </m:dPr>
                          <m:e>
                            <m:r>
                              <w:rPr>
                                <w:rFonts w:ascii="Cambria Math" w:hAnsi="Cambria Math"/>
                                <w:sz w:val="22"/>
                              </w:rPr>
                              <m:t>ψ</m:t>
                            </m:r>
                          </m:e>
                        </m:d>
                      </m:den>
                    </m:f>
                    <m:r>
                      <w:rPr>
                        <w:rFonts w:ascii="Cambria Math" w:hAnsi="Cambria Math"/>
                        <w:sz w:val="22"/>
                      </w:rPr>
                      <m:t xml:space="preserve"> </m:t>
                    </m:r>
                  </m:e>
                </m:d>
              </m:oMath>
            </m:oMathPara>
          </w:p>
        </w:tc>
        <w:tc>
          <w:tcPr>
            <w:tcW w:w="1530" w:type="dxa"/>
          </w:tcPr>
          <w:p w14:paraId="075CE90C" w14:textId="77777777" w:rsidR="002B7D6E" w:rsidRPr="00AA3D0C" w:rsidRDefault="002B7D6E" w:rsidP="006F4580">
            <w:pPr>
              <w:jc w:val="both"/>
              <w:rPr>
                <w:sz w:val="22"/>
                <w:szCs w:val="22"/>
              </w:rPr>
            </w:pPr>
          </w:p>
          <w:p w14:paraId="12653732" w14:textId="77777777" w:rsidR="002B7D6E" w:rsidRPr="00AA3D0C" w:rsidRDefault="002B7D6E" w:rsidP="006F4580">
            <w:pPr>
              <w:jc w:val="both"/>
              <w:rPr>
                <w:sz w:val="22"/>
                <w:szCs w:val="22"/>
              </w:rPr>
            </w:pPr>
            <w:r w:rsidRPr="00AA3D0C">
              <w:rPr>
                <w:sz w:val="22"/>
                <w:szCs w:val="22"/>
              </w:rPr>
              <w:t>[-]</w:t>
            </w:r>
          </w:p>
        </w:tc>
        <w:tc>
          <w:tcPr>
            <w:tcW w:w="1589" w:type="dxa"/>
          </w:tcPr>
          <w:p w14:paraId="500337BB" w14:textId="77777777" w:rsidR="002B7D6E" w:rsidRPr="00AA3D0C" w:rsidRDefault="002B7D6E" w:rsidP="006F4580">
            <w:pPr>
              <w:jc w:val="right"/>
              <w:rPr>
                <w:sz w:val="22"/>
                <w:szCs w:val="22"/>
              </w:rPr>
            </w:pPr>
          </w:p>
          <w:p w14:paraId="267DCE1D" w14:textId="77777777" w:rsidR="002B7D6E" w:rsidRPr="00AA3D0C" w:rsidRDefault="002B7D6E" w:rsidP="006F4580">
            <w:pPr>
              <w:jc w:val="right"/>
              <w:rPr>
                <w:sz w:val="22"/>
                <w:szCs w:val="22"/>
              </w:rPr>
            </w:pPr>
            <w:r w:rsidRPr="00AA3D0C">
              <w:rPr>
                <w:sz w:val="22"/>
                <w:szCs w:val="22"/>
              </w:rPr>
              <w:t>(1)</w:t>
            </w:r>
          </w:p>
        </w:tc>
      </w:tr>
    </w:tbl>
    <w:p w14:paraId="446798D0" w14:textId="77777777" w:rsidR="009A47DF" w:rsidRPr="009A47DF" w:rsidRDefault="00B244CA" w:rsidP="009A47DF">
      <w:pPr>
        <w:jc w:val="both"/>
        <w:rPr>
          <w:sz w:val="22"/>
          <w:szCs w:val="22"/>
        </w:rPr>
      </w:pPr>
      <w:r w:rsidRPr="00AA3D0C">
        <w:rPr>
          <w:sz w:val="22"/>
          <w:szCs w:val="22"/>
        </w:rPr>
        <w:t>w</w:t>
      </w:r>
      <w:r w:rsidR="002B7D6E" w:rsidRPr="00AA3D0C">
        <w:rPr>
          <w:sz w:val="22"/>
          <w:szCs w:val="22"/>
        </w:rPr>
        <w:t>here</w:t>
      </w:r>
      <w:r w:rsidRPr="00AA3D0C">
        <w:rPr>
          <w:sz w:val="22"/>
          <w:szCs w:val="22"/>
        </w:rPr>
        <w:t>,</w:t>
      </w:r>
      <w:r w:rsidR="002B7D6E" w:rsidRPr="00AA3D0C">
        <w:rPr>
          <w:sz w:val="22"/>
          <w:szCs w:val="22"/>
        </w:rPr>
        <w:t xml:space="preserve"> </w:t>
      </w:r>
      <w:r w:rsidR="002B7D6E" w:rsidRPr="00EB2DF4">
        <w:rPr>
          <w:sz w:val="22"/>
          <w:szCs w:val="22"/>
        </w:rPr>
        <w:t>e, f</w:t>
      </w:r>
      <w:r w:rsidR="009A47DF">
        <w:rPr>
          <w:sz w:val="22"/>
          <w:szCs w:val="22"/>
        </w:rPr>
        <w:t xml:space="preserve">, </w:t>
      </w:r>
      <w:r w:rsidR="002B7D6E" w:rsidRPr="00EB2DF4">
        <w:rPr>
          <w:sz w:val="22"/>
          <w:szCs w:val="22"/>
        </w:rPr>
        <w:t>g</w:t>
      </w:r>
      <w:r w:rsidRPr="00EB2DF4">
        <w:rPr>
          <w:sz w:val="22"/>
          <w:szCs w:val="22"/>
        </w:rPr>
        <w:t xml:space="preserve">: </w:t>
      </w:r>
      <w:r w:rsidR="009A47DF">
        <w:rPr>
          <w:sz w:val="22"/>
          <w:szCs w:val="22"/>
        </w:rPr>
        <w:t xml:space="preserve">weighting exponents, and </w:t>
      </w:r>
      <w:r w:rsidR="009A47DF">
        <w:rPr>
          <w:sz w:val="22"/>
          <w:szCs w:val="22"/>
          <w:lang w:val="el-GR"/>
        </w:rPr>
        <w:t>ψ</w:t>
      </w:r>
      <w:r w:rsidR="009A47DF">
        <w:rPr>
          <w:sz w:val="22"/>
          <w:szCs w:val="22"/>
        </w:rPr>
        <w:t xml:space="preserve">: displacement angle </w:t>
      </w:r>
    </w:p>
    <w:p w14:paraId="555E3F33" w14:textId="77777777" w:rsidR="002B7D6E" w:rsidRPr="00AA3D0C" w:rsidRDefault="002B7D6E" w:rsidP="00B8793F">
      <w:pPr>
        <w:jc w:val="both"/>
        <w:rPr>
          <w:sz w:val="22"/>
          <w:szCs w:val="22"/>
        </w:rPr>
      </w:pPr>
    </w:p>
    <w:p w14:paraId="1BAB66FD" w14:textId="2218336D" w:rsidR="002B7D6E" w:rsidRPr="00AA3D0C" w:rsidRDefault="002B7D6E" w:rsidP="002B7D6E">
      <w:pPr>
        <w:jc w:val="both"/>
        <w:rPr>
          <w:sz w:val="22"/>
          <w:szCs w:val="22"/>
        </w:rPr>
      </w:pPr>
      <w:r w:rsidRPr="00AA3D0C">
        <w:rPr>
          <w:sz w:val="22"/>
          <w:szCs w:val="22"/>
        </w:rPr>
        <w:t xml:space="preserve">As a general methodological approach, the development of a glare prediction formula involves observations, where individual subjective responses are correlated to </w:t>
      </w:r>
      <w:proofErr w:type="gramStart"/>
      <w:r w:rsidRPr="00AA3D0C">
        <w:rPr>
          <w:sz w:val="22"/>
          <w:szCs w:val="22"/>
        </w:rPr>
        <w:t>some kind of photometric</w:t>
      </w:r>
      <w:proofErr w:type="gramEnd"/>
      <w:r w:rsidRPr="00AA3D0C">
        <w:rPr>
          <w:sz w:val="22"/>
          <w:szCs w:val="22"/>
        </w:rPr>
        <w:t xml:space="preserve"> measurements, and an empirical model is therefore derived. The experimental conditions </w:t>
      </w:r>
      <w:r w:rsidR="00B97FFE">
        <w:rPr>
          <w:sz w:val="22"/>
          <w:szCs w:val="22"/>
        </w:rPr>
        <w:t>determine</w:t>
      </w:r>
      <w:r w:rsidRPr="00AA3D0C">
        <w:rPr>
          <w:sz w:val="22"/>
          <w:szCs w:val="22"/>
        </w:rPr>
        <w:t xml:space="preserve"> </w:t>
      </w:r>
      <w:r w:rsidR="00B97FFE">
        <w:rPr>
          <w:sz w:val="22"/>
          <w:szCs w:val="22"/>
        </w:rPr>
        <w:t>the conditions in which t</w:t>
      </w:r>
      <w:r w:rsidRPr="00AA3D0C">
        <w:rPr>
          <w:sz w:val="22"/>
          <w:szCs w:val="22"/>
        </w:rPr>
        <w:t>he</w:t>
      </w:r>
      <w:r w:rsidR="00B97FFE">
        <w:rPr>
          <w:sz w:val="22"/>
          <w:szCs w:val="22"/>
        </w:rPr>
        <w:t xml:space="preserve"> derived</w:t>
      </w:r>
      <w:r w:rsidRPr="00AA3D0C">
        <w:rPr>
          <w:sz w:val="22"/>
          <w:szCs w:val="22"/>
        </w:rPr>
        <w:t xml:space="preserve"> glare prediction formula</w:t>
      </w:r>
      <w:r w:rsidR="00B97FFE">
        <w:rPr>
          <w:sz w:val="22"/>
          <w:szCs w:val="22"/>
        </w:rPr>
        <w:t xml:space="preserve"> is applicable</w:t>
      </w:r>
      <w:r w:rsidRPr="00AA3D0C">
        <w:rPr>
          <w:sz w:val="22"/>
          <w:szCs w:val="22"/>
        </w:rPr>
        <w:t xml:space="preserve">. As a consequence, to date, there is not yet a universal metric that would accurately predict discomfort glare for every possible case </w:t>
      </w:r>
      <w:r w:rsidRPr="00AA3D0C">
        <w:rPr>
          <w:sz w:val="22"/>
          <w:szCs w:val="22"/>
        </w:rPr>
        <w:fldChar w:fldCharType="begin" w:fldLock="1"/>
      </w:r>
      <w:r w:rsidR="005952EA">
        <w:rPr>
          <w:sz w:val="22"/>
          <w:szCs w:val="22"/>
        </w:rPr>
        <w:instrText>ADDIN CSL_CITATION { "citationItems" : [ { "id" : "ITEM-1", "itemData" : { "DOI" : "10.1016/j.buildenv.2016.12.002", "ISSN" : "0360-1323", "author" : [ { "dropping-particle" : "", "family" : "Tzempelikos", "given" : "A", "non-dropping-particle" : "", "parse-names" : false, "suffix" : "" } ], "container-title" : "Building and Environment", "id" : "ITEM-1", "issued" : { "date-parts" : [ [ "2017" ] ] }, "note" : "Cited By :1", "page" : "1-4", "publisher" : "Elsevier Ltd", "publisher-place" : "Affiliation: Lyles School of Civil Engineering, Purdue University, 550 Stadium Mall Dr., West Lafayette, IN, United States; Affiliation: Center for High Performance Buildings, Ray W. Herrick Laboratories, Purdue University, 140 S. Martin Jischke Dr., West", "title" : "Advances on daylighting and visual comfort research", "type" : "article-journal", "volume" : "113" }, "uris" : [ "http://www.mendeley.com/documents/?uuid=5ce5b5ab-95d2-47f3-b562-d2d2bd862c23", "http://www.mendeley.com/documents/?uuid=58973a9b-b2bb-4f23-b0d3-fc62f2164e2c" ] } ], "mendeley" : { "formattedCitation" : "(Tzempelikos, 2017)", "plainTextFormattedCitation" : "(Tzempelikos, 2017)", "previouslyFormattedCitation" : "(Tzempelikos, 2017)" }, "properties" : { "noteIndex" : 0 }, "schema" : "https://github.com/citation-style-language/schema/raw/master/csl-citation.json" }</w:instrText>
      </w:r>
      <w:r w:rsidRPr="00AA3D0C">
        <w:rPr>
          <w:sz w:val="22"/>
          <w:szCs w:val="22"/>
        </w:rPr>
        <w:fldChar w:fldCharType="separate"/>
      </w:r>
      <w:r w:rsidRPr="00AA3D0C">
        <w:rPr>
          <w:noProof/>
          <w:sz w:val="22"/>
          <w:szCs w:val="22"/>
        </w:rPr>
        <w:t>(Tzempelikos, 2017)</w:t>
      </w:r>
      <w:r w:rsidRPr="00AA3D0C">
        <w:rPr>
          <w:sz w:val="22"/>
          <w:szCs w:val="22"/>
        </w:rPr>
        <w:fldChar w:fldCharType="end"/>
      </w:r>
      <w:r w:rsidRPr="00AA3D0C">
        <w:rPr>
          <w:sz w:val="22"/>
          <w:szCs w:val="22"/>
        </w:rPr>
        <w:t>.</w:t>
      </w:r>
    </w:p>
    <w:p w14:paraId="199ABB20" w14:textId="77777777" w:rsidR="002B7D6E" w:rsidRPr="00AA3D0C" w:rsidRDefault="002B7D6E" w:rsidP="002B7D6E">
      <w:pPr>
        <w:jc w:val="both"/>
        <w:rPr>
          <w:sz w:val="22"/>
          <w:szCs w:val="22"/>
        </w:rPr>
      </w:pPr>
    </w:p>
    <w:p w14:paraId="60096B7A" w14:textId="65252CB2" w:rsidR="009603B9" w:rsidRDefault="002B7D6E" w:rsidP="002B7D6E">
      <w:pPr>
        <w:jc w:val="both"/>
        <w:rPr>
          <w:sz w:val="22"/>
          <w:szCs w:val="22"/>
        </w:rPr>
      </w:pPr>
      <w:r w:rsidRPr="00AA3D0C">
        <w:rPr>
          <w:sz w:val="22"/>
          <w:szCs w:val="22"/>
        </w:rPr>
        <w:t>For example, the Visual Comfort Probability (VCP)</w:t>
      </w:r>
      <w:r w:rsidR="00B97FFE">
        <w:rPr>
          <w:sz w:val="22"/>
          <w:szCs w:val="22"/>
        </w:rPr>
        <w:t xml:space="preserve"> proposed</w:t>
      </w:r>
      <w:r w:rsidRPr="00AA3D0C">
        <w:rPr>
          <w:sz w:val="22"/>
          <w:szCs w:val="22"/>
        </w:rPr>
        <w:t xml:space="preserve"> by </w:t>
      </w:r>
      <w:proofErr w:type="spellStart"/>
      <w:r w:rsidRPr="00AA3D0C">
        <w:rPr>
          <w:sz w:val="22"/>
          <w:szCs w:val="22"/>
        </w:rPr>
        <w:t>Guth</w:t>
      </w:r>
      <w:proofErr w:type="spellEnd"/>
      <w:r w:rsidRPr="00AA3D0C">
        <w:rPr>
          <w:sz w:val="22"/>
          <w:szCs w:val="22"/>
        </w:rPr>
        <w:t xml:space="preserve"> and </w:t>
      </w:r>
      <w:proofErr w:type="spellStart"/>
      <w:r w:rsidRPr="00AA3D0C">
        <w:rPr>
          <w:sz w:val="22"/>
          <w:szCs w:val="22"/>
        </w:rPr>
        <w:t>Luckiesh</w:t>
      </w:r>
      <w:proofErr w:type="spellEnd"/>
      <w:r w:rsidRPr="00AA3D0C">
        <w:rPr>
          <w:sz w:val="22"/>
          <w:szCs w:val="22"/>
        </w:rPr>
        <w:t xml:space="preserve"> </w:t>
      </w:r>
      <w:r w:rsidRPr="00AA3D0C">
        <w:rPr>
          <w:sz w:val="22"/>
          <w:szCs w:val="22"/>
        </w:rPr>
        <w:fldChar w:fldCharType="begin" w:fldLock="1"/>
      </w:r>
      <w:r w:rsidR="005952EA">
        <w:rPr>
          <w:sz w:val="22"/>
          <w:szCs w:val="22"/>
        </w:rPr>
        <w:instrText>ADDIN CSL_CITATION { "citationItems" : [ { "id" : "ITEM-1", "itemData" : { "ISSN" : "0019-2333", "author" : [ { "dropping-particle" : "", "family" : "Luckiesh", "given" : "M", "non-dropping-particle" : "", "parse-names" : false, "suffix" : "" }, { "dropping-particle" : "", "family" : "Guth", "given" : "S K", "non-dropping-particle" : "", "parse-names" : false, "suffix" : "" } ], "container-title" : "Illuminating engineering", "id" : "ITEM-1", "issue" : "11", "issued" : { "date-parts" : [ [ "1949" ] ] }, "note" : "Cited By :83", "page" : "650-670", "title" : "Brightnesses in visual field at borderline between comfort and discomfort", "type" : "article-journal", "volume" : "44" }, "uris" : [ "http://www.mendeley.com/documents/?uuid=a987b9a4-2578-4634-b7b9-801b559968ba", "http://www.mendeley.com/documents/?uuid=412dcd91-86e6-473a-b651-2dd4240bbfa5" ] } ], "mendeley" : { "formattedCitation" : "(Luckiesh and Guth, 1949)", "manualFormatting" : "(1949)", "plainTextFormattedCitation" : "(Luckiesh and Guth, 1949)", "previouslyFormattedCitation" : "(Luckiesh and Guth, 1949)" }, "properties" : { "noteIndex" : 0 }, "schema" : "https://github.com/citation-style-language/schema/raw/master/csl-citation.json" }</w:instrText>
      </w:r>
      <w:r w:rsidRPr="00AA3D0C">
        <w:rPr>
          <w:sz w:val="22"/>
          <w:szCs w:val="22"/>
        </w:rPr>
        <w:fldChar w:fldCharType="separate"/>
      </w:r>
      <w:r w:rsidRPr="00AA3D0C">
        <w:rPr>
          <w:noProof/>
          <w:sz w:val="22"/>
          <w:szCs w:val="22"/>
        </w:rPr>
        <w:t>(1949)</w:t>
      </w:r>
      <w:r w:rsidRPr="00AA3D0C">
        <w:rPr>
          <w:sz w:val="22"/>
          <w:szCs w:val="22"/>
        </w:rPr>
        <w:fldChar w:fldCharType="end"/>
      </w:r>
      <w:r w:rsidRPr="00AA3D0C">
        <w:rPr>
          <w:sz w:val="22"/>
          <w:szCs w:val="22"/>
        </w:rPr>
        <w:t>, was the first glare metric that was based on psychological assessments of glare issues</w:t>
      </w:r>
      <w:r w:rsidR="00B97FFE">
        <w:rPr>
          <w:sz w:val="22"/>
          <w:szCs w:val="22"/>
        </w:rPr>
        <w:t xml:space="preserve"> </w:t>
      </w:r>
      <w:r w:rsidR="00A71E98" w:rsidRPr="000A2C47">
        <w:rPr>
          <w:sz w:val="22"/>
          <w:szCs w:val="22"/>
        </w:rPr>
        <w:t>(eq.</w:t>
      </w:r>
      <w:r w:rsidR="000A2C47" w:rsidRPr="000A2C47">
        <w:rPr>
          <w:sz w:val="22"/>
          <w:szCs w:val="22"/>
        </w:rPr>
        <w:t>2</w:t>
      </w:r>
      <w:r w:rsidR="00A71E98" w:rsidRPr="000A2C47">
        <w:rPr>
          <w:sz w:val="22"/>
          <w:szCs w:val="22"/>
        </w:rPr>
        <w:t>)</w:t>
      </w:r>
      <w:r w:rsidR="00A71E98" w:rsidRPr="000A2C47">
        <w:rPr>
          <w:rStyle w:val="FootnoteReference"/>
          <w:sz w:val="22"/>
          <w:szCs w:val="22"/>
        </w:rPr>
        <w:footnoteReference w:id="3"/>
      </w:r>
      <w:r w:rsidRPr="000A2C47">
        <w:rPr>
          <w:sz w:val="22"/>
          <w:szCs w:val="22"/>
        </w:rPr>
        <w:t>.</w:t>
      </w:r>
      <w:r w:rsidRPr="00AA3D0C">
        <w:rPr>
          <w:sz w:val="22"/>
          <w:szCs w:val="22"/>
        </w:rPr>
        <w:t xml:space="preserve"> </w:t>
      </w:r>
      <w:r w:rsidR="00B97FFE">
        <w:rPr>
          <w:sz w:val="22"/>
          <w:szCs w:val="22"/>
        </w:rPr>
        <w:t>The</w:t>
      </w:r>
      <w:r w:rsidRPr="00AA3D0C">
        <w:rPr>
          <w:sz w:val="22"/>
          <w:szCs w:val="22"/>
        </w:rPr>
        <w:t xml:space="preserve"> VCP equation </w:t>
      </w:r>
      <w:r w:rsidR="00AF37D8">
        <w:rPr>
          <w:sz w:val="22"/>
          <w:szCs w:val="22"/>
        </w:rPr>
        <w:t>was derived from</w:t>
      </w:r>
      <w:r w:rsidRPr="00AA3D0C">
        <w:rPr>
          <w:sz w:val="22"/>
          <w:szCs w:val="22"/>
        </w:rPr>
        <w:t xml:space="preserve"> experiments with small uniform fluorescent lamps and thus could not provide accurate results when large uniform or non-uniform glare sources were tested </w:t>
      </w:r>
      <w:r w:rsidRPr="00AA3D0C">
        <w:rPr>
          <w:sz w:val="22"/>
          <w:szCs w:val="22"/>
        </w:rPr>
        <w:fldChar w:fldCharType="begin" w:fldLock="1"/>
      </w:r>
      <w:r w:rsidR="004F26FE">
        <w:rPr>
          <w:sz w:val="22"/>
          <w:szCs w:val="22"/>
        </w:rPr>
        <w:instrText>ADDIN CSL_CITATION { "citationItems" : [ { "id" : "ITEM-1", "itemData" : { "author" : [ { "dropping-particle" : "", "family" : "Hirning", "given" : "Michael Barry", "non-dropping-particle" : "", "parse-names" : false, "suffix" : "" } ], "id" : "ITEM-1", "issued" : { "date-parts" : [ [ "2014" ] ] }, "publisher" : "Queensland University of Technology", "title" : "The application of luminance mapping to discomfort glare: a modified glare index for green buildings", "type" : "thesis" }, "uris" : [ "http://www.mendeley.com/documents/?uuid=eb00fd65-2246-49ab-b4a7-e4a15a0d57ac", "http://www.mendeley.com/documents/?uuid=ce34e230-9615-4343-8fa6-e43bea835f19" ] } ], "mendeley" : { "formattedCitation" : "(Hirning, 2014)", "plainTextFormattedCitation" : "(Hirning, 2014)", "previouslyFormattedCitation" : "(Hirning, 2014)" }, "properties" : { "noteIndex" : 0 }, "schema" : "https://github.com/citation-style-language/schema/raw/master/csl-citation.json" }</w:instrText>
      </w:r>
      <w:r w:rsidRPr="00AA3D0C">
        <w:rPr>
          <w:sz w:val="22"/>
          <w:szCs w:val="22"/>
        </w:rPr>
        <w:fldChar w:fldCharType="separate"/>
      </w:r>
      <w:r w:rsidRPr="00AA3D0C">
        <w:rPr>
          <w:noProof/>
          <w:sz w:val="22"/>
          <w:szCs w:val="22"/>
        </w:rPr>
        <w:t>(Hirning, 2014)</w:t>
      </w:r>
      <w:r w:rsidRPr="00AA3D0C">
        <w:rPr>
          <w:sz w:val="22"/>
          <w:szCs w:val="22"/>
        </w:rPr>
        <w:fldChar w:fldCharType="end"/>
      </w:r>
      <w:r w:rsidRPr="00AA3D0C">
        <w:rPr>
          <w:sz w:val="22"/>
          <w:szCs w:val="22"/>
        </w:rPr>
        <w:t xml:space="preserve">. According to Suk </w:t>
      </w:r>
      <w:r w:rsidRPr="00AA3D0C">
        <w:rPr>
          <w:i/>
          <w:sz w:val="22"/>
          <w:szCs w:val="22"/>
        </w:rPr>
        <w:t xml:space="preserve">et al. </w:t>
      </w:r>
      <w:r w:rsidRPr="00AA3D0C">
        <w:rPr>
          <w:i/>
          <w:sz w:val="22"/>
          <w:szCs w:val="22"/>
        </w:rPr>
        <w:fldChar w:fldCharType="begin" w:fldLock="1"/>
      </w:r>
      <w:r w:rsidR="005952EA">
        <w:rPr>
          <w:i/>
          <w:sz w:val="22"/>
          <w:szCs w:val="22"/>
        </w:rPr>
        <w:instrText>ADDIN CSL_CITATION { "citationItems" : [ { "id" : "ITEM-1", "itemData" : { "DOI" : "10.1016/j.buildenv.2016.09.018", "ISSN" : "0360-1323", "abstract" : "As daylighting becomes an increasingly important component of design for energy savings and views to the outside, it is necessary to take into disadvantages that windows pose including the possibility of glare. It is crucial to understand how current metrics of glare perform this task. Validation studies were performed on five glare indices including Daylight Glare Probability (DGP) and Daylight Glare Index (DGI) that have been developed specifically for daylight glare issues. A parallel human subject study has been performed to collect subjective discomfort glare evaluations of daylit conditions. In addition, high dynamic range imaging was used to capture and analyze the glare scenes that were experienced by those human subjects. More than 450 daylight glare scenes and subjective surveys were collected in a closed office setting. The collected data were processed in Evalglare to obtain glare scores, and the results were compared for statistical analysis of subjective evaluations. The results show that DGP functions best at absence of glare and presence of intolerable glare; but in between it provides disappointingly low predictions. DGI underestimates glare while Visual Comfort Probability and CIE Glare Index overestimate it. This evaluation comparison study supports the findings that the five glare indices have significant inconsistency and inaccuracy issues. The glare indices behaved differently based on the perceived glare categories: imperceptible, perceptible, disturbing, and intolerable. The existing glare score ranges are compared to the newly defined glare score ranges for further improvement. \ufffd 2016 Elsevier Ltd", "author" : [ { "dropping-particle" : "", "family" : "Suk", "given" : "J Y", "non-dropping-particle" : "", "parse-names" : false, "suffix" : "" }, { "dropping-particle" : "", "family" : "Schiler", "given" : "M", "non-dropping-particle" : "", "parse-names" : false, "suffix" : "" }, { "dropping-particle" : "", "family" : "Kensek", "given" : "K", "non-dropping-particle" : "", "parse-names" : false, "suffix" : "" } ], "container-title" : "Building and Environment", "id" : "ITEM-1", "issued" : { "date-parts" : [ [ "2017" ] ] }, "note" : "Cited By :8", "page" : "121-130", "publisher" : "Elsevier Ltd", "publisher-place" : "Affiliation: Department of Architecture, The University of Texas at San Antonio, San Antonio, United States; Affiliation: School of Architecture, University of Southern California, Los Angeles, United States; Correspondence Address: Suk, J.Y.; Department ", "title" : "Investigation of existing discomfort glare indices using human subject study data", "type" : "article-journal", "volume" : "113" }, "uris" : [ "http://www.mendeley.com/documents/?uuid=ad8e079f-2dd8-4817-b860-ab7f216750f3", "http://www.mendeley.com/documents/?uuid=d4148275-795d-455d-ab9a-4df7eeace473" ] } ], "mendeley" : { "formattedCitation" : "(Suk, Schiler and Kensek, 2017)", "manualFormatting" : "(2017)", "plainTextFormattedCitation" : "(Suk, Schiler and Kensek, 2017)", "previouslyFormattedCitation" : "(Suk, Schiler and Kensek, 2017)" }, "properties" : { "noteIndex" : 0 }, "schema" : "https://github.com/citation-style-language/schema/raw/master/csl-citation.json" }</w:instrText>
      </w:r>
      <w:r w:rsidRPr="00AA3D0C">
        <w:rPr>
          <w:i/>
          <w:sz w:val="22"/>
          <w:szCs w:val="22"/>
        </w:rPr>
        <w:fldChar w:fldCharType="separate"/>
      </w:r>
      <w:r w:rsidRPr="00AA3D0C">
        <w:rPr>
          <w:noProof/>
          <w:sz w:val="22"/>
          <w:szCs w:val="22"/>
        </w:rPr>
        <w:t>(2017)</w:t>
      </w:r>
      <w:r w:rsidRPr="00AA3D0C">
        <w:rPr>
          <w:i/>
          <w:sz w:val="22"/>
          <w:szCs w:val="22"/>
        </w:rPr>
        <w:fldChar w:fldCharType="end"/>
      </w:r>
      <w:r w:rsidRPr="00AA3D0C">
        <w:rPr>
          <w:sz w:val="22"/>
          <w:szCs w:val="22"/>
        </w:rPr>
        <w:t xml:space="preserve">, VCP reported </w:t>
      </w:r>
      <w:r w:rsidR="002A305C" w:rsidRPr="00AA3D0C">
        <w:rPr>
          <w:sz w:val="22"/>
          <w:szCs w:val="22"/>
        </w:rPr>
        <w:t>excessed</w:t>
      </w:r>
      <w:r w:rsidR="00AD6A3A" w:rsidRPr="00AA3D0C">
        <w:rPr>
          <w:sz w:val="22"/>
          <w:szCs w:val="22"/>
        </w:rPr>
        <w:t xml:space="preserve"> </w:t>
      </w:r>
      <w:r w:rsidRPr="00AA3D0C">
        <w:rPr>
          <w:sz w:val="22"/>
          <w:szCs w:val="22"/>
        </w:rPr>
        <w:t>risk for glare, when was examined under daylight conditions, confirming the initial thoughts.</w:t>
      </w:r>
    </w:p>
    <w:p w14:paraId="646D11A4" w14:textId="77777777" w:rsidR="009603B9" w:rsidRDefault="009603B9" w:rsidP="002B7D6E">
      <w:pPr>
        <w:jc w:val="both"/>
        <w:rPr>
          <w:sz w:val="22"/>
          <w:szCs w:val="22"/>
        </w:rPr>
      </w:pPr>
    </w:p>
    <w:tbl>
      <w:tblPr>
        <w:tblStyle w:val="PlainTable2"/>
        <w:tblW w:w="8275" w:type="dxa"/>
        <w:tblBorders>
          <w:top w:val="none" w:sz="0" w:space="0" w:color="auto"/>
          <w:bottom w:val="none" w:sz="0" w:space="0" w:color="auto"/>
        </w:tblBorders>
        <w:tblLook w:val="04A0" w:firstRow="1" w:lastRow="0" w:firstColumn="1" w:lastColumn="0" w:noHBand="0" w:noVBand="1"/>
      </w:tblPr>
      <w:tblGrid>
        <w:gridCol w:w="6096"/>
        <w:gridCol w:w="1629"/>
        <w:gridCol w:w="550"/>
      </w:tblGrid>
      <w:tr w:rsidR="009603B9" w:rsidRPr="008C63D2" w14:paraId="178B973C" w14:textId="77777777" w:rsidTr="00EB2DF4">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096" w:type="dxa"/>
            <w:tcBorders>
              <w:bottom w:val="none" w:sz="0" w:space="0" w:color="auto"/>
            </w:tcBorders>
          </w:tcPr>
          <w:p w14:paraId="474AB71D" w14:textId="71137647" w:rsidR="009603B9" w:rsidRPr="008C63D2" w:rsidRDefault="008C63D2" w:rsidP="009603B9">
            <w:pPr>
              <w:jc w:val="both"/>
              <w:rPr>
                <w:b w:val="0"/>
                <w:sz w:val="20"/>
                <w:szCs w:val="20"/>
                <w:lang w:val="en-US"/>
              </w:rPr>
            </w:pPr>
            <m:oMathPara>
              <m:oMathParaPr>
                <m:jc m:val="right"/>
              </m:oMathParaPr>
              <m:oMath>
                <m:r>
                  <m:rPr>
                    <m:sty m:val="bi"/>
                  </m:rPr>
                  <w:rPr>
                    <w:rFonts w:ascii="Cambria Math" w:hAnsi="Cambria Math"/>
                    <w:sz w:val="22"/>
                    <w:szCs w:val="20"/>
                    <w:lang w:val="en-US"/>
                  </w:rPr>
                  <m:t>VCP=</m:t>
                </m:r>
                <m:f>
                  <m:fPr>
                    <m:ctrlPr>
                      <w:rPr>
                        <w:rFonts w:ascii="Cambria Math" w:hAnsi="Cambria Math"/>
                        <w:b w:val="0"/>
                        <w:bCs w:val="0"/>
                        <w:i/>
                        <w:sz w:val="22"/>
                        <w:szCs w:val="20"/>
                        <w:lang w:val="en-US"/>
                      </w:rPr>
                    </m:ctrlPr>
                  </m:fPr>
                  <m:num>
                    <m:r>
                      <m:rPr>
                        <m:sty m:val="bi"/>
                      </m:rPr>
                      <w:rPr>
                        <w:rFonts w:ascii="Cambria Math" w:hAnsi="Cambria Math"/>
                        <w:sz w:val="22"/>
                        <w:szCs w:val="20"/>
                        <w:lang w:val="en-US"/>
                      </w:rPr>
                      <m:t>100</m:t>
                    </m:r>
                  </m:num>
                  <m:den>
                    <m:rad>
                      <m:radPr>
                        <m:degHide m:val="1"/>
                        <m:ctrlPr>
                          <w:rPr>
                            <w:rFonts w:ascii="Cambria Math" w:hAnsi="Cambria Math"/>
                            <w:b w:val="0"/>
                            <w:bCs w:val="0"/>
                            <w:i/>
                            <w:sz w:val="22"/>
                            <w:szCs w:val="20"/>
                            <w:lang w:val="en-US"/>
                          </w:rPr>
                        </m:ctrlPr>
                      </m:radPr>
                      <m:deg/>
                      <m:e>
                        <m:r>
                          <m:rPr>
                            <m:sty m:val="bi"/>
                          </m:rPr>
                          <w:rPr>
                            <w:rFonts w:ascii="Cambria Math" w:hAnsi="Cambria Math"/>
                            <w:sz w:val="22"/>
                            <w:szCs w:val="20"/>
                            <w:lang w:val="en-US"/>
                          </w:rPr>
                          <m:t>2</m:t>
                        </m:r>
                        <m:r>
                          <m:rPr>
                            <m:sty m:val="bi"/>
                          </m:rPr>
                          <w:rPr>
                            <w:rFonts w:ascii="Cambria Math" w:hAnsi="Cambria Math"/>
                            <w:sz w:val="22"/>
                            <w:szCs w:val="20"/>
                            <w:lang w:val="en-US"/>
                          </w:rPr>
                          <m:t>π</m:t>
                        </m:r>
                      </m:e>
                    </m:rad>
                  </m:den>
                </m:f>
                <m:r>
                  <m:rPr>
                    <m:sty m:val="bi"/>
                  </m:rPr>
                  <w:rPr>
                    <w:rFonts w:ascii="Cambria Math" w:hAnsi="Cambria Math"/>
                    <w:sz w:val="22"/>
                    <w:szCs w:val="20"/>
                    <w:lang w:val="en-US"/>
                  </w:rPr>
                  <m:t>∙</m:t>
                </m:r>
                <m:nary>
                  <m:naryPr>
                    <m:limLoc m:val="subSup"/>
                    <m:grow m:val="1"/>
                    <m:ctrlPr>
                      <w:rPr>
                        <w:rFonts w:ascii="Cambria Math" w:hAnsi="Cambria Math"/>
                        <w:b w:val="0"/>
                        <w:bCs w:val="0"/>
                        <w:i/>
                        <w:sz w:val="22"/>
                        <w:szCs w:val="20"/>
                        <w:lang w:val="en-US"/>
                      </w:rPr>
                    </m:ctrlPr>
                  </m:naryPr>
                  <m:sub>
                    <m:r>
                      <m:rPr>
                        <m:sty m:val="bi"/>
                      </m:rPr>
                      <w:rPr>
                        <w:rFonts w:ascii="Cambria Math" w:hAnsi="Cambria Math"/>
                        <w:sz w:val="22"/>
                        <w:szCs w:val="20"/>
                        <w:lang w:val="en-US"/>
                      </w:rPr>
                      <m:t>-∞</m:t>
                    </m:r>
                  </m:sub>
                  <m:sup>
                    <m:r>
                      <m:rPr>
                        <m:sty m:val="bi"/>
                      </m:rPr>
                      <w:rPr>
                        <w:rFonts w:ascii="Cambria Math" w:hAnsi="Cambria Math"/>
                        <w:sz w:val="22"/>
                        <w:szCs w:val="20"/>
                        <w:lang w:val="en-US"/>
                      </w:rPr>
                      <m:t>6.374-1.3227</m:t>
                    </m:r>
                    <m:func>
                      <m:funcPr>
                        <m:ctrlPr>
                          <w:rPr>
                            <w:rFonts w:ascii="Cambria Math" w:hAnsi="Cambria Math"/>
                            <w:b w:val="0"/>
                            <w:bCs w:val="0"/>
                            <w:i/>
                            <w:sz w:val="22"/>
                            <w:szCs w:val="20"/>
                            <w:lang w:val="en-US"/>
                          </w:rPr>
                        </m:ctrlPr>
                      </m:funcPr>
                      <m:fName>
                        <m:r>
                          <m:rPr>
                            <m:sty m:val="bi"/>
                          </m:rPr>
                          <w:rPr>
                            <w:rFonts w:ascii="Cambria Math" w:hAnsi="Cambria Math"/>
                            <w:sz w:val="22"/>
                            <w:szCs w:val="20"/>
                          </w:rPr>
                          <m:t>ln</m:t>
                        </m:r>
                      </m:fName>
                      <m:e>
                        <m:d>
                          <m:dPr>
                            <m:ctrlPr>
                              <w:rPr>
                                <w:rFonts w:ascii="Cambria Math" w:hAnsi="Cambria Math"/>
                                <w:b w:val="0"/>
                                <w:bCs w:val="0"/>
                                <w:i/>
                                <w:sz w:val="22"/>
                                <w:szCs w:val="20"/>
                                <w:lang w:val="en-US"/>
                              </w:rPr>
                            </m:ctrlPr>
                          </m:dPr>
                          <m:e>
                            <m:r>
                              <m:rPr>
                                <m:sty m:val="bi"/>
                              </m:rPr>
                              <w:rPr>
                                <w:rFonts w:ascii="Cambria Math" w:hAnsi="Cambria Math"/>
                                <w:sz w:val="22"/>
                                <w:szCs w:val="20"/>
                                <w:lang w:val="en-US"/>
                              </w:rPr>
                              <m:t>DGR</m:t>
                            </m:r>
                          </m:e>
                        </m:d>
                      </m:e>
                    </m:func>
                  </m:sup>
                  <m:e>
                    <m:d>
                      <m:dPr>
                        <m:ctrlPr>
                          <w:rPr>
                            <w:rFonts w:ascii="Cambria Math" w:hAnsi="Cambria Math"/>
                            <w:b w:val="0"/>
                            <w:bCs w:val="0"/>
                            <w:i/>
                            <w:sz w:val="22"/>
                            <w:szCs w:val="20"/>
                            <w:lang w:val="en-US"/>
                          </w:rPr>
                        </m:ctrlPr>
                      </m:dPr>
                      <m:e>
                        <m:sSup>
                          <m:sSupPr>
                            <m:ctrlPr>
                              <w:rPr>
                                <w:rFonts w:ascii="Cambria Math" w:hAnsi="Cambria Math"/>
                                <w:b w:val="0"/>
                                <w:bCs w:val="0"/>
                                <w:i/>
                                <w:sz w:val="22"/>
                                <w:szCs w:val="20"/>
                                <w:lang w:val="en-US"/>
                              </w:rPr>
                            </m:ctrlPr>
                          </m:sSupPr>
                          <m:e>
                            <m:r>
                              <m:rPr>
                                <m:sty m:val="bi"/>
                              </m:rPr>
                              <w:rPr>
                                <w:rFonts w:ascii="Cambria Math" w:hAnsi="Cambria Math"/>
                                <w:sz w:val="22"/>
                                <w:szCs w:val="20"/>
                                <w:lang w:val="en-US"/>
                              </w:rPr>
                              <m:t>e</m:t>
                            </m:r>
                          </m:e>
                          <m:sup>
                            <m:f>
                              <m:fPr>
                                <m:type m:val="skw"/>
                                <m:ctrlPr>
                                  <w:rPr>
                                    <w:rFonts w:ascii="Cambria Math" w:hAnsi="Cambria Math"/>
                                    <w:b w:val="0"/>
                                    <w:bCs w:val="0"/>
                                    <w:i/>
                                    <w:sz w:val="22"/>
                                    <w:szCs w:val="20"/>
                                    <w:lang w:val="en-US"/>
                                  </w:rPr>
                                </m:ctrlPr>
                              </m:fPr>
                              <m:num>
                                <m:r>
                                  <m:rPr>
                                    <m:sty m:val="bi"/>
                                  </m:rPr>
                                  <w:rPr>
                                    <w:rFonts w:ascii="Cambria Math" w:hAnsi="Cambria Math"/>
                                    <w:sz w:val="22"/>
                                    <w:szCs w:val="20"/>
                                    <w:lang w:val="en-US"/>
                                  </w:rPr>
                                  <m:t>-</m:t>
                                </m:r>
                                <m:sSup>
                                  <m:sSupPr>
                                    <m:ctrlPr>
                                      <w:rPr>
                                        <w:rFonts w:ascii="Cambria Math" w:hAnsi="Cambria Math"/>
                                        <w:b w:val="0"/>
                                        <w:bCs w:val="0"/>
                                        <w:i/>
                                        <w:sz w:val="22"/>
                                        <w:szCs w:val="20"/>
                                        <w:lang w:val="en-US"/>
                                      </w:rPr>
                                    </m:ctrlPr>
                                  </m:sSupPr>
                                  <m:e>
                                    <m:r>
                                      <m:rPr>
                                        <m:sty m:val="bi"/>
                                      </m:rPr>
                                      <w:rPr>
                                        <w:rFonts w:ascii="Cambria Math" w:hAnsi="Cambria Math"/>
                                        <w:sz w:val="22"/>
                                        <w:szCs w:val="20"/>
                                        <w:lang w:val="en-US"/>
                                      </w:rPr>
                                      <m:t>t</m:t>
                                    </m:r>
                                  </m:e>
                                  <m:sup>
                                    <m:r>
                                      <m:rPr>
                                        <m:sty m:val="bi"/>
                                      </m:rPr>
                                      <w:rPr>
                                        <w:rFonts w:ascii="Cambria Math" w:hAnsi="Cambria Math"/>
                                        <w:sz w:val="22"/>
                                        <w:szCs w:val="20"/>
                                        <w:lang w:val="en-US"/>
                                      </w:rPr>
                                      <m:t>2</m:t>
                                    </m:r>
                                  </m:sup>
                                </m:sSup>
                              </m:num>
                              <m:den>
                                <m:r>
                                  <m:rPr>
                                    <m:sty m:val="bi"/>
                                  </m:rPr>
                                  <w:rPr>
                                    <w:rFonts w:ascii="Cambria Math" w:hAnsi="Cambria Math"/>
                                    <w:sz w:val="22"/>
                                    <w:szCs w:val="20"/>
                                    <w:lang w:val="en-US"/>
                                  </w:rPr>
                                  <m:t>2</m:t>
                                </m:r>
                              </m:den>
                            </m:f>
                          </m:sup>
                        </m:sSup>
                        <m:r>
                          <m:rPr>
                            <m:sty m:val="bi"/>
                          </m:rPr>
                          <w:rPr>
                            <w:rFonts w:ascii="Cambria Math" w:hAnsi="Cambria Math"/>
                            <w:sz w:val="22"/>
                            <w:szCs w:val="20"/>
                            <w:lang w:val="en-US"/>
                          </w:rPr>
                          <m:t>∙dt</m:t>
                        </m:r>
                      </m:e>
                    </m:d>
                  </m:e>
                </m:nary>
              </m:oMath>
            </m:oMathPara>
          </w:p>
        </w:tc>
        <w:tc>
          <w:tcPr>
            <w:tcW w:w="1629" w:type="dxa"/>
            <w:tcBorders>
              <w:bottom w:val="none" w:sz="0" w:space="0" w:color="auto"/>
            </w:tcBorders>
          </w:tcPr>
          <w:p w14:paraId="185FBB04" w14:textId="77777777" w:rsidR="00EB2DF4" w:rsidRPr="008C63D2" w:rsidRDefault="00EB2DF4" w:rsidP="009603B9">
            <w:pPr>
              <w:jc w:val="both"/>
              <w:cnfStyle w:val="100000000000" w:firstRow="1" w:lastRow="0" w:firstColumn="0" w:lastColumn="0" w:oddVBand="0" w:evenVBand="0" w:oddHBand="0" w:evenHBand="0" w:firstRowFirstColumn="0" w:firstRowLastColumn="0" w:lastRowFirstColumn="0" w:lastRowLastColumn="0"/>
              <w:rPr>
                <w:b w:val="0"/>
                <w:bCs w:val="0"/>
                <w:sz w:val="14"/>
                <w:szCs w:val="22"/>
                <w:lang w:val="en-US"/>
              </w:rPr>
            </w:pPr>
          </w:p>
          <w:p w14:paraId="2B963603" w14:textId="77777777" w:rsidR="009603B9" w:rsidRPr="008C63D2" w:rsidRDefault="009603B9" w:rsidP="009603B9">
            <w:pPr>
              <w:jc w:val="both"/>
              <w:cnfStyle w:val="100000000000" w:firstRow="1" w:lastRow="0" w:firstColumn="0" w:lastColumn="0" w:oddVBand="0" w:evenVBand="0" w:oddHBand="0" w:evenHBand="0" w:firstRowFirstColumn="0" w:firstRowLastColumn="0" w:lastRowFirstColumn="0" w:lastRowLastColumn="0"/>
              <w:rPr>
                <w:b w:val="0"/>
                <w:sz w:val="22"/>
                <w:szCs w:val="22"/>
                <w:lang w:val="en-US"/>
              </w:rPr>
            </w:pPr>
            <w:r w:rsidRPr="008C63D2">
              <w:rPr>
                <w:b w:val="0"/>
                <w:sz w:val="22"/>
                <w:szCs w:val="22"/>
                <w:lang w:val="en-US"/>
              </w:rPr>
              <w:t>[-]</w:t>
            </w:r>
          </w:p>
        </w:tc>
        <w:tc>
          <w:tcPr>
            <w:tcW w:w="550" w:type="dxa"/>
            <w:tcBorders>
              <w:bottom w:val="none" w:sz="0" w:space="0" w:color="auto"/>
            </w:tcBorders>
          </w:tcPr>
          <w:p w14:paraId="3CA2D55A" w14:textId="77777777" w:rsidR="00EB2DF4" w:rsidRPr="008C63D2" w:rsidRDefault="00EB2DF4" w:rsidP="009603B9">
            <w:pPr>
              <w:jc w:val="both"/>
              <w:cnfStyle w:val="100000000000" w:firstRow="1" w:lastRow="0" w:firstColumn="0" w:lastColumn="0" w:oddVBand="0" w:evenVBand="0" w:oddHBand="0" w:evenHBand="0" w:firstRowFirstColumn="0" w:firstRowLastColumn="0" w:lastRowFirstColumn="0" w:lastRowLastColumn="0"/>
              <w:rPr>
                <w:b w:val="0"/>
                <w:bCs w:val="0"/>
                <w:sz w:val="14"/>
                <w:szCs w:val="14"/>
                <w:lang w:val="en-US"/>
              </w:rPr>
            </w:pPr>
          </w:p>
          <w:p w14:paraId="4DDFA361" w14:textId="77777777" w:rsidR="009603B9" w:rsidRPr="008C63D2" w:rsidRDefault="009603B9" w:rsidP="009603B9">
            <w:pPr>
              <w:jc w:val="both"/>
              <w:cnfStyle w:val="100000000000" w:firstRow="1" w:lastRow="0" w:firstColumn="0" w:lastColumn="0" w:oddVBand="0" w:evenVBand="0" w:oddHBand="0" w:evenHBand="0" w:firstRowFirstColumn="0" w:firstRowLastColumn="0" w:lastRowFirstColumn="0" w:lastRowLastColumn="0"/>
              <w:rPr>
                <w:b w:val="0"/>
                <w:sz w:val="22"/>
                <w:szCs w:val="22"/>
                <w:lang w:val="en-US"/>
              </w:rPr>
            </w:pPr>
            <w:r w:rsidRPr="008C63D2">
              <w:rPr>
                <w:b w:val="0"/>
                <w:sz w:val="22"/>
                <w:szCs w:val="22"/>
                <w:lang w:val="en-US"/>
              </w:rPr>
              <w:t>(</w:t>
            </w:r>
            <w:r w:rsidR="000A2C47" w:rsidRPr="008C63D2">
              <w:rPr>
                <w:b w:val="0"/>
                <w:sz w:val="22"/>
                <w:szCs w:val="22"/>
                <w:lang w:val="en-US"/>
              </w:rPr>
              <w:t>2</w:t>
            </w:r>
            <w:r w:rsidRPr="008C63D2">
              <w:rPr>
                <w:b w:val="0"/>
                <w:sz w:val="22"/>
                <w:szCs w:val="22"/>
                <w:lang w:val="en-US"/>
              </w:rPr>
              <w:t>)</w:t>
            </w:r>
          </w:p>
        </w:tc>
      </w:tr>
    </w:tbl>
    <w:p w14:paraId="613587DA" w14:textId="77777777" w:rsidR="00AD6A3A" w:rsidRPr="00AA3D0C" w:rsidRDefault="00AD6A3A" w:rsidP="002B7D6E">
      <w:pPr>
        <w:jc w:val="both"/>
        <w:rPr>
          <w:sz w:val="22"/>
          <w:szCs w:val="22"/>
        </w:rPr>
      </w:pPr>
    </w:p>
    <w:p w14:paraId="5DA992BB" w14:textId="1D4A69CD" w:rsidR="00914CBA" w:rsidRPr="00AA3D0C" w:rsidRDefault="00914CBA" w:rsidP="00914CBA">
      <w:pPr>
        <w:jc w:val="both"/>
        <w:rPr>
          <w:sz w:val="22"/>
          <w:szCs w:val="22"/>
        </w:rPr>
      </w:pPr>
      <w:r w:rsidRPr="00AA3D0C">
        <w:rPr>
          <w:sz w:val="22"/>
          <w:szCs w:val="22"/>
        </w:rPr>
        <w:t xml:space="preserve">where, </w:t>
      </w:r>
      <w:r>
        <w:rPr>
          <w:sz w:val="22"/>
          <w:szCs w:val="22"/>
        </w:rPr>
        <w:t>DGR: Discomfort Glare Rating</w:t>
      </w:r>
      <w:r w:rsidR="00B97FFE">
        <w:rPr>
          <w:sz w:val="22"/>
          <w:szCs w:val="22"/>
        </w:rPr>
        <w:t>.</w:t>
      </w:r>
    </w:p>
    <w:p w14:paraId="4D6EF649" w14:textId="77777777" w:rsidR="00914CBA" w:rsidRDefault="00914CBA" w:rsidP="002B7D6E">
      <w:pPr>
        <w:jc w:val="both"/>
        <w:rPr>
          <w:sz w:val="22"/>
          <w:szCs w:val="22"/>
        </w:rPr>
      </w:pPr>
    </w:p>
    <w:p w14:paraId="34EB2D01" w14:textId="597AA9EE" w:rsidR="002B7D6E" w:rsidRDefault="00B97FFE" w:rsidP="002B7D6E">
      <w:pPr>
        <w:jc w:val="both"/>
        <w:rPr>
          <w:sz w:val="22"/>
          <w:szCs w:val="22"/>
        </w:rPr>
      </w:pPr>
      <w:r>
        <w:rPr>
          <w:sz w:val="22"/>
          <w:szCs w:val="22"/>
        </w:rPr>
        <w:t>On the contrary</w:t>
      </w:r>
      <w:r w:rsidR="002B7D6E" w:rsidRPr="00AA3D0C">
        <w:rPr>
          <w:sz w:val="22"/>
          <w:szCs w:val="22"/>
        </w:rPr>
        <w:t xml:space="preserve">, the British Research Station Glare Index (BRS or BGI), introduced by Hopkinson and </w:t>
      </w:r>
      <w:proofErr w:type="spellStart"/>
      <w:r w:rsidR="002B7D6E" w:rsidRPr="00AA3D0C">
        <w:rPr>
          <w:sz w:val="22"/>
          <w:szCs w:val="22"/>
        </w:rPr>
        <w:t>Petherbridge</w:t>
      </w:r>
      <w:proofErr w:type="spellEnd"/>
      <w:r w:rsidR="002B7D6E" w:rsidRPr="00AA3D0C">
        <w:rPr>
          <w:sz w:val="22"/>
          <w:szCs w:val="22"/>
        </w:rPr>
        <w:t xml:space="preserve"> </w:t>
      </w:r>
      <w:r w:rsidR="002B7D6E" w:rsidRPr="00AA3D0C">
        <w:rPr>
          <w:sz w:val="22"/>
          <w:szCs w:val="22"/>
        </w:rPr>
        <w:fldChar w:fldCharType="begin" w:fldLock="1"/>
      </w:r>
      <w:r w:rsidR="005952EA">
        <w:rPr>
          <w:sz w:val="22"/>
          <w:szCs w:val="22"/>
        </w:rPr>
        <w:instrText>ADDIN CSL_CITATION { "citationItems" : [ { "id" : "ITEM-1", "itemData" : { "DOI" : "10.1177/147715355001500201", "ISSN" : "1477-1535", "abstract" : "Der Zusammenhang zwischen Blendung und Helligkeit des Scheinwerferumfeldes wird aufgezeigt.", "author" : [ { "dropping-particle" : "", "family" : "Petherbridge", "given" : "P.", "non-dropping-particle" : "", "parse-names" : false, "suffix" : "" }, { "dropping-particle" : "", "family" : "Hopkinson", "given" : "R. G.", "non-dropping-particle" : "", "parse-names" : false, "suffix" : "" } ], "container-title" : "Lighting Research and Technology", "id" : "ITEM-1", "issue" : "2 IEStrans", "issued" : { "date-parts" : [ [ "1950", "2", "1" ] ] }, "page" : "39-79", "title" : "Discomfort glare and the lighting of buildings", "type" : "article-journal", "volume" : "15, 2" }, "uris" : [ "http://www.mendeley.com/documents/?uuid=3c628edf-d321-3028-bc21-6bfc280666a8", "http://www.mendeley.com/documents/?uuid=efc4e17a-2086-4ae2-ab96-5091943ea2f2" ] } ], "mendeley" : { "formattedCitation" : "(Petherbridge and Hopkinson, 1950)", "manualFormatting" : "(1950)", "plainTextFormattedCitation" : "(Petherbridge and Hopkinson, 1950)", "previouslyFormattedCitation" : "(Petherbridge and Hopkinson, 1950)" }, "properties" : { "noteIndex" : 0 }, "schema" : "https://github.com/citation-style-language/schema/raw/master/csl-citation.json" }</w:instrText>
      </w:r>
      <w:r w:rsidR="002B7D6E" w:rsidRPr="00AA3D0C">
        <w:rPr>
          <w:sz w:val="22"/>
          <w:szCs w:val="22"/>
        </w:rPr>
        <w:fldChar w:fldCharType="separate"/>
      </w:r>
      <w:r w:rsidR="002B7D6E" w:rsidRPr="00AA3D0C">
        <w:rPr>
          <w:noProof/>
          <w:sz w:val="22"/>
          <w:szCs w:val="22"/>
        </w:rPr>
        <w:t>(1950)</w:t>
      </w:r>
      <w:r w:rsidR="002B7D6E" w:rsidRPr="00AA3D0C">
        <w:rPr>
          <w:sz w:val="22"/>
          <w:szCs w:val="22"/>
        </w:rPr>
        <w:fldChar w:fldCharType="end"/>
      </w:r>
      <w:r w:rsidR="002B7D6E" w:rsidRPr="00AA3D0C">
        <w:rPr>
          <w:sz w:val="22"/>
          <w:szCs w:val="22"/>
        </w:rPr>
        <w:t>, took into account glare sources from large surfaces with increased brightness</w:t>
      </w:r>
      <w:r w:rsidR="00245B0B">
        <w:rPr>
          <w:sz w:val="22"/>
          <w:szCs w:val="22"/>
        </w:rPr>
        <w:t xml:space="preserve"> </w:t>
      </w:r>
      <w:r w:rsidR="00245B0B" w:rsidRPr="00914CBA">
        <w:rPr>
          <w:sz w:val="22"/>
          <w:szCs w:val="22"/>
        </w:rPr>
        <w:t>(eq.</w:t>
      </w:r>
      <w:r w:rsidR="00914CBA" w:rsidRPr="00914CBA">
        <w:rPr>
          <w:sz w:val="22"/>
          <w:szCs w:val="22"/>
        </w:rPr>
        <w:t>3</w:t>
      </w:r>
      <w:r w:rsidR="00245B0B" w:rsidRPr="00914CBA">
        <w:rPr>
          <w:sz w:val="22"/>
          <w:szCs w:val="22"/>
        </w:rPr>
        <w:t>)</w:t>
      </w:r>
      <w:r w:rsidR="00245B0B">
        <w:rPr>
          <w:sz w:val="22"/>
          <w:szCs w:val="22"/>
        </w:rPr>
        <w:t>. BGI</w:t>
      </w:r>
      <w:r w:rsidR="002B7D6E" w:rsidRPr="00AA3D0C">
        <w:rPr>
          <w:sz w:val="22"/>
          <w:szCs w:val="22"/>
        </w:rPr>
        <w:t xml:space="preserve"> was the first glare metric to consider the </w:t>
      </w:r>
      <w:r w:rsidRPr="00AA3D0C">
        <w:rPr>
          <w:sz w:val="22"/>
          <w:szCs w:val="22"/>
        </w:rPr>
        <w:t>reflectance</w:t>
      </w:r>
      <w:r w:rsidR="002B7D6E" w:rsidRPr="00AA3D0C">
        <w:rPr>
          <w:sz w:val="22"/>
          <w:szCs w:val="22"/>
        </w:rPr>
        <w:t xml:space="preserve"> from the surrounding space. However, when used to predict indoor glare under daylight conditions, the results differed from th</w:t>
      </w:r>
      <w:r w:rsidR="00AA3D0C" w:rsidRPr="00AA3D0C">
        <w:rPr>
          <w:sz w:val="22"/>
          <w:szCs w:val="22"/>
        </w:rPr>
        <w:t>ose provided by the observers in the field</w:t>
      </w:r>
      <w:r w:rsidR="002B7D6E" w:rsidRPr="00AA3D0C">
        <w:rPr>
          <w:sz w:val="22"/>
          <w:szCs w:val="22"/>
        </w:rPr>
        <w:t xml:space="preserve">. The reason was that the empirically emerged formula derived under artificial lighting conditions, all glare sources were accounted as one condensed parameter and the possible adaptation was not included </w:t>
      </w:r>
      <w:r w:rsidR="002B7D6E" w:rsidRPr="00AA3D0C">
        <w:rPr>
          <w:sz w:val="22"/>
          <w:szCs w:val="22"/>
        </w:rPr>
        <w:fldChar w:fldCharType="begin" w:fldLock="1"/>
      </w:r>
      <w:r w:rsidR="005952EA">
        <w:rPr>
          <w:sz w:val="22"/>
          <w:szCs w:val="22"/>
        </w:rPr>
        <w:instrText>ADDIN CSL_CITATION { "citationItems" : [ { "id" : "ITEM-1", "itemData" : { "DOI" : "10.1016/0378-7788(90)90013-9", "ISSN" : "0378-7788", "abstract" : "We report here on experiments to measure subjective response to intense light, or glare caused by a wide source. We have investigated three glare indices: the Building Research Station glare index; the CIE glare index and the Cornell daylight glare index. We have also examined the glare vote and have proposed a new glare evaluation scale, as well as asking the subject to vote on the condition's acceptability. The Cornell formula most accurately predicts glare discomfort, but it is found to be inadequate for a range of wide-source glare conditions. Both the discomfort sensation vote and the glare vote which we proposed correlate well with the percentage of subjects dissatisfied when looking directly at the light source.", "author" : [ { "dropping-particle" : "", "family" : "Iwata", "given" : "Toshie", "non-dropping-particle" : "", "parse-names" : false, "suffix" : "" }, { "dropping-particle" : "", "family" : "Kimura", "given" : "Ken-Ichi", "non-dropping-particle" : "", "parse-names" : false, "suffix" : "" }, { "dropping-particle" : "", "family" : "Shukuya", "given" : "Masanori", "non-dropping-particle" : "", "parse-names" : false, "suffix" : "" }, { "dropping-particle" : "", "family" : "Takano", "given" : "Kyosuke", "non-dropping-particle" : "", "parse-names" : false, "suffix" : "" } ], "container-title" : "Energy and Buildings", "id" : "ITEM-1", "issue" : "3-4", "issued" : { "date-parts" : [ [ "1990", "1", "1" ] ] }, "page" : "391-398", "publisher" : "Elsevier", "title" : "Discomfort caused by wide-source glare", "type" : "article-journal", "volume" : "15" }, "uris" : [ "http://www.mendeley.com/documents/?uuid=3e261989-6603-3d1c-be44-e33635ecd5fd", "http://www.mendeley.com/documents/?uuid=6116a3cc-8f8a-4c2d-8a77-c7e6f952eede" ] }, { "id" : "ITEM-2", "itemData" : { "DOI" : "10.1177/147715356202700103", "abstract" : "The Luminance Study Panel was set up by the Technical Committee at the end of 1958 to study ways and means of introducing luminance concepts into the forthcoming revision of the IES Code. This report of the Panel describes the basis of the acceptance of the BRS glare formula, together with some amendments to the glare criterion scales. Details are given of the work of Glare Index calculation using a digital computer, the adoption of the British Zonal Classification for fittings, the evaluation of background luminance, together with the conception of conversion terms for downward flux, luminous areas and height of fittings. Full details are given of the numerous field surveys undertaken, leading to the construction of the Glare Index tables and the setting of the closed system of limiting Glare Indices.", "author" : [ { "dropping-particle" : "", "family" : "Robinson", "given" : "W", "non-dropping-particle" : "", "parse-names" : false, "suffix" : "" }, { "dropping-particle" : "", "family" : "Bellchambers", "given" : "H E", "non-dropping-particle" : "", "parse-names" : false, "suffix" : "" }, { "dropping-particle" : "", "family" : "Grundy", "given" : "J T", "non-dropping-particle" : "", "parse-names" : false, "suffix" : "" }, { "dropping-particle" : "", "family" : "Longmore", "given" : "J", "non-dropping-particle" : "", "parse-names" : false, "suffix" : "" }, { "dropping-particle" : "", "family" : "Burt", "given" : "W", "non-dropping-particle" : "", "parse-names" : false, "suffix" : "" }, { "dropping-particle" : "", "family" : "Hewitt", "given" : "H", "non-dropping-particle" : "", "parse-names" : false, "suffix" : "" }, { "dropping-particle" : "", "family" : "Petherbridge", "given" : "P", "non-dropping-particle" : "", "parse-names" : false, "suffix" : "" }, { "dropping-particle" : "", "family" : "Frith", "given" : "D", "non-dropping-particle" : "", "parse-names" : false, "suffix" : "" }, { "dropping-particle" : "", "family" : "Hopkinson", "given" : "R G", "non-dropping-particle" : "", "parse-names" : false, "suffix" : "" }, { "dropping-particle" : "", "family" : "Rowlands", "given" : "E", "non-dropping-particle" : "", "parse-names" : false, "suffix" : "" } ], "container-title" : "Transactions of the Illuminating Engineering Society", "id" : "ITEM-2", "issue" : "1_IEStrans", "issued" : { "date-parts" : [ [ "1962", "3", "1" ] ] }, "note" : "doi: 10.1177/147715356202700103", "page" : "9-26", "publisher" : "SAGE Publications", "title" : "The Development of the IES Glare Index System: Contributed by the Luminance Study Panel of the IES Technical Committee", "type" : "article-journal", "volume" : "27" }, "uris" : [ "http://www.mendeley.com/documents/?uuid=e899d4d6-2589-4797-b8f8-8bb3bb95f406", "http://www.mendeley.com/documents/?uuid=6581b68e-0209-41b3-a4b1-f5581a7a0bb5" ] }, { "id" : "ITEM-3", "itemData" : { "DOI" : "10.1016/j.rser.2015.03.062", "ISSN" : "1364-0321", "abstract" : "In the last decades, several studies aimed at assessing some specified aspects of visual comfort characterizing the relationship between the human needs and the light environment, such as an available amount of light, light uniformity, light quality in rendering colors, and predicting the risk of glare for space occupants. For each of them, a (still growing) number of indices and metrics have been proposed in the literature and standards. In the present work, they are described, categorized according to common features, and finally discussed. As in the case of long-term thermal comfort indices, such visual comfort indices and their summation over a specified calculation period might be used for driving optimization processes to support a more conscious integrated design of buildings. To that purpose, the choice among the available visual comfort indices needs to be informed by an analysis of their features and implications. We present recommendations for use, and suggest areas where improvement is needed for their use in optimization processes to support buildings' design. \ufffd 2015 Elsevier Ltd. All rights reserved.", "author" : [ { "dropping-particle" : "", "family" : "Carlucci", "given" : "S", "non-dropping-particle" : "", "parse-names" : false, "suffix" : "" }, { "dropping-particle" : "", "family" : "Causone", "given" : "F", "non-dropping-particle" : "", "parse-names" : false, "suffix" : "" }, { "dropping-particle" : "", "family" : "Rosa", "given" : "F", "non-dropping-particle" : "De", "parse-names" : false, "suffix" : "" }, { "dropping-particle" : "", "family" : "Pagliano", "given" : "L", "non-dropping-particle" : "", "parse-names" : false, "suffix" : "" } ], "container-title" : "Renewable and Sustainable Energy Reviews", "id" : "ITEM-3", "issued" : { "date-parts" : [ [ "2015" ] ] }, "note" : "Cited By :41", "page" : "1016-1033", "publisher" : "Elsevier Ltd", "publisher-place" : "Affiliation: NTNU Norwegian University of Science and Technology, Department of Civil and Transport Engineering, H\ufffdgskoleringen 7A, Trondheim, Norway; Affiliation: End-use Efficiency Research Group, Energy Department, Politecnico di Milano, Milano, Italy;", "title" : "A review of indices for assessing visual comfort with a view to their use in optimization processes to support building integrated design", "type" : "article-journal", "volume" : "47" }, "uris" : [ "http://www.mendeley.com/documents/?uuid=c5a5b063-98d6-464b-a63f-07fd4ee3a051", "http://www.mendeley.com/documents/?uuid=56745b6e-ca4a-4ef3-be9b-1179aaa28848" ] } ], "mendeley" : { "formattedCitation" : "(Robinson &lt;i&gt;et al.&lt;/i&gt;, 1962; Iwata &lt;i&gt;et al.&lt;/i&gt;, 1990; Carlucci &lt;i&gt;et al.&lt;/i&gt;, 2015)", "plainTextFormattedCitation" : "(Robinson et al., 1962; Iwata et al., 1990; Carlucci et al., 2015)", "previouslyFormattedCitation" : "(Robinson &lt;i&gt;et al.&lt;/i&gt;, 1962; Iwata &lt;i&gt;et al.&lt;/i&gt;, 1990; Carlucci &lt;i&gt;et al.&lt;/i&gt;, 2015)" }, "properties" : { "noteIndex" : 0 }, "schema" : "https://github.com/citation-style-language/schema/raw/master/csl-citation.json" }</w:instrText>
      </w:r>
      <w:r w:rsidR="002B7D6E" w:rsidRPr="00AA3D0C">
        <w:rPr>
          <w:sz w:val="22"/>
          <w:szCs w:val="22"/>
        </w:rPr>
        <w:fldChar w:fldCharType="separate"/>
      </w:r>
      <w:r w:rsidR="002B7D6E" w:rsidRPr="00AA3D0C">
        <w:rPr>
          <w:noProof/>
          <w:sz w:val="22"/>
          <w:szCs w:val="22"/>
        </w:rPr>
        <w:t xml:space="preserve">(Robinson </w:t>
      </w:r>
      <w:r w:rsidR="002B7D6E" w:rsidRPr="00AA3D0C">
        <w:rPr>
          <w:i/>
          <w:noProof/>
          <w:sz w:val="22"/>
          <w:szCs w:val="22"/>
        </w:rPr>
        <w:t>et al.</w:t>
      </w:r>
      <w:r w:rsidR="002B7D6E" w:rsidRPr="00AA3D0C">
        <w:rPr>
          <w:noProof/>
          <w:sz w:val="22"/>
          <w:szCs w:val="22"/>
        </w:rPr>
        <w:t xml:space="preserve">, 1962; Iwata </w:t>
      </w:r>
      <w:r w:rsidR="002B7D6E" w:rsidRPr="00AA3D0C">
        <w:rPr>
          <w:i/>
          <w:noProof/>
          <w:sz w:val="22"/>
          <w:szCs w:val="22"/>
        </w:rPr>
        <w:t>et al.</w:t>
      </w:r>
      <w:r w:rsidR="002B7D6E" w:rsidRPr="00AA3D0C">
        <w:rPr>
          <w:noProof/>
          <w:sz w:val="22"/>
          <w:szCs w:val="22"/>
        </w:rPr>
        <w:t xml:space="preserve">, 1990; Carlucci </w:t>
      </w:r>
      <w:r w:rsidR="002B7D6E" w:rsidRPr="00AA3D0C">
        <w:rPr>
          <w:i/>
          <w:noProof/>
          <w:sz w:val="22"/>
          <w:szCs w:val="22"/>
        </w:rPr>
        <w:t>et al.</w:t>
      </w:r>
      <w:r w:rsidR="002B7D6E" w:rsidRPr="00AA3D0C">
        <w:rPr>
          <w:noProof/>
          <w:sz w:val="22"/>
          <w:szCs w:val="22"/>
        </w:rPr>
        <w:t>, 2015)</w:t>
      </w:r>
      <w:r w:rsidR="002B7D6E" w:rsidRPr="00AA3D0C">
        <w:rPr>
          <w:sz w:val="22"/>
          <w:szCs w:val="22"/>
        </w:rPr>
        <w:fldChar w:fldCharType="end"/>
      </w:r>
      <w:r w:rsidR="002B7D6E" w:rsidRPr="00AA3D0C">
        <w:rPr>
          <w:sz w:val="22"/>
          <w:szCs w:val="22"/>
        </w:rPr>
        <w:t>.</w:t>
      </w:r>
    </w:p>
    <w:p w14:paraId="3D2A5B13" w14:textId="77777777" w:rsidR="00A71E98" w:rsidRDefault="00A71E98" w:rsidP="002B7D6E">
      <w:pPr>
        <w:jc w:val="both"/>
        <w:rPr>
          <w:sz w:val="22"/>
          <w:szCs w:val="22"/>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529"/>
        <w:gridCol w:w="1036"/>
        <w:gridCol w:w="1589"/>
      </w:tblGrid>
      <w:tr w:rsidR="009603B9" w:rsidRPr="00AA3D0C" w14:paraId="48C12C13" w14:textId="77777777" w:rsidTr="00EB2DF4">
        <w:trPr>
          <w:trHeight w:val="692"/>
        </w:trPr>
        <w:tc>
          <w:tcPr>
            <w:tcW w:w="5529" w:type="dxa"/>
          </w:tcPr>
          <w:p w14:paraId="1CF4CE55" w14:textId="77777777" w:rsidR="009603B9" w:rsidRPr="00AA3D0C" w:rsidRDefault="00A71E98" w:rsidP="009603B9">
            <w:pPr>
              <w:jc w:val="both"/>
              <w:rPr>
                <w:sz w:val="22"/>
                <w:szCs w:val="22"/>
              </w:rPr>
            </w:pPr>
            <m:oMathPara>
              <m:oMathParaPr>
                <m:jc m:val="right"/>
              </m:oMathParaPr>
              <m:oMath>
                <m:r>
                  <w:rPr>
                    <w:rFonts w:ascii="Cambria Math" w:hAnsi="Cambria Math"/>
                    <w:sz w:val="22"/>
                    <w:szCs w:val="20"/>
                    <w:lang w:val="en-US"/>
                  </w:rPr>
                  <m:t>BGI=10</m:t>
                </m:r>
                <m:func>
                  <m:funcPr>
                    <m:ctrlPr>
                      <w:rPr>
                        <w:rFonts w:ascii="Cambria Math" w:hAnsi="Cambria Math"/>
                        <w:i/>
                        <w:sz w:val="22"/>
                        <w:szCs w:val="20"/>
                        <w:lang w:val="en-US"/>
                      </w:rPr>
                    </m:ctrlPr>
                  </m:funcPr>
                  <m:fName>
                    <m:sSub>
                      <m:sSubPr>
                        <m:ctrlPr>
                          <w:rPr>
                            <w:rFonts w:ascii="Cambria Math" w:hAnsi="Cambria Math"/>
                            <w:i/>
                            <w:sz w:val="22"/>
                            <w:szCs w:val="20"/>
                            <w:lang w:val="en-US"/>
                          </w:rPr>
                        </m:ctrlPr>
                      </m:sSubPr>
                      <m:e>
                        <m:r>
                          <w:rPr>
                            <w:rFonts w:ascii="Cambria Math" w:hAnsi="Cambria Math"/>
                            <w:sz w:val="22"/>
                            <w:szCs w:val="20"/>
                          </w:rPr>
                          <m:t>log</m:t>
                        </m:r>
                      </m:e>
                      <m:sub>
                        <m:r>
                          <w:rPr>
                            <w:rFonts w:ascii="Cambria Math" w:hAnsi="Cambria Math"/>
                            <w:sz w:val="22"/>
                            <w:szCs w:val="20"/>
                            <w:lang w:val="en-US"/>
                          </w:rPr>
                          <m:t>10</m:t>
                        </m:r>
                      </m:sub>
                    </m:sSub>
                  </m:fName>
                  <m:e>
                    <m:r>
                      <w:rPr>
                        <w:rFonts w:ascii="Cambria Math" w:hAnsi="Cambria Math"/>
                        <w:sz w:val="22"/>
                        <w:szCs w:val="20"/>
                        <w:lang w:val="en-US"/>
                      </w:rPr>
                      <m:t>0.478∙</m:t>
                    </m:r>
                    <m:nary>
                      <m:naryPr>
                        <m:chr m:val="∑"/>
                        <m:limLoc m:val="undOvr"/>
                        <m:grow m:val="1"/>
                        <m:ctrlPr>
                          <w:rPr>
                            <w:rFonts w:ascii="Cambria Math" w:hAnsi="Cambria Math"/>
                            <w:i/>
                            <w:sz w:val="22"/>
                            <w:szCs w:val="20"/>
                            <w:lang w:val="en-US"/>
                          </w:rPr>
                        </m:ctrlPr>
                      </m:naryPr>
                      <m:sub>
                        <m:r>
                          <w:rPr>
                            <w:rFonts w:ascii="Cambria Math" w:hAnsi="Cambria Math"/>
                            <w:sz w:val="22"/>
                            <w:szCs w:val="20"/>
                            <w:lang w:val="en-US"/>
                          </w:rPr>
                          <m:t>i=1</m:t>
                        </m:r>
                      </m:sub>
                      <m:sup>
                        <m:r>
                          <w:rPr>
                            <w:rFonts w:ascii="Cambria Math" w:hAnsi="Cambria Math"/>
                            <w:sz w:val="22"/>
                            <w:szCs w:val="20"/>
                            <w:lang w:val="en-US"/>
                          </w:rPr>
                          <m:t>n</m:t>
                        </m:r>
                      </m:sup>
                      <m:e>
                        <m:f>
                          <m:fPr>
                            <m:ctrlPr>
                              <w:rPr>
                                <w:rFonts w:ascii="Cambria Math" w:hAnsi="Cambria Math"/>
                                <w:i/>
                                <w:sz w:val="22"/>
                                <w:szCs w:val="20"/>
                                <w:lang w:val="en-US"/>
                              </w:rPr>
                            </m:ctrlPr>
                          </m:fPr>
                          <m:num>
                            <m:sSubSup>
                              <m:sSubSupPr>
                                <m:ctrlPr>
                                  <w:rPr>
                                    <w:rFonts w:ascii="Cambria Math" w:hAnsi="Cambria Math"/>
                                    <w:i/>
                                    <w:sz w:val="22"/>
                                    <w:szCs w:val="20"/>
                                    <w:lang w:val="en-US"/>
                                  </w:rPr>
                                </m:ctrlPr>
                              </m:sSubSupPr>
                              <m:e>
                                <m:r>
                                  <w:rPr>
                                    <w:rFonts w:ascii="Cambria Math" w:hAnsi="Cambria Math"/>
                                    <w:sz w:val="22"/>
                                    <w:szCs w:val="20"/>
                                    <w:lang w:val="en-US"/>
                                  </w:rPr>
                                  <m:t>L</m:t>
                                </m:r>
                              </m:e>
                              <m:sub>
                                <m:r>
                                  <w:rPr>
                                    <w:rFonts w:ascii="Cambria Math" w:hAnsi="Cambria Math"/>
                                    <w:sz w:val="22"/>
                                    <w:szCs w:val="20"/>
                                    <w:lang w:val="en-US"/>
                                  </w:rPr>
                                  <m:t>s</m:t>
                                </m:r>
                              </m:sub>
                              <m:sup>
                                <m:r>
                                  <w:rPr>
                                    <w:rFonts w:ascii="Cambria Math" w:hAnsi="Cambria Math"/>
                                    <w:sz w:val="22"/>
                                    <w:szCs w:val="20"/>
                                    <w:lang w:val="en-US"/>
                                  </w:rPr>
                                  <m:t>1.6</m:t>
                                </m:r>
                              </m:sup>
                            </m:sSubSup>
                            <m:r>
                              <w:rPr>
                                <w:rFonts w:ascii="Cambria Math" w:hAnsi="Cambria Math"/>
                                <w:sz w:val="22"/>
                                <w:szCs w:val="20"/>
                                <w:lang w:val="en-US"/>
                              </w:rPr>
                              <m:t>∙</m:t>
                            </m:r>
                            <m:sSubSup>
                              <m:sSubSupPr>
                                <m:ctrlPr>
                                  <w:rPr>
                                    <w:rFonts w:ascii="Cambria Math" w:hAnsi="Cambria Math"/>
                                    <w:i/>
                                    <w:sz w:val="22"/>
                                    <w:szCs w:val="20"/>
                                    <w:lang w:val="en-US"/>
                                  </w:rPr>
                                </m:ctrlPr>
                              </m:sSubSupPr>
                              <m:e>
                                <m:r>
                                  <w:rPr>
                                    <w:rFonts w:ascii="Cambria Math" w:hAnsi="Cambria Math"/>
                                    <w:sz w:val="22"/>
                                    <w:szCs w:val="20"/>
                                    <w:lang w:val="en-US"/>
                                  </w:rPr>
                                  <m:t>ω</m:t>
                                </m:r>
                              </m:e>
                              <m:sub>
                                <m:r>
                                  <w:rPr>
                                    <w:rFonts w:ascii="Cambria Math" w:hAnsi="Cambria Math"/>
                                    <w:sz w:val="22"/>
                                    <w:szCs w:val="20"/>
                                    <w:lang w:val="en-US"/>
                                  </w:rPr>
                                  <m:t>s</m:t>
                                </m:r>
                              </m:sub>
                              <m:sup>
                                <m:r>
                                  <w:rPr>
                                    <w:rFonts w:ascii="Cambria Math" w:hAnsi="Cambria Math"/>
                                    <w:sz w:val="22"/>
                                    <w:szCs w:val="20"/>
                                    <w:lang w:val="en-US"/>
                                  </w:rPr>
                                  <m:t>0.8</m:t>
                                </m:r>
                              </m:sup>
                            </m:sSubSup>
                          </m:num>
                          <m:den>
                            <m:sSup>
                              <m:sSupPr>
                                <m:ctrlPr>
                                  <w:rPr>
                                    <w:rFonts w:ascii="Cambria Math" w:hAnsi="Cambria Math"/>
                                    <w:i/>
                                    <w:sz w:val="22"/>
                                    <w:szCs w:val="20"/>
                                    <w:lang w:val="en-US"/>
                                  </w:rPr>
                                </m:ctrlPr>
                              </m:sSupPr>
                              <m:e>
                                <m:sSub>
                                  <m:sSubPr>
                                    <m:ctrlPr>
                                      <w:rPr>
                                        <w:rFonts w:ascii="Cambria Math" w:hAnsi="Cambria Math"/>
                                        <w:i/>
                                        <w:sz w:val="22"/>
                                        <w:szCs w:val="20"/>
                                        <w:lang w:val="en-US"/>
                                      </w:rPr>
                                    </m:ctrlPr>
                                  </m:sSubPr>
                                  <m:e>
                                    <m:r>
                                      <w:rPr>
                                        <w:rFonts w:ascii="Cambria Math" w:hAnsi="Cambria Math"/>
                                        <w:sz w:val="22"/>
                                        <w:szCs w:val="20"/>
                                        <w:lang w:val="en-US"/>
                                      </w:rPr>
                                      <m:t>L</m:t>
                                    </m:r>
                                  </m:e>
                                  <m:sub>
                                    <m:r>
                                      <w:rPr>
                                        <w:rFonts w:ascii="Cambria Math" w:hAnsi="Cambria Math"/>
                                        <w:sz w:val="22"/>
                                        <w:szCs w:val="20"/>
                                        <w:lang w:val="en-US"/>
                                      </w:rPr>
                                      <m:t>b</m:t>
                                    </m:r>
                                  </m:sub>
                                </m:sSub>
                                <m:r>
                                  <w:rPr>
                                    <w:rFonts w:ascii="Cambria Math" w:hAnsi="Cambria Math"/>
                                    <w:sz w:val="22"/>
                                    <w:szCs w:val="20"/>
                                    <w:lang w:val="en-US"/>
                                  </w:rPr>
                                  <m:t>∙P</m:t>
                                </m:r>
                              </m:e>
                              <m:sup>
                                <m:r>
                                  <w:rPr>
                                    <w:rFonts w:ascii="Cambria Math" w:hAnsi="Cambria Math"/>
                                    <w:sz w:val="22"/>
                                    <w:szCs w:val="20"/>
                                    <w:lang w:val="en-US"/>
                                  </w:rPr>
                                  <m:t>1.6</m:t>
                                </m:r>
                              </m:sup>
                            </m:sSup>
                          </m:den>
                        </m:f>
                      </m:e>
                    </m:nary>
                  </m:e>
                </m:func>
              </m:oMath>
            </m:oMathPara>
          </w:p>
        </w:tc>
        <w:tc>
          <w:tcPr>
            <w:tcW w:w="1036" w:type="dxa"/>
          </w:tcPr>
          <w:p w14:paraId="769C51F7" w14:textId="77777777" w:rsidR="009603B9" w:rsidRPr="00AA3D0C" w:rsidRDefault="009603B9" w:rsidP="009603B9">
            <w:pPr>
              <w:jc w:val="both"/>
              <w:rPr>
                <w:sz w:val="22"/>
                <w:szCs w:val="22"/>
              </w:rPr>
            </w:pPr>
          </w:p>
          <w:p w14:paraId="66016EAF" w14:textId="77777777" w:rsidR="009603B9" w:rsidRPr="00AA3D0C" w:rsidRDefault="009603B9" w:rsidP="009603B9">
            <w:pPr>
              <w:jc w:val="both"/>
              <w:rPr>
                <w:sz w:val="22"/>
                <w:szCs w:val="22"/>
              </w:rPr>
            </w:pPr>
            <w:r w:rsidRPr="00AA3D0C">
              <w:rPr>
                <w:sz w:val="22"/>
                <w:szCs w:val="22"/>
              </w:rPr>
              <w:t>[-]</w:t>
            </w:r>
          </w:p>
        </w:tc>
        <w:tc>
          <w:tcPr>
            <w:tcW w:w="1589" w:type="dxa"/>
          </w:tcPr>
          <w:p w14:paraId="60001673" w14:textId="77777777" w:rsidR="009603B9" w:rsidRPr="00AA3D0C" w:rsidRDefault="009603B9" w:rsidP="009603B9">
            <w:pPr>
              <w:jc w:val="right"/>
              <w:rPr>
                <w:sz w:val="22"/>
                <w:szCs w:val="22"/>
              </w:rPr>
            </w:pPr>
          </w:p>
          <w:p w14:paraId="7E6A22AC" w14:textId="77777777" w:rsidR="009603B9" w:rsidRPr="00AA3D0C" w:rsidRDefault="009603B9" w:rsidP="009603B9">
            <w:pPr>
              <w:jc w:val="right"/>
              <w:rPr>
                <w:sz w:val="22"/>
                <w:szCs w:val="22"/>
              </w:rPr>
            </w:pPr>
            <w:r w:rsidRPr="00AA3D0C">
              <w:rPr>
                <w:sz w:val="22"/>
                <w:szCs w:val="22"/>
              </w:rPr>
              <w:t>(</w:t>
            </w:r>
            <w:r w:rsidR="00914CBA">
              <w:rPr>
                <w:sz w:val="22"/>
                <w:szCs w:val="22"/>
              </w:rPr>
              <w:t>3</w:t>
            </w:r>
            <w:r w:rsidRPr="00AA3D0C">
              <w:rPr>
                <w:sz w:val="22"/>
                <w:szCs w:val="22"/>
              </w:rPr>
              <w:t>)</w:t>
            </w:r>
          </w:p>
        </w:tc>
      </w:tr>
    </w:tbl>
    <w:p w14:paraId="35C4BE07" w14:textId="59550A00" w:rsidR="002B7D6E" w:rsidRDefault="002B7D6E" w:rsidP="002B7D6E">
      <w:pPr>
        <w:jc w:val="both"/>
        <w:rPr>
          <w:sz w:val="22"/>
          <w:szCs w:val="22"/>
        </w:rPr>
      </w:pPr>
      <w:r w:rsidRPr="00AA3D0C">
        <w:rPr>
          <w:sz w:val="22"/>
          <w:szCs w:val="22"/>
        </w:rPr>
        <w:t xml:space="preserve">In an attempt for those limitations to be minimized, Einhorn </w:t>
      </w:r>
      <w:r w:rsidRPr="00AA3D0C">
        <w:rPr>
          <w:sz w:val="22"/>
          <w:szCs w:val="22"/>
        </w:rPr>
        <w:fldChar w:fldCharType="begin" w:fldLock="1"/>
      </w:r>
      <w:r w:rsidR="005952EA">
        <w:rPr>
          <w:sz w:val="22"/>
          <w:szCs w:val="22"/>
        </w:rPr>
        <w:instrText>ADDIN CSL_CITATION { "citationItems" : [ { "id" : "ITEM-1", "itemData" : { "DOI" : "10.1177/14771535690010040201", "ISSN" : "0024-3426", "abstract" : "The principles of glare are summarized briefly; the implications of recent research are discussed and a new glare assessment method is described. A glare index is obtained as the sum of only three terms which depend on the luminance, flux fractions and light distribution class of the lighting fittings, and on the dimensions of the room and the reflectances of its surfaces. These terms are easily obtained from graphs given in the paper.", "author" : [ { "dropping-particle" : "", "family" : "Einhorn", "given" : "H D", "non-dropping-particle" : "", "parse-names" : false, "suffix" : "" } ], "container-title" : "Lighting Research &amp; Technology", "id" : "ITEM-1", "issue" : "4", "issued" : { "date-parts" : [ [ "1969", "12", "1" ] ] }, "note" : "doi: 10.1177/14771535690010040201", "page" : "235-247", "publisher" : "SAGE Publications", "title" : "A new method for the assessment of discomfort glare", "type" : "article-journal", "volume" : "1" }, "uris" : [ "http://www.mendeley.com/documents/?uuid=d6054a01-c6ee-4141-9bf1-4a38dc29dcf5", "http://www.mendeley.com/documents/?uuid=d0c76bc7-3015-440e-8802-72060326bbf9" ] } ], "mendeley" : { "formattedCitation" : "(Einhorn, 1969)", "manualFormatting" : "(1969)", "plainTextFormattedCitation" : "(Einhorn, 1969)", "previouslyFormattedCitation" : "(Einhorn, 1969)" }, "properties" : { "noteIndex" : 0 }, "schema" : "https://github.com/citation-style-language/schema/raw/master/csl-citation.json" }</w:instrText>
      </w:r>
      <w:r w:rsidRPr="00AA3D0C">
        <w:rPr>
          <w:sz w:val="22"/>
          <w:szCs w:val="22"/>
        </w:rPr>
        <w:fldChar w:fldCharType="separate"/>
      </w:r>
      <w:r w:rsidRPr="00AA3D0C">
        <w:rPr>
          <w:noProof/>
          <w:sz w:val="22"/>
          <w:szCs w:val="22"/>
        </w:rPr>
        <w:t>(1969)</w:t>
      </w:r>
      <w:r w:rsidRPr="00AA3D0C">
        <w:rPr>
          <w:sz w:val="22"/>
          <w:szCs w:val="22"/>
        </w:rPr>
        <w:fldChar w:fldCharType="end"/>
      </w:r>
      <w:r w:rsidRPr="00AA3D0C">
        <w:rPr>
          <w:sz w:val="22"/>
          <w:szCs w:val="22"/>
        </w:rPr>
        <w:t xml:space="preserve"> presented the CIE Glare Index (CGI)</w:t>
      </w:r>
      <w:r w:rsidR="00245B0B">
        <w:rPr>
          <w:sz w:val="22"/>
          <w:szCs w:val="22"/>
        </w:rPr>
        <w:t xml:space="preserve"> </w:t>
      </w:r>
      <w:r w:rsidR="00245B0B" w:rsidRPr="00914CBA">
        <w:rPr>
          <w:sz w:val="22"/>
          <w:szCs w:val="22"/>
        </w:rPr>
        <w:t>(eq.</w:t>
      </w:r>
      <w:r w:rsidR="00914CBA" w:rsidRPr="00914CBA">
        <w:rPr>
          <w:sz w:val="22"/>
          <w:szCs w:val="22"/>
        </w:rPr>
        <w:t>4</w:t>
      </w:r>
      <w:r w:rsidR="00245B0B" w:rsidRPr="00914CBA">
        <w:rPr>
          <w:sz w:val="22"/>
          <w:szCs w:val="22"/>
        </w:rPr>
        <w:t>)</w:t>
      </w:r>
      <w:r w:rsidRPr="00914CBA">
        <w:rPr>
          <w:sz w:val="22"/>
          <w:szCs w:val="22"/>
        </w:rPr>
        <w:t>.</w:t>
      </w:r>
      <w:r w:rsidRPr="00AA3D0C">
        <w:rPr>
          <w:sz w:val="22"/>
          <w:szCs w:val="22"/>
        </w:rPr>
        <w:t xml:space="preserve"> The CGI equation, although emerged from experiments with uniform glare sources, included a specific parameter for adaptation, using the glare source illuminance (E</w:t>
      </w:r>
      <w:r w:rsidRPr="00AA3D0C">
        <w:rPr>
          <w:sz w:val="22"/>
          <w:szCs w:val="22"/>
          <w:vertAlign w:val="subscript"/>
        </w:rPr>
        <w:t>d</w:t>
      </w:r>
      <w:r w:rsidRPr="00AA3D0C">
        <w:rPr>
          <w:sz w:val="22"/>
          <w:szCs w:val="22"/>
        </w:rPr>
        <w:t>) and the background illuminance (</w:t>
      </w:r>
      <w:proofErr w:type="spellStart"/>
      <w:r w:rsidRPr="00AA3D0C">
        <w:rPr>
          <w:sz w:val="22"/>
          <w:szCs w:val="22"/>
        </w:rPr>
        <w:t>E</w:t>
      </w:r>
      <w:r w:rsidRPr="00AA3D0C">
        <w:rPr>
          <w:sz w:val="22"/>
          <w:szCs w:val="22"/>
          <w:vertAlign w:val="subscript"/>
        </w:rPr>
        <w:t>i</w:t>
      </w:r>
      <w:proofErr w:type="spellEnd"/>
      <w:r w:rsidRPr="00AA3D0C">
        <w:rPr>
          <w:sz w:val="22"/>
          <w:szCs w:val="22"/>
        </w:rPr>
        <w:t xml:space="preserve">) </w:t>
      </w:r>
      <w:r w:rsidRPr="00AA3D0C">
        <w:rPr>
          <w:sz w:val="22"/>
          <w:szCs w:val="22"/>
        </w:rPr>
        <w:fldChar w:fldCharType="begin" w:fldLock="1"/>
      </w:r>
      <w:r w:rsidR="005952EA">
        <w:rPr>
          <w:sz w:val="22"/>
          <w:szCs w:val="22"/>
        </w:rPr>
        <w:instrText>ADDIN CSL_CITATION { "citationItems" : [ { "id" : "ITEM-1", "itemData" : { "DOI" : "10.1177/14771535790110020401", "ISSN" : "0024-3426", "abstract" : "The international glare situation is unsatisfactory: methods adopted in different countries give discrepant predictions. To break the deadlock a rational glare formula is proposed, based on the best information available. The formula allows for luminances, solid angles and positions of glare sources in a similar way as existing formulae, but takes account of the increase in glare experienced when glare sources are added in a room in spite of the correspondingly increased adaptation level. This is allowed for by separating the direct and indirect vertical illuminances at the eye and inserting them suitably into a 'co-variance/adaptation' factor.", "author" : [ { "dropping-particle" : "", "family" : "Einhorn", "given" : "H D", "non-dropping-particle" : "", "parse-names" : false, "suffix" : "" } ], "container-title" : "Lighting Research and Technology", "id" : "ITEM-1", "issue" : "2", "issued" : { "date-parts" : [ [ "1979", "6", "1" ] ] }, "note" : "doi: 10.1177/14771535790110020401", "page" : "90-94", "publisher" : "SAGE Publications", "title" : "Discomfort glare: a formula to bridge differences", "type" : "article-journal", "volume" : "11" }, "uris" : [ "http://www.mendeley.com/documents/?uuid=54be4902-4248-4031-8728-f2fe7a31213c", "http://www.mendeley.com/documents/?uuid=0f93eb5f-08fc-4f49-b372-cde3b35a9d39" ] } ], "mendeley" : { "formattedCitation" : "(Einhorn, 1979)", "plainTextFormattedCitation" : "(Einhorn, 1979)", "previouslyFormattedCitation" : "(Einhorn, 1979)" }, "properties" : { "noteIndex" : 0 }, "schema" : "https://github.com/citation-style-language/schema/raw/master/csl-citation.json" }</w:instrText>
      </w:r>
      <w:r w:rsidRPr="00AA3D0C">
        <w:rPr>
          <w:sz w:val="22"/>
          <w:szCs w:val="22"/>
        </w:rPr>
        <w:fldChar w:fldCharType="separate"/>
      </w:r>
      <w:r w:rsidRPr="00AA3D0C">
        <w:rPr>
          <w:noProof/>
          <w:sz w:val="22"/>
          <w:szCs w:val="22"/>
        </w:rPr>
        <w:t>(Einhorn, 1979)</w:t>
      </w:r>
      <w:r w:rsidRPr="00AA3D0C">
        <w:rPr>
          <w:sz w:val="22"/>
          <w:szCs w:val="22"/>
        </w:rPr>
        <w:fldChar w:fldCharType="end"/>
      </w:r>
      <w:r w:rsidRPr="00AA3D0C">
        <w:rPr>
          <w:sz w:val="22"/>
          <w:szCs w:val="22"/>
        </w:rPr>
        <w:t xml:space="preserve">. Iwata </w:t>
      </w:r>
      <w:r w:rsidRPr="00AA3D0C">
        <w:rPr>
          <w:i/>
          <w:sz w:val="22"/>
          <w:szCs w:val="22"/>
        </w:rPr>
        <w:t>et al.</w:t>
      </w:r>
      <w:r w:rsidRPr="00AA3D0C">
        <w:rPr>
          <w:sz w:val="22"/>
          <w:szCs w:val="22"/>
        </w:rPr>
        <w:t xml:space="preserve"> </w:t>
      </w:r>
      <w:r w:rsidRPr="00AA3D0C">
        <w:rPr>
          <w:sz w:val="22"/>
          <w:szCs w:val="22"/>
        </w:rPr>
        <w:fldChar w:fldCharType="begin" w:fldLock="1"/>
      </w:r>
      <w:r w:rsidR="005952EA">
        <w:rPr>
          <w:sz w:val="22"/>
          <w:szCs w:val="22"/>
        </w:rPr>
        <w:instrText>ADDIN CSL_CITATION { "citationItems" : [ { "id" : "ITEM-1", "itemData" : { "DOI" : "10.1016/0378-7788(90)90013-9", "ISSN" : "0378-7788", "abstract" : "We report here on experiments to measure subjective response to intense light, or glare caused by a wide source. We have investigated three glare indices: the Building Research Station glare index; the CIE glare index and the Cornell daylight glare index. We have also examined the glare vote and have proposed a new glare evaluation scale, as well as asking the subject to vote on the condition's acceptability. The Cornell formula most accurately predicts glare discomfort, but it is found to be inadequate for a range of wide-source glare conditions. Both the discomfort sensation vote and the glare vote which we proposed correlate well with the percentage of subjects dissatisfied when looking directly at the light source.", "author" : [ { "dropping-particle" : "", "family" : "Iwata", "given" : "Toshie", "non-dropping-particle" : "", "parse-names" : false, "suffix" : "" }, { "dropping-particle" : "", "family" : "Kimura", "given" : "Ken-Ichi", "non-dropping-particle" : "", "parse-names" : false, "suffix" : "" }, { "dropping-particle" : "", "family" : "Shukuya", "given" : "Masanori", "non-dropping-particle" : "", "parse-names" : false, "suffix" : "" }, { "dropping-particle" : "", "family" : "Takano", "given" : "Kyosuke", "non-dropping-particle" : "", "parse-names" : false, "suffix" : "" } ], "container-title" : "Energy and Buildings", "id" : "ITEM-1", "issue" : "3-4", "issued" : { "date-parts" : [ [ "1990", "1", "1" ] ] }, "page" : "391-398", "publisher" : "Elsevier", "title" : "Discomfort caused by wide-source glare", "type" : "article-journal", "volume" : "15" }, "uris" : [ "http://www.mendeley.com/documents/?uuid=6116a3cc-8f8a-4c2d-8a77-c7e6f952eede", "http://www.mendeley.com/documents/?uuid=3e261989-6603-3d1c-be44-e33635ecd5fd" ] } ], "mendeley" : { "formattedCitation" : "(Iwata &lt;i&gt;et al.&lt;/i&gt;, 1990)", "manualFormatting" : "(1990)", "plainTextFormattedCitation" : "(Iwata et al., 1990)", "previouslyFormattedCitation" : "(Iwata &lt;i&gt;et al.&lt;/i&gt;, 1990)" }, "properties" : { "noteIndex" : 0 }, "schema" : "https://github.com/citation-style-language/schema/raw/master/csl-citation.json" }</w:instrText>
      </w:r>
      <w:r w:rsidRPr="00AA3D0C">
        <w:rPr>
          <w:sz w:val="22"/>
          <w:szCs w:val="22"/>
        </w:rPr>
        <w:fldChar w:fldCharType="separate"/>
      </w:r>
      <w:r w:rsidRPr="00AA3D0C">
        <w:rPr>
          <w:noProof/>
          <w:sz w:val="22"/>
          <w:szCs w:val="22"/>
        </w:rPr>
        <w:t>(1990)</w:t>
      </w:r>
      <w:r w:rsidRPr="00AA3D0C">
        <w:rPr>
          <w:sz w:val="22"/>
          <w:szCs w:val="22"/>
        </w:rPr>
        <w:fldChar w:fldCharType="end"/>
      </w:r>
      <w:r w:rsidRPr="00AA3D0C">
        <w:rPr>
          <w:sz w:val="22"/>
          <w:szCs w:val="22"/>
        </w:rPr>
        <w:t xml:space="preserve"> researched the</w:t>
      </w:r>
      <w:r w:rsidR="00AA3D0C" w:rsidRPr="00AA3D0C">
        <w:rPr>
          <w:sz w:val="22"/>
          <w:szCs w:val="22"/>
        </w:rPr>
        <w:t xml:space="preserve"> accura</w:t>
      </w:r>
      <w:r w:rsidR="00AA3D0C">
        <w:rPr>
          <w:sz w:val="22"/>
          <w:szCs w:val="22"/>
        </w:rPr>
        <w:t>c</w:t>
      </w:r>
      <w:r w:rsidR="00AA3D0C" w:rsidRPr="00AA3D0C">
        <w:rPr>
          <w:sz w:val="22"/>
          <w:szCs w:val="22"/>
        </w:rPr>
        <w:t>y</w:t>
      </w:r>
      <w:r w:rsidRPr="00AA3D0C">
        <w:rPr>
          <w:sz w:val="22"/>
          <w:szCs w:val="22"/>
        </w:rPr>
        <w:t xml:space="preserve"> of the CGI metric under an artificial glare source representing the size of a window (screen), and concluded that CGI</w:t>
      </w:r>
      <w:r w:rsidR="00AA3D0C">
        <w:rPr>
          <w:sz w:val="22"/>
          <w:szCs w:val="22"/>
        </w:rPr>
        <w:t xml:space="preserve"> and</w:t>
      </w:r>
      <w:r w:rsidRPr="00AA3D0C">
        <w:rPr>
          <w:sz w:val="22"/>
          <w:szCs w:val="22"/>
        </w:rPr>
        <w:t xml:space="preserve"> BRS </w:t>
      </w:r>
      <w:r w:rsidR="00B97FFE" w:rsidRPr="00AA3D0C">
        <w:rPr>
          <w:sz w:val="22"/>
          <w:szCs w:val="22"/>
        </w:rPr>
        <w:t>overestimate</w:t>
      </w:r>
      <w:r w:rsidR="00B97FFE">
        <w:rPr>
          <w:sz w:val="22"/>
          <w:szCs w:val="22"/>
        </w:rPr>
        <w:t>s</w:t>
      </w:r>
      <w:r w:rsidR="00B97FFE" w:rsidRPr="00AA3D0C">
        <w:rPr>
          <w:sz w:val="22"/>
          <w:szCs w:val="22"/>
        </w:rPr>
        <w:t xml:space="preserve"> </w:t>
      </w:r>
      <w:r w:rsidRPr="00AA3D0C">
        <w:rPr>
          <w:sz w:val="22"/>
          <w:szCs w:val="22"/>
        </w:rPr>
        <w:t xml:space="preserve">glare. However, according to </w:t>
      </w:r>
      <w:proofErr w:type="spellStart"/>
      <w:r w:rsidRPr="00AA3D0C">
        <w:rPr>
          <w:sz w:val="22"/>
          <w:szCs w:val="22"/>
        </w:rPr>
        <w:lastRenderedPageBreak/>
        <w:t>Jakubiec</w:t>
      </w:r>
      <w:proofErr w:type="spellEnd"/>
      <w:r w:rsidRPr="00AA3D0C">
        <w:rPr>
          <w:sz w:val="22"/>
          <w:szCs w:val="22"/>
        </w:rPr>
        <w:t xml:space="preserve"> and Reinhart </w:t>
      </w:r>
      <w:r w:rsidRPr="00AA3D0C">
        <w:rPr>
          <w:sz w:val="22"/>
          <w:szCs w:val="22"/>
        </w:rPr>
        <w:fldChar w:fldCharType="begin" w:fldLock="1"/>
      </w:r>
      <w:r w:rsidR="005952EA">
        <w:rPr>
          <w:sz w:val="22"/>
          <w:szCs w:val="22"/>
        </w:rPr>
        <w:instrText>ADDIN CSL_CITATION { "citationItems" : [ { "id" : "ITEM-1", "itemData" : { "DOI" : "10.1177/1477153511420097", "ISSN" : "1477-1535", "abstract" : "Discomfort glare is an underutilized parameter in contemporary architectural design due to uncertainties about the meaning of existing metrics, how they should be applied and what the benefits of such analysis are. Glare is position and view direction-dependent within a space, rendering it difficult to assess compared to conventional illuminance-based metrics. This paper compares simulation results for five glare metrics under 144 clear sky conditions in three spaces in order to investigate the ability of these metrics to predict the occurrence of discomfort glare and to hence support the design of comfortable spaces. The metrics analyzed areDaylight Glare Index, CIE Glare Index, Visual Comfort Probability, Unified Glare Rating and Daylight Glare Probability. It is found that Daylight Glare Probability yields the most plausible results. In an attempt to deal with multiple positions and view directions simultaneously, the concept of an 'adaptive zone' is introduced within which building occupants may freely adjust their position and view in order to minimise the effect of glare. The spatial and directional extents of the adaptive zone depend on furniture layout and the freedom of occupants' tasks. It is found that applying the adaptive zone concept to a sidelit office with manually operated venetian blinds reduces the predicted hours of intolerable discomfort glare from 735 to 18 occupied hours per year and increases the annual mean daylight availability from 40% to 72%. \ufffd The Chartered Institution of Building Services Engineers 2011.", "author" : [ { "dropping-particle" : "", "family" : "Jakubiec", "given" : "J A", "non-dropping-particle" : "", "parse-names" : false, "suffix" : "" }, { "dropping-particle" : "", "family" : "Reinhart", "given" : "C F", "non-dropping-particle" : "", "parse-names" : false, "suffix" : "" } ], "container-title" : "Lighting Research and Technology", "id" : "ITEM-1", "issue" : "2", "issued" : { "date-parts" : [ [ "2012" ] ] }, "note" : "Cited By :73", "page" : "149-170", "publisher-place" : "Affiliation: Department of Architecture, Graduate School of Design, Harvard University, Cambridge, MA 02138, United States; Correspondence Address: Jakubiec, J.A.; Department of Architecture, Graduate School of Design, Harvard University, Cambridge, MA 02", "title" : "The 'adaptive zone'-A concept for assessing discomfort glare throughout daylit spaces", "type" : "article-journal", "volume" : "44" }, "uris" : [ "http://www.mendeley.com/documents/?uuid=4a6325c5-bf9d-4d77-bed0-6fe0cc63816d", "http://www.mendeley.com/documents/?uuid=f01dcf6b-03a6-4aa9-8aa2-59544825192d" ] } ], "mendeley" : { "formattedCitation" : "(Jakubiec and Reinhart, 2012)", "manualFormatting" : "(2012)", "plainTextFormattedCitation" : "(Jakubiec and Reinhart, 2012)", "previouslyFormattedCitation" : "(Jakubiec and Reinhart, 2012)" }, "properties" : { "noteIndex" : 0 }, "schema" : "https://github.com/citation-style-language/schema/raw/master/csl-citation.json" }</w:instrText>
      </w:r>
      <w:r w:rsidRPr="00AA3D0C">
        <w:rPr>
          <w:sz w:val="22"/>
          <w:szCs w:val="22"/>
        </w:rPr>
        <w:fldChar w:fldCharType="separate"/>
      </w:r>
      <w:r w:rsidRPr="00AA3D0C">
        <w:rPr>
          <w:noProof/>
          <w:sz w:val="22"/>
          <w:szCs w:val="22"/>
        </w:rPr>
        <w:t>(2012)</w:t>
      </w:r>
      <w:r w:rsidRPr="00AA3D0C">
        <w:rPr>
          <w:sz w:val="22"/>
          <w:szCs w:val="22"/>
        </w:rPr>
        <w:fldChar w:fldCharType="end"/>
      </w:r>
      <w:r w:rsidRPr="00AA3D0C">
        <w:rPr>
          <w:sz w:val="22"/>
          <w:szCs w:val="22"/>
        </w:rPr>
        <w:t>, though, CGI could be considered as an appropriate metric for testing the worst-case scenario due to glare overestimation.</w:t>
      </w:r>
    </w:p>
    <w:p w14:paraId="57BAE650" w14:textId="77777777" w:rsidR="00A71E98" w:rsidRDefault="00A71E98" w:rsidP="002B7D6E">
      <w:pPr>
        <w:jc w:val="both"/>
        <w:rPr>
          <w:sz w:val="22"/>
          <w:szCs w:val="22"/>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670"/>
        <w:gridCol w:w="895"/>
        <w:gridCol w:w="1589"/>
      </w:tblGrid>
      <w:tr w:rsidR="009603B9" w:rsidRPr="00AA3D0C" w14:paraId="1282B10D" w14:textId="77777777" w:rsidTr="00EB2DF4">
        <w:trPr>
          <w:trHeight w:val="692"/>
        </w:trPr>
        <w:tc>
          <w:tcPr>
            <w:tcW w:w="5670" w:type="dxa"/>
          </w:tcPr>
          <w:p w14:paraId="382267C0" w14:textId="77777777" w:rsidR="009603B9" w:rsidRPr="00AA3D0C" w:rsidRDefault="00A71E98" w:rsidP="009603B9">
            <w:pPr>
              <w:jc w:val="both"/>
              <w:rPr>
                <w:sz w:val="22"/>
                <w:szCs w:val="22"/>
              </w:rPr>
            </w:pPr>
            <m:oMathPara>
              <m:oMathParaPr>
                <m:jc m:val="right"/>
              </m:oMathParaPr>
              <m:oMath>
                <m:r>
                  <w:rPr>
                    <w:rFonts w:ascii="Cambria Math" w:hAnsi="Cambria Math"/>
                    <w:sz w:val="22"/>
                    <w:szCs w:val="20"/>
                    <w:lang w:val="en-US"/>
                  </w:rPr>
                  <m:t>CGI=8</m:t>
                </m:r>
                <m:func>
                  <m:funcPr>
                    <m:ctrlPr>
                      <w:rPr>
                        <w:rFonts w:ascii="Cambria Math" w:hAnsi="Cambria Math"/>
                        <w:i/>
                        <w:sz w:val="22"/>
                        <w:szCs w:val="20"/>
                        <w:lang w:val="en-US"/>
                      </w:rPr>
                    </m:ctrlPr>
                  </m:funcPr>
                  <m:fName>
                    <m:sSub>
                      <m:sSubPr>
                        <m:ctrlPr>
                          <w:rPr>
                            <w:rFonts w:ascii="Cambria Math" w:hAnsi="Cambria Math"/>
                            <w:i/>
                            <w:sz w:val="22"/>
                            <w:szCs w:val="20"/>
                            <w:lang w:val="en-US"/>
                          </w:rPr>
                        </m:ctrlPr>
                      </m:sSubPr>
                      <m:e>
                        <m:r>
                          <w:rPr>
                            <w:rFonts w:ascii="Cambria Math" w:hAnsi="Cambria Math"/>
                            <w:sz w:val="22"/>
                            <w:szCs w:val="20"/>
                          </w:rPr>
                          <m:t>log</m:t>
                        </m:r>
                      </m:e>
                      <m:sub>
                        <m:r>
                          <w:rPr>
                            <w:rFonts w:ascii="Cambria Math" w:hAnsi="Cambria Math"/>
                            <w:sz w:val="22"/>
                            <w:szCs w:val="20"/>
                            <w:lang w:val="en-US"/>
                          </w:rPr>
                          <m:t>10</m:t>
                        </m:r>
                      </m:sub>
                    </m:sSub>
                  </m:fName>
                  <m:e>
                    <m:r>
                      <w:rPr>
                        <w:rFonts w:ascii="Cambria Math" w:hAnsi="Cambria Math"/>
                        <w:sz w:val="22"/>
                        <w:szCs w:val="20"/>
                        <w:lang w:val="en-US"/>
                      </w:rPr>
                      <m:t>2∙</m:t>
                    </m:r>
                    <m:f>
                      <m:fPr>
                        <m:ctrlPr>
                          <w:rPr>
                            <w:rFonts w:ascii="Cambria Math" w:hAnsi="Cambria Math"/>
                            <w:i/>
                            <w:sz w:val="22"/>
                            <w:szCs w:val="20"/>
                            <w:lang w:val="en-US"/>
                          </w:rPr>
                        </m:ctrlPr>
                      </m:fPr>
                      <m:num>
                        <m:d>
                          <m:dPr>
                            <m:begChr m:val=""/>
                            <m:endChr m:val=""/>
                            <m:ctrlPr>
                              <w:rPr>
                                <w:rFonts w:ascii="Cambria Math" w:hAnsi="Cambria Math"/>
                                <w:i/>
                                <w:sz w:val="22"/>
                                <w:szCs w:val="20"/>
                                <w:lang w:val="en-US"/>
                              </w:rPr>
                            </m:ctrlPr>
                          </m:dPr>
                          <m:e>
                            <m:d>
                              <m:dPr>
                                <m:ctrlPr>
                                  <w:rPr>
                                    <w:rFonts w:ascii="Cambria Math" w:hAnsi="Cambria Math"/>
                                    <w:i/>
                                    <w:sz w:val="22"/>
                                    <w:szCs w:val="20"/>
                                    <w:lang w:val="en-US"/>
                                  </w:rPr>
                                </m:ctrlPr>
                              </m:dPr>
                              <m:e>
                                <m:r>
                                  <w:rPr>
                                    <w:rFonts w:ascii="Cambria Math" w:hAnsi="Cambria Math"/>
                                    <w:sz w:val="22"/>
                                    <w:szCs w:val="20"/>
                                    <w:lang w:val="en-US"/>
                                  </w:rPr>
                                  <m:t>1+</m:t>
                                </m:r>
                                <m:f>
                                  <m:fPr>
                                    <m:ctrlPr>
                                      <w:rPr>
                                        <w:rFonts w:ascii="Cambria Math" w:hAnsi="Cambria Math"/>
                                        <w:i/>
                                        <w:sz w:val="22"/>
                                        <w:szCs w:val="20"/>
                                        <w:lang w:val="en-US"/>
                                      </w:rPr>
                                    </m:ctrlPr>
                                  </m:fPr>
                                  <m:num>
                                    <m:sSub>
                                      <m:sSubPr>
                                        <m:ctrlPr>
                                          <w:rPr>
                                            <w:rFonts w:ascii="Cambria Math" w:hAnsi="Cambria Math"/>
                                            <w:i/>
                                            <w:sz w:val="22"/>
                                            <w:szCs w:val="20"/>
                                            <w:lang w:val="en-US"/>
                                          </w:rPr>
                                        </m:ctrlPr>
                                      </m:sSubPr>
                                      <m:e>
                                        <m:r>
                                          <w:rPr>
                                            <w:rFonts w:ascii="Cambria Math" w:hAnsi="Cambria Math"/>
                                            <w:sz w:val="22"/>
                                            <w:szCs w:val="20"/>
                                            <w:lang w:val="en-US"/>
                                          </w:rPr>
                                          <m:t>E</m:t>
                                        </m:r>
                                      </m:e>
                                      <m:sub>
                                        <m:r>
                                          <w:rPr>
                                            <w:rFonts w:ascii="Cambria Math" w:hAnsi="Cambria Math"/>
                                            <w:sz w:val="22"/>
                                            <w:szCs w:val="20"/>
                                            <w:lang w:val="en-US"/>
                                          </w:rPr>
                                          <m:t>d</m:t>
                                        </m:r>
                                      </m:sub>
                                    </m:sSub>
                                  </m:num>
                                  <m:den>
                                    <m:r>
                                      <w:rPr>
                                        <w:rFonts w:ascii="Cambria Math" w:hAnsi="Cambria Math"/>
                                        <w:sz w:val="22"/>
                                        <w:szCs w:val="20"/>
                                        <w:lang w:val="en-US"/>
                                      </w:rPr>
                                      <m:t>500</m:t>
                                    </m:r>
                                  </m:den>
                                </m:f>
                              </m:e>
                            </m:d>
                          </m:e>
                        </m:d>
                      </m:num>
                      <m:den>
                        <m:sSub>
                          <m:sSubPr>
                            <m:ctrlPr>
                              <w:rPr>
                                <w:rFonts w:ascii="Cambria Math" w:hAnsi="Cambria Math"/>
                                <w:i/>
                                <w:sz w:val="22"/>
                                <w:szCs w:val="20"/>
                                <w:lang w:val="en-US"/>
                              </w:rPr>
                            </m:ctrlPr>
                          </m:sSubPr>
                          <m:e>
                            <m:r>
                              <w:rPr>
                                <w:rFonts w:ascii="Cambria Math" w:hAnsi="Cambria Math"/>
                                <w:sz w:val="22"/>
                                <w:szCs w:val="20"/>
                                <w:lang w:val="en-US"/>
                              </w:rPr>
                              <m:t>E</m:t>
                            </m:r>
                          </m:e>
                          <m:sub>
                            <m:r>
                              <w:rPr>
                                <w:rFonts w:ascii="Cambria Math" w:hAnsi="Cambria Math"/>
                                <w:sz w:val="22"/>
                                <w:szCs w:val="20"/>
                                <w:lang w:val="en-US"/>
                              </w:rPr>
                              <m:t>d</m:t>
                            </m:r>
                          </m:sub>
                        </m:sSub>
                        <m:r>
                          <w:rPr>
                            <w:rFonts w:ascii="Cambria Math" w:hAnsi="Cambria Math"/>
                            <w:sz w:val="22"/>
                            <w:szCs w:val="20"/>
                            <w:lang w:val="en-US"/>
                          </w:rPr>
                          <m:t>+</m:t>
                        </m:r>
                        <m:sSub>
                          <m:sSubPr>
                            <m:ctrlPr>
                              <w:rPr>
                                <w:rFonts w:ascii="Cambria Math" w:hAnsi="Cambria Math"/>
                                <w:i/>
                                <w:sz w:val="22"/>
                                <w:szCs w:val="20"/>
                                <w:lang w:val="en-US"/>
                              </w:rPr>
                            </m:ctrlPr>
                          </m:sSubPr>
                          <m:e>
                            <m:r>
                              <w:rPr>
                                <w:rFonts w:ascii="Cambria Math" w:hAnsi="Cambria Math"/>
                                <w:sz w:val="22"/>
                                <w:szCs w:val="20"/>
                                <w:lang w:val="en-US"/>
                              </w:rPr>
                              <m:t>E</m:t>
                            </m:r>
                          </m:e>
                          <m:sub>
                            <m:r>
                              <w:rPr>
                                <w:rFonts w:ascii="Cambria Math" w:hAnsi="Cambria Math"/>
                                <w:sz w:val="22"/>
                                <w:szCs w:val="20"/>
                                <w:lang w:val="en-US"/>
                              </w:rPr>
                              <m:t>i</m:t>
                            </m:r>
                          </m:sub>
                        </m:sSub>
                      </m:den>
                    </m:f>
                    <m:r>
                      <w:rPr>
                        <w:rFonts w:ascii="Cambria Math" w:hAnsi="Cambria Math"/>
                        <w:sz w:val="22"/>
                        <w:szCs w:val="20"/>
                        <w:lang w:val="en-US"/>
                      </w:rPr>
                      <m:t>∙</m:t>
                    </m:r>
                    <m:nary>
                      <m:naryPr>
                        <m:chr m:val="∑"/>
                        <m:limLoc m:val="undOvr"/>
                        <m:grow m:val="1"/>
                        <m:ctrlPr>
                          <w:rPr>
                            <w:rFonts w:ascii="Cambria Math" w:hAnsi="Cambria Math"/>
                            <w:i/>
                            <w:sz w:val="22"/>
                            <w:szCs w:val="20"/>
                            <w:lang w:val="en-US"/>
                          </w:rPr>
                        </m:ctrlPr>
                      </m:naryPr>
                      <m:sub>
                        <m:r>
                          <w:rPr>
                            <w:rFonts w:ascii="Cambria Math" w:hAnsi="Cambria Math"/>
                            <w:sz w:val="22"/>
                            <w:szCs w:val="20"/>
                            <w:lang w:val="en-US"/>
                          </w:rPr>
                          <m:t>i=1</m:t>
                        </m:r>
                      </m:sub>
                      <m:sup>
                        <m:r>
                          <w:rPr>
                            <w:rFonts w:ascii="Cambria Math" w:hAnsi="Cambria Math"/>
                            <w:sz w:val="22"/>
                            <w:szCs w:val="20"/>
                            <w:lang w:val="en-US"/>
                          </w:rPr>
                          <m:t>n</m:t>
                        </m:r>
                      </m:sup>
                      <m:e>
                        <m:f>
                          <m:fPr>
                            <m:ctrlPr>
                              <w:rPr>
                                <w:rFonts w:ascii="Cambria Math" w:hAnsi="Cambria Math"/>
                                <w:i/>
                                <w:sz w:val="22"/>
                                <w:szCs w:val="20"/>
                                <w:lang w:val="en-US"/>
                              </w:rPr>
                            </m:ctrlPr>
                          </m:fPr>
                          <m:num>
                            <m:sSubSup>
                              <m:sSubSupPr>
                                <m:ctrlPr>
                                  <w:rPr>
                                    <w:rFonts w:ascii="Cambria Math" w:hAnsi="Cambria Math"/>
                                    <w:i/>
                                    <w:sz w:val="22"/>
                                    <w:szCs w:val="20"/>
                                    <w:lang w:val="en-US"/>
                                  </w:rPr>
                                </m:ctrlPr>
                              </m:sSubSupPr>
                              <m:e>
                                <m:r>
                                  <w:rPr>
                                    <w:rFonts w:ascii="Cambria Math" w:hAnsi="Cambria Math"/>
                                    <w:sz w:val="22"/>
                                    <w:szCs w:val="20"/>
                                    <w:lang w:val="en-US"/>
                                  </w:rPr>
                                  <m:t>L</m:t>
                                </m:r>
                              </m:e>
                              <m:sub>
                                <m:r>
                                  <w:rPr>
                                    <w:rFonts w:ascii="Cambria Math" w:hAnsi="Cambria Math"/>
                                    <w:sz w:val="22"/>
                                    <w:szCs w:val="20"/>
                                    <w:lang w:val="en-US"/>
                                  </w:rPr>
                                  <m:t>s</m:t>
                                </m:r>
                              </m:sub>
                              <m:sup>
                                <m:r>
                                  <w:rPr>
                                    <w:rFonts w:ascii="Cambria Math" w:hAnsi="Cambria Math"/>
                                    <w:sz w:val="22"/>
                                    <w:szCs w:val="20"/>
                                    <w:lang w:val="en-US"/>
                                  </w:rPr>
                                  <m:t>2</m:t>
                                </m:r>
                              </m:sup>
                            </m:sSubSup>
                            <m:r>
                              <w:rPr>
                                <w:rFonts w:ascii="Cambria Math" w:hAnsi="Cambria Math"/>
                                <w:sz w:val="22"/>
                                <w:szCs w:val="20"/>
                                <w:lang w:val="en-US"/>
                              </w:rPr>
                              <m:t>∙</m:t>
                            </m:r>
                            <m:sSub>
                              <m:sSubPr>
                                <m:ctrlPr>
                                  <w:rPr>
                                    <w:rFonts w:ascii="Cambria Math" w:hAnsi="Cambria Math"/>
                                    <w:i/>
                                    <w:sz w:val="22"/>
                                    <w:szCs w:val="20"/>
                                    <w:lang w:val="en-US"/>
                                  </w:rPr>
                                </m:ctrlPr>
                              </m:sSubPr>
                              <m:e>
                                <m:r>
                                  <w:rPr>
                                    <w:rFonts w:ascii="Cambria Math" w:hAnsi="Cambria Math"/>
                                    <w:sz w:val="22"/>
                                    <w:szCs w:val="20"/>
                                    <w:lang w:val="en-US"/>
                                  </w:rPr>
                                  <m:t>ω</m:t>
                                </m:r>
                              </m:e>
                              <m:sub>
                                <m:r>
                                  <w:rPr>
                                    <w:rFonts w:ascii="Cambria Math" w:hAnsi="Cambria Math"/>
                                    <w:sz w:val="22"/>
                                    <w:szCs w:val="20"/>
                                    <w:lang w:val="en-US"/>
                                  </w:rPr>
                                  <m:t>s</m:t>
                                </m:r>
                              </m:sub>
                            </m:sSub>
                          </m:num>
                          <m:den>
                            <m:sSup>
                              <m:sSupPr>
                                <m:ctrlPr>
                                  <w:rPr>
                                    <w:rFonts w:ascii="Cambria Math" w:hAnsi="Cambria Math"/>
                                    <w:i/>
                                    <w:sz w:val="22"/>
                                    <w:szCs w:val="20"/>
                                    <w:lang w:val="en-US"/>
                                  </w:rPr>
                                </m:ctrlPr>
                              </m:sSupPr>
                              <m:e>
                                <m:r>
                                  <w:rPr>
                                    <w:rFonts w:ascii="Cambria Math" w:hAnsi="Cambria Math"/>
                                    <w:sz w:val="22"/>
                                    <w:szCs w:val="20"/>
                                    <w:lang w:val="en-US"/>
                                  </w:rPr>
                                  <m:t>P</m:t>
                                </m:r>
                              </m:e>
                              <m:sup>
                                <m:r>
                                  <w:rPr>
                                    <w:rFonts w:ascii="Cambria Math" w:hAnsi="Cambria Math"/>
                                    <w:sz w:val="22"/>
                                    <w:szCs w:val="20"/>
                                    <w:lang w:val="en-US"/>
                                  </w:rPr>
                                  <m:t>2</m:t>
                                </m:r>
                              </m:sup>
                            </m:sSup>
                          </m:den>
                        </m:f>
                      </m:e>
                    </m:nary>
                  </m:e>
                </m:func>
              </m:oMath>
            </m:oMathPara>
          </w:p>
        </w:tc>
        <w:tc>
          <w:tcPr>
            <w:tcW w:w="895" w:type="dxa"/>
          </w:tcPr>
          <w:p w14:paraId="1AF2FEAE" w14:textId="77777777" w:rsidR="009603B9" w:rsidRPr="00AA3D0C" w:rsidRDefault="009603B9" w:rsidP="009603B9">
            <w:pPr>
              <w:jc w:val="both"/>
              <w:rPr>
                <w:sz w:val="22"/>
                <w:szCs w:val="22"/>
              </w:rPr>
            </w:pPr>
          </w:p>
          <w:p w14:paraId="77210916" w14:textId="77777777" w:rsidR="009603B9" w:rsidRPr="00AA3D0C" w:rsidRDefault="009603B9" w:rsidP="009603B9">
            <w:pPr>
              <w:jc w:val="both"/>
              <w:rPr>
                <w:sz w:val="22"/>
                <w:szCs w:val="22"/>
              </w:rPr>
            </w:pPr>
            <w:r w:rsidRPr="00AA3D0C">
              <w:rPr>
                <w:sz w:val="22"/>
                <w:szCs w:val="22"/>
              </w:rPr>
              <w:t>[-]</w:t>
            </w:r>
          </w:p>
        </w:tc>
        <w:tc>
          <w:tcPr>
            <w:tcW w:w="1589" w:type="dxa"/>
          </w:tcPr>
          <w:p w14:paraId="496693D1" w14:textId="77777777" w:rsidR="009603B9" w:rsidRPr="00AA3D0C" w:rsidRDefault="009603B9" w:rsidP="009603B9">
            <w:pPr>
              <w:jc w:val="right"/>
              <w:rPr>
                <w:sz w:val="22"/>
                <w:szCs w:val="22"/>
              </w:rPr>
            </w:pPr>
          </w:p>
          <w:p w14:paraId="7F419875" w14:textId="77777777" w:rsidR="009603B9" w:rsidRPr="00AA3D0C" w:rsidRDefault="009603B9" w:rsidP="009603B9">
            <w:pPr>
              <w:jc w:val="right"/>
              <w:rPr>
                <w:sz w:val="22"/>
                <w:szCs w:val="22"/>
              </w:rPr>
            </w:pPr>
            <w:r w:rsidRPr="00AA3D0C">
              <w:rPr>
                <w:sz w:val="22"/>
                <w:szCs w:val="22"/>
              </w:rPr>
              <w:t>(</w:t>
            </w:r>
            <w:r w:rsidR="00914CBA">
              <w:rPr>
                <w:sz w:val="22"/>
                <w:szCs w:val="22"/>
              </w:rPr>
              <w:t>4</w:t>
            </w:r>
            <w:r w:rsidRPr="00AA3D0C">
              <w:rPr>
                <w:sz w:val="22"/>
                <w:szCs w:val="22"/>
              </w:rPr>
              <w:t>)</w:t>
            </w:r>
          </w:p>
        </w:tc>
      </w:tr>
    </w:tbl>
    <w:p w14:paraId="3ACEEC9B" w14:textId="77777777" w:rsidR="009603B9" w:rsidRPr="00AA3D0C" w:rsidRDefault="009603B9" w:rsidP="002B7D6E">
      <w:pPr>
        <w:jc w:val="both"/>
        <w:rPr>
          <w:sz w:val="22"/>
          <w:szCs w:val="22"/>
        </w:rPr>
      </w:pPr>
    </w:p>
    <w:p w14:paraId="2F57C895" w14:textId="6FF2C6FE" w:rsidR="002B7D6E" w:rsidRDefault="002B7D6E" w:rsidP="002B7D6E">
      <w:pPr>
        <w:jc w:val="both"/>
        <w:rPr>
          <w:sz w:val="22"/>
          <w:szCs w:val="22"/>
        </w:rPr>
      </w:pPr>
      <w:r w:rsidRPr="00AA3D0C">
        <w:rPr>
          <w:sz w:val="22"/>
          <w:szCs w:val="22"/>
        </w:rPr>
        <w:t xml:space="preserve">The first </w:t>
      </w:r>
      <w:r w:rsidR="00D75186">
        <w:rPr>
          <w:sz w:val="22"/>
          <w:szCs w:val="22"/>
        </w:rPr>
        <w:t>index</w:t>
      </w:r>
      <w:r w:rsidRPr="00AA3D0C">
        <w:rPr>
          <w:sz w:val="22"/>
          <w:szCs w:val="22"/>
        </w:rPr>
        <w:t xml:space="preserve"> evaluatin</w:t>
      </w:r>
      <w:r w:rsidR="00D75186">
        <w:rPr>
          <w:sz w:val="22"/>
          <w:szCs w:val="22"/>
        </w:rPr>
        <w:t>g glare</w:t>
      </w:r>
      <w:r w:rsidRPr="00AA3D0C">
        <w:rPr>
          <w:sz w:val="22"/>
          <w:szCs w:val="22"/>
        </w:rPr>
        <w:t xml:space="preserve"> under non-uniform glare was the Cornell or Daylight Glare Index (DGI) developed by Hopkinson </w:t>
      </w:r>
      <w:r w:rsidRPr="00914CBA">
        <w:rPr>
          <w:sz w:val="22"/>
          <w:szCs w:val="22"/>
        </w:rPr>
        <w:fldChar w:fldCharType="begin" w:fldLock="1"/>
      </w:r>
      <w:r w:rsidR="005952EA">
        <w:rPr>
          <w:sz w:val="22"/>
          <w:szCs w:val="22"/>
        </w:rPr>
        <w:instrText>ADDIN CSL_CITATION { "citationItems" : [ { "id" : "ITEM-1", "itemData" : { "DOI" : "10.1016/0003-6870(72)90102-0", "ISSN" : "0003-6870", "abstract" : "Glare can be caused by a direct view of the bright sky from the interior of a building. This glare can be an impediment to vision and even a direct hazard, as on a stairway, or it can cause serious or mild discomfort. Even minor effects may accumulate, as with a low but incessant noise, to lead to fatigue during the working day. Both the disabling and annoying effects of glare have been studied in a number of laboratories, and this article summarises some of the most recent conclusions. Glare is a direct function of both the size of the window and the brightness of the sky seen through it, and an inverse function of the brightness of the room interior. Glare can therefore be reduced by cutting down the size and brightness of the visible patch of sky and by increasing the interior brightness by the judicious use of surface areas of high reflectance. These parameters are related in such a way that an overall Glare Index for a room can be computed and values of this Glare Index can be set and codified to ensure that tolerance limits will not be exceeded. \ufffd 1972.", "author" : [ { "dropping-particle" : "", "family" : "Hopkinson", "given" : "R G", "non-dropping-particle" : "", "parse-names" : false, "suffix" : "" } ], "container-title" : "Applied Ergonomics", "id" : "ITEM-1", "issue" : "4", "issued" : { "date-parts" : [ [ "1972" ] ] }, "note" : "Cited By :95", "page" : "206-215", "publisher-place" : "Affiliation: University College London, United Kingdom; Correspondence Address: Hopkinson, R.G.; University College LondonUnited Kingdom", "title" : "Glare from daylighting in buildings", "type" : "article-journal", "volume" : "3" }, "uris" : [ "http://www.mendeley.com/documents/?uuid=31d6b00a-b9b9-4dd8-a64f-ad5216dad896", "http://www.mendeley.com/documents/?uuid=3347fc0c-592b-4810-b445-9d5c1243ed1f" ] } ], "mendeley" : { "formattedCitation" : "(Hopkinson, 1972)", "manualFormatting" : "(1972)", "plainTextFormattedCitation" : "(Hopkinson, 1972)", "previouslyFormattedCitation" : "(Hopkinson, 1972)" }, "properties" : { "noteIndex" : 0 }, "schema" : "https://github.com/citation-style-language/schema/raw/master/csl-citation.json" }</w:instrText>
      </w:r>
      <w:r w:rsidRPr="00914CBA">
        <w:rPr>
          <w:sz w:val="22"/>
          <w:szCs w:val="22"/>
        </w:rPr>
        <w:fldChar w:fldCharType="separate"/>
      </w:r>
      <w:r w:rsidRPr="00914CBA">
        <w:rPr>
          <w:noProof/>
          <w:sz w:val="22"/>
          <w:szCs w:val="22"/>
        </w:rPr>
        <w:t>(1972)</w:t>
      </w:r>
      <w:r w:rsidRPr="00914CBA">
        <w:rPr>
          <w:sz w:val="22"/>
          <w:szCs w:val="22"/>
        </w:rPr>
        <w:fldChar w:fldCharType="end"/>
      </w:r>
      <w:r w:rsidR="00245B0B" w:rsidRPr="00914CBA">
        <w:rPr>
          <w:sz w:val="22"/>
          <w:szCs w:val="22"/>
        </w:rPr>
        <w:t xml:space="preserve"> (eq.</w:t>
      </w:r>
      <w:r w:rsidR="00914CBA" w:rsidRPr="00914CBA">
        <w:rPr>
          <w:sz w:val="22"/>
          <w:szCs w:val="22"/>
        </w:rPr>
        <w:t>5</w:t>
      </w:r>
      <w:r w:rsidR="00245B0B" w:rsidRPr="00914CBA">
        <w:rPr>
          <w:sz w:val="22"/>
          <w:szCs w:val="22"/>
        </w:rPr>
        <w:t>)</w:t>
      </w:r>
      <w:r w:rsidRPr="00914CBA">
        <w:rPr>
          <w:sz w:val="22"/>
          <w:szCs w:val="22"/>
        </w:rPr>
        <w:t>.</w:t>
      </w:r>
    </w:p>
    <w:p w14:paraId="55B6C08A" w14:textId="77777777" w:rsidR="00A71E98" w:rsidRPr="00AA3D0C" w:rsidRDefault="00A71E98" w:rsidP="002B7D6E">
      <w:pPr>
        <w:jc w:val="both"/>
        <w:rPr>
          <w:sz w:val="22"/>
          <w:szCs w:val="22"/>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670"/>
        <w:gridCol w:w="895"/>
        <w:gridCol w:w="1589"/>
      </w:tblGrid>
      <w:tr w:rsidR="009603B9" w:rsidRPr="00AA3D0C" w14:paraId="6130C14A" w14:textId="77777777" w:rsidTr="00B9796C">
        <w:trPr>
          <w:trHeight w:val="692"/>
        </w:trPr>
        <w:tc>
          <w:tcPr>
            <w:tcW w:w="5670" w:type="dxa"/>
          </w:tcPr>
          <w:p w14:paraId="5F0541C0" w14:textId="77777777" w:rsidR="009603B9" w:rsidRPr="00AA3D0C" w:rsidRDefault="00A71E98" w:rsidP="009603B9">
            <w:pPr>
              <w:jc w:val="both"/>
              <w:rPr>
                <w:sz w:val="22"/>
                <w:szCs w:val="22"/>
              </w:rPr>
            </w:pPr>
            <m:oMathPara>
              <m:oMathParaPr>
                <m:jc m:val="right"/>
              </m:oMathParaPr>
              <m:oMath>
                <m:r>
                  <w:rPr>
                    <w:rFonts w:ascii="Cambria Math" w:hAnsi="Cambria Math"/>
                    <w:sz w:val="22"/>
                    <w:szCs w:val="20"/>
                    <w:lang w:val="en-US"/>
                  </w:rPr>
                  <m:t>DGI=10</m:t>
                </m:r>
                <m:func>
                  <m:funcPr>
                    <m:ctrlPr>
                      <w:rPr>
                        <w:rFonts w:ascii="Cambria Math" w:hAnsi="Cambria Math"/>
                        <w:i/>
                        <w:sz w:val="22"/>
                        <w:szCs w:val="20"/>
                        <w:lang w:val="en-US"/>
                      </w:rPr>
                    </m:ctrlPr>
                  </m:funcPr>
                  <m:fName>
                    <m:sSub>
                      <m:sSubPr>
                        <m:ctrlPr>
                          <w:rPr>
                            <w:rFonts w:ascii="Cambria Math" w:hAnsi="Cambria Math"/>
                            <w:i/>
                            <w:sz w:val="22"/>
                            <w:szCs w:val="20"/>
                            <w:lang w:val="en-US"/>
                          </w:rPr>
                        </m:ctrlPr>
                      </m:sSubPr>
                      <m:e>
                        <m:r>
                          <w:rPr>
                            <w:rFonts w:ascii="Cambria Math" w:hAnsi="Cambria Math"/>
                            <w:sz w:val="22"/>
                            <w:szCs w:val="20"/>
                          </w:rPr>
                          <m:t>log</m:t>
                        </m:r>
                      </m:e>
                      <m:sub>
                        <m:r>
                          <w:rPr>
                            <w:rFonts w:ascii="Cambria Math" w:hAnsi="Cambria Math"/>
                            <w:sz w:val="22"/>
                            <w:szCs w:val="20"/>
                            <w:lang w:val="en-US"/>
                          </w:rPr>
                          <m:t>10</m:t>
                        </m:r>
                      </m:sub>
                    </m:sSub>
                    <m:r>
                      <w:rPr>
                        <w:rFonts w:ascii="Cambria Math" w:hAnsi="Cambria Math"/>
                        <w:sz w:val="22"/>
                        <w:szCs w:val="20"/>
                        <w:lang w:val="en-US"/>
                      </w:rPr>
                      <m:t>0.48</m:t>
                    </m:r>
                  </m:fName>
                  <m:e>
                    <m:r>
                      <w:rPr>
                        <w:rFonts w:ascii="Cambria Math" w:hAnsi="Cambria Math"/>
                        <w:sz w:val="22"/>
                        <w:szCs w:val="20"/>
                        <w:lang w:val="en-US"/>
                      </w:rPr>
                      <m:t>∙</m:t>
                    </m:r>
                    <m:nary>
                      <m:naryPr>
                        <m:chr m:val="∑"/>
                        <m:limLoc m:val="undOvr"/>
                        <m:grow m:val="1"/>
                        <m:ctrlPr>
                          <w:rPr>
                            <w:rFonts w:ascii="Cambria Math" w:hAnsi="Cambria Math"/>
                            <w:i/>
                            <w:sz w:val="22"/>
                            <w:szCs w:val="20"/>
                            <w:lang w:val="en-US"/>
                          </w:rPr>
                        </m:ctrlPr>
                      </m:naryPr>
                      <m:sub>
                        <m:r>
                          <w:rPr>
                            <w:rFonts w:ascii="Cambria Math" w:hAnsi="Cambria Math"/>
                            <w:sz w:val="22"/>
                            <w:szCs w:val="20"/>
                            <w:lang w:val="en-US"/>
                          </w:rPr>
                          <m:t>i=1</m:t>
                        </m:r>
                      </m:sub>
                      <m:sup>
                        <m:r>
                          <w:rPr>
                            <w:rFonts w:ascii="Cambria Math" w:hAnsi="Cambria Math"/>
                            <w:sz w:val="22"/>
                            <w:szCs w:val="20"/>
                            <w:lang w:val="en-US"/>
                          </w:rPr>
                          <m:t>n</m:t>
                        </m:r>
                      </m:sup>
                      <m:e>
                        <m:f>
                          <m:fPr>
                            <m:ctrlPr>
                              <w:rPr>
                                <w:rFonts w:ascii="Cambria Math" w:hAnsi="Cambria Math"/>
                                <w:i/>
                                <w:sz w:val="22"/>
                                <w:szCs w:val="20"/>
                                <w:lang w:val="en-US"/>
                              </w:rPr>
                            </m:ctrlPr>
                          </m:fPr>
                          <m:num>
                            <m:sSubSup>
                              <m:sSubSupPr>
                                <m:ctrlPr>
                                  <w:rPr>
                                    <w:rFonts w:ascii="Cambria Math" w:hAnsi="Cambria Math"/>
                                    <w:i/>
                                    <w:sz w:val="22"/>
                                    <w:szCs w:val="20"/>
                                    <w:lang w:val="en-US"/>
                                  </w:rPr>
                                </m:ctrlPr>
                              </m:sSubSupPr>
                              <m:e>
                                <m:r>
                                  <w:rPr>
                                    <w:rFonts w:ascii="Cambria Math" w:hAnsi="Cambria Math"/>
                                    <w:sz w:val="22"/>
                                    <w:szCs w:val="20"/>
                                    <w:lang w:val="en-US"/>
                                  </w:rPr>
                                  <m:t>L</m:t>
                                </m:r>
                              </m:e>
                              <m:sub>
                                <m:r>
                                  <w:rPr>
                                    <w:rFonts w:ascii="Cambria Math" w:hAnsi="Cambria Math"/>
                                    <w:sz w:val="22"/>
                                    <w:szCs w:val="20"/>
                                    <w:lang w:val="en-US"/>
                                  </w:rPr>
                                  <m:t>s</m:t>
                                </m:r>
                              </m:sub>
                              <m:sup>
                                <m:r>
                                  <w:rPr>
                                    <w:rFonts w:ascii="Cambria Math" w:hAnsi="Cambria Math"/>
                                    <w:sz w:val="22"/>
                                    <w:szCs w:val="20"/>
                                    <w:lang w:val="en-US"/>
                                  </w:rPr>
                                  <m:t>1.6</m:t>
                                </m:r>
                              </m:sup>
                            </m:sSubSup>
                            <m:r>
                              <w:rPr>
                                <w:rFonts w:ascii="Cambria Math" w:hAnsi="Cambria Math"/>
                                <w:sz w:val="22"/>
                                <w:szCs w:val="20"/>
                                <w:lang w:val="en-US"/>
                              </w:rPr>
                              <m:t>∙</m:t>
                            </m:r>
                            <m:sSub>
                              <m:sSubPr>
                                <m:ctrlPr>
                                  <w:rPr>
                                    <w:rFonts w:ascii="Cambria Math" w:hAnsi="Cambria Math"/>
                                    <w:i/>
                                    <w:sz w:val="22"/>
                                    <w:szCs w:val="20"/>
                                    <w:lang w:val="en-US"/>
                                  </w:rPr>
                                </m:ctrlPr>
                              </m:sSubPr>
                              <m:e>
                                <m:r>
                                  <w:rPr>
                                    <w:rFonts w:ascii="Cambria Math" w:hAnsi="Cambria Math"/>
                                    <w:sz w:val="22"/>
                                    <w:szCs w:val="20"/>
                                    <w:lang w:val="en-US"/>
                                  </w:rPr>
                                  <m:t>Ω</m:t>
                                </m:r>
                              </m:e>
                              <m:sub>
                                <m:r>
                                  <w:rPr>
                                    <w:rFonts w:ascii="Cambria Math" w:hAnsi="Cambria Math"/>
                                    <w:sz w:val="22"/>
                                    <w:szCs w:val="20"/>
                                    <w:lang w:val="en-US"/>
                                  </w:rPr>
                                  <m:t>s</m:t>
                                </m:r>
                              </m:sub>
                            </m:sSub>
                          </m:num>
                          <m:den>
                            <m:sSub>
                              <m:sSubPr>
                                <m:ctrlPr>
                                  <w:rPr>
                                    <w:rFonts w:ascii="Cambria Math" w:hAnsi="Cambria Math"/>
                                    <w:i/>
                                    <w:sz w:val="22"/>
                                    <w:szCs w:val="20"/>
                                    <w:lang w:val="en-US"/>
                                  </w:rPr>
                                </m:ctrlPr>
                              </m:sSubPr>
                              <m:e>
                                <m:r>
                                  <w:rPr>
                                    <w:rFonts w:ascii="Cambria Math" w:hAnsi="Cambria Math"/>
                                    <w:sz w:val="22"/>
                                    <w:szCs w:val="20"/>
                                    <w:lang w:val="en-US"/>
                                  </w:rPr>
                                  <m:t>L</m:t>
                                </m:r>
                              </m:e>
                              <m:sub>
                                <m:r>
                                  <w:rPr>
                                    <w:rFonts w:ascii="Cambria Math" w:hAnsi="Cambria Math"/>
                                    <w:sz w:val="22"/>
                                    <w:szCs w:val="20"/>
                                    <w:lang w:val="en-US"/>
                                  </w:rPr>
                                  <m:t>b</m:t>
                                </m:r>
                              </m:sub>
                            </m:sSub>
                            <m:r>
                              <w:rPr>
                                <w:rFonts w:ascii="Cambria Math" w:hAnsi="Cambria Math"/>
                                <w:sz w:val="22"/>
                                <w:szCs w:val="20"/>
                                <w:lang w:val="en-US"/>
                              </w:rPr>
                              <m:t>+0.07</m:t>
                            </m:r>
                            <m:sSubSup>
                              <m:sSubSupPr>
                                <m:ctrlPr>
                                  <w:rPr>
                                    <w:rFonts w:ascii="Cambria Math" w:hAnsi="Cambria Math"/>
                                    <w:i/>
                                    <w:sz w:val="22"/>
                                    <w:szCs w:val="20"/>
                                    <w:lang w:val="en-US"/>
                                  </w:rPr>
                                </m:ctrlPr>
                              </m:sSubSupPr>
                              <m:e>
                                <m:r>
                                  <w:rPr>
                                    <w:rFonts w:ascii="Cambria Math" w:hAnsi="Cambria Math"/>
                                    <w:sz w:val="22"/>
                                    <w:szCs w:val="20"/>
                                    <w:lang w:val="en-US"/>
                                  </w:rPr>
                                  <m:t>ω</m:t>
                                </m:r>
                              </m:e>
                              <m:sub>
                                <m:r>
                                  <w:rPr>
                                    <w:rFonts w:ascii="Cambria Math" w:hAnsi="Cambria Math"/>
                                    <w:sz w:val="22"/>
                                    <w:szCs w:val="20"/>
                                    <w:lang w:val="en-US"/>
                                  </w:rPr>
                                  <m:t>s</m:t>
                                </m:r>
                              </m:sub>
                              <m:sup>
                                <m:r>
                                  <w:rPr>
                                    <w:rFonts w:ascii="Cambria Math" w:hAnsi="Cambria Math"/>
                                    <w:sz w:val="22"/>
                                    <w:szCs w:val="20"/>
                                    <w:lang w:val="en-US"/>
                                  </w:rPr>
                                  <m:t>0.5</m:t>
                                </m:r>
                              </m:sup>
                            </m:sSubSup>
                            <m:sSub>
                              <m:sSubPr>
                                <m:ctrlPr>
                                  <w:rPr>
                                    <w:rFonts w:ascii="Cambria Math" w:hAnsi="Cambria Math"/>
                                    <w:i/>
                                    <w:sz w:val="22"/>
                                    <w:szCs w:val="20"/>
                                    <w:lang w:val="en-US"/>
                                  </w:rPr>
                                </m:ctrlPr>
                              </m:sSubPr>
                              <m:e>
                                <m:r>
                                  <w:rPr>
                                    <w:rFonts w:ascii="Cambria Math" w:hAnsi="Cambria Math"/>
                                    <w:sz w:val="22"/>
                                    <w:szCs w:val="20"/>
                                    <w:lang w:val="en-US"/>
                                  </w:rPr>
                                  <m:t>L</m:t>
                                </m:r>
                              </m:e>
                              <m:sub>
                                <m:r>
                                  <w:rPr>
                                    <w:rFonts w:ascii="Cambria Math" w:hAnsi="Cambria Math"/>
                                    <w:sz w:val="22"/>
                                    <w:szCs w:val="20"/>
                                    <w:lang w:val="en-US"/>
                                  </w:rPr>
                                  <m:t>s</m:t>
                                </m:r>
                              </m:sub>
                            </m:sSub>
                          </m:den>
                        </m:f>
                      </m:e>
                    </m:nary>
                  </m:e>
                </m:func>
              </m:oMath>
            </m:oMathPara>
          </w:p>
        </w:tc>
        <w:tc>
          <w:tcPr>
            <w:tcW w:w="895" w:type="dxa"/>
          </w:tcPr>
          <w:p w14:paraId="67B857DC" w14:textId="77777777" w:rsidR="009603B9" w:rsidRPr="00AA3D0C" w:rsidRDefault="009603B9" w:rsidP="009603B9">
            <w:pPr>
              <w:jc w:val="both"/>
              <w:rPr>
                <w:sz w:val="22"/>
                <w:szCs w:val="22"/>
              </w:rPr>
            </w:pPr>
          </w:p>
          <w:p w14:paraId="260F8F74" w14:textId="77777777" w:rsidR="009603B9" w:rsidRPr="00AA3D0C" w:rsidRDefault="009603B9" w:rsidP="009603B9">
            <w:pPr>
              <w:jc w:val="both"/>
              <w:rPr>
                <w:sz w:val="22"/>
                <w:szCs w:val="22"/>
              </w:rPr>
            </w:pPr>
            <w:r w:rsidRPr="00AA3D0C">
              <w:rPr>
                <w:sz w:val="22"/>
                <w:szCs w:val="22"/>
              </w:rPr>
              <w:t>[-]</w:t>
            </w:r>
          </w:p>
        </w:tc>
        <w:tc>
          <w:tcPr>
            <w:tcW w:w="1589" w:type="dxa"/>
          </w:tcPr>
          <w:p w14:paraId="3DFF2AA2" w14:textId="77777777" w:rsidR="009603B9" w:rsidRPr="00AA3D0C" w:rsidRDefault="009603B9" w:rsidP="009603B9">
            <w:pPr>
              <w:jc w:val="right"/>
              <w:rPr>
                <w:sz w:val="22"/>
                <w:szCs w:val="22"/>
              </w:rPr>
            </w:pPr>
          </w:p>
          <w:p w14:paraId="01136C5C" w14:textId="77777777" w:rsidR="009603B9" w:rsidRPr="00AA3D0C" w:rsidRDefault="009603B9" w:rsidP="009603B9">
            <w:pPr>
              <w:jc w:val="right"/>
              <w:rPr>
                <w:sz w:val="22"/>
                <w:szCs w:val="22"/>
              </w:rPr>
            </w:pPr>
            <w:r w:rsidRPr="00AA3D0C">
              <w:rPr>
                <w:sz w:val="22"/>
                <w:szCs w:val="22"/>
              </w:rPr>
              <w:t>(</w:t>
            </w:r>
            <w:r w:rsidR="00914CBA">
              <w:rPr>
                <w:sz w:val="22"/>
                <w:szCs w:val="22"/>
              </w:rPr>
              <w:t>5</w:t>
            </w:r>
            <w:r w:rsidRPr="00AA3D0C">
              <w:rPr>
                <w:sz w:val="22"/>
                <w:szCs w:val="22"/>
              </w:rPr>
              <w:t>)</w:t>
            </w:r>
          </w:p>
        </w:tc>
      </w:tr>
    </w:tbl>
    <w:p w14:paraId="267412BF" w14:textId="77777777" w:rsidR="009603B9" w:rsidRPr="00AA3D0C" w:rsidRDefault="009603B9" w:rsidP="002B7D6E">
      <w:pPr>
        <w:jc w:val="both"/>
        <w:rPr>
          <w:sz w:val="22"/>
          <w:szCs w:val="22"/>
        </w:rPr>
      </w:pPr>
    </w:p>
    <w:p w14:paraId="5FD37119" w14:textId="17611ECC" w:rsidR="00D75186" w:rsidRDefault="00D75186" w:rsidP="00D75186">
      <w:pPr>
        <w:jc w:val="both"/>
        <w:rPr>
          <w:sz w:val="22"/>
          <w:szCs w:val="22"/>
        </w:rPr>
      </w:pPr>
      <w:r w:rsidRPr="00AA3D0C">
        <w:rPr>
          <w:sz w:val="22"/>
          <w:szCs w:val="22"/>
        </w:rPr>
        <w:t xml:space="preserve">The DGI formula was based on the BRS and CGI metric, and </w:t>
      </w:r>
      <w:r>
        <w:rPr>
          <w:sz w:val="22"/>
          <w:szCs w:val="22"/>
        </w:rPr>
        <w:t>it was derived from</w:t>
      </w:r>
      <w:r w:rsidRPr="00AA3D0C">
        <w:rPr>
          <w:sz w:val="22"/>
          <w:szCs w:val="22"/>
        </w:rPr>
        <w:t xml:space="preserve"> experiments with artificial light placed behind a diffusive fabric </w:t>
      </w:r>
      <w:r w:rsidRPr="00AA3D0C">
        <w:rPr>
          <w:sz w:val="22"/>
          <w:szCs w:val="22"/>
        </w:rPr>
        <w:fldChar w:fldCharType="begin" w:fldLock="1"/>
      </w:r>
      <w:r w:rsidR="004F26FE">
        <w:rPr>
          <w:sz w:val="22"/>
          <w:szCs w:val="22"/>
        </w:rPr>
        <w:instrText>ADDIN CSL_CITATION { "citationItems" : [ { "id" : "ITEM-1", "itemData" : { "author" : [ { "dropping-particle" : "", "family" : "Bellia", "given" : "Laura", "non-dropping-particle" : "", "parse-names" : false, "suffix" : "" }, { "dropping-particle" : "", "family" : "Cesarano", "given" : "Arcangelo", "non-dropping-particle" : "", "parse-names" : false, "suffix" : "" }, { "dropping-particle" : "", "family" : "Iuliano", "given" : "Giuseppe Fabio", "non-dropping-particle" : "", "parse-names" : false, "suffix" : "" }, { "dropping-particle" : "", "family" : "Spada", "given" : "Gennaro", "non-dropping-particle" : "", "parse-names" : false, "suffix" : "" } ], "container-title" : "Visual quality and energy efficiency in indoor lighting: today for tomorrow", "id" : "ITEM-1", "issued" : { "date-parts" : [ [ "2008" ] ] }, "publisher-place" : "Rome, Italy", "title" : "Daylight glare: A review of discomfort indexes", "type" : "paper-conference" }, "uris" : [ "http://www.mendeley.com/documents/?uuid=aefb6dcb-be9c-4f7c-907d-9ba016f23197", "http://www.mendeley.com/documents/?uuid=7ac910d0-6542-4efb-8fa0-b4b0c7cfc0d4" ] }, { "id" : "ITEM-2", "itemData" : { "DOI" : "10.1016/j.buildenv.2008.08.013", "ISBN" : "03601323", "ISSN" : "03601323", "abstract" : "In this paper we report the results of experimental tests carried out to study the effect of electrochromic (EC)-glazing on discomfort glare from windows. The research is performed by a small scale test-cell equipped with a small area double glazing unit (DGU) where one pane consists of an EC device with a visible transmittance \u03c4vranging from about 7 to 70% and the other of an ordinary clear float glass (\u03c4v\u223c 90%), the overall DGU transmittance dynamic range resulting about 4-58%. The performance of the device is investigated under real sky conditions as a function of time, solar radiation intensity, test-cell orientation and switching strategies (static and dynamic). The evaluation methods adopted for assessing the discomfort glare degree are the \"New Daylight Glare Index\" (DGIN) and the \"Glare Subjective Rating\" (SR). Results deriving from application of these two methods are compatible and show that for south facing windows and under the involved climatic conditions EC-glazing can be very effective in reducing discomfort glare caused by high window brightness originating from diffuse skylight. This glare reduction can be realized without compromising much of the available daylight so without necessarily increasing the need for artificial lighting and, at the same time, preserving an unobstructed outside view. Occurrence of glare effects from west (or east) facing windows is more difficult to be controlled due to the lower sun angles which entail the use of EC devices switchable to very low transmittance states (\u03c4v&lt; 7%) and/or integration of traditional sun protection devices. This would probably compromise indoor daylight availability (and potential energy savings associated to reduced use of artificial lighting) as well as exterior view although the positive effect of the EC-glazing could be a substantial reduction of the frequency of use of these additional shading systems. \u00a9 2008 Elsevier Ltd. All rights reserved.", "author" : [ { "dropping-particle" : "", "family" : "Piccolo", "given" : "A.", "non-dropping-particle" : "", "parse-names" : false, "suffix" : "" }, { "dropping-particle" : "", "family" : "Simone", "given" : "F.", "non-dropping-particle" : "", "parse-names" : false, "suffix" : "" } ], "container-title" : "Building and Environment", "id" : "ITEM-2", "issue" : "6", "issued" : { "date-parts" : [ [ "2009" ] ] }, "page" : "1171-1180", "title" : "Effect of switchable glazing on discomfort glare from windows", "type" : "article-journal", "volume" : "44" }, "uris" : [ "http://www.mendeley.com/documents/?uuid=32367262-2f7a-32f6-8773-54bcd0459cc9", "http://www.mendeley.com/documents/?uuid=a7c66d02-ff89-489b-a658-66f2544a9f1e" ] } ], "mendeley" : { "formattedCitation" : "(Bellia &lt;i&gt;et al.&lt;/i&gt;, 2008; Piccolo and Simone, 2009)", "plainTextFormattedCitation" : "(Bellia et al., 2008; Piccolo and Simone, 2009)", "previouslyFormattedCitation" : "(Bellia &lt;i&gt;et al.&lt;/i&gt;, 2008; Piccolo and Simone, 2009)" }, "properties" : { "noteIndex" : 0 }, "schema" : "https://github.com/citation-style-language/schema/raw/master/csl-citation.json" }</w:instrText>
      </w:r>
      <w:r w:rsidRPr="00AA3D0C">
        <w:rPr>
          <w:sz w:val="22"/>
          <w:szCs w:val="22"/>
        </w:rPr>
        <w:fldChar w:fldCharType="separate"/>
      </w:r>
      <w:r w:rsidRPr="00AA3D0C">
        <w:rPr>
          <w:noProof/>
          <w:sz w:val="22"/>
          <w:szCs w:val="22"/>
        </w:rPr>
        <w:t xml:space="preserve">(Bellia </w:t>
      </w:r>
      <w:r w:rsidRPr="00AA3D0C">
        <w:rPr>
          <w:i/>
          <w:noProof/>
          <w:sz w:val="22"/>
          <w:szCs w:val="22"/>
        </w:rPr>
        <w:t>et al.</w:t>
      </w:r>
      <w:r w:rsidRPr="00AA3D0C">
        <w:rPr>
          <w:noProof/>
          <w:sz w:val="22"/>
          <w:szCs w:val="22"/>
        </w:rPr>
        <w:t>, 2008; Piccolo and Simone, 2009)</w:t>
      </w:r>
      <w:r w:rsidRPr="00AA3D0C">
        <w:rPr>
          <w:sz w:val="22"/>
          <w:szCs w:val="22"/>
        </w:rPr>
        <w:fldChar w:fldCharType="end"/>
      </w:r>
      <w:r w:rsidRPr="00AA3D0C">
        <w:rPr>
          <w:sz w:val="22"/>
          <w:szCs w:val="22"/>
        </w:rPr>
        <w:t xml:space="preserve">. </w:t>
      </w:r>
      <w:r>
        <w:rPr>
          <w:sz w:val="22"/>
          <w:szCs w:val="22"/>
        </w:rPr>
        <w:t>A</w:t>
      </w:r>
      <w:r w:rsidRPr="00AA3D0C">
        <w:rPr>
          <w:sz w:val="22"/>
          <w:szCs w:val="22"/>
        </w:rPr>
        <w:t xml:space="preserve">ccording to </w:t>
      </w:r>
      <w:proofErr w:type="spellStart"/>
      <w:r w:rsidRPr="00AA3D0C">
        <w:rPr>
          <w:sz w:val="22"/>
          <w:szCs w:val="22"/>
        </w:rPr>
        <w:t>Jakubiec</w:t>
      </w:r>
      <w:proofErr w:type="spellEnd"/>
      <w:r w:rsidRPr="00AA3D0C">
        <w:rPr>
          <w:sz w:val="22"/>
          <w:szCs w:val="22"/>
        </w:rPr>
        <w:t xml:space="preserve"> and Reinhart </w:t>
      </w:r>
      <w:r w:rsidRPr="007D76FD">
        <w:rPr>
          <w:sz w:val="22"/>
          <w:szCs w:val="22"/>
        </w:rPr>
        <w:fldChar w:fldCharType="begin" w:fldLock="1"/>
      </w:r>
      <w:r w:rsidR="005952EA" w:rsidRPr="007D76FD">
        <w:rPr>
          <w:sz w:val="22"/>
          <w:szCs w:val="22"/>
        </w:rPr>
        <w:instrText>ADDIN CSL_CITATION { "citationItems" : [ { "id" : "ITEM-1", "itemData" : { "DOI" : "10.1177/1477153511420097", "ISSN" : "1477-1535", "abstract" : "Discomfort glare is an underutilized parameter in contemporary architectural design due to uncertainties about the meaning of existing metrics, how they should be applied and what the benefits of such analysis are. Glare is position and view direction-dependent within a space, rendering it difficult to assess compared to conventional illuminance-based metrics. This paper compares simulation results for five glare metrics under 144 clear sky conditions in three spaces in order to investigate the ability of these metrics to predict the occurrence of discomfort glare and to hence support the design of comfortable spaces. The metrics analyzed areDaylight Glare Index, CIE Glare Index, Visual Comfort Probability, Unified Glare Rating and Daylight Glare Probability. It is found that Daylight Glare Probability yields the most plausible results. In an attempt to deal with multiple positions and view directions simultaneously, the concept of an 'adaptive zone' is introduced within which building occupants may freely adjust their position and view in order to minimise the effect of glare. The spatial and directional extents of the adaptive zone depend on furniture layout and the freedom of occupants' tasks. It is found that applying the adaptive zone concept to a sidelit office with manually operated venetian blinds reduces the predicted hours of intolerable discomfort glare from 735 to 18 occupied hours per year and increases the annual mean daylight availability from 40% to 72%. \ufffd The Chartered Institution of Building Services Engineers 2011.", "author" : [ { "dropping-particle" : "", "family" : "Jakubiec", "given" : "J A", "non-dropping-particle" : "", "parse-names" : false, "suffix" : "" }, { "dropping-particle" : "", "family" : "Reinhart", "given" : "C F", "non-dropping-particle" : "", "parse-names" : false, "suffix" : "" } ], "container-title" : "Lighting Research and Technology", "id" : "ITEM-1", "issue" : "2", "issued" : { "date-parts" : [ [ "2012" ] ] }, "note" : "Cited By :73", "page" : "149-170", "publisher-place" : "Affiliation: Department of Architecture, Graduate School of Design, Harvard University, Cambridge, MA 02138, United States; Correspondence Address: Jakubiec, J.A.; Department of Architecture, Graduate School of Design, Harvard University, Cambridge, MA 02", "title" : "The 'adaptive zone'-A concept for assessing discomfort glare throughout daylit spaces", "type" : "article-journal", "volume" : "44" }, "uris" : [ "http://www.mendeley.com/documents/?uuid=f01dcf6b-03a6-4aa9-8aa2-59544825192d", "http://www.mendeley.com/documents/?uuid=4a6325c5-bf9d-4d77-bed0-6fe0cc63816d" ] } ], "mendeley" : { "formattedCitation" : "(Jakubiec and Reinhart, 2012)", "manualFormatting" : "(2012)", "plainTextFormattedCitation" : "(Jakubiec and Reinhart, 2012)", "previouslyFormattedCitation" : "(Jakubiec and Reinhart, 2012)" }, "properties" : { "noteIndex" : 0 }, "schema" : "https://github.com/citation-style-language/schema/raw/master/csl-citation.json" }</w:instrText>
      </w:r>
      <w:r w:rsidRPr="007D76FD">
        <w:rPr>
          <w:sz w:val="22"/>
          <w:szCs w:val="22"/>
        </w:rPr>
        <w:fldChar w:fldCharType="separate"/>
      </w:r>
      <w:r w:rsidRPr="007D76FD">
        <w:rPr>
          <w:noProof/>
          <w:sz w:val="22"/>
          <w:szCs w:val="22"/>
        </w:rPr>
        <w:t>(2012)</w:t>
      </w:r>
      <w:r w:rsidRPr="007D76FD">
        <w:rPr>
          <w:sz w:val="22"/>
          <w:szCs w:val="22"/>
        </w:rPr>
        <w:fldChar w:fldCharType="end"/>
      </w:r>
      <w:r w:rsidRPr="007D76FD">
        <w:rPr>
          <w:sz w:val="22"/>
          <w:szCs w:val="22"/>
        </w:rPr>
        <w:t xml:space="preserve">, </w:t>
      </w:r>
      <w:r w:rsidRPr="008C63D2">
        <w:rPr>
          <w:sz w:val="22"/>
          <w:szCs w:val="22"/>
        </w:rPr>
        <w:t>DGI fails to predict glare when the sun is directly visible or if the scenario is brightly illuminated.</w:t>
      </w:r>
      <w:r w:rsidRPr="007D76FD">
        <w:rPr>
          <w:sz w:val="22"/>
          <w:szCs w:val="22"/>
        </w:rPr>
        <w:t xml:space="preserve"> In</w:t>
      </w:r>
      <w:r>
        <w:rPr>
          <w:sz w:val="22"/>
          <w:szCs w:val="22"/>
        </w:rPr>
        <w:t xml:space="preserve"> addition</w:t>
      </w:r>
      <w:r w:rsidRPr="00AA3D0C">
        <w:rPr>
          <w:sz w:val="22"/>
          <w:szCs w:val="22"/>
        </w:rPr>
        <w:t>,</w:t>
      </w:r>
      <w:r>
        <w:rPr>
          <w:sz w:val="22"/>
          <w:szCs w:val="22"/>
        </w:rPr>
        <w:t xml:space="preserve"> recent evaluation studies</w:t>
      </w:r>
      <w:r w:rsidRPr="00AA3D0C">
        <w:rPr>
          <w:sz w:val="22"/>
          <w:szCs w:val="22"/>
        </w:rPr>
        <w:t xml:space="preserve"> </w:t>
      </w:r>
      <w:r>
        <w:rPr>
          <w:sz w:val="22"/>
          <w:szCs w:val="22"/>
        </w:rPr>
        <w:t xml:space="preserve">with subjects </w:t>
      </w:r>
      <w:r w:rsidRPr="00AA3D0C">
        <w:rPr>
          <w:sz w:val="22"/>
          <w:szCs w:val="22"/>
        </w:rPr>
        <w:t xml:space="preserve">found that DGI </w:t>
      </w:r>
      <w:r>
        <w:rPr>
          <w:sz w:val="22"/>
          <w:szCs w:val="22"/>
        </w:rPr>
        <w:t xml:space="preserve">may </w:t>
      </w:r>
      <w:r w:rsidRPr="00AA3D0C">
        <w:rPr>
          <w:sz w:val="22"/>
          <w:szCs w:val="22"/>
        </w:rPr>
        <w:t xml:space="preserve">underestimate glare </w:t>
      </w:r>
      <w:r w:rsidRPr="00AA3D0C">
        <w:rPr>
          <w:sz w:val="22"/>
          <w:szCs w:val="22"/>
        </w:rPr>
        <w:fldChar w:fldCharType="begin" w:fldLock="1"/>
      </w:r>
      <w:r w:rsidR="005952EA">
        <w:rPr>
          <w:sz w:val="22"/>
          <w:szCs w:val="22"/>
        </w:rPr>
        <w:instrText>ADDIN CSL_CITATION { "citationItems" : [ { "id" : "ITEM-1", "itemData" : { "DOI" : "10.1016/j.buildenv.2016.09.018", "ISSN" : "0360-1323", "abstract" : "As daylighting becomes an increasingly important component of design for energy savings and views to the outside, it is necessary to take into disadvantages that windows pose including the possibility of glare. It is crucial to understand how current metrics of glare perform this task. Validation studies were performed on five glare indices including Daylight Glare Probability (DGP) and Daylight Glare Index (DGI) that have been developed specifically for daylight glare issues. A parallel human subject study has been performed to collect subjective discomfort glare evaluations of daylit conditions. In addition, high dynamic range imaging was used to capture and analyze the glare scenes that were experienced by those human subjects. More than 450 daylight glare scenes and subjective surveys were collected in a closed office setting. The collected data were processed in Evalglare to obtain glare scores, and the results were compared for statistical analysis of subjective evaluations. The results show that DGP functions best at absence of glare and presence of intolerable glare; but in between it provides disappointingly low predictions. DGI underestimates glare while Visual Comfort Probability and CIE Glare Index overestimate it. This evaluation comparison study supports the findings that the five glare indices have significant inconsistency and inaccuracy issues. The glare indices behaved differently based on the perceived glare categories: imperceptible, perceptible, disturbing, and intolerable. The existing glare score ranges are compared to the newly defined glare score ranges for further improvement. \ufffd 2016 Elsevier Ltd", "author" : [ { "dropping-particle" : "", "family" : "Suk", "given" : "J Y", "non-dropping-particle" : "", "parse-names" : false, "suffix" : "" }, { "dropping-particle" : "", "family" : "Schiler", "given" : "M", "non-dropping-particle" : "", "parse-names" : false, "suffix" : "" }, { "dropping-particle" : "", "family" : "Kensek", "given" : "K", "non-dropping-particle" : "", "parse-names" : false, "suffix" : "" } ], "container-title" : "Building and Environment", "id" : "ITEM-1", "issued" : { "date-parts" : [ [ "2017" ] ] }, "note" : "Cited By :8", "page" : "121-130", "publisher" : "Elsevier Ltd", "publisher-place" : "Affiliation: Department of Architecture, The University of Texas at San Antonio, San Antonio, United States; Affiliation: School of Architecture, University of Southern California, Los Angeles, United States; Correspondence Address: Suk, J.Y.; Department ", "title" : "Investigation of existing discomfort glare indices using human subject study data", "type" : "article-journal", "volume" : "113" }, "uris" : [ "http://www.mendeley.com/documents/?uuid=d4148275-795d-455d-ab9a-4df7eeace473", "http://www.mendeley.com/documents/?uuid=ad8e079f-2dd8-4817-b860-ab7f216750f3" ] } ], "mendeley" : { "formattedCitation" : "(Suk, Schiler and Kensek, 2017)", "manualFormatting" : "(Suk et al., 2017)", "plainTextFormattedCitation" : "(Suk, Schiler and Kensek, 2017)", "previouslyFormattedCitation" : "(Suk, Schiler and Kensek, 2017)" }, "properties" : { "noteIndex" : 0 }, "schema" : "https://github.com/citation-style-language/schema/raw/master/csl-citation.json" }</w:instrText>
      </w:r>
      <w:r w:rsidRPr="00AA3D0C">
        <w:rPr>
          <w:sz w:val="22"/>
          <w:szCs w:val="22"/>
        </w:rPr>
        <w:fldChar w:fldCharType="separate"/>
      </w:r>
      <w:r w:rsidRPr="00AA3D0C">
        <w:rPr>
          <w:noProof/>
          <w:sz w:val="22"/>
          <w:szCs w:val="22"/>
        </w:rPr>
        <w:t xml:space="preserve">(Suk </w:t>
      </w:r>
      <w:r w:rsidRPr="00AA3D0C">
        <w:rPr>
          <w:i/>
          <w:noProof/>
          <w:sz w:val="22"/>
          <w:szCs w:val="22"/>
        </w:rPr>
        <w:t>et al.</w:t>
      </w:r>
      <w:r w:rsidRPr="00AA3D0C">
        <w:rPr>
          <w:noProof/>
          <w:sz w:val="22"/>
          <w:szCs w:val="22"/>
        </w:rPr>
        <w:t>, 2017)</w:t>
      </w:r>
      <w:r w:rsidRPr="00AA3D0C">
        <w:rPr>
          <w:sz w:val="22"/>
          <w:szCs w:val="22"/>
        </w:rPr>
        <w:fldChar w:fldCharType="end"/>
      </w:r>
      <w:r>
        <w:rPr>
          <w:sz w:val="22"/>
          <w:szCs w:val="22"/>
        </w:rPr>
        <w:t>.</w:t>
      </w:r>
    </w:p>
    <w:p w14:paraId="64D37ACC" w14:textId="77777777" w:rsidR="00FC0352" w:rsidRDefault="00FC0352" w:rsidP="00D75186">
      <w:pPr>
        <w:jc w:val="both"/>
        <w:rPr>
          <w:sz w:val="22"/>
          <w:szCs w:val="22"/>
        </w:rPr>
      </w:pPr>
    </w:p>
    <w:p w14:paraId="424E49D2" w14:textId="7EDEFF16" w:rsidR="0077382C" w:rsidRDefault="0077382C" w:rsidP="00842740">
      <w:pPr>
        <w:jc w:val="both"/>
        <w:rPr>
          <w:sz w:val="22"/>
          <w:szCs w:val="22"/>
        </w:rPr>
      </w:pPr>
      <w:r>
        <w:rPr>
          <w:sz w:val="22"/>
          <w:szCs w:val="22"/>
        </w:rPr>
        <w:t xml:space="preserve">VCP, BGI and CGI approaches were later combined into the </w:t>
      </w:r>
      <w:r w:rsidRPr="00AA3D0C">
        <w:rPr>
          <w:sz w:val="22"/>
          <w:szCs w:val="22"/>
        </w:rPr>
        <w:t xml:space="preserve">Unified Glare Rating (UGR) system by CIE </w:t>
      </w:r>
      <w:r w:rsidRPr="00AA3D0C">
        <w:rPr>
          <w:sz w:val="22"/>
          <w:szCs w:val="22"/>
        </w:rPr>
        <w:fldChar w:fldCharType="begin" w:fldLock="1"/>
      </w:r>
      <w:r w:rsidR="004F26FE">
        <w:rPr>
          <w:sz w:val="22"/>
          <w:szCs w:val="22"/>
        </w:rPr>
        <w:instrText>ADDIN CSL_CITATION { "citationItems" : [ { "id" : "ITEM-1", "itemData" : { "author" : [ { "dropping-particle" : "", "family" : "CIE", "given" : "", "non-dropping-particle" : "", "parse-names" : false, "suffix" : "" } ], "id" : "ITEM-1", "issued" : { "date-parts" : [ [ "1995" ] ] }, "number-of-pages" : "39", "publisher-place" : "Vienna (Austria)", "title" : "Discomfort glare in the interior working environment", "type" : "report" }, "uris" : [ "http://www.mendeley.com/documents/?uuid=bd282c90-ebdd-4e52-8ff9-acd43a6868a0", "http://www.mendeley.com/documents/?uuid=e3437550-5e4b-4adc-922d-7ded45f3e200" ] } ], "mendeley" : { "formattedCitation" : "(CIE, 1995)", "manualFormatting" : "(1995)", "plainTextFormattedCitation" : "(CIE, 1995)", "previouslyFormattedCitation" : "(CIE, 1995)" }, "properties" : { "noteIndex" : 0 }, "schema" : "https://github.com/citation-style-language/schema/raw/master/csl-citation.json" }</w:instrText>
      </w:r>
      <w:r w:rsidRPr="00AA3D0C">
        <w:rPr>
          <w:sz w:val="22"/>
          <w:szCs w:val="22"/>
        </w:rPr>
        <w:fldChar w:fldCharType="separate"/>
      </w:r>
      <w:r w:rsidRPr="00AA3D0C">
        <w:rPr>
          <w:noProof/>
          <w:sz w:val="22"/>
          <w:szCs w:val="22"/>
        </w:rPr>
        <w:t>(1995)</w:t>
      </w:r>
      <w:r w:rsidRPr="00AA3D0C">
        <w:rPr>
          <w:sz w:val="22"/>
          <w:szCs w:val="22"/>
        </w:rPr>
        <w:fldChar w:fldCharType="end"/>
      </w:r>
      <w:r w:rsidRPr="00AA3D0C">
        <w:rPr>
          <w:sz w:val="22"/>
          <w:szCs w:val="22"/>
        </w:rPr>
        <w:t xml:space="preserve"> </w:t>
      </w:r>
      <w:r w:rsidRPr="00914CBA">
        <w:rPr>
          <w:sz w:val="22"/>
          <w:szCs w:val="22"/>
        </w:rPr>
        <w:fldChar w:fldCharType="begin" w:fldLock="1"/>
      </w:r>
      <w:r w:rsidR="005952EA">
        <w:rPr>
          <w:sz w:val="22"/>
          <w:szCs w:val="22"/>
        </w:rPr>
        <w:instrText>ADDIN CSL_CITATION { "citationItems" : [ { "id" : "ITEM-1", "itemData" : { "DOI" : "//doi.org/10.1016/j.buildenv.2010.08.001", "ISSN" : "0360-1323", "abstract" : "This paper presents a vision of how state-of-the-art computer-based analysis techniques can be effectively used during the design of daylit spaces. Following a review of recent advances in dynamic daylight computation capabilities, climate-based daylighting metrics, occupant behavior and glare analysis, a fully integrated design analysis method is introduced that simultaneously considers annual daylight availability, visual comfort and energy use: Annual daylight glare probability profiles are combined with an occupant behavior model in order to determine annual shading profiles and visual comfort conditions throughout a space. The shading profiles are then used to calculate daylight autonomy plots, energy loads, operational energy costs and green house gas emissions. The paper then shows how simulation results for a sidelit space can be visually presented to simulation non-experts using the concept of a daylighting dashboard. The paper ends with a discussion of how the daylighting dashboard could be practically implemented using technologies that are available today. \"", "author" : [ { "dropping-particle" : "", "family" : "Reinhart", "given" : "Christoph F", "non-dropping-particle" : "", "parse-names" : false, "suffix" : "" }, { "dropping-particle" : "", "family" : "Wienold", "given" : "Jan", "non-dropping-particle" : "", "parse-names" : false, "suffix" : "" } ], "container-title" : "Building and Environment", "id" : "ITEM-1", "issue" : "2", "issued" : { "date-parts" : [ [ "2011" ] ] }, "note" : "ID: 271434", "page" : "386-396", "title" : "The daylighting dashboard \u2013 A simulation-based design analysis for daylit spaces", "type" : "article-journal", "volume" : "46" }, "uris" : [ "http://www.mendeley.com/documents/?uuid=9256630e-7bdf-4006-b86f-4629e416038c" ] } ], "mendeley" : { "formattedCitation" : "(Reinhart and Wienold, 2011)", "plainTextFormattedCitation" : "(Reinhart and Wienold, 2011)", "previouslyFormattedCitation" : "(Reinhart and Wienold, 2011)" }, "properties" : { "noteIndex" : 0 }, "schema" : "https://github.com/citation-style-language/schema/raw/master/csl-citation.json" }</w:instrText>
      </w:r>
      <w:r w:rsidRPr="00914CBA">
        <w:rPr>
          <w:sz w:val="22"/>
          <w:szCs w:val="22"/>
        </w:rPr>
        <w:fldChar w:fldCharType="separate"/>
      </w:r>
      <w:r w:rsidRPr="00914CBA">
        <w:rPr>
          <w:noProof/>
          <w:sz w:val="22"/>
          <w:szCs w:val="22"/>
        </w:rPr>
        <w:t>(Reinhart and Wienold, 2011)</w:t>
      </w:r>
      <w:r w:rsidRPr="00914CBA">
        <w:rPr>
          <w:sz w:val="22"/>
          <w:szCs w:val="22"/>
        </w:rPr>
        <w:fldChar w:fldCharType="end"/>
      </w:r>
      <w:r w:rsidRPr="00914CBA">
        <w:rPr>
          <w:sz w:val="22"/>
          <w:szCs w:val="22"/>
        </w:rPr>
        <w:t xml:space="preserve"> (eq.6).</w:t>
      </w:r>
      <w:r>
        <w:rPr>
          <w:sz w:val="22"/>
          <w:szCs w:val="22"/>
        </w:rPr>
        <w:t xml:space="preserve"> In the UGR, the adaptation parameter introduced by CGI</w:t>
      </w:r>
      <w:r w:rsidRPr="00AA3D0C">
        <w:rPr>
          <w:sz w:val="22"/>
          <w:szCs w:val="22"/>
        </w:rPr>
        <w:t xml:space="preserve"> was replaced by background luminance on a vertical plane (L</w:t>
      </w:r>
      <w:r w:rsidRPr="00AA3D0C">
        <w:rPr>
          <w:sz w:val="22"/>
          <w:szCs w:val="22"/>
          <w:vertAlign w:val="subscript"/>
        </w:rPr>
        <w:t>b</w:t>
      </w:r>
      <w:r>
        <w:rPr>
          <w:sz w:val="22"/>
          <w:szCs w:val="22"/>
        </w:rPr>
        <w:t>). UGR was initially developed by means of</w:t>
      </w:r>
      <w:r w:rsidR="002B7D6E" w:rsidRPr="00AA3D0C">
        <w:rPr>
          <w:sz w:val="22"/>
          <w:szCs w:val="22"/>
        </w:rPr>
        <w:t xml:space="preserve"> experiments with uniform glare sources and thus could not be accurately applied to daylight conditions. A later edited version of the UGR equation was specifically generated to cover cases with non-uniform glare sources or specular </w:t>
      </w:r>
      <w:r w:rsidRPr="00AA3D0C">
        <w:rPr>
          <w:sz w:val="22"/>
          <w:szCs w:val="22"/>
        </w:rPr>
        <w:t>reflectance</w:t>
      </w:r>
      <w:r w:rsidR="002B7D6E" w:rsidRPr="00AA3D0C">
        <w:rPr>
          <w:sz w:val="22"/>
          <w:szCs w:val="22"/>
        </w:rPr>
        <w:t xml:space="preserve">, but, according to CIE </w:t>
      </w:r>
      <w:r w:rsidR="002B7D6E" w:rsidRPr="00AA3D0C">
        <w:rPr>
          <w:sz w:val="22"/>
          <w:szCs w:val="22"/>
        </w:rPr>
        <w:fldChar w:fldCharType="begin" w:fldLock="1"/>
      </w:r>
      <w:r w:rsidR="004F26FE">
        <w:rPr>
          <w:sz w:val="22"/>
          <w:szCs w:val="22"/>
        </w:rPr>
        <w:instrText>ADDIN CSL_CITATION { "citationItems" : [ { "id" : "ITEM-1", "itemData" : { "author" : [ { "dropping-particle" : "", "family" : "CIE", "given" : "", "non-dropping-particle" : "", "parse-names" : false, "suffix" : "" } ], "id" : "ITEM-1", "issued" : { "date-parts" : [ [ "2002" ] ] }, "number-of-pages" : "13", "publisher-place" : "Vienna (Austria)", "title" : "Glare from Small, Large and Complex Sources", "type" : "report" }, "uris" : [ "http://www.mendeley.com/documents/?uuid=220c3c9d-3d74-41d9-b697-d05efc6cacaf", "http://www.mendeley.com/documents/?uuid=4482673a-0703-40f2-9317-1cf95ee1c52a" ] } ], "mendeley" : { "formattedCitation" : "(CIE, 2002)", "manualFormatting" : "(2002)", "plainTextFormattedCitation" : "(CIE, 2002)", "previouslyFormattedCitation" : "(CIE, 2002)" }, "properties" : { "noteIndex" : 0 }, "schema" : "https://github.com/citation-style-language/schema/raw/master/csl-citation.json" }</w:instrText>
      </w:r>
      <w:r w:rsidR="002B7D6E" w:rsidRPr="00AA3D0C">
        <w:rPr>
          <w:sz w:val="22"/>
          <w:szCs w:val="22"/>
        </w:rPr>
        <w:fldChar w:fldCharType="separate"/>
      </w:r>
      <w:r w:rsidR="002B7D6E" w:rsidRPr="00AA3D0C">
        <w:rPr>
          <w:noProof/>
          <w:sz w:val="22"/>
          <w:szCs w:val="22"/>
        </w:rPr>
        <w:t>(2002)</w:t>
      </w:r>
      <w:r w:rsidR="002B7D6E" w:rsidRPr="00AA3D0C">
        <w:rPr>
          <w:sz w:val="22"/>
          <w:szCs w:val="22"/>
        </w:rPr>
        <w:fldChar w:fldCharType="end"/>
      </w:r>
      <w:r w:rsidR="002B7D6E" w:rsidRPr="00AA3D0C">
        <w:rPr>
          <w:sz w:val="22"/>
          <w:szCs w:val="22"/>
        </w:rPr>
        <w:t xml:space="preserve">, emerged after hypothesis and estimations and thus would not provide reliable results </w:t>
      </w:r>
      <w:r w:rsidR="002B7D6E" w:rsidRPr="00AA3D0C">
        <w:rPr>
          <w:sz w:val="22"/>
          <w:szCs w:val="22"/>
        </w:rPr>
        <w:fldChar w:fldCharType="begin" w:fldLock="1"/>
      </w:r>
      <w:r w:rsidR="005952EA">
        <w:rPr>
          <w:sz w:val="22"/>
          <w:szCs w:val="22"/>
        </w:rPr>
        <w:instrText>ADDIN CSL_CITATION { "citationItems" : [ { "id" : "ITEM-1", "itemData" : { "DOI" : "10.1582/LEUKOS.2009.06.01003", "ISSN" : "1550-2724", "author" : [ { "dropping-particle" : "", "family" : "Eble-Hankins", "given" : "Michelle L", "non-dropping-particle" : "", "parse-names" : false, "suffix" : "" }, { "dropping-particle" : "", "family" : "Waters", "given" : "Clarence E", "non-dropping-particle" : "", "parse-names" : false, "suffix" : "" } ], "container-title" : "LEUKOS", "id" : "ITEM-1", "issue" : "1", "issued" : { "date-parts" : [ [ "2009", "7", "1" ] ] }, "note" : "doi: 10.1582/LEUKOS.2009.06.01003", "page" : "51-77", "publisher" : "Taylor &amp; Francis", "title" : "Subjective Impression of Discomfort Glare from Sources of Non-Uniform Luminance", "type" : "article-journal", "volume" : "6" }, "uris" : [ "http://www.mendeley.com/documents/?uuid=e7572ddb-4c6c-4942-8356-93c85b0ba0a7", "http://www.mendeley.com/documents/?uuid=8064711e-3728-4ff3-a109-905f11d96f45" ] } ], "mendeley" : { "formattedCitation" : "(Eble-Hankins and Waters, 2009)", "plainTextFormattedCitation" : "(Eble-Hankins and Waters, 2009)", "previouslyFormattedCitation" : "(Eble-Hankins and Waters, 2009)" }, "properties" : { "noteIndex" : 0 }, "schema" : "https://github.com/citation-style-language/schema/raw/master/csl-citation.json" }</w:instrText>
      </w:r>
      <w:r w:rsidR="002B7D6E" w:rsidRPr="00AA3D0C">
        <w:rPr>
          <w:sz w:val="22"/>
          <w:szCs w:val="22"/>
        </w:rPr>
        <w:fldChar w:fldCharType="separate"/>
      </w:r>
      <w:r w:rsidR="002B7D6E" w:rsidRPr="00AA3D0C">
        <w:rPr>
          <w:noProof/>
          <w:sz w:val="22"/>
          <w:szCs w:val="22"/>
        </w:rPr>
        <w:t>(Eble-Hankins and Waters, 2009)</w:t>
      </w:r>
      <w:r w:rsidR="002B7D6E" w:rsidRPr="00AA3D0C">
        <w:rPr>
          <w:sz w:val="22"/>
          <w:szCs w:val="22"/>
        </w:rPr>
        <w:fldChar w:fldCharType="end"/>
      </w:r>
      <w:r w:rsidR="002B7D6E" w:rsidRPr="00AA3D0C">
        <w:rPr>
          <w:sz w:val="22"/>
          <w:szCs w:val="22"/>
        </w:rPr>
        <w:t xml:space="preserve">. </w:t>
      </w:r>
      <w:r>
        <w:rPr>
          <w:sz w:val="22"/>
          <w:szCs w:val="22"/>
        </w:rPr>
        <w:t>UGR is widely used</w:t>
      </w:r>
      <w:r w:rsidR="00FC0352">
        <w:rPr>
          <w:sz w:val="22"/>
          <w:szCs w:val="22"/>
        </w:rPr>
        <w:t xml:space="preserve"> today</w:t>
      </w:r>
      <w:r>
        <w:rPr>
          <w:sz w:val="22"/>
          <w:szCs w:val="22"/>
        </w:rPr>
        <w:t xml:space="preserve"> to evaluate glare from electric light sources.</w:t>
      </w:r>
    </w:p>
    <w:p w14:paraId="69899C2B" w14:textId="77777777" w:rsidR="00B3191F" w:rsidRDefault="00B3191F" w:rsidP="00842740">
      <w:pPr>
        <w:jc w:val="both"/>
        <w:rPr>
          <w:sz w:val="22"/>
          <w:szCs w:val="22"/>
        </w:rPr>
      </w:pPr>
    </w:p>
    <w:p w14:paraId="4DFFE6AD" w14:textId="75A078DD" w:rsidR="009603B9" w:rsidRDefault="002B7D6E" w:rsidP="00842740">
      <w:pPr>
        <w:jc w:val="both"/>
        <w:rPr>
          <w:sz w:val="22"/>
          <w:szCs w:val="22"/>
        </w:rPr>
      </w:pPr>
      <w:r w:rsidRPr="00AA3D0C">
        <w:rPr>
          <w:sz w:val="22"/>
          <w:szCs w:val="22"/>
        </w:rPr>
        <w:t>Recently, a modified version of the UGR formula, the Unified Glare Probability (UGP)</w:t>
      </w:r>
      <w:r w:rsidR="0077382C">
        <w:rPr>
          <w:sz w:val="22"/>
          <w:szCs w:val="22"/>
        </w:rPr>
        <w:t>,</w:t>
      </w:r>
      <w:r w:rsidRPr="00AA3D0C">
        <w:rPr>
          <w:sz w:val="22"/>
          <w:szCs w:val="22"/>
        </w:rPr>
        <w:t xml:space="preserve"> was </w:t>
      </w:r>
      <w:r w:rsidR="0077382C">
        <w:rPr>
          <w:sz w:val="22"/>
          <w:szCs w:val="22"/>
        </w:rPr>
        <w:t>propose</w:t>
      </w:r>
      <w:r w:rsidR="0077382C" w:rsidRPr="00AA3D0C">
        <w:rPr>
          <w:sz w:val="22"/>
          <w:szCs w:val="22"/>
        </w:rPr>
        <w:t xml:space="preserve">d </w:t>
      </w:r>
      <w:r w:rsidRPr="00AA3D0C">
        <w:rPr>
          <w:sz w:val="22"/>
          <w:szCs w:val="22"/>
        </w:rPr>
        <w:t xml:space="preserve">for open plan space analysis in tropical climates </w:t>
      </w:r>
      <w:r w:rsidRPr="00AA3D0C">
        <w:rPr>
          <w:sz w:val="22"/>
          <w:szCs w:val="22"/>
        </w:rPr>
        <w:fldChar w:fldCharType="begin" w:fldLock="1"/>
      </w:r>
      <w:r w:rsidR="005952EA">
        <w:rPr>
          <w:sz w:val="22"/>
          <w:szCs w:val="22"/>
        </w:rPr>
        <w:instrText>ADDIN CSL_CITATION { "citationItems" : [ { "id" : "ITEM-1", "itemData" : { "DOI" : "//doi.org/10.1016/j.enbuild.2017.02.028", "ISSN" : "0378-7788", "abstract" : "Lighting energy savings, as well as visual and non-visual user benefits have been widely attributed to daylighting. This paper explores daylight design strategy, visual appraisal, Daylight Factor (DF), lighting energy usage and discomfort glare using two green building offices in Malaysia, which have incorporated daylighting into both fa\u00e7ade and interior design. Visual appraisal surveys were collected from 39 and 145 subjects in the open plan working space of the Energy Commission Building (ECB) and Public Works Department Block G (PWD), respectively. The survey focused on task brightness, colour appearance, uniformity and lighting preference. Discomfort glare assessed via occupant point-of-view luminance maps was juxtaposed here from a glare study involving the same buildings. Illuminance loggers were used to monitor artificial lighting usage as well as the DF on a selected floor of each building. There were no significant differences in occupant responses to the visual appraisal survey for both office spaces. Using MS1525:2014 and Green Building Index (GBI NRNC) tool as baselines, the DF performance of both offices differs significantly: PWD had a 45.5% daylit area, with ECB a 14.8% daylit area for DF &gt;1%. However, lighting energy usage results show substantial savings of 53% and 41% occurred from daylighting. These findings of visual appraisal, DF, lighting energy savings and discomfort glare show a discrepancy in using only the DF to justify the daylight performance of an office space in a tropical climate such as Malaysia. The findings suggest that equivalent consideration should be given to interior design to facilitate daylighting, which is often beyond the control of designer, but in the hands of office end users. \"", "author" : [ { "dropping-particle" : "", "family" : "Lim", "given" : "Gene-Harn", "non-dropping-particle" : "", "parse-names" : false, "suffix" : "" }, { "dropping-particle" : "", "family" : "Hirning", "given" : "Michael Barry", "non-dropping-particle" : "", "parse-names" : false, "suffix" : "" }, { "dropping-particle" : "", "family" : "Keumala", "given" : "Nila", "non-dropping-particle" : "", "parse-names" : false, "suffix" : "" }, { "dropping-particle" : "", "family" : "Ghafar", "given" : "Norafida Ab", "non-dropping-particle" : "", "parse-names" : false, "suffix" : "" } ], "container-title" : "Energy and Buildings", "id" : "ITEM-1", "issued" : { "date-parts" : [ [ "2017" ] ] }, "note" : "ID: 271089", "page" : "175-185", "title" : "Daylight performance and users\u2019 visual appraisal for green building offices in Malaysia", "type" : "article-journal", "volume" : "141" }, "uris" : [ "http://www.mendeley.com/documents/?uuid=8129e8d6-5336-4a5f-9e83-27d6f266dc14", "http://www.mendeley.com/documents/?uuid=bc5af374-8ac8-4ed8-8e52-701352a1fd14" ] }, { "id" : "ITEM-2", "itemData" : { "DOI" : "10.1016/j.buildenv.2016.08.005", "ISSN" : "0360-1323", "abstract" : "Discomfort glare is common problem in modern buildings that employ highly-glazed fa\ufffdades. Glare not only has negative impacts on occupant comfort but can also increase energy use in buildings. Yet a robust discomfort glare metric, particularly with regards to daylight, has proven elusive. The Unified Glare Probability (UGP), developed using 493 surveys under clear skies in Brisbane, Australia, shows promise as useful tool for estimating glare from windows. This investigation attempts to validate the UGP using a similarly large number of surveys under different sky conditions, different building types and demographics in the tropical climate of Kuala Lumpur, Malaysia. The study uses a similar methodology to the initial investigation of the UGP, using a combination of luminance mapping with a post-occupancy evaluation (POE) questionnaire on discomfort glare. A total of 341 surveys were collected from six buildings; three green-rated and three regular office buildings. Hypothesis testing of the luminance data collected in these buildings indicate that the ratio of window to background luminances are a more sensitive measure of occupant discomfort than ratios of window to task luminances. The results for the UGP show agreement in predicting discomfort from windows between both data sets using regression analysis. A simple hypothesis test showed discomfort was accurately predicted by the old UGP model for 69% of new surveys. The agreement between the two data sets for window glare enabled them to be combined into one massive data set of 813 surveys to update the UGP. The updated metric uses a logistic curve in place of the original linear transformation of the Unified Glare Rating (UGR) to prevent illogical values of probability being obtained from the metric. \ufffd 2016 Elsevier Ltd", "author" : [ { "dropping-particle" : "", "family" : "Hirning", "given" : "M B", "non-dropping-particle" : "", "parse-names" : false, "suffix" : "" }, { "dropping-particle" : "", "family" : "Isoardi", "given" : "G L", "non-dropping-particle" : "", "parse-names" : false, "suffix" : "" }, { "dropping-particle" : "", "family" : "Garcia-Hansen", "given" : "V R", "non-dropping-particle" : "", "parse-names" : false, "suffix" : "" } ], "container-title" : "Building and Environment", "id" : "ITEM-2", "issued" : { "date-parts" : [ [ "2017" ] ] }, "note" : "Cited By :5", "page" : "107-120", "publisher" : "Elsevier Ltd", "publisher-place" : "Affiliation: IEN Consultants, Kuala Lumpur, Malaysia; Affiliation: Queensland University of Technology, Brisbane, Australia; Correspondence Address: Hirning, M.B.; IEN ConsultantsMalaysia; email: michael@ien.com.my", "title" : "Prediction of discomfort glare from windows under tropical skies", "type" : "article-journal", "volume" : "113" }, "uris" : [ "http://www.mendeley.com/documents/?uuid=94e98d9f-a873-4860-b7ff-28f489c32a8f", "http://www.mendeley.com/documents/?uuid=e7460c8d-4715-4f4b-98a0-411116c382f5" ] } ], "mendeley" : { "formattedCitation" : "(Hirning, Isoardi and Garcia-Hansen, 2017; Lim &lt;i&gt;et al.&lt;/i&gt;, 2017)", "manualFormatting" : "(Hirning et al., 2017; Lim et al., 2017)", "plainTextFormattedCitation" : "(Hirning, Isoardi and Garcia-Hansen, 2017; Lim et al., 2017)", "previouslyFormattedCitation" : "(Hirning, Isoardi and Garcia-Hansen, 2017; Lim &lt;i&gt;et al.&lt;/i&gt;, 2017)" }, "properties" : { "noteIndex" : 0 }, "schema" : "https://github.com/citation-style-language/schema/raw/master/csl-citation.json" }</w:instrText>
      </w:r>
      <w:r w:rsidRPr="00AA3D0C">
        <w:rPr>
          <w:sz w:val="22"/>
          <w:szCs w:val="22"/>
        </w:rPr>
        <w:fldChar w:fldCharType="separate"/>
      </w:r>
      <w:r w:rsidRPr="00AA3D0C">
        <w:rPr>
          <w:noProof/>
          <w:sz w:val="22"/>
          <w:szCs w:val="22"/>
        </w:rPr>
        <w:t xml:space="preserve">(Hirning </w:t>
      </w:r>
      <w:r w:rsidRPr="00AA3D0C">
        <w:rPr>
          <w:i/>
          <w:noProof/>
          <w:sz w:val="22"/>
          <w:szCs w:val="22"/>
        </w:rPr>
        <w:t>et al.</w:t>
      </w:r>
      <w:r w:rsidRPr="00AA3D0C">
        <w:rPr>
          <w:noProof/>
          <w:sz w:val="22"/>
          <w:szCs w:val="22"/>
        </w:rPr>
        <w:t xml:space="preserve">, 2017; Lim </w:t>
      </w:r>
      <w:r w:rsidRPr="00AA3D0C">
        <w:rPr>
          <w:i/>
          <w:noProof/>
          <w:sz w:val="22"/>
          <w:szCs w:val="22"/>
        </w:rPr>
        <w:t>et al.</w:t>
      </w:r>
      <w:r w:rsidRPr="00AA3D0C">
        <w:rPr>
          <w:noProof/>
          <w:sz w:val="22"/>
          <w:szCs w:val="22"/>
        </w:rPr>
        <w:t>, 2017)</w:t>
      </w:r>
      <w:r w:rsidRPr="00AA3D0C">
        <w:rPr>
          <w:sz w:val="22"/>
          <w:szCs w:val="22"/>
        </w:rPr>
        <w:fldChar w:fldCharType="end"/>
      </w:r>
      <w:r w:rsidR="00A71E98">
        <w:rPr>
          <w:rStyle w:val="FootnoteReference"/>
          <w:sz w:val="22"/>
          <w:szCs w:val="22"/>
        </w:rPr>
        <w:footnoteReference w:id="4"/>
      </w:r>
      <w:r w:rsidRPr="00AA3D0C">
        <w:rPr>
          <w:sz w:val="22"/>
          <w:szCs w:val="22"/>
        </w:rPr>
        <w:t>.</w:t>
      </w:r>
    </w:p>
    <w:p w14:paraId="6D416B03" w14:textId="77777777" w:rsidR="00A71E98" w:rsidRDefault="00A71E98" w:rsidP="002B7D6E">
      <w:pPr>
        <w:jc w:val="both"/>
        <w:rPr>
          <w:sz w:val="22"/>
          <w:szCs w:val="22"/>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387"/>
        <w:gridCol w:w="1178"/>
        <w:gridCol w:w="1589"/>
      </w:tblGrid>
      <w:tr w:rsidR="009603B9" w:rsidRPr="00AA3D0C" w14:paraId="300BF7E5" w14:textId="77777777" w:rsidTr="00EB2DF4">
        <w:trPr>
          <w:trHeight w:val="692"/>
        </w:trPr>
        <w:tc>
          <w:tcPr>
            <w:tcW w:w="5387" w:type="dxa"/>
          </w:tcPr>
          <w:p w14:paraId="01B34F13" w14:textId="77777777" w:rsidR="009603B9" w:rsidRPr="00AA3D0C" w:rsidRDefault="00A71E98" w:rsidP="009603B9">
            <w:pPr>
              <w:jc w:val="both"/>
              <w:rPr>
                <w:sz w:val="22"/>
                <w:szCs w:val="22"/>
              </w:rPr>
            </w:pPr>
            <m:oMathPara>
              <m:oMathParaPr>
                <m:jc m:val="right"/>
              </m:oMathParaPr>
              <m:oMath>
                <m:r>
                  <w:rPr>
                    <w:rFonts w:ascii="Cambria Math" w:hAnsi="Cambria Math"/>
                    <w:sz w:val="22"/>
                    <w:szCs w:val="20"/>
                    <w:lang w:val="en-US"/>
                  </w:rPr>
                  <m:t>UGR=8</m:t>
                </m:r>
                <m:func>
                  <m:funcPr>
                    <m:ctrlPr>
                      <w:rPr>
                        <w:rFonts w:ascii="Cambria Math" w:hAnsi="Cambria Math"/>
                        <w:i/>
                        <w:sz w:val="22"/>
                        <w:szCs w:val="20"/>
                        <w:lang w:val="en-US"/>
                      </w:rPr>
                    </m:ctrlPr>
                  </m:funcPr>
                  <m:fName>
                    <m:sSub>
                      <m:sSubPr>
                        <m:ctrlPr>
                          <w:rPr>
                            <w:rFonts w:ascii="Cambria Math" w:hAnsi="Cambria Math"/>
                            <w:i/>
                            <w:sz w:val="22"/>
                            <w:szCs w:val="20"/>
                            <w:lang w:val="en-US"/>
                          </w:rPr>
                        </m:ctrlPr>
                      </m:sSubPr>
                      <m:e>
                        <m:r>
                          <w:rPr>
                            <w:rFonts w:ascii="Cambria Math" w:hAnsi="Cambria Math"/>
                            <w:sz w:val="22"/>
                            <w:szCs w:val="20"/>
                          </w:rPr>
                          <m:t>log</m:t>
                        </m:r>
                      </m:e>
                      <m:sub>
                        <m:r>
                          <w:rPr>
                            <w:rFonts w:ascii="Cambria Math" w:hAnsi="Cambria Math"/>
                            <w:sz w:val="22"/>
                            <w:szCs w:val="20"/>
                            <w:lang w:val="en-US"/>
                          </w:rPr>
                          <m:t>10</m:t>
                        </m:r>
                      </m:sub>
                    </m:sSub>
                  </m:fName>
                  <m:e>
                    <m:f>
                      <m:fPr>
                        <m:ctrlPr>
                          <w:rPr>
                            <w:rFonts w:ascii="Cambria Math" w:hAnsi="Cambria Math"/>
                            <w:i/>
                            <w:sz w:val="22"/>
                            <w:szCs w:val="20"/>
                            <w:lang w:val="en-US"/>
                          </w:rPr>
                        </m:ctrlPr>
                      </m:fPr>
                      <m:num>
                        <m:r>
                          <w:rPr>
                            <w:rFonts w:ascii="Cambria Math" w:hAnsi="Cambria Math"/>
                            <w:sz w:val="22"/>
                            <w:szCs w:val="20"/>
                            <w:lang w:val="en-US"/>
                          </w:rPr>
                          <m:t>0.25</m:t>
                        </m:r>
                      </m:num>
                      <m:den>
                        <m:sSub>
                          <m:sSubPr>
                            <m:ctrlPr>
                              <w:rPr>
                                <w:rFonts w:ascii="Cambria Math" w:hAnsi="Cambria Math"/>
                                <w:i/>
                                <w:sz w:val="22"/>
                                <w:szCs w:val="20"/>
                                <w:lang w:val="en-US"/>
                              </w:rPr>
                            </m:ctrlPr>
                          </m:sSubPr>
                          <m:e>
                            <m:r>
                              <w:rPr>
                                <w:rFonts w:ascii="Cambria Math" w:hAnsi="Cambria Math"/>
                                <w:sz w:val="22"/>
                                <w:szCs w:val="20"/>
                                <w:lang w:val="en-US"/>
                              </w:rPr>
                              <m:t>L</m:t>
                            </m:r>
                          </m:e>
                          <m:sub>
                            <m:r>
                              <w:rPr>
                                <w:rFonts w:ascii="Cambria Math" w:hAnsi="Cambria Math"/>
                                <w:sz w:val="22"/>
                                <w:szCs w:val="20"/>
                                <w:lang w:val="en-US"/>
                              </w:rPr>
                              <m:t>b</m:t>
                            </m:r>
                          </m:sub>
                        </m:sSub>
                      </m:den>
                    </m:f>
                    <m:r>
                      <w:rPr>
                        <w:rFonts w:ascii="Cambria Math" w:hAnsi="Cambria Math"/>
                        <w:sz w:val="22"/>
                        <w:szCs w:val="20"/>
                        <w:lang w:val="en-US"/>
                      </w:rPr>
                      <m:t>∙</m:t>
                    </m:r>
                    <m:nary>
                      <m:naryPr>
                        <m:chr m:val="∑"/>
                        <m:limLoc m:val="undOvr"/>
                        <m:grow m:val="1"/>
                        <m:ctrlPr>
                          <w:rPr>
                            <w:rFonts w:ascii="Cambria Math" w:hAnsi="Cambria Math"/>
                            <w:i/>
                            <w:sz w:val="22"/>
                            <w:szCs w:val="20"/>
                            <w:lang w:val="en-US"/>
                          </w:rPr>
                        </m:ctrlPr>
                      </m:naryPr>
                      <m:sub>
                        <m:r>
                          <w:rPr>
                            <w:rFonts w:ascii="Cambria Math" w:hAnsi="Cambria Math"/>
                            <w:sz w:val="22"/>
                            <w:szCs w:val="20"/>
                            <w:lang w:val="en-US"/>
                          </w:rPr>
                          <m:t>i=1</m:t>
                        </m:r>
                      </m:sub>
                      <m:sup>
                        <m:r>
                          <w:rPr>
                            <w:rFonts w:ascii="Cambria Math" w:hAnsi="Cambria Math"/>
                            <w:sz w:val="22"/>
                            <w:szCs w:val="20"/>
                            <w:lang w:val="en-US"/>
                          </w:rPr>
                          <m:t>n</m:t>
                        </m:r>
                      </m:sup>
                      <m:e>
                        <m:f>
                          <m:fPr>
                            <m:ctrlPr>
                              <w:rPr>
                                <w:rFonts w:ascii="Cambria Math" w:hAnsi="Cambria Math"/>
                                <w:i/>
                                <w:sz w:val="22"/>
                                <w:szCs w:val="20"/>
                                <w:lang w:val="en-US"/>
                              </w:rPr>
                            </m:ctrlPr>
                          </m:fPr>
                          <m:num>
                            <m:sSubSup>
                              <m:sSubSupPr>
                                <m:ctrlPr>
                                  <w:rPr>
                                    <w:rFonts w:ascii="Cambria Math" w:hAnsi="Cambria Math"/>
                                    <w:i/>
                                    <w:sz w:val="22"/>
                                    <w:szCs w:val="20"/>
                                    <w:lang w:val="en-US"/>
                                  </w:rPr>
                                </m:ctrlPr>
                              </m:sSubSupPr>
                              <m:e>
                                <m:r>
                                  <w:rPr>
                                    <w:rFonts w:ascii="Cambria Math" w:hAnsi="Cambria Math"/>
                                    <w:sz w:val="22"/>
                                    <w:szCs w:val="20"/>
                                    <w:lang w:val="en-US"/>
                                  </w:rPr>
                                  <m:t>L</m:t>
                                </m:r>
                              </m:e>
                              <m:sub>
                                <m:r>
                                  <w:rPr>
                                    <w:rFonts w:ascii="Cambria Math" w:hAnsi="Cambria Math"/>
                                    <w:sz w:val="22"/>
                                    <w:szCs w:val="20"/>
                                    <w:lang w:val="en-US"/>
                                  </w:rPr>
                                  <m:t>s</m:t>
                                </m:r>
                              </m:sub>
                              <m:sup>
                                <m:r>
                                  <w:rPr>
                                    <w:rFonts w:ascii="Cambria Math" w:hAnsi="Cambria Math"/>
                                    <w:sz w:val="22"/>
                                    <w:szCs w:val="20"/>
                                    <w:lang w:val="en-US"/>
                                  </w:rPr>
                                  <m:t>2</m:t>
                                </m:r>
                              </m:sup>
                            </m:sSubSup>
                            <m:r>
                              <w:rPr>
                                <w:rFonts w:ascii="Cambria Math" w:hAnsi="Cambria Math"/>
                                <w:sz w:val="22"/>
                                <w:szCs w:val="20"/>
                                <w:lang w:val="en-US"/>
                              </w:rPr>
                              <m:t>∙</m:t>
                            </m:r>
                            <m:sSub>
                              <m:sSubPr>
                                <m:ctrlPr>
                                  <w:rPr>
                                    <w:rFonts w:ascii="Cambria Math" w:hAnsi="Cambria Math"/>
                                    <w:i/>
                                    <w:sz w:val="22"/>
                                    <w:szCs w:val="20"/>
                                    <w:lang w:val="en-US"/>
                                  </w:rPr>
                                </m:ctrlPr>
                              </m:sSubPr>
                              <m:e>
                                <m:r>
                                  <w:rPr>
                                    <w:rFonts w:ascii="Cambria Math" w:hAnsi="Cambria Math"/>
                                    <w:sz w:val="22"/>
                                    <w:szCs w:val="20"/>
                                    <w:lang w:val="en-US"/>
                                  </w:rPr>
                                  <m:t>ω</m:t>
                                </m:r>
                              </m:e>
                              <m:sub>
                                <m:r>
                                  <w:rPr>
                                    <w:rFonts w:ascii="Cambria Math" w:hAnsi="Cambria Math"/>
                                    <w:sz w:val="22"/>
                                    <w:szCs w:val="20"/>
                                    <w:lang w:val="en-US"/>
                                  </w:rPr>
                                  <m:t>s</m:t>
                                </m:r>
                              </m:sub>
                            </m:sSub>
                          </m:num>
                          <m:den>
                            <m:sSup>
                              <m:sSupPr>
                                <m:ctrlPr>
                                  <w:rPr>
                                    <w:rFonts w:ascii="Cambria Math" w:hAnsi="Cambria Math"/>
                                    <w:i/>
                                    <w:sz w:val="22"/>
                                    <w:szCs w:val="20"/>
                                    <w:lang w:val="en-US"/>
                                  </w:rPr>
                                </m:ctrlPr>
                              </m:sSupPr>
                              <m:e>
                                <m:r>
                                  <w:rPr>
                                    <w:rFonts w:ascii="Cambria Math" w:hAnsi="Cambria Math"/>
                                    <w:sz w:val="22"/>
                                    <w:szCs w:val="20"/>
                                    <w:lang w:val="en-US"/>
                                  </w:rPr>
                                  <m:t>P</m:t>
                                </m:r>
                              </m:e>
                              <m:sup>
                                <m:r>
                                  <w:rPr>
                                    <w:rFonts w:ascii="Cambria Math" w:hAnsi="Cambria Math"/>
                                    <w:sz w:val="22"/>
                                    <w:szCs w:val="20"/>
                                    <w:lang w:val="en-US"/>
                                  </w:rPr>
                                  <m:t>2</m:t>
                                </m:r>
                              </m:sup>
                            </m:sSup>
                          </m:den>
                        </m:f>
                      </m:e>
                    </m:nary>
                  </m:e>
                </m:func>
              </m:oMath>
            </m:oMathPara>
          </w:p>
        </w:tc>
        <w:tc>
          <w:tcPr>
            <w:tcW w:w="1178" w:type="dxa"/>
          </w:tcPr>
          <w:p w14:paraId="56ED3E7A" w14:textId="77777777" w:rsidR="009603B9" w:rsidRPr="00AA3D0C" w:rsidRDefault="009603B9" w:rsidP="009603B9">
            <w:pPr>
              <w:jc w:val="both"/>
              <w:rPr>
                <w:sz w:val="22"/>
                <w:szCs w:val="22"/>
              </w:rPr>
            </w:pPr>
          </w:p>
          <w:p w14:paraId="6682BF76" w14:textId="77777777" w:rsidR="009603B9" w:rsidRPr="00AA3D0C" w:rsidRDefault="009603B9" w:rsidP="009603B9">
            <w:pPr>
              <w:jc w:val="both"/>
              <w:rPr>
                <w:sz w:val="22"/>
                <w:szCs w:val="22"/>
              </w:rPr>
            </w:pPr>
            <w:r w:rsidRPr="00AA3D0C">
              <w:rPr>
                <w:sz w:val="22"/>
                <w:szCs w:val="22"/>
              </w:rPr>
              <w:t>[-]</w:t>
            </w:r>
          </w:p>
        </w:tc>
        <w:tc>
          <w:tcPr>
            <w:tcW w:w="1589" w:type="dxa"/>
          </w:tcPr>
          <w:p w14:paraId="40F80D59" w14:textId="77777777" w:rsidR="009603B9" w:rsidRPr="00AA3D0C" w:rsidRDefault="009603B9" w:rsidP="009603B9">
            <w:pPr>
              <w:jc w:val="right"/>
              <w:rPr>
                <w:sz w:val="22"/>
                <w:szCs w:val="22"/>
              </w:rPr>
            </w:pPr>
          </w:p>
          <w:p w14:paraId="0724F65D" w14:textId="77777777" w:rsidR="009603B9" w:rsidRPr="00AA3D0C" w:rsidRDefault="009603B9" w:rsidP="009603B9">
            <w:pPr>
              <w:jc w:val="right"/>
              <w:rPr>
                <w:sz w:val="22"/>
                <w:szCs w:val="22"/>
              </w:rPr>
            </w:pPr>
            <w:r w:rsidRPr="00AA3D0C">
              <w:rPr>
                <w:sz w:val="22"/>
                <w:szCs w:val="22"/>
              </w:rPr>
              <w:t>(</w:t>
            </w:r>
            <w:r w:rsidR="00914CBA">
              <w:rPr>
                <w:sz w:val="22"/>
                <w:szCs w:val="22"/>
              </w:rPr>
              <w:t>6</w:t>
            </w:r>
            <w:r w:rsidRPr="00AA3D0C">
              <w:rPr>
                <w:sz w:val="22"/>
                <w:szCs w:val="22"/>
              </w:rPr>
              <w:t>)</w:t>
            </w:r>
          </w:p>
        </w:tc>
      </w:tr>
    </w:tbl>
    <w:p w14:paraId="5631E92D" w14:textId="77777777" w:rsidR="002B7D6E" w:rsidRPr="00AA3D0C" w:rsidRDefault="002B7D6E" w:rsidP="002B7D6E">
      <w:pPr>
        <w:jc w:val="both"/>
        <w:rPr>
          <w:sz w:val="22"/>
          <w:szCs w:val="22"/>
        </w:rPr>
      </w:pPr>
    </w:p>
    <w:p w14:paraId="53CB4D25" w14:textId="10949406" w:rsidR="002B7D6E" w:rsidRDefault="0077382C" w:rsidP="002B7D6E">
      <w:pPr>
        <w:jc w:val="both"/>
        <w:rPr>
          <w:sz w:val="22"/>
          <w:szCs w:val="22"/>
        </w:rPr>
      </w:pPr>
      <w:r>
        <w:rPr>
          <w:sz w:val="22"/>
          <w:szCs w:val="22"/>
        </w:rPr>
        <w:t>Another glare index specifically developed for daylight is</w:t>
      </w:r>
      <w:r w:rsidR="002B7D6E" w:rsidRPr="00AA3D0C">
        <w:rPr>
          <w:sz w:val="22"/>
          <w:szCs w:val="22"/>
        </w:rPr>
        <w:t xml:space="preserve"> the Predictive Glare Sensation Vote (PGSV), presented by </w:t>
      </w:r>
      <w:proofErr w:type="spellStart"/>
      <w:r w:rsidR="002B7D6E" w:rsidRPr="00AA3D0C">
        <w:rPr>
          <w:sz w:val="22"/>
          <w:szCs w:val="22"/>
        </w:rPr>
        <w:t>Tokura</w:t>
      </w:r>
      <w:proofErr w:type="spellEnd"/>
      <w:r w:rsidR="002B7D6E" w:rsidRPr="00AA3D0C">
        <w:rPr>
          <w:sz w:val="22"/>
          <w:szCs w:val="22"/>
        </w:rPr>
        <w:t xml:space="preserve"> </w:t>
      </w:r>
      <w:r w:rsidR="002B7D6E" w:rsidRPr="00AA3D0C">
        <w:rPr>
          <w:i/>
          <w:sz w:val="22"/>
          <w:szCs w:val="22"/>
        </w:rPr>
        <w:t xml:space="preserve">et al. </w:t>
      </w:r>
      <w:r w:rsidR="002B7D6E" w:rsidRPr="00AA3D0C">
        <w:rPr>
          <w:sz w:val="22"/>
          <w:szCs w:val="22"/>
        </w:rPr>
        <w:fldChar w:fldCharType="begin" w:fldLock="1"/>
      </w:r>
      <w:r w:rsidR="005952EA">
        <w:rPr>
          <w:sz w:val="22"/>
          <w:szCs w:val="22"/>
        </w:rPr>
        <w:instrText>ADDIN CSL_CITATION { "citationItems" : [ { "id" : "ITEM-1", "itemData" : { "DOI" : "10.3130/aija.61.17_8", "author" : [ { "dropping-particle" : "", "family" : "Tokura", "given" : "Miwaok", "non-dropping-particle" : "", "parse-names" : false, "suffix" : "" }, { "dropping-particle" : "", "family" : "Iwata", "given" : "Toshie", "non-dropping-particle" : "", "parse-names" : false, "suffix" : "" }, { "dropping-particle" : "", "family" : "Shukuya", "given" : "Masanori", "non-dropping-particle" : "", "parse-names" : false, "suffix" : "" } ], "container-title" : "Journal of Architecture and Planning (Transactions of AIJ)", "id" : "ITEM-1", "issue" : "489", "issued" : { "date-parts" : [ [ "1996" ] ] }, "note" : "TI:", "page" : "17-25", "title" : "Experimental study on discomfort glare caused by windows part 3: Development of a method for evaluating discomfort glare from a large light source", "type" : "article-journal", "volume" : "61" }, "uris" : [ "http://www.mendeley.com/documents/?uuid=9c44a8d9-7848-4975-a746-c0b8eb7f051b", "http://www.mendeley.com/documents/?uuid=f0b89191-66e2-426d-ab7b-9ca32335f006" ] } ], "mendeley" : { "formattedCitation" : "(Tokura, Iwata and Shukuya, 1996)", "manualFormatting" : "(1996)", "plainTextFormattedCitation" : "(Tokura, Iwata and Shukuya, 1996)", "previouslyFormattedCitation" : "(Tokura, Iwata and Shukuya, 1996)" }, "properties" : { "noteIndex" : 0 }, "schema" : "https://github.com/citation-style-language/schema/raw/master/csl-citation.json" }</w:instrText>
      </w:r>
      <w:r w:rsidR="002B7D6E" w:rsidRPr="00AA3D0C">
        <w:rPr>
          <w:sz w:val="22"/>
          <w:szCs w:val="22"/>
        </w:rPr>
        <w:fldChar w:fldCharType="separate"/>
      </w:r>
      <w:r w:rsidR="002B7D6E" w:rsidRPr="00AA3D0C">
        <w:rPr>
          <w:noProof/>
          <w:sz w:val="22"/>
          <w:szCs w:val="22"/>
        </w:rPr>
        <w:t>(1996)</w:t>
      </w:r>
      <w:r w:rsidR="002B7D6E" w:rsidRPr="00AA3D0C">
        <w:rPr>
          <w:sz w:val="22"/>
          <w:szCs w:val="22"/>
        </w:rPr>
        <w:fldChar w:fldCharType="end"/>
      </w:r>
      <w:r>
        <w:rPr>
          <w:sz w:val="22"/>
          <w:szCs w:val="22"/>
        </w:rPr>
        <w:t xml:space="preserve"> </w:t>
      </w:r>
      <w:r w:rsidR="00245B0B" w:rsidRPr="00914CBA">
        <w:rPr>
          <w:sz w:val="22"/>
          <w:szCs w:val="22"/>
        </w:rPr>
        <w:t>(e</w:t>
      </w:r>
      <w:r w:rsidR="00914CBA">
        <w:rPr>
          <w:sz w:val="22"/>
          <w:szCs w:val="22"/>
        </w:rPr>
        <w:t>q</w:t>
      </w:r>
      <w:r w:rsidR="00245B0B" w:rsidRPr="00914CBA">
        <w:rPr>
          <w:sz w:val="22"/>
          <w:szCs w:val="22"/>
        </w:rPr>
        <w:t>.</w:t>
      </w:r>
      <w:r w:rsidR="00914CBA" w:rsidRPr="00914CBA">
        <w:rPr>
          <w:sz w:val="22"/>
          <w:szCs w:val="22"/>
        </w:rPr>
        <w:t>7</w:t>
      </w:r>
      <w:r w:rsidR="00245B0B" w:rsidRPr="00914CBA">
        <w:rPr>
          <w:sz w:val="22"/>
          <w:szCs w:val="22"/>
        </w:rPr>
        <w:t>)</w:t>
      </w:r>
      <w:r w:rsidR="002B7D6E" w:rsidRPr="00914CBA">
        <w:rPr>
          <w:sz w:val="22"/>
          <w:szCs w:val="22"/>
        </w:rPr>
        <w:t>.</w:t>
      </w:r>
      <w:r w:rsidR="002B7D6E" w:rsidRPr="00AA3D0C">
        <w:rPr>
          <w:sz w:val="22"/>
          <w:szCs w:val="22"/>
        </w:rPr>
        <w:t xml:space="preserve"> The PGSV </w:t>
      </w:r>
      <w:r>
        <w:rPr>
          <w:sz w:val="22"/>
          <w:szCs w:val="22"/>
        </w:rPr>
        <w:t>was derived</w:t>
      </w:r>
      <w:r w:rsidRPr="00AA3D0C">
        <w:rPr>
          <w:sz w:val="22"/>
          <w:szCs w:val="22"/>
        </w:rPr>
        <w:t xml:space="preserve"> </w:t>
      </w:r>
      <w:r w:rsidR="002B7D6E" w:rsidRPr="00AA3D0C">
        <w:rPr>
          <w:sz w:val="22"/>
          <w:szCs w:val="22"/>
        </w:rPr>
        <w:t xml:space="preserve">after experiments carried out under a fixed artificial light source situated behind different opening sizes covered with fabric. Compared to the UGR, the PGSV equation connected the background luminance with the size of the glare source, in order to account more accurately for the adaptation. However, according to Iwata and </w:t>
      </w:r>
      <w:proofErr w:type="spellStart"/>
      <w:r w:rsidR="002B7D6E" w:rsidRPr="00AA3D0C">
        <w:rPr>
          <w:sz w:val="22"/>
          <w:szCs w:val="22"/>
        </w:rPr>
        <w:t>Tokura</w:t>
      </w:r>
      <w:proofErr w:type="spellEnd"/>
      <w:r w:rsidR="002B7D6E" w:rsidRPr="00AA3D0C">
        <w:rPr>
          <w:sz w:val="22"/>
          <w:szCs w:val="22"/>
        </w:rPr>
        <w:t xml:space="preserve"> </w:t>
      </w:r>
      <w:r w:rsidR="002B7D6E" w:rsidRPr="00AA3D0C">
        <w:rPr>
          <w:sz w:val="22"/>
          <w:szCs w:val="22"/>
        </w:rPr>
        <w:fldChar w:fldCharType="begin" w:fldLock="1"/>
      </w:r>
      <w:r w:rsidR="005952EA">
        <w:rPr>
          <w:sz w:val="22"/>
          <w:szCs w:val="22"/>
        </w:rPr>
        <w:instrText>ADDIN CSL_CITATION { "citationItems" : [ { "id" : "ITEM-1", "itemData" : { "DOI" : "10.1177/096032719803000205", "ISSN" : "1477-1535", "abstract" : "The limitations of predicted glare sensation vote (PGSV), which evaluates glare from windows, are examined. The following two questions were addressed: first, whether PGSV involves the same contradiction as daylight glare index; second, how great is the effect of the source shape on discomfort glare. When the size of the source increases and coincides with the whole visual field, the value of PGSV becomes independent of the background. However, FGSV shows that the effect of source size increases with increasing background luminance. Consequently a hypothesis on the transition from the 'contrast effect' to the 'grand total effect' is shown schematically. In a subjective experiment and numerical simulation it was found that he effects of the shape of the window on glare sensation are not significant. \ufffd 1998, SAGE Publications. All rights reserved.", "author" : [ { "dropping-particle" : "", "family" : "Iwata", "given" : "T", "non-dropping-particle" : "", "parse-names" : false, "suffix" : "" }, { "dropping-particle" : "", "family" : "Tokura", "given" : "M", "non-dropping-particle" : "", "parse-names" : false, "suffix" : "" } ], "container-title" : "Lighting Research &amp; Technology", "id" : "ITEM-1", "issue" : "2", "issued" : { "date-parts" : [ [ "1998" ] ] }, "note" : "Cited By :28", "page" : "81-88", "publisher-place" : "Affiliation: National Institute of Public Health, 4-6-1 Shirokanedai Minato-ku, Tokyo, Japan; Affiliation: Tokyo Institute of Technology, 4529 Nagatsuda-cho Midori-ku, Yokohams-shi Kanagawa, Japan", "title" : "Examination of the limitations of predicted glare sensation vote (PGSV) as a glare index for a large source: Towards a comprehensive development of discomfort glare evaluation", "type" : "article-journal", "volume" : "30" }, "uris" : [ "http://www.mendeley.com/documents/?uuid=147b3e1e-3ddb-4490-ba8c-d87ee3aa2775", "http://www.mendeley.com/documents/?uuid=29ef5796-0728-4914-837a-1fc814c4d58e" ] } ], "mendeley" : { "formattedCitation" : "(Iwata and Tokura, 1998)", "manualFormatting" : "(1998)", "plainTextFormattedCitation" : "(Iwata and Tokura, 1998)", "previouslyFormattedCitation" : "(Iwata and Tokura, 1998)" }, "properties" : { "noteIndex" : 0 }, "schema" : "https://github.com/citation-style-language/schema/raw/master/csl-citation.json" }</w:instrText>
      </w:r>
      <w:r w:rsidR="002B7D6E" w:rsidRPr="00AA3D0C">
        <w:rPr>
          <w:sz w:val="22"/>
          <w:szCs w:val="22"/>
        </w:rPr>
        <w:fldChar w:fldCharType="separate"/>
      </w:r>
      <w:r w:rsidR="002B7D6E" w:rsidRPr="00AA3D0C">
        <w:rPr>
          <w:noProof/>
          <w:sz w:val="22"/>
          <w:szCs w:val="22"/>
        </w:rPr>
        <w:t>(1998)</w:t>
      </w:r>
      <w:r w:rsidR="002B7D6E" w:rsidRPr="00AA3D0C">
        <w:rPr>
          <w:sz w:val="22"/>
          <w:szCs w:val="22"/>
        </w:rPr>
        <w:fldChar w:fldCharType="end"/>
      </w:r>
      <w:r w:rsidR="002B7D6E" w:rsidRPr="00AA3D0C">
        <w:rPr>
          <w:sz w:val="22"/>
          <w:szCs w:val="22"/>
        </w:rPr>
        <w:t xml:space="preserve">, PGSV </w:t>
      </w:r>
      <w:r>
        <w:rPr>
          <w:sz w:val="22"/>
          <w:szCs w:val="22"/>
        </w:rPr>
        <w:t xml:space="preserve">may </w:t>
      </w:r>
      <w:r w:rsidR="002B7D6E" w:rsidRPr="00AA3D0C">
        <w:rPr>
          <w:sz w:val="22"/>
          <w:szCs w:val="22"/>
        </w:rPr>
        <w:t>underestimate glare.</w:t>
      </w:r>
    </w:p>
    <w:p w14:paraId="395B7090" w14:textId="77777777" w:rsidR="009603B9" w:rsidRDefault="009603B9" w:rsidP="002B7D6E">
      <w:pPr>
        <w:jc w:val="both"/>
        <w:rPr>
          <w:sz w:val="22"/>
          <w:szCs w:val="22"/>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946"/>
        <w:gridCol w:w="567"/>
        <w:gridCol w:w="641"/>
      </w:tblGrid>
      <w:tr w:rsidR="009603B9" w:rsidRPr="00AA3D0C" w14:paraId="35288584" w14:textId="77777777" w:rsidTr="00EB2DF4">
        <w:trPr>
          <w:trHeight w:val="252"/>
        </w:trPr>
        <w:tc>
          <w:tcPr>
            <w:tcW w:w="6946" w:type="dxa"/>
          </w:tcPr>
          <w:p w14:paraId="03FA2247" w14:textId="77777777" w:rsidR="009603B9" w:rsidRPr="004934D8" w:rsidRDefault="00443705" w:rsidP="004934D8">
            <w:pPr>
              <w:jc w:val="right"/>
              <w:rPr>
                <w:sz w:val="22"/>
                <w:szCs w:val="22"/>
              </w:rPr>
            </w:pPr>
            <m:oMathPara>
              <m:oMathParaPr>
                <m:jc m:val="right"/>
              </m:oMathParaPr>
              <m:oMath>
                <m:r>
                  <w:rPr>
                    <w:rFonts w:ascii="Cambria Math" w:hAnsi="Cambria Math"/>
                    <w:sz w:val="22"/>
                    <w:szCs w:val="20"/>
                    <w:lang w:val="en-US"/>
                  </w:rPr>
                  <m:t>PGSV=3.2</m:t>
                </m:r>
                <m:func>
                  <m:funcPr>
                    <m:ctrlPr>
                      <w:rPr>
                        <w:rFonts w:ascii="Cambria Math" w:hAnsi="Cambria Math"/>
                        <w:i/>
                        <w:sz w:val="22"/>
                        <w:szCs w:val="20"/>
                        <w:lang w:val="en-US"/>
                      </w:rPr>
                    </m:ctrlPr>
                  </m:funcPr>
                  <m:fName>
                    <m:r>
                      <w:rPr>
                        <w:rFonts w:ascii="Cambria Math" w:hAnsi="Cambria Math"/>
                        <w:sz w:val="22"/>
                        <w:szCs w:val="20"/>
                      </w:rPr>
                      <m:t>log</m:t>
                    </m:r>
                  </m:fName>
                  <m:e>
                    <m:sSub>
                      <m:sSubPr>
                        <m:ctrlPr>
                          <w:rPr>
                            <w:rFonts w:ascii="Cambria Math" w:hAnsi="Cambria Math"/>
                            <w:i/>
                            <w:sz w:val="22"/>
                            <w:szCs w:val="20"/>
                            <w:lang w:val="en-US"/>
                          </w:rPr>
                        </m:ctrlPr>
                      </m:sSubPr>
                      <m:e>
                        <m:r>
                          <w:rPr>
                            <w:rFonts w:ascii="Cambria Math" w:hAnsi="Cambria Math"/>
                            <w:sz w:val="22"/>
                            <w:szCs w:val="20"/>
                            <w:lang w:val="en-US"/>
                          </w:rPr>
                          <m:t>L</m:t>
                        </m:r>
                      </m:e>
                      <m:sub>
                        <m:r>
                          <w:rPr>
                            <w:rFonts w:ascii="Cambria Math" w:hAnsi="Cambria Math"/>
                            <w:sz w:val="22"/>
                            <w:szCs w:val="20"/>
                            <w:lang w:val="en-US"/>
                          </w:rPr>
                          <m:t>s</m:t>
                        </m:r>
                      </m:sub>
                    </m:sSub>
                  </m:e>
                </m:func>
                <m:r>
                  <w:rPr>
                    <w:rFonts w:ascii="Cambria Math" w:hAnsi="Cambria Math"/>
                    <w:sz w:val="22"/>
                    <w:szCs w:val="20"/>
                    <w:lang w:val="en-US"/>
                  </w:rPr>
                  <m:t>-0.64</m:t>
                </m:r>
                <m:func>
                  <m:funcPr>
                    <m:ctrlPr>
                      <w:rPr>
                        <w:rFonts w:ascii="Cambria Math" w:hAnsi="Cambria Math"/>
                        <w:i/>
                        <w:sz w:val="22"/>
                        <w:szCs w:val="20"/>
                        <w:lang w:val="en-US"/>
                      </w:rPr>
                    </m:ctrlPr>
                  </m:funcPr>
                  <m:fName>
                    <m:r>
                      <w:rPr>
                        <w:rFonts w:ascii="Cambria Math" w:hAnsi="Cambria Math"/>
                        <w:sz w:val="22"/>
                        <w:szCs w:val="20"/>
                      </w:rPr>
                      <m:t>log</m:t>
                    </m:r>
                  </m:fName>
                  <m:e>
                    <m:r>
                      <w:rPr>
                        <w:rFonts w:ascii="Cambria Math" w:hAnsi="Cambria Math"/>
                        <w:sz w:val="22"/>
                        <w:szCs w:val="20"/>
                        <w:lang w:val="en-US"/>
                      </w:rPr>
                      <m:t>ω</m:t>
                    </m:r>
                  </m:e>
                </m:func>
                <m:r>
                  <w:rPr>
                    <w:rFonts w:ascii="Cambria Math" w:hAnsi="Cambria Math"/>
                    <w:sz w:val="22"/>
                    <w:szCs w:val="20"/>
                    <w:lang w:val="en-US"/>
                  </w:rPr>
                  <m:t>+</m:t>
                </m:r>
                <m:d>
                  <m:dPr>
                    <m:ctrlPr>
                      <w:rPr>
                        <w:rFonts w:ascii="Cambria Math" w:hAnsi="Cambria Math"/>
                        <w:i/>
                        <w:sz w:val="22"/>
                        <w:szCs w:val="20"/>
                        <w:lang w:val="en-US"/>
                      </w:rPr>
                    </m:ctrlPr>
                  </m:dPr>
                  <m:e>
                    <m:r>
                      <w:rPr>
                        <w:rFonts w:ascii="Cambria Math" w:hAnsi="Cambria Math"/>
                        <w:sz w:val="22"/>
                        <w:szCs w:val="20"/>
                        <w:lang w:val="en-US"/>
                      </w:rPr>
                      <m:t>0.79</m:t>
                    </m:r>
                    <m:func>
                      <m:funcPr>
                        <m:ctrlPr>
                          <w:rPr>
                            <w:rFonts w:ascii="Cambria Math" w:hAnsi="Cambria Math"/>
                            <w:i/>
                            <w:sz w:val="22"/>
                            <w:szCs w:val="20"/>
                            <w:lang w:val="en-US"/>
                          </w:rPr>
                        </m:ctrlPr>
                      </m:funcPr>
                      <m:fName>
                        <m:r>
                          <w:rPr>
                            <w:rFonts w:ascii="Cambria Math" w:hAnsi="Cambria Math"/>
                            <w:sz w:val="22"/>
                            <w:szCs w:val="20"/>
                          </w:rPr>
                          <m:t>log</m:t>
                        </m:r>
                      </m:fName>
                      <m:e>
                        <m:r>
                          <w:rPr>
                            <w:rFonts w:ascii="Cambria Math" w:hAnsi="Cambria Math"/>
                            <w:sz w:val="22"/>
                            <w:szCs w:val="20"/>
                            <w:lang w:val="en-US"/>
                          </w:rPr>
                          <m:t>ω</m:t>
                        </m:r>
                      </m:e>
                    </m:func>
                    <m:r>
                      <w:rPr>
                        <w:rFonts w:ascii="Cambria Math" w:hAnsi="Cambria Math"/>
                        <w:sz w:val="22"/>
                        <w:szCs w:val="20"/>
                        <w:lang w:val="en-US"/>
                      </w:rPr>
                      <m:t>-0.61</m:t>
                    </m:r>
                  </m:e>
                </m:d>
                <m:func>
                  <m:funcPr>
                    <m:ctrlPr>
                      <w:rPr>
                        <w:rFonts w:ascii="Cambria Math" w:hAnsi="Cambria Math"/>
                        <w:i/>
                        <w:sz w:val="22"/>
                        <w:szCs w:val="20"/>
                        <w:lang w:val="en-US"/>
                      </w:rPr>
                    </m:ctrlPr>
                  </m:funcPr>
                  <m:fName>
                    <m:r>
                      <w:rPr>
                        <w:rFonts w:ascii="Cambria Math" w:hAnsi="Cambria Math"/>
                        <w:sz w:val="22"/>
                        <w:szCs w:val="20"/>
                      </w:rPr>
                      <m:t>log</m:t>
                    </m:r>
                  </m:fName>
                  <m:e>
                    <m:sSub>
                      <m:sSubPr>
                        <m:ctrlPr>
                          <w:rPr>
                            <w:rFonts w:ascii="Cambria Math" w:hAnsi="Cambria Math"/>
                            <w:i/>
                            <w:sz w:val="22"/>
                            <w:szCs w:val="20"/>
                            <w:lang w:val="en-US"/>
                          </w:rPr>
                        </m:ctrlPr>
                      </m:sSubPr>
                      <m:e>
                        <m:r>
                          <w:rPr>
                            <w:rFonts w:ascii="Cambria Math" w:hAnsi="Cambria Math"/>
                            <w:sz w:val="22"/>
                            <w:szCs w:val="20"/>
                            <w:lang w:val="en-US"/>
                          </w:rPr>
                          <m:t>L</m:t>
                        </m:r>
                      </m:e>
                      <m:sub>
                        <m:r>
                          <w:rPr>
                            <w:rFonts w:ascii="Cambria Math" w:hAnsi="Cambria Math"/>
                            <w:sz w:val="22"/>
                            <w:szCs w:val="20"/>
                            <w:lang w:val="en-US"/>
                          </w:rPr>
                          <m:t>b</m:t>
                        </m:r>
                      </m:sub>
                    </m:sSub>
                    <m:r>
                      <w:rPr>
                        <w:rFonts w:ascii="Cambria Math" w:hAnsi="Cambria Math"/>
                        <w:sz w:val="22"/>
                        <w:szCs w:val="20"/>
                        <w:lang w:val="en-US"/>
                      </w:rPr>
                      <m:t>-8.2</m:t>
                    </m:r>
                  </m:e>
                </m:func>
              </m:oMath>
            </m:oMathPara>
          </w:p>
        </w:tc>
        <w:tc>
          <w:tcPr>
            <w:tcW w:w="567" w:type="dxa"/>
          </w:tcPr>
          <w:p w14:paraId="2E01A8BA" w14:textId="77777777" w:rsidR="009603B9" w:rsidRPr="00AA3D0C" w:rsidRDefault="009603B9" w:rsidP="004934D8">
            <w:pPr>
              <w:rPr>
                <w:sz w:val="22"/>
                <w:szCs w:val="22"/>
              </w:rPr>
            </w:pPr>
            <w:r w:rsidRPr="00AA3D0C">
              <w:rPr>
                <w:sz w:val="22"/>
                <w:szCs w:val="22"/>
              </w:rPr>
              <w:t>[-]</w:t>
            </w:r>
          </w:p>
        </w:tc>
        <w:tc>
          <w:tcPr>
            <w:tcW w:w="641" w:type="dxa"/>
          </w:tcPr>
          <w:p w14:paraId="10B2C47C" w14:textId="77777777" w:rsidR="009603B9" w:rsidRPr="00AA3D0C" w:rsidRDefault="009603B9" w:rsidP="009603B9">
            <w:pPr>
              <w:jc w:val="right"/>
              <w:rPr>
                <w:sz w:val="22"/>
                <w:szCs w:val="22"/>
              </w:rPr>
            </w:pPr>
            <w:r w:rsidRPr="00AA3D0C">
              <w:rPr>
                <w:sz w:val="22"/>
                <w:szCs w:val="22"/>
              </w:rPr>
              <w:t>(</w:t>
            </w:r>
            <w:r w:rsidR="00736277">
              <w:rPr>
                <w:sz w:val="22"/>
                <w:szCs w:val="22"/>
              </w:rPr>
              <w:t>7</w:t>
            </w:r>
            <w:r w:rsidRPr="00AA3D0C">
              <w:rPr>
                <w:sz w:val="22"/>
                <w:szCs w:val="22"/>
              </w:rPr>
              <w:t>)</w:t>
            </w:r>
          </w:p>
        </w:tc>
      </w:tr>
    </w:tbl>
    <w:p w14:paraId="6E96E2D4" w14:textId="77777777" w:rsidR="004934D8" w:rsidRDefault="004934D8" w:rsidP="002B7D6E">
      <w:pPr>
        <w:jc w:val="both"/>
        <w:rPr>
          <w:sz w:val="22"/>
          <w:szCs w:val="22"/>
        </w:rPr>
      </w:pPr>
    </w:p>
    <w:p w14:paraId="2971E298" w14:textId="6AA8C344" w:rsidR="001B055D" w:rsidRDefault="002B7D6E" w:rsidP="00EB2DF4">
      <w:pPr>
        <w:spacing w:after="240"/>
        <w:jc w:val="both"/>
        <w:rPr>
          <w:sz w:val="22"/>
          <w:szCs w:val="22"/>
        </w:rPr>
      </w:pPr>
      <w:r w:rsidRPr="00AA3D0C">
        <w:rPr>
          <w:sz w:val="22"/>
          <w:szCs w:val="22"/>
        </w:rPr>
        <w:t xml:space="preserve">Today, the most widely used daylight glare metric is the Daylight Glare Probability (DGP) introduced by </w:t>
      </w:r>
      <w:proofErr w:type="spellStart"/>
      <w:r w:rsidRPr="00AA3D0C">
        <w:rPr>
          <w:sz w:val="22"/>
          <w:szCs w:val="22"/>
        </w:rPr>
        <w:t>Wienold</w:t>
      </w:r>
      <w:proofErr w:type="spellEnd"/>
      <w:r w:rsidRPr="00AA3D0C">
        <w:rPr>
          <w:sz w:val="22"/>
          <w:szCs w:val="22"/>
        </w:rPr>
        <w:t xml:space="preserve"> and </w:t>
      </w:r>
      <w:proofErr w:type="spellStart"/>
      <w:r w:rsidRPr="00AA3D0C">
        <w:rPr>
          <w:sz w:val="22"/>
          <w:szCs w:val="22"/>
        </w:rPr>
        <w:t>Christoffersen</w:t>
      </w:r>
      <w:proofErr w:type="spellEnd"/>
      <w:r w:rsidRPr="00AA3D0C">
        <w:rPr>
          <w:sz w:val="22"/>
          <w:szCs w:val="22"/>
        </w:rPr>
        <w:t xml:space="preserve"> </w:t>
      </w:r>
      <w:r w:rsidRPr="00736277">
        <w:rPr>
          <w:sz w:val="22"/>
          <w:szCs w:val="22"/>
        </w:rPr>
        <w:fldChar w:fldCharType="begin" w:fldLock="1"/>
      </w:r>
      <w:r w:rsidR="004F26FE">
        <w:rPr>
          <w:sz w:val="22"/>
          <w:szCs w:val="22"/>
        </w:rPr>
        <w:instrText>ADDIN CSL_CITATION { "citationItems" : [ { "id" : "ITEM-1", "itemData" : { "DOI" : "10.1016/j.enbuild.2006.03.017", "ISSN" : "0378-7788", "abstract" : "Daylighting and the impact of daylighting strategies on the visual environment continue to be a vital issue for building occupants due to visual comfort and user acceptance of luminous indoor environments. Some of the critical factors affecting the level of visual comfort and quality in daylit office spaces include glare, window luminances, and luminance ratios within the field of view. One of the goals of this study was to provide new insight into the impact of luminance distributions on glare. The luminance distribution within the field of view was recorded using CCD camera-based luminance mapping technology. The technology provides a great potential for improved understandings of the relation between measured lighting conditions and user response. With the development of the RADIANCE based evaluation tool \"evalglare\", it became possible to analyse glare according to a number of daylight glare prediction models as well as contrast ratios in various daylit situations (workplace, VDU). User assessments at two locations (Copenhagen, Freiburg) with more than 70 subjects under various daylighting conditions were performed in order to assess existing glare models and to provide a reliable database for the development of a new glare prediction model. The comparison of the results of the user assessments with existing models clearly shows the great potential for improving glare prediction models. For the window luminance a squared correlation factor of only 0.12 and for the daylight glare index (DGI) of 0.56 were found. Due to the low predictive power of existing glare prediction models a new index, daylight glare probability (DGP), was developed and is presented in this paper. DGP is a function of the vertical eye illuminance as well as on the glare source luminance, its solid angle and its position index. The DGP showed a very strong correlation (squared correlation factor of 0.94) with the user's response regarding glare perception. \ufffd 2006 Elsevier B.V. All rights reserved.", "author" : [ { "dropping-particle" : "", "family" : "Wienold", "given" : "J", "non-dropping-particle" : "", "parse-names" : false, "suffix" : "" }, { "dropping-particle" : "", "family" : "Christoffersen", "given" : "J", "non-dropping-particle" : "", "parse-names" : false, "suffix" : "" } ], "container-title" : "Energy and Buildings", "id" : "ITEM-1", "issue" : "7", "issued" : { "date-parts" : [ [ "2006" ] ] }, "page" : "743-757", "publisher-place" : "Affiliation: Fraunhofer Institute for Solar Energy Systems, Heidenhofstr. 2, 79110 Freiburg, Germany; Affiliation: Danish Building Research Institute, Dr. Neergaards vej 15, 2970 Hoersholm, Denmark; Correspondence Address: Wienold, J.; Fraunhofer Institut", "title" : "Evaluation methods and development of a new glare prediction model for daylight environments with the use of CCD cameras", "type" : "article-journal", "volume" : "38" }, "uris" : [ "http://www.mendeley.com/documents/?uuid=96b51dac-9a05-4108-8373-86ad56e99afc", "http://www.mendeley.com/documents/?uuid=81ec8c7e-5ea6-49e9-889a-aba6aa1d571e" ] } ], "mendeley" : { "formattedCitation" : "(Wienold and Christoffersen, 2006)", "manualFormatting" : "(2006)", "plainTextFormattedCitation" : "(Wienold and Christoffersen, 2006)", "previouslyFormattedCitation" : "(Wienold and Christoffersen, 2006)" }, "properties" : { "noteIndex" : 0 }, "schema" : "https://github.com/citation-style-language/schema/raw/master/csl-citation.json" }</w:instrText>
      </w:r>
      <w:r w:rsidRPr="00736277">
        <w:rPr>
          <w:sz w:val="22"/>
          <w:szCs w:val="22"/>
        </w:rPr>
        <w:fldChar w:fldCharType="separate"/>
      </w:r>
      <w:r w:rsidRPr="00736277">
        <w:rPr>
          <w:noProof/>
          <w:sz w:val="22"/>
          <w:szCs w:val="22"/>
        </w:rPr>
        <w:t>(2006)</w:t>
      </w:r>
      <w:r w:rsidRPr="00736277">
        <w:rPr>
          <w:sz w:val="22"/>
          <w:szCs w:val="22"/>
        </w:rPr>
        <w:fldChar w:fldCharType="end"/>
      </w:r>
      <w:r w:rsidR="00000809" w:rsidRPr="00736277">
        <w:rPr>
          <w:sz w:val="22"/>
          <w:szCs w:val="22"/>
        </w:rPr>
        <w:t xml:space="preserve"> (eq.</w:t>
      </w:r>
      <w:r w:rsidR="00FD2D84">
        <w:rPr>
          <w:sz w:val="22"/>
          <w:szCs w:val="22"/>
        </w:rPr>
        <w:t xml:space="preserve"> </w:t>
      </w:r>
      <w:r w:rsidR="00736277" w:rsidRPr="00736277">
        <w:rPr>
          <w:sz w:val="22"/>
          <w:szCs w:val="22"/>
        </w:rPr>
        <w:t>8</w:t>
      </w:r>
      <w:r w:rsidR="00000809" w:rsidRPr="00736277">
        <w:rPr>
          <w:sz w:val="22"/>
          <w:szCs w:val="22"/>
        </w:rPr>
        <w:t>)</w:t>
      </w:r>
      <w:r w:rsidRPr="00736277">
        <w:rPr>
          <w:sz w:val="22"/>
          <w:szCs w:val="22"/>
        </w:rPr>
        <w:t>.</w:t>
      </w:r>
      <w:r w:rsidRPr="00AA3D0C">
        <w:rPr>
          <w:sz w:val="22"/>
          <w:szCs w:val="22"/>
        </w:rPr>
        <w:t xml:space="preserve"> </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230"/>
        <w:gridCol w:w="461"/>
        <w:gridCol w:w="473"/>
      </w:tblGrid>
      <w:tr w:rsidR="00FD2D84" w:rsidRPr="00AA3D0C" w14:paraId="660A673C" w14:textId="77777777" w:rsidTr="00625D19">
        <w:trPr>
          <w:trHeight w:val="692"/>
        </w:trPr>
        <w:tc>
          <w:tcPr>
            <w:tcW w:w="7230" w:type="dxa"/>
          </w:tcPr>
          <w:p w14:paraId="6E5CBCF9" w14:textId="77777777" w:rsidR="00FD2D84" w:rsidRPr="004934D8" w:rsidRDefault="00FD2D84" w:rsidP="00625D19">
            <w:pPr>
              <w:jc w:val="both"/>
              <w:rPr>
                <w:sz w:val="22"/>
                <w:szCs w:val="22"/>
              </w:rPr>
            </w:pPr>
            <m:oMathPara>
              <m:oMathParaPr>
                <m:jc m:val="right"/>
              </m:oMathParaPr>
              <m:oMath>
                <m:r>
                  <w:rPr>
                    <w:rFonts w:ascii="Cambria Math" w:hAnsi="Cambria Math"/>
                    <w:sz w:val="22"/>
                    <w:szCs w:val="20"/>
                    <w:lang w:val="en-US"/>
                  </w:rPr>
                  <m:t>DGP=5.87∙</m:t>
                </m:r>
                <m:sSup>
                  <m:sSupPr>
                    <m:ctrlPr>
                      <w:rPr>
                        <w:rFonts w:ascii="Cambria Math" w:hAnsi="Cambria Math"/>
                        <w:i/>
                        <w:sz w:val="22"/>
                        <w:szCs w:val="20"/>
                        <w:lang w:val="en-US"/>
                      </w:rPr>
                    </m:ctrlPr>
                  </m:sSupPr>
                  <m:e>
                    <m:r>
                      <w:rPr>
                        <w:rFonts w:ascii="Cambria Math" w:hAnsi="Cambria Math"/>
                        <w:sz w:val="22"/>
                        <w:szCs w:val="20"/>
                        <w:lang w:val="en-US"/>
                      </w:rPr>
                      <m:t>10</m:t>
                    </m:r>
                  </m:e>
                  <m:sup>
                    <m:r>
                      <w:rPr>
                        <w:rFonts w:ascii="Cambria Math" w:hAnsi="Cambria Math"/>
                        <w:sz w:val="22"/>
                        <w:szCs w:val="20"/>
                        <w:lang w:val="en-US"/>
                      </w:rPr>
                      <m:t>-5</m:t>
                    </m:r>
                  </m:sup>
                </m:sSup>
                <m:r>
                  <w:rPr>
                    <w:rFonts w:ascii="Cambria Math" w:hAnsi="Cambria Math"/>
                    <w:sz w:val="22"/>
                    <w:szCs w:val="20"/>
                    <w:lang w:val="en-US"/>
                  </w:rPr>
                  <m:t>∙</m:t>
                </m:r>
                <m:sSub>
                  <m:sSubPr>
                    <m:ctrlPr>
                      <w:rPr>
                        <w:rFonts w:ascii="Cambria Math" w:hAnsi="Cambria Math"/>
                        <w:i/>
                        <w:sz w:val="22"/>
                        <w:szCs w:val="20"/>
                        <w:lang w:val="en-US"/>
                      </w:rPr>
                    </m:ctrlPr>
                  </m:sSubPr>
                  <m:e>
                    <m:r>
                      <w:rPr>
                        <w:rFonts w:ascii="Cambria Math" w:hAnsi="Cambria Math"/>
                        <w:sz w:val="22"/>
                        <w:szCs w:val="20"/>
                        <w:lang w:val="en-US"/>
                      </w:rPr>
                      <m:t>E</m:t>
                    </m:r>
                  </m:e>
                  <m:sub>
                    <m:r>
                      <w:rPr>
                        <w:rFonts w:ascii="Cambria Math" w:hAnsi="Cambria Math"/>
                        <w:sz w:val="22"/>
                        <w:szCs w:val="20"/>
                        <w:lang w:val="en-US"/>
                      </w:rPr>
                      <m:t>v</m:t>
                    </m:r>
                  </m:sub>
                </m:sSub>
                <m:r>
                  <w:rPr>
                    <w:rFonts w:ascii="Cambria Math" w:hAnsi="Cambria Math"/>
                    <w:sz w:val="22"/>
                    <w:szCs w:val="20"/>
                    <w:lang w:val="en-US"/>
                  </w:rPr>
                  <m:t>+9.18∙</m:t>
                </m:r>
                <m:sSup>
                  <m:sSupPr>
                    <m:ctrlPr>
                      <w:rPr>
                        <w:rFonts w:ascii="Cambria Math" w:hAnsi="Cambria Math"/>
                        <w:i/>
                        <w:sz w:val="22"/>
                        <w:szCs w:val="20"/>
                        <w:lang w:val="en-US"/>
                      </w:rPr>
                    </m:ctrlPr>
                  </m:sSupPr>
                  <m:e>
                    <m:r>
                      <w:rPr>
                        <w:rFonts w:ascii="Cambria Math" w:hAnsi="Cambria Math"/>
                        <w:sz w:val="22"/>
                        <w:szCs w:val="20"/>
                        <w:lang w:val="en-US"/>
                      </w:rPr>
                      <m:t>10</m:t>
                    </m:r>
                  </m:e>
                  <m:sup>
                    <m:r>
                      <w:rPr>
                        <w:rFonts w:ascii="Cambria Math" w:hAnsi="Cambria Math"/>
                        <w:sz w:val="22"/>
                        <w:szCs w:val="20"/>
                        <w:lang w:val="en-US"/>
                      </w:rPr>
                      <m:t>-2</m:t>
                    </m:r>
                  </m:sup>
                </m:sSup>
                <m:func>
                  <m:funcPr>
                    <m:ctrlPr>
                      <w:rPr>
                        <w:rFonts w:ascii="Cambria Math" w:hAnsi="Cambria Math"/>
                        <w:i/>
                        <w:sz w:val="22"/>
                        <w:szCs w:val="20"/>
                        <w:lang w:val="en-US"/>
                      </w:rPr>
                    </m:ctrlPr>
                  </m:funcPr>
                  <m:fName>
                    <m:sSub>
                      <m:sSubPr>
                        <m:ctrlPr>
                          <w:rPr>
                            <w:rFonts w:ascii="Cambria Math" w:hAnsi="Cambria Math"/>
                            <w:i/>
                            <w:sz w:val="22"/>
                            <w:szCs w:val="20"/>
                            <w:lang w:val="en-US"/>
                          </w:rPr>
                        </m:ctrlPr>
                      </m:sSubPr>
                      <m:e>
                        <m:r>
                          <w:rPr>
                            <w:rFonts w:ascii="Cambria Math" w:hAnsi="Cambria Math"/>
                            <w:sz w:val="22"/>
                            <w:szCs w:val="20"/>
                          </w:rPr>
                          <m:t>log</m:t>
                        </m:r>
                      </m:e>
                      <m:sub>
                        <m:r>
                          <w:rPr>
                            <w:rFonts w:ascii="Cambria Math" w:hAnsi="Cambria Math"/>
                            <w:sz w:val="22"/>
                            <w:szCs w:val="20"/>
                            <w:lang w:val="en-US"/>
                          </w:rPr>
                          <m:t>10</m:t>
                        </m:r>
                      </m:sub>
                    </m:sSub>
                  </m:fName>
                  <m:e>
                    <m:d>
                      <m:dPr>
                        <m:ctrlPr>
                          <w:rPr>
                            <w:rFonts w:ascii="Cambria Math" w:hAnsi="Cambria Math"/>
                            <w:i/>
                            <w:sz w:val="22"/>
                            <w:szCs w:val="20"/>
                            <w:lang w:val="en-US"/>
                          </w:rPr>
                        </m:ctrlPr>
                      </m:dPr>
                      <m:e>
                        <m:r>
                          <w:rPr>
                            <w:rFonts w:ascii="Cambria Math" w:hAnsi="Cambria Math"/>
                            <w:sz w:val="22"/>
                            <w:szCs w:val="20"/>
                            <w:lang w:val="en-US"/>
                          </w:rPr>
                          <m:t>1+</m:t>
                        </m:r>
                        <m:d>
                          <m:dPr>
                            <m:ctrlPr>
                              <w:rPr>
                                <w:rFonts w:ascii="Cambria Math" w:hAnsi="Cambria Math"/>
                                <w:i/>
                                <w:sz w:val="22"/>
                                <w:szCs w:val="20"/>
                                <w:lang w:val="en-US"/>
                              </w:rPr>
                            </m:ctrlPr>
                          </m:dPr>
                          <m:e>
                            <m:nary>
                              <m:naryPr>
                                <m:chr m:val="∑"/>
                                <m:limLoc m:val="undOvr"/>
                                <m:grow m:val="1"/>
                                <m:ctrlPr>
                                  <w:rPr>
                                    <w:rFonts w:ascii="Cambria Math" w:hAnsi="Cambria Math"/>
                                    <w:i/>
                                    <w:sz w:val="22"/>
                                    <w:szCs w:val="20"/>
                                    <w:lang w:val="en-US"/>
                                  </w:rPr>
                                </m:ctrlPr>
                              </m:naryPr>
                              <m:sub>
                                <m:r>
                                  <w:rPr>
                                    <w:rFonts w:ascii="Cambria Math" w:hAnsi="Cambria Math"/>
                                    <w:sz w:val="22"/>
                                    <w:szCs w:val="20"/>
                                    <w:lang w:val="en-US"/>
                                  </w:rPr>
                                  <m:t>i=1</m:t>
                                </m:r>
                              </m:sub>
                              <m:sup>
                                <m:r>
                                  <w:rPr>
                                    <w:rFonts w:ascii="Cambria Math" w:hAnsi="Cambria Math"/>
                                    <w:sz w:val="22"/>
                                    <w:szCs w:val="20"/>
                                    <w:lang w:val="en-US"/>
                                  </w:rPr>
                                  <m:t>n</m:t>
                                </m:r>
                              </m:sup>
                              <m:e>
                                <m:f>
                                  <m:fPr>
                                    <m:ctrlPr>
                                      <w:rPr>
                                        <w:rFonts w:ascii="Cambria Math" w:hAnsi="Cambria Math"/>
                                        <w:i/>
                                        <w:sz w:val="22"/>
                                        <w:szCs w:val="20"/>
                                        <w:lang w:val="en-US"/>
                                      </w:rPr>
                                    </m:ctrlPr>
                                  </m:fPr>
                                  <m:num>
                                    <m:sSubSup>
                                      <m:sSubSupPr>
                                        <m:ctrlPr>
                                          <w:rPr>
                                            <w:rFonts w:ascii="Cambria Math" w:hAnsi="Cambria Math"/>
                                            <w:i/>
                                            <w:sz w:val="22"/>
                                            <w:szCs w:val="20"/>
                                            <w:lang w:val="en-US"/>
                                          </w:rPr>
                                        </m:ctrlPr>
                                      </m:sSubSupPr>
                                      <m:e>
                                        <m:r>
                                          <w:rPr>
                                            <w:rFonts w:ascii="Cambria Math" w:hAnsi="Cambria Math"/>
                                            <w:sz w:val="22"/>
                                            <w:szCs w:val="20"/>
                                            <w:lang w:val="en-US"/>
                                          </w:rPr>
                                          <m:t>L</m:t>
                                        </m:r>
                                      </m:e>
                                      <m:sub>
                                        <m:r>
                                          <w:rPr>
                                            <w:rFonts w:ascii="Cambria Math" w:hAnsi="Cambria Math"/>
                                            <w:sz w:val="22"/>
                                            <w:szCs w:val="20"/>
                                            <w:lang w:val="en-US"/>
                                          </w:rPr>
                                          <m:t>s,i</m:t>
                                        </m:r>
                                      </m:sub>
                                      <m:sup>
                                        <m:r>
                                          <w:rPr>
                                            <w:rFonts w:ascii="Cambria Math" w:hAnsi="Cambria Math"/>
                                            <w:sz w:val="22"/>
                                            <w:szCs w:val="20"/>
                                            <w:lang w:val="en-US"/>
                                          </w:rPr>
                                          <m:t>2</m:t>
                                        </m:r>
                                      </m:sup>
                                    </m:sSubSup>
                                    <m:r>
                                      <w:rPr>
                                        <w:rFonts w:ascii="Cambria Math" w:hAnsi="Cambria Math"/>
                                        <w:sz w:val="22"/>
                                        <w:szCs w:val="20"/>
                                        <w:lang w:val="en-US"/>
                                      </w:rPr>
                                      <m:t>∙</m:t>
                                    </m:r>
                                    <m:sSub>
                                      <m:sSubPr>
                                        <m:ctrlPr>
                                          <w:rPr>
                                            <w:rFonts w:ascii="Cambria Math" w:hAnsi="Cambria Math"/>
                                            <w:i/>
                                            <w:sz w:val="22"/>
                                            <w:szCs w:val="20"/>
                                            <w:lang w:val="en-US"/>
                                          </w:rPr>
                                        </m:ctrlPr>
                                      </m:sSubPr>
                                      <m:e>
                                        <m:r>
                                          <w:rPr>
                                            <w:rFonts w:ascii="Cambria Math" w:hAnsi="Cambria Math"/>
                                            <w:sz w:val="22"/>
                                            <w:szCs w:val="20"/>
                                            <w:lang w:val="en-US"/>
                                          </w:rPr>
                                          <m:t>ω</m:t>
                                        </m:r>
                                      </m:e>
                                      <m:sub>
                                        <m:r>
                                          <w:rPr>
                                            <w:rFonts w:ascii="Cambria Math" w:hAnsi="Cambria Math"/>
                                            <w:sz w:val="22"/>
                                            <w:szCs w:val="20"/>
                                            <w:lang w:val="en-US"/>
                                          </w:rPr>
                                          <m:t>s,i</m:t>
                                        </m:r>
                                      </m:sub>
                                    </m:sSub>
                                  </m:num>
                                  <m:den>
                                    <m:sSubSup>
                                      <m:sSubSupPr>
                                        <m:ctrlPr>
                                          <w:rPr>
                                            <w:rFonts w:ascii="Cambria Math" w:hAnsi="Cambria Math"/>
                                            <w:i/>
                                            <w:sz w:val="22"/>
                                            <w:szCs w:val="20"/>
                                            <w:lang w:val="en-US"/>
                                          </w:rPr>
                                        </m:ctrlPr>
                                      </m:sSubSupPr>
                                      <m:e>
                                        <m:r>
                                          <w:rPr>
                                            <w:rFonts w:ascii="Cambria Math" w:hAnsi="Cambria Math"/>
                                            <w:sz w:val="22"/>
                                            <w:szCs w:val="20"/>
                                            <w:lang w:val="en-US"/>
                                          </w:rPr>
                                          <m:t>E</m:t>
                                        </m:r>
                                      </m:e>
                                      <m:sub>
                                        <m:r>
                                          <w:rPr>
                                            <w:rFonts w:ascii="Cambria Math" w:hAnsi="Cambria Math"/>
                                            <w:sz w:val="22"/>
                                            <w:szCs w:val="20"/>
                                            <w:lang w:val="en-US"/>
                                          </w:rPr>
                                          <m:t>v</m:t>
                                        </m:r>
                                      </m:sub>
                                      <m:sup>
                                        <m:r>
                                          <w:rPr>
                                            <w:rFonts w:ascii="Cambria Math" w:hAnsi="Cambria Math"/>
                                            <w:sz w:val="22"/>
                                            <w:szCs w:val="20"/>
                                            <w:lang w:val="en-US"/>
                                          </w:rPr>
                                          <m:t>1.87</m:t>
                                        </m:r>
                                      </m:sup>
                                    </m:sSubSup>
                                    <m:sSubSup>
                                      <m:sSubSupPr>
                                        <m:ctrlPr>
                                          <w:rPr>
                                            <w:rFonts w:ascii="Cambria Math" w:hAnsi="Cambria Math"/>
                                            <w:i/>
                                            <w:sz w:val="22"/>
                                            <w:szCs w:val="20"/>
                                            <w:lang w:val="en-US"/>
                                          </w:rPr>
                                        </m:ctrlPr>
                                      </m:sSubSupPr>
                                      <m:e>
                                        <m:r>
                                          <w:rPr>
                                            <w:rFonts w:ascii="Cambria Math" w:hAnsi="Cambria Math"/>
                                            <w:sz w:val="22"/>
                                            <w:szCs w:val="20"/>
                                            <w:lang w:val="en-US"/>
                                          </w:rPr>
                                          <m:t>P</m:t>
                                        </m:r>
                                      </m:e>
                                      <m:sub>
                                        <m:r>
                                          <w:rPr>
                                            <w:rFonts w:ascii="Cambria Math" w:hAnsi="Cambria Math"/>
                                            <w:sz w:val="22"/>
                                            <w:szCs w:val="20"/>
                                            <w:lang w:val="en-US"/>
                                          </w:rPr>
                                          <m:t>i</m:t>
                                        </m:r>
                                      </m:sub>
                                      <m:sup>
                                        <m:r>
                                          <w:rPr>
                                            <w:rFonts w:ascii="Cambria Math" w:hAnsi="Cambria Math"/>
                                            <w:sz w:val="22"/>
                                            <w:szCs w:val="20"/>
                                            <w:lang w:val="en-US"/>
                                          </w:rPr>
                                          <m:t>2</m:t>
                                        </m:r>
                                      </m:sup>
                                    </m:sSubSup>
                                  </m:den>
                                </m:f>
                              </m:e>
                            </m:nary>
                          </m:e>
                        </m:d>
                      </m:e>
                    </m:d>
                    <m:r>
                      <w:rPr>
                        <w:rFonts w:ascii="Cambria Math" w:hAnsi="Cambria Math"/>
                        <w:sz w:val="22"/>
                        <w:szCs w:val="20"/>
                        <w:lang w:val="en-US"/>
                      </w:rPr>
                      <m:t>+0.16</m:t>
                    </m:r>
                  </m:e>
                </m:func>
              </m:oMath>
            </m:oMathPara>
          </w:p>
        </w:tc>
        <w:tc>
          <w:tcPr>
            <w:tcW w:w="461" w:type="dxa"/>
          </w:tcPr>
          <w:p w14:paraId="76CA7FF5" w14:textId="77777777" w:rsidR="00FD2D84" w:rsidRPr="00EB2DF4" w:rsidRDefault="00FD2D84" w:rsidP="00625D19">
            <w:pPr>
              <w:jc w:val="both"/>
              <w:rPr>
                <w:sz w:val="32"/>
                <w:szCs w:val="22"/>
              </w:rPr>
            </w:pPr>
          </w:p>
          <w:p w14:paraId="519BE299" w14:textId="77777777" w:rsidR="00FD2D84" w:rsidRPr="00AA3D0C" w:rsidRDefault="00FD2D84" w:rsidP="00625D19">
            <w:pPr>
              <w:jc w:val="both"/>
              <w:rPr>
                <w:sz w:val="22"/>
                <w:szCs w:val="22"/>
              </w:rPr>
            </w:pPr>
            <w:r w:rsidRPr="00AA3D0C">
              <w:rPr>
                <w:sz w:val="22"/>
                <w:szCs w:val="22"/>
              </w:rPr>
              <w:t>[-]</w:t>
            </w:r>
          </w:p>
        </w:tc>
        <w:tc>
          <w:tcPr>
            <w:tcW w:w="473" w:type="dxa"/>
          </w:tcPr>
          <w:p w14:paraId="6450E684" w14:textId="77777777" w:rsidR="00FD2D84" w:rsidRPr="00EB2DF4" w:rsidRDefault="00FD2D84" w:rsidP="00625D19">
            <w:pPr>
              <w:jc w:val="right"/>
              <w:rPr>
                <w:sz w:val="32"/>
                <w:szCs w:val="22"/>
              </w:rPr>
            </w:pPr>
          </w:p>
          <w:p w14:paraId="0EA8351E" w14:textId="77777777" w:rsidR="00FD2D84" w:rsidRPr="00AA3D0C" w:rsidRDefault="00FD2D84" w:rsidP="00625D19">
            <w:pPr>
              <w:jc w:val="right"/>
              <w:rPr>
                <w:sz w:val="22"/>
                <w:szCs w:val="22"/>
              </w:rPr>
            </w:pPr>
            <w:r w:rsidRPr="00AA3D0C">
              <w:rPr>
                <w:sz w:val="22"/>
                <w:szCs w:val="22"/>
              </w:rPr>
              <w:t>(</w:t>
            </w:r>
            <w:r>
              <w:rPr>
                <w:sz w:val="22"/>
                <w:szCs w:val="22"/>
              </w:rPr>
              <w:t>8</w:t>
            </w:r>
            <w:r w:rsidRPr="00AA3D0C">
              <w:rPr>
                <w:sz w:val="22"/>
                <w:szCs w:val="22"/>
              </w:rPr>
              <w:t>)</w:t>
            </w:r>
          </w:p>
        </w:tc>
      </w:tr>
    </w:tbl>
    <w:p w14:paraId="7813BC59" w14:textId="77777777" w:rsidR="001B055D" w:rsidRDefault="001B055D" w:rsidP="00EB2DF4">
      <w:pPr>
        <w:spacing w:after="240"/>
        <w:jc w:val="both"/>
        <w:rPr>
          <w:sz w:val="22"/>
          <w:szCs w:val="22"/>
        </w:rPr>
      </w:pPr>
    </w:p>
    <w:p w14:paraId="1132C004" w14:textId="30FF9168" w:rsidR="00FD2D84" w:rsidRDefault="002B7D6E" w:rsidP="00EB2DF4">
      <w:pPr>
        <w:spacing w:after="240"/>
        <w:jc w:val="both"/>
        <w:rPr>
          <w:sz w:val="22"/>
          <w:szCs w:val="22"/>
        </w:rPr>
      </w:pPr>
      <w:r w:rsidRPr="00AA3D0C">
        <w:rPr>
          <w:sz w:val="22"/>
          <w:szCs w:val="22"/>
        </w:rPr>
        <w:t xml:space="preserve">The DGP was developed following test on 74 subjects in different daylight scenarios, for a total of 349 cases. The subjective response was correlated to the luminance distribution at the window and the vertical illuminance at the </w:t>
      </w:r>
      <w:r w:rsidRPr="008C63D2">
        <w:rPr>
          <w:color w:val="000000" w:themeColor="text1"/>
          <w:sz w:val="22"/>
          <w:szCs w:val="22"/>
        </w:rPr>
        <w:t>eye level (</w:t>
      </w:r>
      <w:proofErr w:type="spellStart"/>
      <w:r w:rsidRPr="008C63D2">
        <w:rPr>
          <w:color w:val="000000" w:themeColor="text1"/>
          <w:sz w:val="22"/>
          <w:szCs w:val="22"/>
        </w:rPr>
        <w:t>E</w:t>
      </w:r>
      <w:r w:rsidRPr="008C63D2">
        <w:rPr>
          <w:color w:val="000000" w:themeColor="text1"/>
          <w:sz w:val="22"/>
          <w:szCs w:val="22"/>
          <w:vertAlign w:val="subscript"/>
        </w:rPr>
        <w:t>v</w:t>
      </w:r>
      <w:proofErr w:type="spellEnd"/>
      <w:r w:rsidRPr="008C63D2">
        <w:rPr>
          <w:color w:val="000000" w:themeColor="text1"/>
          <w:sz w:val="22"/>
          <w:szCs w:val="22"/>
        </w:rPr>
        <w:t xml:space="preserve">). </w:t>
      </w:r>
      <w:r w:rsidR="009D70BD" w:rsidRPr="008C63D2">
        <w:rPr>
          <w:color w:val="000000" w:themeColor="text1"/>
          <w:sz w:val="22"/>
          <w:szCs w:val="22"/>
        </w:rPr>
        <w:t xml:space="preserve">The DGP equation includes the </w:t>
      </w:r>
      <w:proofErr w:type="spellStart"/>
      <w:r w:rsidR="009D70BD" w:rsidRPr="008C63D2">
        <w:rPr>
          <w:color w:val="000000" w:themeColor="text1"/>
          <w:sz w:val="22"/>
          <w:szCs w:val="22"/>
        </w:rPr>
        <w:t>Guth</w:t>
      </w:r>
      <w:proofErr w:type="spellEnd"/>
      <w:r w:rsidR="009D70BD" w:rsidRPr="008C63D2">
        <w:rPr>
          <w:color w:val="000000" w:themeColor="text1"/>
          <w:sz w:val="22"/>
          <w:szCs w:val="22"/>
        </w:rPr>
        <w:t xml:space="preserve"> Position Index (Pi)</w:t>
      </w:r>
      <w:r w:rsidR="009D70BD" w:rsidRPr="008C63D2">
        <w:rPr>
          <w:color w:val="000000" w:themeColor="text1"/>
          <w:sz w:val="22"/>
          <w:szCs w:val="22"/>
          <w:vertAlign w:val="superscript"/>
        </w:rPr>
        <w:footnoteReference w:id="5"/>
      </w:r>
      <w:r w:rsidR="009D70BD" w:rsidRPr="008C63D2">
        <w:rPr>
          <w:color w:val="000000" w:themeColor="text1"/>
          <w:sz w:val="22"/>
          <w:szCs w:val="22"/>
        </w:rPr>
        <w:t xml:space="preserve">, which indicates the position of the observer </w:t>
      </w:r>
      <w:r w:rsidR="009D70BD" w:rsidRPr="008C63D2">
        <w:rPr>
          <w:color w:val="000000" w:themeColor="text1"/>
          <w:sz w:val="22"/>
          <w:szCs w:val="22"/>
        </w:rPr>
        <w:fldChar w:fldCharType="begin" w:fldLock="1"/>
      </w:r>
      <w:r w:rsidR="009D70BD" w:rsidRPr="008C63D2">
        <w:rPr>
          <w:color w:val="000000" w:themeColor="text1"/>
          <w:sz w:val="22"/>
          <w:szCs w:val="22"/>
        </w:rPr>
        <w:instrText>ADDIN CSL_CITATION { "citationItems" : [ { "id" : "ITEM-1", "itemData" : { "DOI" : "10.1177/14771535970290030801", "ISSN" : "1477-1535", "abstract" : "To measure the difference between sensitivity to glare from a source above the line of vision and that from a source below the line of vision, two subjective experiments were conducted using the adjustment method and the constant method respectively. The sensitivity to the glare caused by a source located below the line of vision was greater than the sensitivity to glare caused by a source located above the line of vision. This tendency was seen especially in elderly subjects. For vertical displacement the difference in sensitivity between sources above and below the line of vision increased with increasing angular distance between the line of vision and glare source. \ufffd 1997, Sage Publications. All rights reserved.", "author" : [ { "dropping-particle" : "", "family" : "Iwata", "given" : "T", "non-dropping-particle" : "", "parse-names" : false, "suffix" : "" }, { "dropping-particle" : "", "family" : "Tokura", "given" : "M", "non-dropping-particle" : "", "parse-names" : false, "suffix" : "" } ], "container-title" : "Lighting Research &amp; Technology", "id" : "ITEM-1", "issue" : "3", "issued" : { "date-parts" : [ [ "1997" ] ] }, "note" : "Cited By :22", "page" : "172-178", "publisher-place" : "Affiliation: National Institute of Public Health, 4-6-1 Shirokanedai, Minata-ku, Tokyo, Japan; Affiliation: Tokyo Institute of Technology, 4529 Nagatsuda-cho Midori-ku, Yokohama-shi Kanagawa, Japan", "title" : "Position Index for a glare source located below the line of vision", "type" : "article-journal", "volume" : "29" }, "uris" : [ "http://www.mendeley.com/documents/?uuid=d3225c6a-87d1-43c7-9b27-87c47cb030da", "http://www.mendeley.com/documents/?uuid=37cb2caa-5df8-48d8-8870-633c60085b56" ] }, { "id" : "ITEM-2", "itemData" : { "ISSN" : "0019-2333", "author" : [ { "dropping-particle" : "", "family" : "Luckiesh", "given" : "M", "non-dropping-particle" : "", "parse-names" : false, "suffix" : "" }, { "dropping-particle" : "", "family" : "Guth", "given" : "S K", "non-dropping-particle" : "", "parse-names" : false, "suffix" : "" } ], "container-title" : "Illuminating engineering", "id" : "ITEM-2", "issue" : "11", "issued" : { "date-parts" : [ [ "1949" ] ] }, "note" : "Cited By :83", "page" : "650-670", "title" : "Brightnesses in visual field at borderline between comfort and discomfort", "type" : "article-journal", "volume" : "44" }, "uris" : [ "http://www.mendeley.com/documents/?uuid=412dcd91-86e6-473a-b651-2dd4240bbfa5", "http://www.mendeley.com/documents/?uuid=a987b9a4-2578-4634-b7b9-801b559968ba" ] } ], "mendeley" : { "formattedCitation" : "(Luckiesh and Guth, 1949; Iwata and Tokura, 1997)", "plainTextFormattedCitation" : "(Luckiesh and Guth, 1949; Iwata and Tokura, 1997)", "previouslyFormattedCitation" : "(Luckiesh and Guth, 1949; Iwata and Tokura, 1997)" }, "properties" : { "noteIndex" : 0 }, "schema" : "https://github.com/citation-style-language/schema/raw/master/csl-citation.json" }</w:instrText>
      </w:r>
      <w:r w:rsidR="009D70BD" w:rsidRPr="008C63D2">
        <w:rPr>
          <w:color w:val="000000" w:themeColor="text1"/>
          <w:sz w:val="22"/>
          <w:szCs w:val="22"/>
        </w:rPr>
        <w:fldChar w:fldCharType="separate"/>
      </w:r>
      <w:r w:rsidR="009D70BD" w:rsidRPr="008C63D2">
        <w:rPr>
          <w:noProof/>
          <w:color w:val="000000" w:themeColor="text1"/>
          <w:sz w:val="22"/>
          <w:szCs w:val="22"/>
        </w:rPr>
        <w:t>(Luckiesh and Guth, 1949; Iwata and Tokura, 1997)</w:t>
      </w:r>
      <w:r w:rsidR="009D70BD" w:rsidRPr="008C63D2">
        <w:rPr>
          <w:color w:val="000000" w:themeColor="text1"/>
          <w:sz w:val="22"/>
          <w:szCs w:val="22"/>
        </w:rPr>
        <w:fldChar w:fldCharType="end"/>
      </w:r>
      <w:r w:rsidR="009D70BD" w:rsidRPr="008C63D2">
        <w:rPr>
          <w:color w:val="000000" w:themeColor="text1"/>
          <w:sz w:val="22"/>
          <w:szCs w:val="22"/>
        </w:rPr>
        <w:t xml:space="preserve">. </w:t>
      </w:r>
      <w:r w:rsidR="00FD2D84" w:rsidRPr="008C63D2">
        <w:rPr>
          <w:color w:val="000000" w:themeColor="text1"/>
          <w:sz w:val="22"/>
          <w:szCs w:val="22"/>
        </w:rPr>
        <w:t xml:space="preserve">When DGP, </w:t>
      </w:r>
      <w:r w:rsidR="00FD2D84" w:rsidRPr="00AA3D0C">
        <w:rPr>
          <w:sz w:val="22"/>
          <w:szCs w:val="22"/>
        </w:rPr>
        <w:t>CGI, VCP and UGR were tested under daylight conditions</w:t>
      </w:r>
      <w:r w:rsidR="00B3191F">
        <w:rPr>
          <w:sz w:val="22"/>
          <w:szCs w:val="22"/>
        </w:rPr>
        <w:t xml:space="preserve"> and compared to </w:t>
      </w:r>
      <w:r w:rsidR="00F5705F">
        <w:rPr>
          <w:sz w:val="22"/>
          <w:szCs w:val="22"/>
        </w:rPr>
        <w:t>in situ evaluation</w:t>
      </w:r>
      <w:r w:rsidR="00FD2D84" w:rsidRPr="00AA3D0C">
        <w:rPr>
          <w:sz w:val="22"/>
          <w:szCs w:val="22"/>
        </w:rPr>
        <w:t>, the result</w:t>
      </w:r>
      <w:r w:rsidR="00FD2D84">
        <w:rPr>
          <w:sz w:val="22"/>
          <w:szCs w:val="22"/>
        </w:rPr>
        <w:t>ing</w:t>
      </w:r>
      <w:r w:rsidR="00FD2D84" w:rsidRPr="00AA3D0C">
        <w:rPr>
          <w:sz w:val="22"/>
          <w:szCs w:val="22"/>
        </w:rPr>
        <w:t xml:space="preserve"> data</w:t>
      </w:r>
      <w:r w:rsidR="00F5705F">
        <w:rPr>
          <w:sz w:val="22"/>
          <w:szCs w:val="22"/>
        </w:rPr>
        <w:t xml:space="preserve"> </w:t>
      </w:r>
      <w:r w:rsidR="00FD2D84" w:rsidRPr="00AA3D0C">
        <w:rPr>
          <w:sz w:val="22"/>
          <w:szCs w:val="22"/>
        </w:rPr>
        <w:t xml:space="preserve">indicated that DGP outperformed, having the lowest risk for inaccurate results </w:t>
      </w:r>
      <w:r w:rsidR="00FD2D84" w:rsidRPr="00AA3D0C">
        <w:rPr>
          <w:sz w:val="22"/>
          <w:szCs w:val="22"/>
        </w:rPr>
        <w:fldChar w:fldCharType="begin" w:fldLock="1"/>
      </w:r>
      <w:r w:rsidR="005952EA">
        <w:rPr>
          <w:sz w:val="22"/>
          <w:szCs w:val="22"/>
        </w:rPr>
        <w:instrText>ADDIN CSL_CITATION { "citationItems" : [ { "id" : "ITEM-1", "itemData" : { "DOI" : "10.1177/1477153511420097", "ISSN" : "1477-1535", "abstract" : "Discomfort glare is an underutilized parameter in contemporary architectural design due to uncertainties about the meaning of existing metrics, how they should be applied and what the benefits of such analysis are. Glare is position and view direction-dependent within a space, rendering it difficult to assess compared to conventional illuminance-based metrics. This paper compares simulation results for five glare metrics under 144 clear sky conditions in three spaces in order to investigate the ability of these metrics to predict the occurrence of discomfort glare and to hence support the design of comfortable spaces. The metrics analyzed areDaylight Glare Index, CIE Glare Index, Visual Comfort Probability, Unified Glare Rating and Daylight Glare Probability. It is found that Daylight Glare Probability yields the most plausible results. In an attempt to deal with multiple positions and view directions simultaneously, the concept of an 'adaptive zone' is introduced within which building occupants may freely adjust their position and view in order to minimise the effect of glare. The spatial and directional extents of the adaptive zone depend on furniture layout and the freedom of occupants' tasks. It is found that applying the adaptive zone concept to a sidelit office with manually operated venetian blinds reduces the predicted hours of intolerable discomfort glare from 735 to 18 occupied hours per year and increases the annual mean daylight availability from 40% to 72%. \ufffd The Chartered Institution of Building Services Engineers 2011.", "author" : [ { "dropping-particle" : "", "family" : "Jakubiec", "given" : "J A", "non-dropping-particle" : "", "parse-names" : false, "suffix" : "" }, { "dropping-particle" : "", "family" : "Reinhart", "given" : "C F", "non-dropping-particle" : "", "parse-names" : false, "suffix" : "" } ], "container-title" : "Lighting Research and Technology", "id" : "ITEM-1", "issue" : "2", "issued" : { "date-parts" : [ [ "2012" ] ] }, "note" : "Cited By :73", "page" : "149-170", "publisher-place" : "Affiliation: Department of Architecture, Graduate School of Design, Harvard University, Cambridge, MA 02138, United States; Correspondence Address: Jakubiec, J.A.; Department of Architecture, Graduate School of Design, Harvard University, Cambridge, MA 02", "title" : "The 'adaptive zone'-A concept for assessing discomfort glare throughout daylit spaces", "type" : "article-journal", "volume" : "44" }, "uris" : [ "http://www.mendeley.com/documents/?uuid=f01dcf6b-03a6-4aa9-8aa2-59544825192d", "http://www.mendeley.com/documents/?uuid=4a6325c5-bf9d-4d77-bed0-6fe0cc63816d" ] } ], "mendeley" : { "formattedCitation" : "(Jakubiec and Reinhart, 2012)", "plainTextFormattedCitation" : "(Jakubiec and Reinhart, 2012)", "previouslyFormattedCitation" : "(Jakubiec and Reinhart, 2012)" }, "properties" : { "noteIndex" : 0 }, "schema" : "https://github.com/citation-style-language/schema/raw/master/csl-citation.json" }</w:instrText>
      </w:r>
      <w:r w:rsidR="00FD2D84" w:rsidRPr="00AA3D0C">
        <w:rPr>
          <w:sz w:val="22"/>
          <w:szCs w:val="22"/>
        </w:rPr>
        <w:fldChar w:fldCharType="separate"/>
      </w:r>
      <w:r w:rsidR="00FD2D84" w:rsidRPr="00AA3D0C">
        <w:rPr>
          <w:noProof/>
          <w:sz w:val="22"/>
          <w:szCs w:val="22"/>
        </w:rPr>
        <w:t>(Jakubiec and Reinhart, 2012)</w:t>
      </w:r>
      <w:r w:rsidR="00FD2D84" w:rsidRPr="00AA3D0C">
        <w:rPr>
          <w:sz w:val="22"/>
          <w:szCs w:val="22"/>
        </w:rPr>
        <w:fldChar w:fldCharType="end"/>
      </w:r>
      <w:r w:rsidR="00FD2D84" w:rsidRPr="00AA3D0C">
        <w:rPr>
          <w:sz w:val="22"/>
          <w:szCs w:val="22"/>
        </w:rPr>
        <w:t>.</w:t>
      </w:r>
      <w:r w:rsidR="00FD2D84">
        <w:rPr>
          <w:sz w:val="22"/>
          <w:szCs w:val="22"/>
        </w:rPr>
        <w:t xml:space="preserve"> The reliability of DGP upheld its success in daylighting practice. Yet DGP has some limitations which are worth mentioning.</w:t>
      </w:r>
    </w:p>
    <w:p w14:paraId="5D18A68D" w14:textId="1932EE95" w:rsidR="001B055D" w:rsidRDefault="00FD2D84" w:rsidP="00EB2DF4">
      <w:pPr>
        <w:spacing w:after="240"/>
        <w:jc w:val="both"/>
        <w:rPr>
          <w:sz w:val="22"/>
          <w:szCs w:val="22"/>
        </w:rPr>
      </w:pPr>
      <w:r>
        <w:rPr>
          <w:sz w:val="22"/>
          <w:szCs w:val="22"/>
        </w:rPr>
        <w:t>Firstly, a</w:t>
      </w:r>
      <w:r w:rsidR="002B7D6E" w:rsidRPr="00AA3D0C">
        <w:rPr>
          <w:sz w:val="22"/>
          <w:szCs w:val="22"/>
        </w:rPr>
        <w:t xml:space="preserve">lthough derived from a relatively big dataset, the DGP model may not accurately predict daylight glare for some daylight scenarios. For example, </w:t>
      </w:r>
      <w:r w:rsidR="001B055D" w:rsidRPr="00AA3D0C">
        <w:rPr>
          <w:sz w:val="22"/>
          <w:szCs w:val="22"/>
        </w:rPr>
        <w:t>DGP result</w:t>
      </w:r>
      <w:r w:rsidR="001B055D">
        <w:rPr>
          <w:sz w:val="22"/>
          <w:szCs w:val="22"/>
        </w:rPr>
        <w:t>s</w:t>
      </w:r>
      <w:r w:rsidR="001B055D" w:rsidRPr="00AA3D0C">
        <w:rPr>
          <w:sz w:val="22"/>
          <w:szCs w:val="22"/>
        </w:rPr>
        <w:t xml:space="preserve"> in foreseeable outcome</w:t>
      </w:r>
      <w:r w:rsidR="001B055D">
        <w:rPr>
          <w:sz w:val="22"/>
          <w:szCs w:val="22"/>
        </w:rPr>
        <w:t>s</w:t>
      </w:r>
      <w:r w:rsidR="001B055D" w:rsidRPr="00AA3D0C">
        <w:rPr>
          <w:sz w:val="22"/>
          <w:szCs w:val="22"/>
        </w:rPr>
        <w:t xml:space="preserve"> with extreme or barely noticeable glare conditions</w:t>
      </w:r>
      <w:r w:rsidR="001B055D">
        <w:rPr>
          <w:sz w:val="22"/>
          <w:szCs w:val="22"/>
        </w:rPr>
        <w:t>,</w:t>
      </w:r>
      <w:r w:rsidR="001B055D" w:rsidRPr="00AA3D0C">
        <w:rPr>
          <w:sz w:val="22"/>
          <w:szCs w:val="22"/>
        </w:rPr>
        <w:t xml:space="preserve"> but </w:t>
      </w:r>
      <w:r w:rsidR="001B055D">
        <w:rPr>
          <w:sz w:val="22"/>
          <w:szCs w:val="22"/>
        </w:rPr>
        <w:t xml:space="preserve">it </w:t>
      </w:r>
      <w:r w:rsidR="001B055D" w:rsidRPr="00AA3D0C">
        <w:rPr>
          <w:sz w:val="22"/>
          <w:szCs w:val="22"/>
        </w:rPr>
        <w:t>fail</w:t>
      </w:r>
      <w:r w:rsidR="001B055D">
        <w:rPr>
          <w:sz w:val="22"/>
          <w:szCs w:val="22"/>
        </w:rPr>
        <w:t>s</w:t>
      </w:r>
      <w:r w:rsidR="001B055D" w:rsidRPr="00AA3D0C">
        <w:rPr>
          <w:sz w:val="22"/>
          <w:szCs w:val="22"/>
        </w:rPr>
        <w:t xml:space="preserve"> in</w:t>
      </w:r>
      <w:r w:rsidR="001B055D">
        <w:rPr>
          <w:sz w:val="22"/>
          <w:szCs w:val="22"/>
        </w:rPr>
        <w:t xml:space="preserve"> </w:t>
      </w:r>
      <w:r w:rsidR="001B055D" w:rsidRPr="00AA3D0C">
        <w:rPr>
          <w:sz w:val="22"/>
          <w:szCs w:val="22"/>
        </w:rPr>
        <w:t xml:space="preserve">intermediate conditions </w:t>
      </w:r>
      <w:r w:rsidR="001B055D" w:rsidRPr="00AA3D0C">
        <w:rPr>
          <w:sz w:val="22"/>
          <w:szCs w:val="22"/>
        </w:rPr>
        <w:fldChar w:fldCharType="begin" w:fldLock="1"/>
      </w:r>
      <w:r w:rsidR="005952EA">
        <w:rPr>
          <w:sz w:val="22"/>
          <w:szCs w:val="22"/>
        </w:rPr>
        <w:instrText>ADDIN CSL_CITATION { "citationItems" : [ { "id" : "ITEM-1", "itemData" : { "DOI" : "10.1016/j.buildenv.2016.09.018", "ISSN" : "0360-1323", "abstract" : "As daylighting becomes an increasingly important component of design for energy savings and views to the outside, it is necessary to take into disadvantages that windows pose including the possibility of glare. It is crucial to understand how current metrics of glare perform this task. Validation studies were performed on five glare indices including Daylight Glare Probability (DGP) and Daylight Glare Index (DGI) that have been developed specifically for daylight glare issues. A parallel human subject study has been performed to collect subjective discomfort glare evaluations of daylit conditions. In addition, high dynamic range imaging was used to capture and analyze the glare scenes that were experienced by those human subjects. More than 450 daylight glare scenes and subjective surveys were collected in a closed office setting. The collected data were processed in Evalglare to obtain glare scores, and the results were compared for statistical analysis of subjective evaluations. The results show that DGP functions best at absence of glare and presence of intolerable glare; but in between it provides disappointingly low predictions. DGI underestimates glare while Visual Comfort Probability and CIE Glare Index overestimate it. This evaluation comparison study supports the findings that the five glare indices have significant inconsistency and inaccuracy issues. The glare indices behaved differently based on the perceived glare categories: imperceptible, perceptible, disturbing, and intolerable. The existing glare score ranges are compared to the newly defined glare score ranges for further improvement. \ufffd 2016 Elsevier Ltd", "author" : [ { "dropping-particle" : "", "family" : "Suk", "given" : "J Y", "non-dropping-particle" : "", "parse-names" : false, "suffix" : "" }, { "dropping-particle" : "", "family" : "Schiler", "given" : "M", "non-dropping-particle" : "", "parse-names" : false, "suffix" : "" }, { "dropping-particle" : "", "family" : "Kensek", "given" : "K", "non-dropping-particle" : "", "parse-names" : false, "suffix" : "" } ], "container-title" : "Building and Environment", "id" : "ITEM-1", "issued" : { "date-parts" : [ [ "2017" ] ] }, "note" : "Cited By :8", "page" : "121-130", "publisher" : "Elsevier Ltd", "publisher-place" : "Affiliation: Department of Architecture, The University of Texas at San Antonio, San Antonio, United States; Affiliation: School of Architecture, University of Southern California, Los Angeles, United States; Correspondence Address: Suk, J.Y.; Department ", "title" : "Investigation of existing discomfort glare indices using human subject study data", "type" : "article-journal", "volume" : "113" }, "uris" : [ "http://www.mendeley.com/documents/?uuid=d4148275-795d-455d-ab9a-4df7eeace473", "http://www.mendeley.com/documents/?uuid=ad8e079f-2dd8-4817-b860-ab7f216750f3" ] } ], "mendeley" : { "formattedCitation" : "(Suk, Schiler and Kensek, 2017)", "manualFormatting" : "(Suk et al., 2017)", "plainTextFormattedCitation" : "(Suk, Schiler and Kensek, 2017)", "previouslyFormattedCitation" : "(Suk, Schiler and Kensek, 2017)" }, "properties" : { "noteIndex" : 0 }, "schema" : "https://github.com/citation-style-language/schema/raw/master/csl-citation.json" }</w:instrText>
      </w:r>
      <w:r w:rsidR="001B055D" w:rsidRPr="00AA3D0C">
        <w:rPr>
          <w:sz w:val="22"/>
          <w:szCs w:val="22"/>
        </w:rPr>
        <w:fldChar w:fldCharType="separate"/>
      </w:r>
      <w:r w:rsidR="001B055D" w:rsidRPr="00AA3D0C">
        <w:rPr>
          <w:noProof/>
          <w:sz w:val="22"/>
          <w:szCs w:val="22"/>
        </w:rPr>
        <w:t>(Suk</w:t>
      </w:r>
      <w:r w:rsidR="001B055D" w:rsidRPr="00AA3D0C">
        <w:rPr>
          <w:i/>
          <w:noProof/>
          <w:sz w:val="22"/>
          <w:szCs w:val="22"/>
        </w:rPr>
        <w:t xml:space="preserve"> et al.</w:t>
      </w:r>
      <w:r w:rsidR="001B055D" w:rsidRPr="00AA3D0C">
        <w:rPr>
          <w:noProof/>
          <w:sz w:val="22"/>
          <w:szCs w:val="22"/>
        </w:rPr>
        <w:t>, 2017)</w:t>
      </w:r>
      <w:r w:rsidR="001B055D" w:rsidRPr="00AA3D0C">
        <w:rPr>
          <w:sz w:val="22"/>
          <w:szCs w:val="22"/>
        </w:rPr>
        <w:fldChar w:fldCharType="end"/>
      </w:r>
      <w:r w:rsidR="001B055D" w:rsidRPr="00AA3D0C">
        <w:rPr>
          <w:sz w:val="22"/>
          <w:szCs w:val="22"/>
        </w:rPr>
        <w:t>.</w:t>
      </w:r>
    </w:p>
    <w:p w14:paraId="3F673829" w14:textId="19A33BF3" w:rsidR="001B055D" w:rsidRDefault="00FD2D84" w:rsidP="001B055D">
      <w:pPr>
        <w:spacing w:after="240"/>
        <w:jc w:val="both"/>
        <w:rPr>
          <w:sz w:val="22"/>
          <w:szCs w:val="22"/>
        </w:rPr>
      </w:pPr>
      <w:r>
        <w:rPr>
          <w:sz w:val="22"/>
          <w:szCs w:val="22"/>
        </w:rPr>
        <w:t xml:space="preserve">Secondly, </w:t>
      </w:r>
      <w:r w:rsidR="002B7D6E" w:rsidRPr="00AA3D0C">
        <w:rPr>
          <w:sz w:val="22"/>
          <w:szCs w:val="22"/>
        </w:rPr>
        <w:t xml:space="preserve">when the sun rays reach directly the task area, the </w:t>
      </w:r>
      <w:r w:rsidR="001B055D">
        <w:rPr>
          <w:sz w:val="22"/>
          <w:szCs w:val="22"/>
        </w:rPr>
        <w:t xml:space="preserve">DGP </w:t>
      </w:r>
      <w:r w:rsidR="002B7D6E" w:rsidRPr="00AA3D0C">
        <w:rPr>
          <w:sz w:val="22"/>
          <w:szCs w:val="22"/>
        </w:rPr>
        <w:t xml:space="preserve">predictions are less precise, since the increased luminance is considered as another glare source </w:t>
      </w:r>
      <w:r w:rsidR="002B7D6E" w:rsidRPr="00AA3D0C">
        <w:rPr>
          <w:sz w:val="22"/>
          <w:szCs w:val="22"/>
        </w:rPr>
        <w:fldChar w:fldCharType="begin" w:fldLock="1"/>
      </w:r>
      <w:r w:rsidR="005952EA">
        <w:rPr>
          <w:sz w:val="22"/>
          <w:szCs w:val="22"/>
        </w:rPr>
        <w:instrText>ADDIN CSL_CITATION { "citationItems" : [ { "id" : "ITEM-1", "itemData" : { "DOI" : "10.1582/LEUKOS.2010.07.02003", "ISSN" : "1550-2724", "abstract" : "Abstract-New research in daylighting metrics and developments in validated digital High Dynamic Range (HDR) photography techniques suggest that luminance based lighting controls have the potential to provide occupant satisfaction and energy saving improvements over traditional illuminance based lighting controls. This paper studies occupant preference and acceptance of patterns of luminance using HDR imaging and a repeated measures design methodology in a daylit office environment. Three existing luminance threshold analysis methods [method1: predetermined absolute luminance threshold (for example, 2000 cd/m2), method2: scene based mean luminance threshold, and method3: task based mean luminance threshold] were studied along with additional candidate metrics for their ability to explain luminance variability of 18 participant assessments of 'preferred' and 'just disturbing' scenes under daylighting conditions. Per-pixel luminance data from each scene were used to calculate Daylighting Glare Probability (DGP), Daylight Glare Index (DGI), and other candidate metrics using these three luminance threshold analysis methods. Of the established methods, the most consistent and effective metrics to explain variability in subjective responses were found to be; mean luminance of the task (using method3; adjr2 = 0.59), mean luminance of the entire scene (using method2; adjr2 = 0.44), and DGP using 2000 cd/m 2 as a glare source identifier (using method1; adjr 2 = 0.41). Of the 150 candidate metrics tested, the most effective was the 'mean luminance of the glare sources', where the glare sources were identified as 7* the mean luminance of the task position ( adjr2 = 0.64). Furthermore, DGP consistently performed better than DGI, confirming previous findings. 'Preferred' scenes never had more than ~10 percent of the field of view (FOV) that exceeded 2000 cd/m 2. Standard deviation of the entire scene luminance also proved to be a good predictor of satisfaction with general visual appearance. \ufffd 2010 The Illuminating Engineering Society of North America.", "author" : [ { "dropping-particle" : "", "family" : "Wymelenberg", "given" : "K", "non-dropping-particle" : "Van Den", "parse-names" : false, "suffix" : "" }, { "dropping-particle" : "", "family" : "Inanici", "given" : "M", "non-dropping-particle" : "", "parse-names" : false, "suffix" : "" }, { "dropping-particle" : "", "family" : "Johnson", "given" : "P", "non-dropping-particle" : "", "parse-names" : false, "suffix" : "" } ], "container-title" : "LEUKOS - Journal of Illuminating Engineering Society of North America", "id" : "ITEM-1", "issue" : "2", "issued" : { "date-parts" : [ [ "2010" ] ] }, "note" : "Cited By :44", "page" : "103-122", "publisher-place" : "Affiliation: University of Washington, College of the Built Environment, Seattle, WA 98195, United States; Affiliation: University of Idaho, College of Art and Architecture, Boise, ID 83702, United States; Affiliation: University of Washington, School of ", "title" : "The effect of luminance distribution patterns on occupant preference in a daylit office environment", "type" : "article-journal", "volume" : "7" }, "uris" : [ "http://www.mendeley.com/documents/?uuid=8be64567-ae89-49b9-bebf-3be386c259b7", "http://www.mendeley.com/documents/?uuid=5966a6c7-0f69-48af-996c-10baa7b316b3" ] } ], "mendeley" : { "formattedCitation" : "(Van Den Wymelenberg, Inanici and Johnson, 2010)", "manualFormatting" : "(Van Den Wymelenberg et al., 2010)", "plainTextFormattedCitation" : "(Van Den Wymelenberg, Inanici and Johnson, 2010)", "previouslyFormattedCitation" : "(Van Den Wymelenberg, Inanici and Johnson, 2010)" }, "properties" : { "noteIndex" : 0 }, "schema" : "https://github.com/citation-style-language/schema/raw/master/csl-citation.json" }</w:instrText>
      </w:r>
      <w:r w:rsidR="002B7D6E" w:rsidRPr="00AA3D0C">
        <w:rPr>
          <w:sz w:val="22"/>
          <w:szCs w:val="22"/>
        </w:rPr>
        <w:fldChar w:fldCharType="separate"/>
      </w:r>
      <w:r w:rsidR="002B7D6E" w:rsidRPr="00AA3D0C">
        <w:rPr>
          <w:noProof/>
          <w:sz w:val="22"/>
          <w:szCs w:val="22"/>
        </w:rPr>
        <w:t xml:space="preserve">(Van Den Wymelenberg </w:t>
      </w:r>
      <w:r w:rsidR="002B7D6E" w:rsidRPr="00AA3D0C">
        <w:rPr>
          <w:i/>
          <w:noProof/>
          <w:sz w:val="22"/>
          <w:szCs w:val="22"/>
        </w:rPr>
        <w:t>et al.</w:t>
      </w:r>
      <w:r w:rsidR="002B7D6E" w:rsidRPr="00AA3D0C">
        <w:rPr>
          <w:noProof/>
          <w:sz w:val="22"/>
          <w:szCs w:val="22"/>
        </w:rPr>
        <w:t>, 2010)</w:t>
      </w:r>
      <w:r w:rsidR="002B7D6E" w:rsidRPr="00AA3D0C">
        <w:rPr>
          <w:sz w:val="22"/>
          <w:szCs w:val="22"/>
        </w:rPr>
        <w:fldChar w:fldCharType="end"/>
      </w:r>
      <w:r w:rsidR="002B7D6E" w:rsidRPr="00AA3D0C">
        <w:rPr>
          <w:sz w:val="22"/>
          <w:szCs w:val="22"/>
        </w:rPr>
        <w:t>.</w:t>
      </w:r>
      <w:r w:rsidR="001B055D">
        <w:rPr>
          <w:sz w:val="22"/>
          <w:szCs w:val="22"/>
        </w:rPr>
        <w:t xml:space="preserve"> </w:t>
      </w:r>
      <w:proofErr w:type="spellStart"/>
      <w:r w:rsidR="001B055D">
        <w:rPr>
          <w:sz w:val="22"/>
          <w:szCs w:val="22"/>
        </w:rPr>
        <w:t>Konstantzos</w:t>
      </w:r>
      <w:proofErr w:type="spellEnd"/>
      <w:r w:rsidR="001B055D">
        <w:rPr>
          <w:sz w:val="22"/>
          <w:szCs w:val="22"/>
        </w:rPr>
        <w:t xml:space="preserve"> and </w:t>
      </w:r>
      <w:proofErr w:type="spellStart"/>
      <w:r w:rsidR="001B055D">
        <w:rPr>
          <w:sz w:val="22"/>
          <w:szCs w:val="22"/>
        </w:rPr>
        <w:t>Tzempelikos</w:t>
      </w:r>
      <w:proofErr w:type="spellEnd"/>
      <w:r w:rsidR="001B055D">
        <w:rPr>
          <w:sz w:val="22"/>
          <w:szCs w:val="22"/>
        </w:rPr>
        <w:t xml:space="preserve"> </w:t>
      </w:r>
      <w:r w:rsidR="001B055D" w:rsidRPr="00736277">
        <w:rPr>
          <w:sz w:val="22"/>
          <w:szCs w:val="22"/>
        </w:rPr>
        <w:fldChar w:fldCharType="begin" w:fldLock="1"/>
      </w:r>
      <w:r w:rsidR="005952EA">
        <w:rPr>
          <w:sz w:val="22"/>
          <w:szCs w:val="22"/>
        </w:rPr>
        <w:instrText>ADDIN CSL_CITATION { "citationItems" : [ { "id" : "ITEM-1", "itemData" : { "DOI" : "10.1016/j.buildenv.2016.09.009", "ISSN" : "0360-1323", "abstract" : "This paper provides new insights on daylight glare evaluation for cases with the sun in the field of view through window shades. 41 human subjects (n = 41) were tested while performing specific office activities, with 14 shade products of different openness factors and visible transmittance values (direct and total light transmission characteristics) installed on the windows. The measured variables and survey results were used to: (i) associate discomfort glare with measured and modeled parameters (ii) evaluate the robustness of existing glare indices for these cases (iii) examine alternate illuminance-based criteria for glare assessment through fabrics, extract discomfort thresholds and suggest a new related index and (iv) propose corrections in the DGP equation coefficients when the sun is visible through the shades. The modified DGP equation resulted in the best fit; the findings show that the general form of the DGP equation is reasonable and can be adjusted to account for different cases, by clustering different sets of coefficients for different environmental conditions or fenestration systems. The new alternate glare discomfort index developed in this study, based on direct and total-to-direct vertical illuminance on the eye, captures the impact of sunlight as well as the interdependence between the fabric color, overall brightness, and the apparent intensity of the visible sun. It can simplify annual simulations, eliminating the need for detailed luminance mapping of the interior, and can be directly associated with fabric optical properties for development of design guidelines and glare-based shading controls. \ufffd 2016 Elsevier Ltd", "author" : [ { "dropping-particle" : "", "family" : "Konstantzos", "given" : "I", "non-dropping-particle" : "", "parse-names" : false, "suffix" : "" }, { "dropping-particle" : "", "family" : "Tzempelikos", "given" : "A", "non-dropping-particle" : "", "parse-names" : false, "suffix" : "" } ], "container-title" : "Building and Environment", "id" : "ITEM-1", "issued" : { "date-parts" : [ [ "2017" ] ] }, "note" : "Cited By :6", "page" : "65-77", "publisher" : "Elsevier Ltd", "publisher-place" : "Affiliation: Lyles School of Civil Engineering, Purdue University, 550 Stadium Mall Dr., West Lafayette, IN, United States; Affiliation: Center for High Performance Buildings, Ray W. Herrick Laboratories, Purdue University, 140 S. Martin Jischke Dr., West", "title" : "Daylight glare evaluation with the sun in the field of view through window shades", "type" : "article-journal", "volume" : "113" }, "uris" : [ "http://www.mendeley.com/documents/?uuid=b9d73881-31f7-4bc0-85ed-ea1a3bae8686", "http://www.mendeley.com/documents/?uuid=18b9a0d1-25eb-40da-9c5a-6cac3dc10643", "http://www.mendeley.com/documents/?uuid=9e960c88-f771-491c-bdfe-45f990d265ee" ] } ], "mendeley" : { "formattedCitation" : "(Konstantzos and Tzempelikos, 2017)", "manualFormatting" : "(2017)", "plainTextFormattedCitation" : "(Konstantzos and Tzempelikos, 2017)", "previouslyFormattedCitation" : "(Konstantzos and Tzempelikos, 2017)" }, "properties" : { "noteIndex" : 0 }, "schema" : "https://github.com/citation-style-language/schema/raw/master/csl-citation.json" }</w:instrText>
      </w:r>
      <w:r w:rsidR="001B055D" w:rsidRPr="00736277">
        <w:rPr>
          <w:sz w:val="22"/>
          <w:szCs w:val="22"/>
        </w:rPr>
        <w:fldChar w:fldCharType="separate"/>
      </w:r>
      <w:r w:rsidR="001B055D" w:rsidRPr="00736277">
        <w:rPr>
          <w:noProof/>
          <w:sz w:val="22"/>
          <w:szCs w:val="22"/>
        </w:rPr>
        <w:t>(2017)</w:t>
      </w:r>
      <w:r w:rsidR="001B055D" w:rsidRPr="00736277">
        <w:rPr>
          <w:sz w:val="22"/>
          <w:szCs w:val="22"/>
        </w:rPr>
        <w:fldChar w:fldCharType="end"/>
      </w:r>
      <w:r w:rsidR="001B055D" w:rsidRPr="00736277">
        <w:rPr>
          <w:sz w:val="22"/>
          <w:szCs w:val="22"/>
        </w:rPr>
        <w:t xml:space="preserve"> </w:t>
      </w:r>
      <w:r w:rsidR="001B055D">
        <w:rPr>
          <w:sz w:val="22"/>
          <w:szCs w:val="22"/>
        </w:rPr>
        <w:t xml:space="preserve">proposed </w:t>
      </w:r>
      <w:r w:rsidR="001B055D" w:rsidRPr="00AA3D0C">
        <w:rPr>
          <w:sz w:val="22"/>
          <w:szCs w:val="22"/>
        </w:rPr>
        <w:t>the modified Daylight Glare Probability (</w:t>
      </w:r>
      <w:proofErr w:type="spellStart"/>
      <w:r w:rsidR="001B055D" w:rsidRPr="00AA3D0C">
        <w:rPr>
          <w:sz w:val="22"/>
          <w:szCs w:val="22"/>
        </w:rPr>
        <w:t>DGP</w:t>
      </w:r>
      <w:r w:rsidR="001B055D" w:rsidRPr="00F5705F">
        <w:rPr>
          <w:sz w:val="22"/>
          <w:szCs w:val="22"/>
          <w:vertAlign w:val="subscript"/>
        </w:rPr>
        <w:t>mod</w:t>
      </w:r>
      <w:proofErr w:type="spellEnd"/>
      <w:r w:rsidR="001B055D" w:rsidRPr="00AA3D0C">
        <w:rPr>
          <w:sz w:val="22"/>
          <w:szCs w:val="22"/>
        </w:rPr>
        <w:t>)</w:t>
      </w:r>
      <w:r w:rsidR="001B055D">
        <w:rPr>
          <w:sz w:val="22"/>
          <w:szCs w:val="22"/>
        </w:rPr>
        <w:t xml:space="preserve"> to overcome such limitation</w:t>
      </w:r>
      <w:r w:rsidR="001B055D" w:rsidRPr="00736277">
        <w:rPr>
          <w:sz w:val="22"/>
          <w:szCs w:val="22"/>
        </w:rPr>
        <w:t xml:space="preserve"> (eq.</w:t>
      </w:r>
      <w:r>
        <w:rPr>
          <w:sz w:val="22"/>
          <w:szCs w:val="22"/>
        </w:rPr>
        <w:t xml:space="preserve"> </w:t>
      </w:r>
      <w:r w:rsidR="00532E33">
        <w:rPr>
          <w:sz w:val="22"/>
          <w:szCs w:val="22"/>
        </w:rPr>
        <w:t>9</w:t>
      </w:r>
      <w:r w:rsidR="001B055D" w:rsidRPr="00736277">
        <w:rPr>
          <w:sz w:val="22"/>
          <w:szCs w:val="22"/>
        </w:rPr>
        <w:t>).</w:t>
      </w:r>
      <w:r w:rsidR="001B055D" w:rsidRPr="00AA3D0C">
        <w:rPr>
          <w:sz w:val="22"/>
          <w:szCs w:val="22"/>
        </w:rPr>
        <w:t xml:space="preserve"> </w:t>
      </w:r>
      <w:r w:rsidR="001B055D">
        <w:rPr>
          <w:sz w:val="22"/>
          <w:szCs w:val="22"/>
        </w:rPr>
        <w:t>T</w:t>
      </w:r>
      <w:r w:rsidR="001B055D" w:rsidRPr="00AA3D0C">
        <w:rPr>
          <w:sz w:val="22"/>
          <w:szCs w:val="22"/>
        </w:rPr>
        <w:t xml:space="preserve">he </w:t>
      </w:r>
      <w:proofErr w:type="spellStart"/>
      <w:r w:rsidR="001B055D" w:rsidRPr="00AA3D0C">
        <w:rPr>
          <w:sz w:val="22"/>
          <w:szCs w:val="22"/>
        </w:rPr>
        <w:t>DGP</w:t>
      </w:r>
      <w:r w:rsidR="001B055D" w:rsidRPr="00013C7D">
        <w:rPr>
          <w:sz w:val="22"/>
          <w:szCs w:val="22"/>
          <w:vertAlign w:val="subscript"/>
        </w:rPr>
        <w:t>mod</w:t>
      </w:r>
      <w:proofErr w:type="spellEnd"/>
      <w:r w:rsidR="001B055D" w:rsidRPr="00AA3D0C">
        <w:rPr>
          <w:sz w:val="22"/>
          <w:szCs w:val="22"/>
        </w:rPr>
        <w:t xml:space="preserve"> formula </w:t>
      </w:r>
      <w:r w:rsidR="001B055D">
        <w:rPr>
          <w:sz w:val="22"/>
          <w:szCs w:val="22"/>
        </w:rPr>
        <w:t>was developed</w:t>
      </w:r>
      <w:r w:rsidR="001B055D" w:rsidRPr="00AA3D0C">
        <w:rPr>
          <w:sz w:val="22"/>
          <w:szCs w:val="22"/>
        </w:rPr>
        <w:t xml:space="preserve"> after experiments with roller shades of different openness factor and visual transmissivity. However, </w:t>
      </w:r>
      <w:proofErr w:type="spellStart"/>
      <w:r w:rsidR="001B055D" w:rsidRPr="00AA3D0C">
        <w:rPr>
          <w:sz w:val="22"/>
          <w:szCs w:val="22"/>
        </w:rPr>
        <w:t>DGP</w:t>
      </w:r>
      <w:r w:rsidR="001B055D" w:rsidRPr="00510657">
        <w:rPr>
          <w:sz w:val="22"/>
          <w:szCs w:val="22"/>
          <w:vertAlign w:val="subscript"/>
        </w:rPr>
        <w:t>mod</w:t>
      </w:r>
      <w:proofErr w:type="spellEnd"/>
      <w:r w:rsidR="001B055D" w:rsidRPr="00AA3D0C">
        <w:rPr>
          <w:sz w:val="22"/>
          <w:szCs w:val="22"/>
        </w:rPr>
        <w:t xml:space="preserve"> could only be used with specific spatial conditions and not be generalized. According to </w:t>
      </w:r>
      <w:proofErr w:type="spellStart"/>
      <w:r w:rsidR="001B055D" w:rsidRPr="00AA3D0C">
        <w:rPr>
          <w:sz w:val="22"/>
          <w:szCs w:val="22"/>
        </w:rPr>
        <w:t>Konstantzos</w:t>
      </w:r>
      <w:proofErr w:type="spellEnd"/>
      <w:r w:rsidR="001B055D" w:rsidRPr="00AA3D0C">
        <w:rPr>
          <w:sz w:val="22"/>
          <w:szCs w:val="22"/>
        </w:rPr>
        <w:t xml:space="preserve"> and </w:t>
      </w:r>
      <w:proofErr w:type="spellStart"/>
      <w:r w:rsidR="001B055D" w:rsidRPr="00AA3D0C">
        <w:rPr>
          <w:sz w:val="22"/>
          <w:szCs w:val="22"/>
        </w:rPr>
        <w:t>Tzempelikos</w:t>
      </w:r>
      <w:proofErr w:type="spellEnd"/>
      <w:r w:rsidR="001B055D" w:rsidRPr="00AA3D0C">
        <w:rPr>
          <w:sz w:val="22"/>
          <w:szCs w:val="22"/>
        </w:rPr>
        <w:t xml:space="preserve"> </w:t>
      </w:r>
      <w:r w:rsidR="001B055D" w:rsidRPr="00AA3D0C">
        <w:rPr>
          <w:sz w:val="22"/>
          <w:szCs w:val="22"/>
        </w:rPr>
        <w:fldChar w:fldCharType="begin" w:fldLock="1"/>
      </w:r>
      <w:r w:rsidR="005952EA">
        <w:rPr>
          <w:sz w:val="22"/>
          <w:szCs w:val="22"/>
        </w:rPr>
        <w:instrText>ADDIN CSL_CITATION { "citationItems" : [ { "id" : "ITEM-1", "itemData" : { "DOI" : "10.1016/j.buildenv.2016.09.009", "ISSN" : "0360-1323", "abstract" : "This paper provides new insights on daylight glare evaluation for cases with the sun in the field of view through window shades. 41 human subjects (n = 41) were tested while performing specific office activities, with 14 shade products of different openness factors and visible transmittance values (direct and total light transmission characteristics) installed on the windows. The measured variables and survey results were used to: (i) associate discomfort glare with measured and modeled parameters (ii) evaluate the robustness of existing glare indices for these cases (iii) examine alternate illuminance-based criteria for glare assessment through fabrics, extract discomfort thresholds and suggest a new related index and (iv) propose corrections in the DGP equation coefficients when the sun is visible through the shades. The modified DGP equation resulted in the best fit; the findings show that the general form of the DGP equation is reasonable and can be adjusted to account for different cases, by clustering different sets of coefficients for different environmental conditions or fenestration systems. The new alternate glare discomfort index developed in this study, based on direct and total-to-direct vertical illuminance on the eye, captures the impact of sunlight as well as the interdependence between the fabric color, overall brightness, and the apparent intensity of the visible sun. It can simplify annual simulations, eliminating the need for detailed luminance mapping of the interior, and can be directly associated with fabric optical properties for development of design guidelines and glare-based shading controls. \ufffd 2016 Elsevier Ltd", "author" : [ { "dropping-particle" : "", "family" : "Konstantzos", "given" : "I", "non-dropping-particle" : "", "parse-names" : false, "suffix" : "" }, { "dropping-particle" : "", "family" : "Tzempelikos", "given" : "A", "non-dropping-particle" : "", "parse-names" : false, "suffix" : "" } ], "container-title" : "Building and Environment", "id" : "ITEM-1", "issued" : { "date-parts" : [ [ "2017" ] ] }, "note" : "Cited By :6", "page" : "65-77", "publisher" : "Elsevier Ltd", "publisher-place" : "Affiliation: Lyles School of Civil Engineering, Purdue University, 550 Stadium Mall Dr., West Lafayette, IN, United States; Affiliation: Center for High Performance Buildings, Ray W. Herrick Laboratories, Purdue University, 140 S. Martin Jischke Dr., West", "title" : "Daylight glare evaluation with the sun in the field of view through window shades", "type" : "article-journal", "volume" : "113" }, "uris" : [ "http://www.mendeley.com/documents/?uuid=9e960c88-f771-491c-bdfe-45f990d265ee", "http://www.mendeley.com/documents/?uuid=b9d73881-31f7-4bc0-85ed-ea1a3bae8686" ] } ], "mendeley" : { "formattedCitation" : "(Konstantzos and Tzempelikos, 2017)", "manualFormatting" : "(2017)", "plainTextFormattedCitation" : "(Konstantzos and Tzempelikos, 2017)", "previouslyFormattedCitation" : "(Konstantzos and Tzempelikos, 2017)" }, "properties" : { "noteIndex" : 0 }, "schema" : "https://github.com/citation-style-language/schema/raw/master/csl-citation.json" }</w:instrText>
      </w:r>
      <w:r w:rsidR="001B055D" w:rsidRPr="00AA3D0C">
        <w:rPr>
          <w:sz w:val="22"/>
          <w:szCs w:val="22"/>
        </w:rPr>
        <w:fldChar w:fldCharType="separate"/>
      </w:r>
      <w:r w:rsidR="001B055D" w:rsidRPr="00AA3D0C">
        <w:rPr>
          <w:noProof/>
          <w:sz w:val="22"/>
          <w:szCs w:val="22"/>
        </w:rPr>
        <w:t>(2017)</w:t>
      </w:r>
      <w:r w:rsidR="001B055D" w:rsidRPr="00AA3D0C">
        <w:rPr>
          <w:sz w:val="22"/>
          <w:szCs w:val="22"/>
        </w:rPr>
        <w:fldChar w:fldCharType="end"/>
      </w:r>
      <w:r w:rsidR="001B055D" w:rsidRPr="00AA3D0C">
        <w:rPr>
          <w:sz w:val="22"/>
          <w:szCs w:val="22"/>
        </w:rPr>
        <w:t>, also, when fabrics with high openness factor were implemented, a high divergence between the result</w:t>
      </w:r>
      <w:r w:rsidR="00654353">
        <w:rPr>
          <w:sz w:val="22"/>
          <w:szCs w:val="22"/>
        </w:rPr>
        <w:t>ing</w:t>
      </w:r>
      <w:r w:rsidR="001B055D" w:rsidRPr="00AA3D0C">
        <w:rPr>
          <w:sz w:val="22"/>
          <w:szCs w:val="22"/>
        </w:rPr>
        <w:t xml:space="preserve"> data and the real conditions emerged, indicating extreme glare risk which was not observed in reality.</w:t>
      </w:r>
    </w:p>
    <w:tbl>
      <w:tblPr>
        <w:tblStyle w:val="TableGrid"/>
        <w:tblW w:w="8222" w:type="dxa"/>
        <w:tblInd w:w="-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7230"/>
        <w:gridCol w:w="992"/>
      </w:tblGrid>
      <w:tr w:rsidR="00FD2D84" w:rsidRPr="00AA3D0C" w14:paraId="64C73535" w14:textId="77777777" w:rsidTr="003F64C2">
        <w:trPr>
          <w:trHeight w:val="692"/>
        </w:trPr>
        <w:tc>
          <w:tcPr>
            <w:tcW w:w="7230" w:type="dxa"/>
          </w:tcPr>
          <w:p w14:paraId="1CC503B4" w14:textId="77777777" w:rsidR="00FD2D84" w:rsidRPr="00736277" w:rsidRDefault="00B030DD" w:rsidP="00625D19">
            <w:pPr>
              <w:jc w:val="both"/>
              <w:rPr>
                <w:sz w:val="22"/>
                <w:szCs w:val="22"/>
              </w:rPr>
            </w:pPr>
            <m:oMathPara>
              <m:oMathParaPr>
                <m:jc m:val="left"/>
              </m:oMathParaPr>
              <m:oMath>
                <m:sSub>
                  <m:sSubPr>
                    <m:ctrlPr>
                      <w:rPr>
                        <w:rFonts w:ascii="Cambria Math" w:hAnsi="Cambria Math"/>
                        <w:i/>
                        <w:sz w:val="22"/>
                        <w:szCs w:val="20"/>
                        <w:lang w:val="en-US"/>
                      </w:rPr>
                    </m:ctrlPr>
                  </m:sSubPr>
                  <m:e>
                    <m:r>
                      <w:rPr>
                        <w:rFonts w:ascii="Cambria Math" w:hAnsi="Cambria Math"/>
                        <w:sz w:val="22"/>
                        <w:szCs w:val="20"/>
                        <w:lang w:val="en-US"/>
                      </w:rPr>
                      <m:t>DGP</m:t>
                    </m:r>
                  </m:e>
                  <m:sub>
                    <m:r>
                      <w:rPr>
                        <w:rFonts w:ascii="Cambria Math" w:hAnsi="Cambria Math"/>
                        <w:sz w:val="22"/>
                        <w:szCs w:val="20"/>
                        <w:lang w:val="en-US"/>
                      </w:rPr>
                      <m:t>mod</m:t>
                    </m:r>
                  </m:sub>
                </m:sSub>
                <m:r>
                  <w:rPr>
                    <w:rFonts w:ascii="Cambria Math" w:hAnsi="Cambria Math"/>
                    <w:sz w:val="22"/>
                    <w:szCs w:val="20"/>
                    <w:lang w:val="en-US"/>
                  </w:rPr>
                  <m:t>=8.40∙</m:t>
                </m:r>
                <m:sSup>
                  <m:sSupPr>
                    <m:ctrlPr>
                      <w:rPr>
                        <w:rFonts w:ascii="Cambria Math" w:hAnsi="Cambria Math"/>
                        <w:i/>
                        <w:sz w:val="22"/>
                        <w:szCs w:val="20"/>
                        <w:lang w:val="en-US"/>
                      </w:rPr>
                    </m:ctrlPr>
                  </m:sSupPr>
                  <m:e>
                    <m:r>
                      <w:rPr>
                        <w:rFonts w:ascii="Cambria Math" w:hAnsi="Cambria Math"/>
                        <w:sz w:val="22"/>
                        <w:szCs w:val="20"/>
                        <w:lang w:val="en-US"/>
                      </w:rPr>
                      <m:t>10</m:t>
                    </m:r>
                  </m:e>
                  <m:sup>
                    <m:r>
                      <w:rPr>
                        <w:rFonts w:ascii="Cambria Math" w:hAnsi="Cambria Math"/>
                        <w:sz w:val="22"/>
                        <w:szCs w:val="20"/>
                        <w:lang w:val="en-US"/>
                      </w:rPr>
                      <m:t>-5</m:t>
                    </m:r>
                  </m:sup>
                </m:sSup>
                <m:r>
                  <w:rPr>
                    <w:rFonts w:ascii="Cambria Math" w:hAnsi="Cambria Math"/>
                    <w:sz w:val="22"/>
                    <w:szCs w:val="20"/>
                    <w:lang w:val="en-US"/>
                  </w:rPr>
                  <m:t>∙</m:t>
                </m:r>
                <m:sSub>
                  <m:sSubPr>
                    <m:ctrlPr>
                      <w:rPr>
                        <w:rFonts w:ascii="Cambria Math" w:hAnsi="Cambria Math"/>
                        <w:i/>
                        <w:sz w:val="22"/>
                        <w:szCs w:val="20"/>
                        <w:lang w:val="en-US"/>
                      </w:rPr>
                    </m:ctrlPr>
                  </m:sSubPr>
                  <m:e>
                    <m:r>
                      <w:rPr>
                        <w:rFonts w:ascii="Cambria Math" w:hAnsi="Cambria Math"/>
                        <w:sz w:val="22"/>
                        <w:szCs w:val="20"/>
                        <w:lang w:val="en-US"/>
                      </w:rPr>
                      <m:t>E</m:t>
                    </m:r>
                  </m:e>
                  <m:sub>
                    <m:r>
                      <w:rPr>
                        <w:rFonts w:ascii="Cambria Math" w:hAnsi="Cambria Math"/>
                        <w:sz w:val="22"/>
                        <w:szCs w:val="20"/>
                        <w:lang w:val="en-US"/>
                      </w:rPr>
                      <m:t>v</m:t>
                    </m:r>
                  </m:sub>
                </m:sSub>
                <m:r>
                  <w:rPr>
                    <w:rFonts w:ascii="Cambria Math" w:hAnsi="Cambria Math"/>
                    <w:sz w:val="22"/>
                    <w:szCs w:val="20"/>
                    <w:lang w:val="en-US"/>
                  </w:rPr>
                  <m:t>+11.97∙</m:t>
                </m:r>
                <m:sSup>
                  <m:sSupPr>
                    <m:ctrlPr>
                      <w:rPr>
                        <w:rFonts w:ascii="Cambria Math" w:hAnsi="Cambria Math"/>
                        <w:i/>
                        <w:sz w:val="22"/>
                        <w:szCs w:val="20"/>
                        <w:lang w:val="en-US"/>
                      </w:rPr>
                    </m:ctrlPr>
                  </m:sSupPr>
                  <m:e>
                    <m:r>
                      <w:rPr>
                        <w:rFonts w:ascii="Cambria Math" w:hAnsi="Cambria Math"/>
                        <w:sz w:val="22"/>
                        <w:szCs w:val="20"/>
                        <w:lang w:val="en-US"/>
                      </w:rPr>
                      <m:t>10</m:t>
                    </m:r>
                  </m:e>
                  <m:sup>
                    <m:r>
                      <w:rPr>
                        <w:rFonts w:ascii="Cambria Math" w:hAnsi="Cambria Math"/>
                        <w:sz w:val="22"/>
                        <w:szCs w:val="20"/>
                        <w:lang w:val="en-US"/>
                      </w:rPr>
                      <m:t>-2</m:t>
                    </m:r>
                  </m:sup>
                </m:sSup>
                <m:func>
                  <m:funcPr>
                    <m:ctrlPr>
                      <w:rPr>
                        <w:rFonts w:ascii="Cambria Math" w:hAnsi="Cambria Math"/>
                        <w:i/>
                        <w:sz w:val="22"/>
                        <w:szCs w:val="20"/>
                        <w:lang w:val="en-US"/>
                      </w:rPr>
                    </m:ctrlPr>
                  </m:funcPr>
                  <m:fName>
                    <m:r>
                      <w:rPr>
                        <w:rFonts w:ascii="Cambria Math" w:hAnsi="Cambria Math"/>
                        <w:sz w:val="22"/>
                        <w:szCs w:val="20"/>
                      </w:rPr>
                      <m:t>log</m:t>
                    </m:r>
                  </m:fName>
                  <m:e>
                    <m:d>
                      <m:dPr>
                        <m:ctrlPr>
                          <w:rPr>
                            <w:rFonts w:ascii="Cambria Math" w:hAnsi="Cambria Math"/>
                            <w:i/>
                            <w:sz w:val="22"/>
                            <w:szCs w:val="20"/>
                            <w:lang w:val="en-US"/>
                          </w:rPr>
                        </m:ctrlPr>
                      </m:dPr>
                      <m:e>
                        <m:r>
                          <w:rPr>
                            <w:rFonts w:ascii="Cambria Math" w:hAnsi="Cambria Math"/>
                            <w:sz w:val="22"/>
                            <w:szCs w:val="20"/>
                            <w:lang w:val="en-US"/>
                          </w:rPr>
                          <m:t>1+</m:t>
                        </m:r>
                        <m:d>
                          <m:dPr>
                            <m:begChr m:val=""/>
                            <m:endChr m:val=""/>
                            <m:ctrlPr>
                              <w:rPr>
                                <w:rFonts w:ascii="Cambria Math" w:hAnsi="Cambria Math"/>
                                <w:i/>
                                <w:sz w:val="22"/>
                                <w:szCs w:val="20"/>
                                <w:lang w:val="en-US"/>
                              </w:rPr>
                            </m:ctrlPr>
                          </m:dPr>
                          <m:e>
                            <m:nary>
                              <m:naryPr>
                                <m:chr m:val="∑"/>
                                <m:limLoc m:val="undOvr"/>
                                <m:grow m:val="1"/>
                                <m:ctrlPr>
                                  <w:rPr>
                                    <w:rFonts w:ascii="Cambria Math" w:hAnsi="Cambria Math"/>
                                    <w:i/>
                                    <w:sz w:val="22"/>
                                    <w:szCs w:val="20"/>
                                    <w:lang w:val="en-US"/>
                                  </w:rPr>
                                </m:ctrlPr>
                              </m:naryPr>
                              <m:sub>
                                <m:r>
                                  <w:rPr>
                                    <w:rFonts w:ascii="Cambria Math" w:hAnsi="Cambria Math"/>
                                    <w:sz w:val="22"/>
                                    <w:szCs w:val="20"/>
                                    <w:lang w:val="en-US"/>
                                  </w:rPr>
                                  <m:t>i=1</m:t>
                                </m:r>
                              </m:sub>
                              <m:sup>
                                <m:r>
                                  <w:rPr>
                                    <w:rFonts w:ascii="Cambria Math" w:hAnsi="Cambria Math"/>
                                    <w:sz w:val="22"/>
                                    <w:szCs w:val="20"/>
                                    <w:lang w:val="en-US"/>
                                  </w:rPr>
                                  <m:t>n</m:t>
                                </m:r>
                              </m:sup>
                              <m:e>
                                <m:f>
                                  <m:fPr>
                                    <m:ctrlPr>
                                      <w:rPr>
                                        <w:rFonts w:ascii="Cambria Math" w:hAnsi="Cambria Math"/>
                                        <w:i/>
                                        <w:sz w:val="22"/>
                                        <w:szCs w:val="20"/>
                                        <w:lang w:val="en-US"/>
                                      </w:rPr>
                                    </m:ctrlPr>
                                  </m:fPr>
                                  <m:num>
                                    <m:sSubSup>
                                      <m:sSubSupPr>
                                        <m:ctrlPr>
                                          <w:rPr>
                                            <w:rFonts w:ascii="Cambria Math" w:hAnsi="Cambria Math"/>
                                            <w:i/>
                                            <w:sz w:val="22"/>
                                            <w:szCs w:val="20"/>
                                            <w:lang w:val="en-US"/>
                                          </w:rPr>
                                        </m:ctrlPr>
                                      </m:sSubSupPr>
                                      <m:e>
                                        <m:r>
                                          <w:rPr>
                                            <w:rFonts w:ascii="Cambria Math" w:hAnsi="Cambria Math"/>
                                            <w:sz w:val="22"/>
                                            <w:szCs w:val="20"/>
                                            <w:lang w:val="en-US"/>
                                          </w:rPr>
                                          <m:t>L</m:t>
                                        </m:r>
                                      </m:e>
                                      <m:sub>
                                        <m:r>
                                          <w:rPr>
                                            <w:rFonts w:ascii="Cambria Math" w:hAnsi="Cambria Math"/>
                                            <w:sz w:val="22"/>
                                            <w:szCs w:val="20"/>
                                            <w:lang w:val="en-US"/>
                                          </w:rPr>
                                          <m:t>s,i</m:t>
                                        </m:r>
                                      </m:sub>
                                      <m:sup>
                                        <m:r>
                                          <w:rPr>
                                            <w:rFonts w:ascii="Cambria Math" w:hAnsi="Cambria Math"/>
                                            <w:sz w:val="22"/>
                                            <w:szCs w:val="20"/>
                                            <w:lang w:val="en-US"/>
                                          </w:rPr>
                                          <m:t>2</m:t>
                                        </m:r>
                                      </m:sup>
                                    </m:sSubSup>
                                    <m:r>
                                      <w:rPr>
                                        <w:rFonts w:ascii="Cambria Math" w:hAnsi="Cambria Math"/>
                                        <w:sz w:val="22"/>
                                        <w:szCs w:val="20"/>
                                        <w:lang w:val="en-US"/>
                                      </w:rPr>
                                      <m:t>∙</m:t>
                                    </m:r>
                                    <m:sSub>
                                      <m:sSubPr>
                                        <m:ctrlPr>
                                          <w:rPr>
                                            <w:rFonts w:ascii="Cambria Math" w:hAnsi="Cambria Math"/>
                                            <w:i/>
                                            <w:sz w:val="22"/>
                                            <w:szCs w:val="20"/>
                                            <w:lang w:val="en-US"/>
                                          </w:rPr>
                                        </m:ctrlPr>
                                      </m:sSubPr>
                                      <m:e>
                                        <m:r>
                                          <w:rPr>
                                            <w:rFonts w:ascii="Cambria Math" w:hAnsi="Cambria Math"/>
                                            <w:sz w:val="22"/>
                                            <w:szCs w:val="20"/>
                                            <w:lang w:val="en-US"/>
                                          </w:rPr>
                                          <m:t>ω</m:t>
                                        </m:r>
                                      </m:e>
                                      <m:sub>
                                        <m:r>
                                          <w:rPr>
                                            <w:rFonts w:ascii="Cambria Math" w:hAnsi="Cambria Math"/>
                                            <w:sz w:val="22"/>
                                            <w:szCs w:val="20"/>
                                            <w:lang w:val="en-US"/>
                                          </w:rPr>
                                          <m:t>s,i</m:t>
                                        </m:r>
                                      </m:sub>
                                    </m:sSub>
                                  </m:num>
                                  <m:den>
                                    <m:sSubSup>
                                      <m:sSubSupPr>
                                        <m:ctrlPr>
                                          <w:rPr>
                                            <w:rFonts w:ascii="Cambria Math" w:hAnsi="Cambria Math"/>
                                            <w:i/>
                                            <w:sz w:val="22"/>
                                            <w:szCs w:val="20"/>
                                            <w:lang w:val="en-US"/>
                                          </w:rPr>
                                        </m:ctrlPr>
                                      </m:sSubSupPr>
                                      <m:e>
                                        <m:r>
                                          <w:rPr>
                                            <w:rFonts w:ascii="Cambria Math" w:hAnsi="Cambria Math"/>
                                            <w:sz w:val="22"/>
                                            <w:szCs w:val="20"/>
                                            <w:lang w:val="en-US"/>
                                          </w:rPr>
                                          <m:t>E</m:t>
                                        </m:r>
                                      </m:e>
                                      <m:sub>
                                        <m:r>
                                          <w:rPr>
                                            <w:rFonts w:ascii="Cambria Math" w:hAnsi="Cambria Math"/>
                                            <w:sz w:val="22"/>
                                            <w:szCs w:val="20"/>
                                            <w:lang w:val="en-US"/>
                                          </w:rPr>
                                          <m:t>v</m:t>
                                        </m:r>
                                      </m:sub>
                                      <m:sup>
                                        <m:r>
                                          <w:rPr>
                                            <w:rFonts w:ascii="Cambria Math" w:hAnsi="Cambria Math"/>
                                            <w:sz w:val="22"/>
                                            <w:szCs w:val="20"/>
                                            <w:lang w:val="en-US"/>
                                          </w:rPr>
                                          <m:t>2.12</m:t>
                                        </m:r>
                                      </m:sup>
                                    </m:sSubSup>
                                    <m:sSubSup>
                                      <m:sSubSupPr>
                                        <m:ctrlPr>
                                          <w:rPr>
                                            <w:rFonts w:ascii="Cambria Math" w:hAnsi="Cambria Math"/>
                                            <w:i/>
                                            <w:sz w:val="22"/>
                                            <w:szCs w:val="20"/>
                                            <w:lang w:val="en-US"/>
                                          </w:rPr>
                                        </m:ctrlPr>
                                      </m:sSubSupPr>
                                      <m:e>
                                        <m:r>
                                          <w:rPr>
                                            <w:rFonts w:ascii="Cambria Math" w:hAnsi="Cambria Math"/>
                                            <w:sz w:val="22"/>
                                            <w:szCs w:val="20"/>
                                            <w:lang w:val="en-US"/>
                                          </w:rPr>
                                          <m:t>p</m:t>
                                        </m:r>
                                      </m:e>
                                      <m:sub>
                                        <m:r>
                                          <w:rPr>
                                            <w:rFonts w:ascii="Cambria Math" w:hAnsi="Cambria Math"/>
                                            <w:sz w:val="22"/>
                                            <w:szCs w:val="20"/>
                                            <w:lang w:val="en-US"/>
                                          </w:rPr>
                                          <m:t>i</m:t>
                                        </m:r>
                                      </m:sub>
                                      <m:sup>
                                        <m:r>
                                          <w:rPr>
                                            <w:rFonts w:ascii="Cambria Math" w:hAnsi="Cambria Math"/>
                                            <w:sz w:val="22"/>
                                            <w:szCs w:val="20"/>
                                            <w:lang w:val="en-US"/>
                                          </w:rPr>
                                          <m:t>2</m:t>
                                        </m:r>
                                      </m:sup>
                                    </m:sSubSup>
                                  </m:den>
                                </m:f>
                              </m:e>
                            </m:nary>
                          </m:e>
                        </m:d>
                      </m:e>
                    </m:d>
                    <m:r>
                      <w:rPr>
                        <w:rFonts w:ascii="Cambria Math" w:hAnsi="Cambria Math"/>
                        <w:sz w:val="22"/>
                        <w:szCs w:val="20"/>
                        <w:lang w:val="en-US"/>
                      </w:rPr>
                      <m:t>+0.16</m:t>
                    </m:r>
                  </m:e>
                </m:func>
              </m:oMath>
            </m:oMathPara>
          </w:p>
        </w:tc>
        <w:tc>
          <w:tcPr>
            <w:tcW w:w="992" w:type="dxa"/>
          </w:tcPr>
          <w:p w14:paraId="4D2BC06B" w14:textId="77777777" w:rsidR="00FD2D84" w:rsidRDefault="00FD2D84" w:rsidP="00625D19">
            <w:pPr>
              <w:jc w:val="both"/>
              <w:rPr>
                <w:sz w:val="28"/>
                <w:szCs w:val="22"/>
              </w:rPr>
            </w:pPr>
          </w:p>
          <w:p w14:paraId="2281B345" w14:textId="7C18EC87" w:rsidR="00FD2D84" w:rsidRPr="00AA3D0C" w:rsidRDefault="00FD2D84" w:rsidP="00625D19">
            <w:pPr>
              <w:jc w:val="both"/>
              <w:rPr>
                <w:sz w:val="22"/>
                <w:szCs w:val="22"/>
              </w:rPr>
            </w:pPr>
            <w:r w:rsidRPr="00AA3D0C">
              <w:rPr>
                <w:sz w:val="22"/>
                <w:szCs w:val="22"/>
              </w:rPr>
              <w:t>[-]</w:t>
            </w:r>
            <w:r>
              <w:rPr>
                <w:sz w:val="22"/>
                <w:szCs w:val="22"/>
              </w:rPr>
              <w:t xml:space="preserve"> </w:t>
            </w:r>
            <w:proofErr w:type="gramStart"/>
            <w:r>
              <w:rPr>
                <w:sz w:val="22"/>
                <w:szCs w:val="22"/>
              </w:rPr>
              <w:t xml:space="preserve">   (</w:t>
            </w:r>
            <w:proofErr w:type="gramEnd"/>
            <w:r w:rsidR="00532E33">
              <w:rPr>
                <w:sz w:val="22"/>
                <w:szCs w:val="22"/>
              </w:rPr>
              <w:t>9</w:t>
            </w:r>
            <w:r>
              <w:rPr>
                <w:sz w:val="22"/>
                <w:szCs w:val="22"/>
              </w:rPr>
              <w:t>)</w:t>
            </w:r>
          </w:p>
        </w:tc>
      </w:tr>
    </w:tbl>
    <w:p w14:paraId="7994DC3C" w14:textId="77777777" w:rsidR="00FD2D84" w:rsidRDefault="00FD2D84" w:rsidP="00EB2DF4">
      <w:pPr>
        <w:spacing w:after="240"/>
        <w:jc w:val="both"/>
        <w:rPr>
          <w:sz w:val="22"/>
          <w:szCs w:val="22"/>
        </w:rPr>
      </w:pPr>
    </w:p>
    <w:p w14:paraId="7777F29F" w14:textId="43A854E6" w:rsidR="002B7D6E" w:rsidRPr="00AA3D0C" w:rsidRDefault="00FD2D84" w:rsidP="00EB2DF4">
      <w:pPr>
        <w:spacing w:after="240"/>
        <w:jc w:val="both"/>
        <w:rPr>
          <w:sz w:val="22"/>
          <w:szCs w:val="22"/>
        </w:rPr>
      </w:pPr>
      <w:r>
        <w:rPr>
          <w:sz w:val="22"/>
          <w:szCs w:val="22"/>
        </w:rPr>
        <w:t>Finally, a</w:t>
      </w:r>
      <w:r w:rsidR="001B055D">
        <w:rPr>
          <w:sz w:val="22"/>
          <w:szCs w:val="22"/>
        </w:rPr>
        <w:t xml:space="preserve"> </w:t>
      </w:r>
      <w:r>
        <w:rPr>
          <w:sz w:val="22"/>
          <w:szCs w:val="22"/>
        </w:rPr>
        <w:t>drawback</w:t>
      </w:r>
      <w:r w:rsidR="002B7D6E" w:rsidRPr="00AA3D0C">
        <w:rPr>
          <w:sz w:val="22"/>
          <w:szCs w:val="22"/>
        </w:rPr>
        <w:t xml:space="preserve"> of the DGP metric is that its calculation requires higher computational capacity in comparison to other existing metrics.</w:t>
      </w:r>
    </w:p>
    <w:p w14:paraId="7F84A027" w14:textId="73B3CF5D" w:rsidR="00842740" w:rsidRDefault="00FD2D84" w:rsidP="00EB2DF4">
      <w:pPr>
        <w:spacing w:after="240"/>
        <w:jc w:val="both"/>
        <w:rPr>
          <w:sz w:val="22"/>
          <w:szCs w:val="22"/>
        </w:rPr>
      </w:pPr>
      <w:r>
        <w:rPr>
          <w:sz w:val="22"/>
          <w:szCs w:val="22"/>
        </w:rPr>
        <w:lastRenderedPageBreak/>
        <w:t>In order to reduce</w:t>
      </w:r>
      <w:r w:rsidR="002B7D6E" w:rsidRPr="00AA3D0C">
        <w:rPr>
          <w:sz w:val="22"/>
          <w:szCs w:val="22"/>
        </w:rPr>
        <w:t xml:space="preserve"> the simulation time, </w:t>
      </w:r>
      <w:bookmarkStart w:id="14" w:name="_Hlk511829059"/>
      <w:proofErr w:type="spellStart"/>
      <w:r w:rsidR="002B7D6E" w:rsidRPr="00AA3D0C">
        <w:rPr>
          <w:sz w:val="22"/>
          <w:szCs w:val="22"/>
        </w:rPr>
        <w:t>Wienold</w:t>
      </w:r>
      <w:proofErr w:type="spellEnd"/>
      <w:r w:rsidR="002B7D6E" w:rsidRPr="00AA3D0C">
        <w:rPr>
          <w:sz w:val="22"/>
          <w:szCs w:val="22"/>
        </w:rPr>
        <w:t xml:space="preserve"> </w:t>
      </w:r>
      <w:bookmarkEnd w:id="14"/>
      <w:r w:rsidR="002B7D6E" w:rsidRPr="00AA3D0C">
        <w:rPr>
          <w:sz w:val="22"/>
          <w:szCs w:val="22"/>
        </w:rPr>
        <w:fldChar w:fldCharType="begin" w:fldLock="1"/>
      </w:r>
      <w:r w:rsidR="004F26FE">
        <w:rPr>
          <w:sz w:val="22"/>
          <w:szCs w:val="22"/>
        </w:rPr>
        <w:instrText>ADDIN CSL_CITATION { "citationItems" : [ { "id" : "ITEM-1", "itemData" : { "author" : [ { "dropping-particle" : "", "family" : "Wienold", "given" : "Jan", "non-dropping-particle" : "", "parse-names" : false, "suffix" : "" } ], "container-title" : "Building Simulation", "id" : "ITEM-1", "issued" : { "date-parts" : [ [ "2007" ] ] }, "page" : "1197-1204", "publisher" : "IPBSA", "publisher-place" : "Beijing, China", "title" : "Dynamic simulation of blind control strategies for visual comfort and energy balance analysis", "type" : "paper-conference", "volume" : "10" }, "uris" : [ "http://www.mendeley.com/documents/?uuid=bbf1bcd0-5908-460a-b55c-9d3ab132d409", "http://www.mendeley.com/documents/?uuid=812fc984-565f-4bd6-a01b-e3b29ea0c19a" ] } ], "mendeley" : { "formattedCitation" : "(Wienold, 2007)", "manualFormatting" : "(2007)", "plainTextFormattedCitation" : "(Wienold, 2007)", "previouslyFormattedCitation" : "(Wienold, 2007)" }, "properties" : { "noteIndex" : 0 }, "schema" : "https://github.com/citation-style-language/schema/raw/master/csl-citation.json" }</w:instrText>
      </w:r>
      <w:r w:rsidR="002B7D6E" w:rsidRPr="00AA3D0C">
        <w:rPr>
          <w:sz w:val="22"/>
          <w:szCs w:val="22"/>
        </w:rPr>
        <w:fldChar w:fldCharType="separate"/>
      </w:r>
      <w:r w:rsidR="002B7D6E" w:rsidRPr="00AA3D0C">
        <w:rPr>
          <w:noProof/>
          <w:sz w:val="22"/>
          <w:szCs w:val="22"/>
        </w:rPr>
        <w:t>(2007)</w:t>
      </w:r>
      <w:r w:rsidR="002B7D6E" w:rsidRPr="00AA3D0C">
        <w:rPr>
          <w:sz w:val="22"/>
          <w:szCs w:val="22"/>
        </w:rPr>
        <w:fldChar w:fldCharType="end"/>
      </w:r>
      <w:r w:rsidR="00842740">
        <w:rPr>
          <w:sz w:val="22"/>
          <w:szCs w:val="22"/>
        </w:rPr>
        <w:t xml:space="preserve"> proposed the</w:t>
      </w:r>
      <w:r w:rsidR="002B7D6E" w:rsidRPr="00AA3D0C">
        <w:rPr>
          <w:sz w:val="22"/>
          <w:szCs w:val="22"/>
        </w:rPr>
        <w:t xml:space="preserve"> simplified Daylight Glare Probability (DGPs)</w:t>
      </w:r>
      <w:r w:rsidR="00000809">
        <w:rPr>
          <w:sz w:val="22"/>
          <w:szCs w:val="22"/>
        </w:rPr>
        <w:t xml:space="preserve"> </w:t>
      </w:r>
      <w:r w:rsidR="00000809" w:rsidRPr="00736277">
        <w:rPr>
          <w:sz w:val="22"/>
          <w:szCs w:val="22"/>
        </w:rPr>
        <w:t>(eq.</w:t>
      </w:r>
      <w:r w:rsidR="00532E33">
        <w:rPr>
          <w:sz w:val="22"/>
          <w:szCs w:val="22"/>
        </w:rPr>
        <w:t>10</w:t>
      </w:r>
      <w:r w:rsidR="00000809" w:rsidRPr="00736277">
        <w:rPr>
          <w:sz w:val="22"/>
          <w:szCs w:val="22"/>
        </w:rPr>
        <w:t>)</w:t>
      </w:r>
      <w:r w:rsidR="002B7D6E" w:rsidRPr="00736277">
        <w:rPr>
          <w:sz w:val="22"/>
          <w:szCs w:val="22"/>
        </w:rPr>
        <w:t>. Th</w:t>
      </w:r>
      <w:r w:rsidR="00842740">
        <w:rPr>
          <w:sz w:val="22"/>
          <w:szCs w:val="22"/>
        </w:rPr>
        <w:t xml:space="preserve">e </w:t>
      </w:r>
      <w:r w:rsidR="00842740" w:rsidRPr="00AA3D0C">
        <w:rPr>
          <w:sz w:val="22"/>
          <w:szCs w:val="22"/>
        </w:rPr>
        <w:t>DGPs</w:t>
      </w:r>
      <w:r w:rsidR="00842740">
        <w:rPr>
          <w:sz w:val="22"/>
          <w:szCs w:val="22"/>
        </w:rPr>
        <w:t xml:space="preserve"> requires only the knowledge of </w:t>
      </w:r>
      <w:proofErr w:type="spellStart"/>
      <w:r w:rsidR="00842740" w:rsidRPr="00AA3D0C">
        <w:rPr>
          <w:sz w:val="22"/>
          <w:szCs w:val="22"/>
        </w:rPr>
        <w:t>E</w:t>
      </w:r>
      <w:r w:rsidR="00842740" w:rsidRPr="00AA3D0C">
        <w:rPr>
          <w:sz w:val="22"/>
          <w:szCs w:val="22"/>
          <w:vertAlign w:val="subscript"/>
        </w:rPr>
        <w:t>v</w:t>
      </w:r>
      <w:proofErr w:type="spellEnd"/>
      <w:r w:rsidR="00842740">
        <w:rPr>
          <w:sz w:val="22"/>
          <w:szCs w:val="22"/>
        </w:rPr>
        <w:t xml:space="preserve"> and it excludes </w:t>
      </w:r>
      <w:r w:rsidR="00842740" w:rsidRPr="00AA3D0C">
        <w:rPr>
          <w:sz w:val="22"/>
          <w:szCs w:val="22"/>
        </w:rPr>
        <w:t>effect of direct glare sources</w:t>
      </w:r>
      <w:r w:rsidR="00842740">
        <w:rPr>
          <w:sz w:val="22"/>
          <w:szCs w:val="22"/>
        </w:rPr>
        <w:t xml:space="preserve">; consequently it can only </w:t>
      </w:r>
      <w:r w:rsidR="002B7D6E" w:rsidRPr="00AA3D0C">
        <w:rPr>
          <w:sz w:val="22"/>
          <w:szCs w:val="22"/>
        </w:rPr>
        <w:t xml:space="preserve">be </w:t>
      </w:r>
      <w:r w:rsidR="00842740">
        <w:rPr>
          <w:sz w:val="22"/>
          <w:szCs w:val="22"/>
        </w:rPr>
        <w:t xml:space="preserve">used </w:t>
      </w:r>
      <w:r w:rsidR="002B7D6E" w:rsidRPr="00AA3D0C">
        <w:rPr>
          <w:sz w:val="22"/>
          <w:szCs w:val="22"/>
        </w:rPr>
        <w:t xml:space="preserve">when there were no specular </w:t>
      </w:r>
      <w:proofErr w:type="spellStart"/>
      <w:r w:rsidR="002B7D6E" w:rsidRPr="00AA3D0C">
        <w:rPr>
          <w:sz w:val="22"/>
          <w:szCs w:val="22"/>
        </w:rPr>
        <w:t>reflectances</w:t>
      </w:r>
      <w:proofErr w:type="spellEnd"/>
      <w:r w:rsidR="00842740">
        <w:rPr>
          <w:sz w:val="22"/>
          <w:szCs w:val="22"/>
        </w:rPr>
        <w:t xml:space="preserve"> in the scene</w:t>
      </w:r>
      <w:r w:rsidR="002B7D6E" w:rsidRPr="00AA3D0C">
        <w:rPr>
          <w:sz w:val="22"/>
          <w:szCs w:val="22"/>
        </w:rPr>
        <w:t xml:space="preserve"> and the sun </w:t>
      </w:r>
      <w:r w:rsidR="00842740">
        <w:rPr>
          <w:sz w:val="22"/>
          <w:szCs w:val="22"/>
        </w:rPr>
        <w:t>i</w:t>
      </w:r>
      <w:r w:rsidR="00842740" w:rsidRPr="00AA3D0C">
        <w:rPr>
          <w:sz w:val="22"/>
          <w:szCs w:val="22"/>
        </w:rPr>
        <w:t xml:space="preserve">s </w:t>
      </w:r>
      <w:r w:rsidR="002B7D6E" w:rsidRPr="00AA3D0C">
        <w:rPr>
          <w:sz w:val="22"/>
          <w:szCs w:val="22"/>
        </w:rPr>
        <w:t xml:space="preserve">not in the field of view </w:t>
      </w:r>
      <w:r w:rsidR="002B7D6E" w:rsidRPr="00AA3D0C">
        <w:rPr>
          <w:sz w:val="22"/>
          <w:szCs w:val="22"/>
        </w:rPr>
        <w:fldChar w:fldCharType="begin" w:fldLock="1"/>
      </w:r>
      <w:r w:rsidR="005952EA">
        <w:rPr>
          <w:sz w:val="22"/>
          <w:szCs w:val="22"/>
        </w:rPr>
        <w:instrText>ADDIN CSL_CITATION { "citationItems" : [ { "id" : "ITEM-1", "itemData" : { "author" : [ { "dropping-particle" : "", "family" : "Wienold", "given" : "Jan", "non-dropping-particle" : "", "parse-names" : false, "suffix" : "" } ], "container-title" : "Building Simulation", "id" : "ITEM-1", "issued" : { "date-parts" : [ [ "2007" ] ] }, "page" : "1197-1204", "publisher" : "IPBSA", "publisher-place" : "Beijing, China", "title" : "Dynamic simulation of blind control strategies for visual comfort and energy balance analysis", "type" : "paper-conference", "volume" : "10" }, "uris" : [ "http://www.mendeley.com/documents/?uuid=812fc984-565f-4bd6-a01b-e3b29ea0c19a", "http://www.mendeley.com/documents/?uuid=bbf1bcd0-5908-460a-b55c-9d3ab132d409" ] }, { "id" : "ITEM-2", "itemData" : { "DOI" : "10.1016/j.rser.2015.03.062", "ISSN" : "1364-0321", "abstract" : "In the last decades, several studies aimed at assessing some specified aspects of visual comfort characterizing the relationship between the human needs and the light environment, such as an available amount of light, light uniformity, light quality in rendering colors, and predicting the risk of glare for space occupants. For each of them, a (still growing) number of indices and metrics have been proposed in the literature and standards. In the present work, they are described, categorized according to common features, and finally discussed. As in the case of long-term thermal comfort indices, such visual comfort indices and their summation over a specified calculation period might be used for driving optimization processes to support a more conscious integrated design of buildings. To that purpose, the choice among the available visual comfort indices needs to be informed by an analysis of their features and implications. We present recommendations for use, and suggest areas where improvement is needed for their use in optimization processes to support buildings' design. \ufffd 2015 Elsevier Ltd. All rights reserved.", "author" : [ { "dropping-particle" : "", "family" : "Carlucci", "given" : "S", "non-dropping-particle" : "", "parse-names" : false, "suffix" : "" }, { "dropping-particle" : "", "family" : "Causone", "given" : "F", "non-dropping-particle" : "", "parse-names" : false, "suffix" : "" }, { "dropping-particle" : "", "family" : "Rosa", "given" : "F", "non-dropping-particle" : "De", "parse-names" : false, "suffix" : "" }, { "dropping-particle" : "", "family" : "Pagliano", "given" : "L", "non-dropping-particle" : "", "parse-names" : false, "suffix" : "" } ], "container-title" : "Renewable and Sustainable Energy Reviews", "id" : "ITEM-2", "issued" : { "date-parts" : [ [ "2015" ] ] }, "note" : "Cited By :41", "page" : "1016-1033", "publisher" : "Elsevier Ltd", "publisher-place" : "Affiliation: NTNU Norwegian University of Science and Technology, Department of Civil and Transport Engineering, H\ufffdgskoleringen 7A, Trondheim, Norway; Affiliation: End-use Efficiency Research Group, Energy Department, Politecnico di Milano, Milano, Italy;", "title" : "A review of indices for assessing visual comfort with a view to their use in optimization processes to support building integrated design", "type" : "article-journal", "volume" : "47" }, "uris" : [ "http://www.mendeley.com/documents/?uuid=c5a5b063-98d6-464b-a63f-07fd4ee3a051", "http://www.mendeley.com/documents/?uuid=56745b6e-ca4a-4ef3-be9b-1179aaa28848", "http://www.mendeley.com/documents/?uuid=00d2d8ce-5abe-459a-aad4-16b37dd4cc63" ] } ], "mendeley" : { "formattedCitation" : "(Wienold, 2007; Carlucci &lt;i&gt;et al.&lt;/i&gt;, 2015)", "plainTextFormattedCitation" : "(Wienold, 2007; Carlucci et al., 2015)", "previouslyFormattedCitation" : "(Wienold, 2007; Carlucci &lt;i&gt;et al.&lt;/i&gt;, 2015)" }, "properties" : { "noteIndex" : 0 }, "schema" : "https://github.com/citation-style-language/schema/raw/master/csl-citation.json" }</w:instrText>
      </w:r>
      <w:r w:rsidR="002B7D6E" w:rsidRPr="00AA3D0C">
        <w:rPr>
          <w:sz w:val="22"/>
          <w:szCs w:val="22"/>
        </w:rPr>
        <w:fldChar w:fldCharType="separate"/>
      </w:r>
      <w:r w:rsidR="002B7D6E" w:rsidRPr="00AA3D0C">
        <w:rPr>
          <w:noProof/>
          <w:sz w:val="22"/>
          <w:szCs w:val="22"/>
        </w:rPr>
        <w:t xml:space="preserve">(Wienold, 2007; Carlucci </w:t>
      </w:r>
      <w:r w:rsidR="002B7D6E" w:rsidRPr="00AA3D0C">
        <w:rPr>
          <w:i/>
          <w:noProof/>
          <w:sz w:val="22"/>
          <w:szCs w:val="22"/>
        </w:rPr>
        <w:t>et al.</w:t>
      </w:r>
      <w:r w:rsidR="002B7D6E" w:rsidRPr="00AA3D0C">
        <w:rPr>
          <w:noProof/>
          <w:sz w:val="22"/>
          <w:szCs w:val="22"/>
        </w:rPr>
        <w:t>, 2015)</w:t>
      </w:r>
      <w:r w:rsidR="002B7D6E" w:rsidRPr="00AA3D0C">
        <w:rPr>
          <w:sz w:val="22"/>
          <w:szCs w:val="22"/>
        </w:rPr>
        <w:fldChar w:fldCharType="end"/>
      </w:r>
      <w:r w:rsidR="002B7D6E" w:rsidRPr="00AA3D0C">
        <w:rPr>
          <w:sz w:val="22"/>
          <w:szCs w:val="22"/>
        </w:rPr>
        <w:t xml:space="preserve">. </w:t>
      </w:r>
      <w:proofErr w:type="spellStart"/>
      <w:r w:rsidR="009D70BD" w:rsidRPr="009D70BD">
        <w:rPr>
          <w:sz w:val="22"/>
          <w:szCs w:val="22"/>
        </w:rPr>
        <w:t>Howerver</w:t>
      </w:r>
      <w:proofErr w:type="spellEnd"/>
      <w:r w:rsidR="009D70BD" w:rsidRPr="009D70BD">
        <w:rPr>
          <w:sz w:val="22"/>
          <w:szCs w:val="22"/>
        </w:rPr>
        <w:t>, b</w:t>
      </w:r>
      <w:r w:rsidR="009D70BD" w:rsidRPr="008C63D2">
        <w:rPr>
          <w:sz w:val="22"/>
          <w:szCs w:val="22"/>
          <w:lang w:val="en-US"/>
        </w:rPr>
        <w:t xml:space="preserve">y measuring only the </w:t>
      </w:r>
      <w:proofErr w:type="spellStart"/>
      <w:r w:rsidR="009D70BD" w:rsidRPr="008C63D2">
        <w:rPr>
          <w:sz w:val="22"/>
          <w:szCs w:val="22"/>
          <w:lang w:val="en-US"/>
        </w:rPr>
        <w:t>E</w:t>
      </w:r>
      <w:r w:rsidR="009D70BD" w:rsidRPr="008C63D2">
        <w:rPr>
          <w:sz w:val="22"/>
          <w:szCs w:val="22"/>
          <w:vertAlign w:val="subscript"/>
          <w:lang w:val="en-US"/>
        </w:rPr>
        <w:t>v</w:t>
      </w:r>
      <w:proofErr w:type="spellEnd"/>
      <w:r w:rsidR="009D70BD" w:rsidRPr="008C63D2">
        <w:rPr>
          <w:sz w:val="22"/>
          <w:szCs w:val="22"/>
          <w:lang w:val="en-US"/>
        </w:rPr>
        <w:t xml:space="preserve"> rather than accounting also for the </w:t>
      </w:r>
      <w:proofErr w:type="spellStart"/>
      <w:r w:rsidR="009D70BD" w:rsidRPr="008C63D2">
        <w:rPr>
          <w:sz w:val="22"/>
          <w:szCs w:val="22"/>
          <w:lang w:val="en-US"/>
        </w:rPr>
        <w:t>L</w:t>
      </w:r>
      <w:r w:rsidR="009D70BD" w:rsidRPr="008C63D2">
        <w:rPr>
          <w:sz w:val="22"/>
          <w:szCs w:val="22"/>
          <w:vertAlign w:val="subscript"/>
          <w:lang w:val="en-US"/>
        </w:rPr>
        <w:t>b</w:t>
      </w:r>
      <w:proofErr w:type="spellEnd"/>
      <w:r w:rsidR="009D70BD" w:rsidRPr="008C63D2">
        <w:rPr>
          <w:sz w:val="22"/>
          <w:szCs w:val="22"/>
          <w:lang w:val="en-US"/>
        </w:rPr>
        <w:t xml:space="preserve"> could potentially misrepresent the glare risk </w:t>
      </w:r>
      <w:r w:rsidR="009D70BD" w:rsidRPr="008C63D2">
        <w:rPr>
          <w:sz w:val="22"/>
          <w:szCs w:val="22"/>
        </w:rPr>
        <w:fldChar w:fldCharType="begin" w:fldLock="1"/>
      </w:r>
      <w:r w:rsidR="009D70BD" w:rsidRPr="008C63D2">
        <w:rPr>
          <w:sz w:val="22"/>
          <w:szCs w:val="22"/>
        </w:rPr>
        <w:instrText>ADDIN CSL_CITATION { "citationItems" : [ { "id" : "ITEM-1", "itemData" : { "DOI" : "10.1016/j.enbuild.2015.01.057", "ISSN" : "0378-7788", "abstract" : "Currently, there is no methodical procedure for selecting solar-optical properties of roller shades, which affect the energy and indoor environmental performance of perimeter building zones. This paper presents a new systematic methodology for identifying the range of shading properties (openness factor and visible transmittance) that can significantly reduce the risk of glare. A model that calculates angular beam-beam and beam-diffuse shading optical properties using minimum inputs is used within a hybrid ray-tracing and radiosity daylighting model, validated with full-scale experiments. The temporal variation of beam and total vertical illuminance is used to define the annual visual discomfort frequency and establish a process for selecting the range of acceptable shading properties for each set of external parameters (location, orientation, glazing visible transmittance, and buffer zone). The combined impact of visible transmittance and openness factor on discomfort frequency and daylight metrics is non-linear and complex. Recommendations for openness factors and visible transmittance values are made for different scenarios. Selecting the upper limits of suggested ranges can provide more daylight into the space and reduce the probability of high contrast. These guidelines may be used for selection of shading products, followed by considerations about energy savings and provision of outside view. \ufffd 2015 Elsevier B.V.", "author" : [ { "dropping-particle" : "", "family" : "Chan", "given" : "Y -C", "non-dropping-particle" : "", "parse-names" : false, "suffix" : "" }, { "dropping-particle" : "", "family" : "Tzempelikos", "given" : "A", "non-dropping-particle" : "", "parse-names" : false, "suffix" : "" }, { "dropping-particle" : "", "family" : "Konstantzos", "given" : "I", "non-dropping-particle" : "", "parse-names" : false, "suffix" : "" } ], "container-title" : "Energy and Buildings", "id" : "ITEM-1", "issued" : { "date-parts" : [ [ "2015" ] ] }, "note" : "Cited By :18", "page" : "81-94", "publisher" : "Elsevier Ltd", "publisher-place" : "Affiliation: School of Civil Engineering, Purdue University, 550 Stadium Mall Dr., West Lafayette, IN, United States; Affiliation: Ray W. Herrick Laboratories, School of Mechanical Engineering, Purdue University, 140 S. Martin Jischke Dr., West Lafayette,", "title" : "A systematic method for selecting roller shade properties for glare protection", "type" : "article-journal", "volume" : "92" }, "uris" : [ "http://www.mendeley.com/documents/?uuid=dbd559ff-36db-4139-8e72-ce12767e3058", "http://www.mendeley.com/documents/?uuid=718f6d49-8cb9-4d9a-a7a5-bb17a12c7dc9" ] } ], "mendeley" : { "formattedCitation" : "(Chan, Tzempelikos and Konstantzos, 2015)", "manualFormatting" : "(Chan et al., 2015)", "plainTextFormattedCitation" : "(Chan, Tzempelikos and Konstantzos, 2015)", "previouslyFormattedCitation" : "(Chan, Tzempelikos and Konstantzos, 2015)" }, "properties" : { "noteIndex" : 0 }, "schema" : "https://github.com/citation-style-language/schema/raw/master/csl-citation.json" }</w:instrText>
      </w:r>
      <w:r w:rsidR="009D70BD" w:rsidRPr="008C63D2">
        <w:rPr>
          <w:sz w:val="22"/>
          <w:szCs w:val="22"/>
        </w:rPr>
        <w:fldChar w:fldCharType="separate"/>
      </w:r>
      <w:r w:rsidR="009D70BD" w:rsidRPr="008C63D2">
        <w:rPr>
          <w:noProof/>
          <w:sz w:val="22"/>
          <w:szCs w:val="22"/>
        </w:rPr>
        <w:t>(Chan et al., 2015)</w:t>
      </w:r>
      <w:r w:rsidR="009D70BD" w:rsidRPr="008C63D2">
        <w:rPr>
          <w:sz w:val="22"/>
          <w:szCs w:val="22"/>
        </w:rPr>
        <w:fldChar w:fldCharType="end"/>
      </w:r>
      <w:r w:rsidR="009D70BD" w:rsidRPr="008C63D2">
        <w:rPr>
          <w:sz w:val="22"/>
          <w:szCs w:val="22"/>
        </w:rPr>
        <w:t>.</w:t>
      </w:r>
    </w:p>
    <w:p w14:paraId="447BB8CA" w14:textId="23E76859" w:rsidR="002B7D6E" w:rsidRPr="00AA3D0C" w:rsidRDefault="002C6102" w:rsidP="00EB2DF4">
      <w:pPr>
        <w:spacing w:after="240"/>
        <w:jc w:val="both"/>
        <w:rPr>
          <w:sz w:val="22"/>
          <w:szCs w:val="22"/>
        </w:rPr>
      </w:pPr>
      <w:r>
        <w:rPr>
          <w:sz w:val="22"/>
          <w:szCs w:val="22"/>
        </w:rPr>
        <w:t>Similarly, t</w:t>
      </w:r>
      <w:r w:rsidR="00842740">
        <w:rPr>
          <w:sz w:val="22"/>
          <w:szCs w:val="22"/>
        </w:rPr>
        <w:t xml:space="preserve">he </w:t>
      </w:r>
      <w:r w:rsidR="00842740" w:rsidRPr="00AA3D0C">
        <w:rPr>
          <w:sz w:val="22"/>
          <w:szCs w:val="22"/>
        </w:rPr>
        <w:t>enhanced simplified Daylight Glare Probability</w:t>
      </w:r>
      <w:r w:rsidR="00842740">
        <w:rPr>
          <w:sz w:val="22"/>
          <w:szCs w:val="22"/>
        </w:rPr>
        <w:t xml:space="preserve"> </w:t>
      </w:r>
      <w:r w:rsidR="00842740" w:rsidRPr="00AA3D0C">
        <w:rPr>
          <w:sz w:val="22"/>
          <w:szCs w:val="22"/>
        </w:rPr>
        <w:t>(</w:t>
      </w:r>
      <w:proofErr w:type="spellStart"/>
      <w:r w:rsidR="00842740" w:rsidRPr="00AA3D0C">
        <w:rPr>
          <w:sz w:val="22"/>
          <w:szCs w:val="22"/>
        </w:rPr>
        <w:t>eDGPs</w:t>
      </w:r>
      <w:proofErr w:type="spellEnd"/>
      <w:r w:rsidR="00842740" w:rsidRPr="00AA3D0C">
        <w:rPr>
          <w:sz w:val="22"/>
          <w:szCs w:val="22"/>
        </w:rPr>
        <w:t>)</w:t>
      </w:r>
      <w:r w:rsidR="00842740">
        <w:rPr>
          <w:sz w:val="22"/>
          <w:szCs w:val="22"/>
        </w:rPr>
        <w:t xml:space="preserve"> is a</w:t>
      </w:r>
      <w:r w:rsidR="002B7D6E" w:rsidRPr="00AA3D0C">
        <w:rPr>
          <w:sz w:val="22"/>
          <w:szCs w:val="22"/>
        </w:rPr>
        <w:t xml:space="preserve">nother </w:t>
      </w:r>
      <w:r w:rsidR="00842740">
        <w:rPr>
          <w:sz w:val="22"/>
          <w:szCs w:val="22"/>
        </w:rPr>
        <w:t xml:space="preserve">“light” </w:t>
      </w:r>
      <w:r w:rsidR="002B7D6E" w:rsidRPr="00AA3D0C">
        <w:rPr>
          <w:sz w:val="22"/>
          <w:szCs w:val="22"/>
        </w:rPr>
        <w:t xml:space="preserve">version of the DGP, which </w:t>
      </w:r>
      <w:r w:rsidR="00842740">
        <w:rPr>
          <w:sz w:val="22"/>
          <w:szCs w:val="22"/>
        </w:rPr>
        <w:t xml:space="preserve">can be used if the scene is lacking of specular </w:t>
      </w:r>
      <w:proofErr w:type="spellStart"/>
      <w:r w:rsidR="00842740">
        <w:rPr>
          <w:sz w:val="22"/>
          <w:szCs w:val="22"/>
        </w:rPr>
        <w:t>reflectances</w:t>
      </w:r>
      <w:proofErr w:type="spellEnd"/>
      <w:r w:rsidR="002B7D6E" w:rsidRPr="00AA3D0C">
        <w:rPr>
          <w:sz w:val="22"/>
          <w:szCs w:val="22"/>
        </w:rPr>
        <w:t xml:space="preserve"> </w:t>
      </w:r>
      <w:r w:rsidR="002B7D6E" w:rsidRPr="00AA3D0C">
        <w:rPr>
          <w:sz w:val="22"/>
          <w:szCs w:val="22"/>
        </w:rPr>
        <w:fldChar w:fldCharType="begin" w:fldLock="1"/>
      </w:r>
      <w:r w:rsidR="005952EA">
        <w:rPr>
          <w:sz w:val="22"/>
          <w:szCs w:val="22"/>
        </w:rPr>
        <w:instrText>ADDIN CSL_CITATION { "citationItems" : [ { "id" : "ITEM-1", "itemData" : { "abstract" : "In non-residential buildings, comfort and energy demand for heating, cooling and lighting are significantly influenced by the fa\ufffdade. Up to now, only non-weighted luminance-based methods for calculating and evaluating annual daylight glare exist (Lee et al., 2005; Mardaljevic and Lomas., 1998). Within this paper, different methods based on the daylight glare probability DGP (Wienold and Christoffersen, 2006) for a dynamic calculation of glare are discussed and evaluated: Timestep by timestep calculation - RADIANCE reference method. Simplified daylight glare probability DGPs - DGP only based on vertical eye illuminance. Results of this method are similar to average luminance based evaluations. Enhanced simplified DGP calculation - DGP based on vertical eye illuminance and simplified images. The enhanced simplified DGP method is validated against two hour-by-hour full year calculations, using a fabric and a Venetian blinds shading system. For the yearly evaluation of dynamic glare results, a histogram analysis and a glare rating classification is proposed.", "author" : [ { "dropping-particle" : "", "family" : "Wienold", "given" : "J", "non-dropping-particle" : "", "parse-names" : false, "suffix" : "" } ], "container-title" : "IBPSA 2009 - International Building Performance Simulation Association 2009; 11th International IBPSA Conference - Building Simulation 2009, BS 2009", "id" : "ITEM-1", "issued" : { "date-parts" : [ [ "2009" ] ] }, "note" : "Conference code: 93271; Cited By :72", "page" : "944-951", "publisher-place" : "Affiliation: Fraunhofer Institute for Solar Energy Systems, Heidenhofstr. 2, D-79110 Freiburg, Germany; Correspondence Address: Wienold, J.; Fraunhofer Institute for Solar Energy Systems, Heidenhofstr. 2, D-79110 Freiburg, Germany; email: jan.wienold@ise.", "title" : "Dynamic daylight glare evaluation", "type" : "paper-conference" }, "uris" : [ "http://www.mendeley.com/documents/?uuid=2be9920c-a741-4675-ad4f-2e4ae0d633b2", "http://www.mendeley.com/documents/?uuid=b9caee6a-ab48-4bb6-89ea-0667747eda81" ] } ], "mendeley" : { "formattedCitation" : "(Wienold, 2009)", "plainTextFormattedCitation" : "(Wienold, 2009)", "previouslyFormattedCitation" : "(Wienold, 2009)" }, "properties" : { "noteIndex" : 0 }, "schema" : "https://github.com/citation-style-language/schema/raw/master/csl-citation.json" }</w:instrText>
      </w:r>
      <w:r w:rsidR="002B7D6E" w:rsidRPr="00AA3D0C">
        <w:rPr>
          <w:sz w:val="22"/>
          <w:szCs w:val="22"/>
        </w:rPr>
        <w:fldChar w:fldCharType="separate"/>
      </w:r>
      <w:r w:rsidR="002B7D6E" w:rsidRPr="00AA3D0C">
        <w:rPr>
          <w:noProof/>
          <w:sz w:val="22"/>
          <w:szCs w:val="22"/>
        </w:rPr>
        <w:t>(Wienold, 2009)</w:t>
      </w:r>
      <w:r w:rsidR="002B7D6E" w:rsidRPr="00AA3D0C">
        <w:rPr>
          <w:sz w:val="22"/>
          <w:szCs w:val="22"/>
        </w:rPr>
        <w:fldChar w:fldCharType="end"/>
      </w:r>
      <w:r w:rsidR="00842740">
        <w:rPr>
          <w:sz w:val="22"/>
          <w:szCs w:val="22"/>
        </w:rPr>
        <w:t xml:space="preserve"> </w:t>
      </w:r>
      <w:r w:rsidR="00D62FF2" w:rsidRPr="00736277">
        <w:rPr>
          <w:sz w:val="22"/>
          <w:szCs w:val="22"/>
        </w:rPr>
        <w:t>(eq.</w:t>
      </w:r>
      <w:r w:rsidR="00736277" w:rsidRPr="00736277">
        <w:rPr>
          <w:sz w:val="22"/>
          <w:szCs w:val="22"/>
        </w:rPr>
        <w:t>1</w:t>
      </w:r>
      <w:r w:rsidR="00532E33">
        <w:rPr>
          <w:sz w:val="22"/>
          <w:szCs w:val="22"/>
        </w:rPr>
        <w:t>1</w:t>
      </w:r>
      <w:r w:rsidR="00D62FF2" w:rsidRPr="00736277">
        <w:rPr>
          <w:sz w:val="22"/>
          <w:szCs w:val="22"/>
        </w:rPr>
        <w:t>)</w:t>
      </w:r>
      <w:r w:rsidR="002B7D6E" w:rsidRPr="00736277">
        <w:rPr>
          <w:sz w:val="22"/>
          <w:szCs w:val="22"/>
        </w:rPr>
        <w:t>.</w:t>
      </w:r>
    </w:p>
    <w:p w14:paraId="596D071B" w14:textId="77777777" w:rsidR="002B7D6E" w:rsidRDefault="002B7D6E" w:rsidP="002B7D6E">
      <w:pPr>
        <w:jc w:val="both"/>
        <w:rPr>
          <w:sz w:val="22"/>
          <w:szCs w:val="22"/>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473"/>
        <w:gridCol w:w="1042"/>
        <w:gridCol w:w="222"/>
        <w:gridCol w:w="844"/>
        <w:gridCol w:w="583"/>
      </w:tblGrid>
      <w:tr w:rsidR="009603B9" w:rsidRPr="00AA3D0C" w14:paraId="233818F1" w14:textId="77777777" w:rsidTr="00EB2DF4">
        <w:trPr>
          <w:trHeight w:val="325"/>
        </w:trPr>
        <w:tc>
          <w:tcPr>
            <w:tcW w:w="5529" w:type="dxa"/>
          </w:tcPr>
          <w:p w14:paraId="46B67BF6" w14:textId="52B7F0F8" w:rsidR="009603B9" w:rsidRPr="00EF0B8D" w:rsidRDefault="003F64C2" w:rsidP="009603B9">
            <w:pPr>
              <w:jc w:val="both"/>
              <w:rPr>
                <w:sz w:val="20"/>
                <w:szCs w:val="20"/>
                <w:lang w:val="en-US"/>
              </w:rPr>
            </w:pPr>
            <m:oMathPara>
              <m:oMathParaPr>
                <m:jc m:val="right"/>
              </m:oMathParaPr>
              <m:oMath>
                <m:r>
                  <w:rPr>
                    <w:rFonts w:ascii="Cambria Math" w:hAnsi="Cambria Math"/>
                    <w:sz w:val="22"/>
                    <w:szCs w:val="20"/>
                    <w:lang w:val="en-US"/>
                  </w:rPr>
                  <m:t>DGPs=6.22∙</m:t>
                </m:r>
                <m:sSup>
                  <m:sSupPr>
                    <m:ctrlPr>
                      <w:rPr>
                        <w:rFonts w:ascii="Cambria Math" w:hAnsi="Cambria Math"/>
                        <w:i/>
                        <w:sz w:val="22"/>
                        <w:szCs w:val="20"/>
                        <w:lang w:val="en-US"/>
                      </w:rPr>
                    </m:ctrlPr>
                  </m:sSupPr>
                  <m:e>
                    <m:r>
                      <w:rPr>
                        <w:rFonts w:ascii="Cambria Math" w:hAnsi="Cambria Math"/>
                        <w:sz w:val="22"/>
                        <w:szCs w:val="20"/>
                        <w:lang w:val="en-US"/>
                      </w:rPr>
                      <m:t>10</m:t>
                    </m:r>
                  </m:e>
                  <m:sup>
                    <m:r>
                      <w:rPr>
                        <w:rFonts w:ascii="Cambria Math" w:hAnsi="Cambria Math"/>
                        <w:sz w:val="22"/>
                        <w:szCs w:val="20"/>
                        <w:lang w:val="en-US"/>
                      </w:rPr>
                      <m:t>-5</m:t>
                    </m:r>
                  </m:sup>
                </m:sSup>
                <m:r>
                  <w:rPr>
                    <w:rFonts w:ascii="Cambria Math" w:hAnsi="Cambria Math"/>
                    <w:sz w:val="22"/>
                    <w:szCs w:val="20"/>
                    <w:lang w:val="en-US"/>
                  </w:rPr>
                  <m:t>∙</m:t>
                </m:r>
                <m:sSub>
                  <m:sSubPr>
                    <m:ctrlPr>
                      <w:rPr>
                        <w:rFonts w:ascii="Cambria Math" w:hAnsi="Cambria Math"/>
                        <w:i/>
                        <w:sz w:val="22"/>
                        <w:szCs w:val="20"/>
                        <w:lang w:val="en-US"/>
                      </w:rPr>
                    </m:ctrlPr>
                  </m:sSubPr>
                  <m:e>
                    <m:r>
                      <w:rPr>
                        <w:rFonts w:ascii="Cambria Math" w:hAnsi="Cambria Math"/>
                        <w:sz w:val="22"/>
                        <w:szCs w:val="20"/>
                        <w:lang w:val="en-US"/>
                      </w:rPr>
                      <m:t>E</m:t>
                    </m:r>
                  </m:e>
                  <m:sub>
                    <m:r>
                      <w:rPr>
                        <w:rFonts w:ascii="Cambria Math" w:hAnsi="Cambria Math"/>
                        <w:sz w:val="22"/>
                        <w:szCs w:val="20"/>
                        <w:lang w:val="en-US"/>
                      </w:rPr>
                      <m:t>v</m:t>
                    </m:r>
                  </m:sub>
                </m:sSub>
                <m:r>
                  <w:rPr>
                    <w:rFonts w:ascii="Cambria Math" w:hAnsi="Cambria Math"/>
                    <w:sz w:val="22"/>
                    <w:szCs w:val="20"/>
                    <w:lang w:val="en-US"/>
                  </w:rPr>
                  <m:t>+0.184</m:t>
                </m:r>
              </m:oMath>
            </m:oMathPara>
          </w:p>
          <w:p w14:paraId="61BE6E72" w14:textId="77777777" w:rsidR="00EF0B8D" w:rsidRPr="00EF0B8D" w:rsidRDefault="00EF0B8D" w:rsidP="009603B9">
            <w:pPr>
              <w:jc w:val="both"/>
              <w:rPr>
                <w:sz w:val="22"/>
                <w:szCs w:val="22"/>
              </w:rPr>
            </w:pPr>
          </w:p>
        </w:tc>
        <w:tc>
          <w:tcPr>
            <w:tcW w:w="1051" w:type="dxa"/>
          </w:tcPr>
          <w:p w14:paraId="61A002B3" w14:textId="77777777" w:rsidR="009603B9" w:rsidRPr="00AA3D0C" w:rsidRDefault="009603B9" w:rsidP="009603B9">
            <w:pPr>
              <w:jc w:val="both"/>
              <w:rPr>
                <w:sz w:val="22"/>
                <w:szCs w:val="22"/>
              </w:rPr>
            </w:pPr>
            <w:r w:rsidRPr="00AA3D0C">
              <w:rPr>
                <w:sz w:val="22"/>
                <w:szCs w:val="22"/>
              </w:rPr>
              <w:t>[-]</w:t>
            </w:r>
          </w:p>
        </w:tc>
        <w:tc>
          <w:tcPr>
            <w:tcW w:w="1584" w:type="dxa"/>
            <w:gridSpan w:val="3"/>
          </w:tcPr>
          <w:p w14:paraId="52946D76" w14:textId="2EF903E0" w:rsidR="009603B9" w:rsidRPr="00AA3D0C" w:rsidRDefault="009603B9" w:rsidP="009603B9">
            <w:pPr>
              <w:jc w:val="right"/>
              <w:rPr>
                <w:sz w:val="22"/>
                <w:szCs w:val="22"/>
              </w:rPr>
            </w:pPr>
            <w:r w:rsidRPr="00AA3D0C">
              <w:rPr>
                <w:sz w:val="22"/>
                <w:szCs w:val="22"/>
              </w:rPr>
              <w:t>(</w:t>
            </w:r>
            <w:r w:rsidR="00532E33">
              <w:rPr>
                <w:sz w:val="22"/>
                <w:szCs w:val="22"/>
              </w:rPr>
              <w:t>10</w:t>
            </w:r>
            <w:r w:rsidRPr="00AA3D0C">
              <w:rPr>
                <w:sz w:val="22"/>
                <w:szCs w:val="22"/>
              </w:rPr>
              <w:t>)</w:t>
            </w:r>
          </w:p>
        </w:tc>
      </w:tr>
      <w:tr w:rsidR="00EF0B8D" w:rsidRPr="00AA3D0C" w14:paraId="363E90ED" w14:textId="77777777" w:rsidTr="00EB2DF4">
        <w:trPr>
          <w:trHeight w:val="325"/>
        </w:trPr>
        <w:tc>
          <w:tcPr>
            <w:tcW w:w="6804" w:type="dxa"/>
            <w:gridSpan w:val="3"/>
          </w:tcPr>
          <w:p w14:paraId="3A219D8F" w14:textId="77777777" w:rsidR="00EF0B8D" w:rsidRPr="00EF0B8D" w:rsidRDefault="00EF0B8D" w:rsidP="009603B9">
            <w:pPr>
              <w:jc w:val="both"/>
              <w:rPr>
                <w:sz w:val="20"/>
                <w:szCs w:val="20"/>
                <w:lang w:val="en-US"/>
              </w:rPr>
            </w:pPr>
            <m:oMathPara>
              <m:oMathParaPr>
                <m:jc m:val="right"/>
              </m:oMathParaPr>
              <m:oMath>
                <m:r>
                  <w:rPr>
                    <w:rFonts w:ascii="Cambria Math" w:hAnsi="Cambria Math"/>
                    <w:sz w:val="22"/>
                    <w:szCs w:val="20"/>
                    <w:lang w:val="en-US"/>
                  </w:rPr>
                  <m:t>eDGPs=</m:t>
                </m:r>
                <m:sSub>
                  <m:sSubPr>
                    <m:ctrlPr>
                      <w:rPr>
                        <w:rFonts w:ascii="Cambria Math" w:hAnsi="Cambria Math"/>
                        <w:i/>
                        <w:sz w:val="22"/>
                        <w:szCs w:val="20"/>
                        <w:lang w:val="en-US"/>
                      </w:rPr>
                    </m:ctrlPr>
                  </m:sSubPr>
                  <m:e>
                    <m:r>
                      <w:rPr>
                        <w:rFonts w:ascii="Cambria Math" w:hAnsi="Cambria Math"/>
                        <w:sz w:val="22"/>
                        <w:szCs w:val="20"/>
                        <w:lang w:val="en-US"/>
                      </w:rPr>
                      <m:t>c</m:t>
                    </m:r>
                  </m:e>
                  <m:sub>
                    <m:r>
                      <w:rPr>
                        <w:rFonts w:ascii="Cambria Math" w:hAnsi="Cambria Math"/>
                        <w:sz w:val="22"/>
                        <w:szCs w:val="20"/>
                        <w:lang w:val="en-US"/>
                      </w:rPr>
                      <m:t>1</m:t>
                    </m:r>
                  </m:sub>
                </m:sSub>
                <m:r>
                  <w:rPr>
                    <w:rFonts w:ascii="Cambria Math" w:hAnsi="Cambria Math"/>
                    <w:sz w:val="22"/>
                    <w:szCs w:val="20"/>
                    <w:lang w:val="en-US"/>
                  </w:rPr>
                  <m:t>∙</m:t>
                </m:r>
                <m:sSub>
                  <m:sSubPr>
                    <m:ctrlPr>
                      <w:rPr>
                        <w:rFonts w:ascii="Cambria Math" w:hAnsi="Cambria Math"/>
                        <w:i/>
                        <w:sz w:val="22"/>
                        <w:szCs w:val="20"/>
                        <w:lang w:val="en-US"/>
                      </w:rPr>
                    </m:ctrlPr>
                  </m:sSubPr>
                  <m:e>
                    <m:r>
                      <w:rPr>
                        <w:rFonts w:ascii="Cambria Math" w:hAnsi="Cambria Math"/>
                        <w:sz w:val="22"/>
                        <w:szCs w:val="20"/>
                        <w:lang w:val="en-US"/>
                      </w:rPr>
                      <m:t>E</m:t>
                    </m:r>
                  </m:e>
                  <m:sub>
                    <m:r>
                      <w:rPr>
                        <w:rFonts w:ascii="Cambria Math" w:hAnsi="Cambria Math"/>
                        <w:sz w:val="22"/>
                        <w:szCs w:val="20"/>
                        <w:lang w:val="en-US"/>
                      </w:rPr>
                      <m:t>v</m:t>
                    </m:r>
                  </m:sub>
                </m:sSub>
                <m:r>
                  <w:rPr>
                    <w:rFonts w:ascii="Cambria Math" w:hAnsi="Cambria Math"/>
                    <w:sz w:val="22"/>
                    <w:szCs w:val="20"/>
                    <w:lang w:val="en-US"/>
                  </w:rPr>
                  <m:t>+</m:t>
                </m:r>
                <m:sSub>
                  <m:sSubPr>
                    <m:ctrlPr>
                      <w:rPr>
                        <w:rFonts w:ascii="Cambria Math" w:hAnsi="Cambria Math"/>
                        <w:i/>
                        <w:sz w:val="22"/>
                        <w:szCs w:val="20"/>
                        <w:lang w:val="en-US"/>
                      </w:rPr>
                    </m:ctrlPr>
                  </m:sSubPr>
                  <m:e>
                    <m:r>
                      <w:rPr>
                        <w:rFonts w:ascii="Cambria Math" w:hAnsi="Cambria Math"/>
                        <w:sz w:val="22"/>
                        <w:szCs w:val="20"/>
                        <w:lang w:val="en-US"/>
                      </w:rPr>
                      <m:t>c</m:t>
                    </m:r>
                  </m:e>
                  <m:sub>
                    <m:r>
                      <w:rPr>
                        <w:rFonts w:ascii="Cambria Math" w:hAnsi="Cambria Math"/>
                        <w:sz w:val="22"/>
                        <w:szCs w:val="20"/>
                        <w:lang w:val="en-US"/>
                      </w:rPr>
                      <m:t>2</m:t>
                    </m:r>
                  </m:sub>
                </m:sSub>
                <m:func>
                  <m:funcPr>
                    <m:ctrlPr>
                      <w:rPr>
                        <w:rFonts w:ascii="Cambria Math" w:hAnsi="Cambria Math"/>
                        <w:i/>
                        <w:sz w:val="22"/>
                        <w:szCs w:val="20"/>
                        <w:lang w:val="en-US"/>
                      </w:rPr>
                    </m:ctrlPr>
                  </m:funcPr>
                  <m:fName>
                    <m:sSub>
                      <m:sSubPr>
                        <m:ctrlPr>
                          <w:rPr>
                            <w:rFonts w:ascii="Cambria Math" w:hAnsi="Cambria Math"/>
                            <w:i/>
                            <w:sz w:val="22"/>
                            <w:szCs w:val="20"/>
                            <w:lang w:val="en-US"/>
                          </w:rPr>
                        </m:ctrlPr>
                      </m:sSubPr>
                      <m:e>
                        <m:r>
                          <w:rPr>
                            <w:rFonts w:ascii="Cambria Math" w:hAnsi="Cambria Math"/>
                            <w:sz w:val="22"/>
                            <w:szCs w:val="20"/>
                          </w:rPr>
                          <m:t>log</m:t>
                        </m:r>
                      </m:e>
                      <m:sub>
                        <m:r>
                          <w:rPr>
                            <w:rFonts w:ascii="Cambria Math" w:hAnsi="Cambria Math"/>
                            <w:sz w:val="22"/>
                            <w:szCs w:val="20"/>
                            <w:lang w:val="en-US"/>
                          </w:rPr>
                          <m:t>10</m:t>
                        </m:r>
                      </m:sub>
                    </m:sSub>
                  </m:fName>
                  <m:e>
                    <m:d>
                      <m:dPr>
                        <m:ctrlPr>
                          <w:rPr>
                            <w:rFonts w:ascii="Cambria Math" w:hAnsi="Cambria Math"/>
                            <w:i/>
                            <w:sz w:val="22"/>
                            <w:szCs w:val="20"/>
                            <w:lang w:val="en-US"/>
                          </w:rPr>
                        </m:ctrlPr>
                      </m:dPr>
                      <m:e>
                        <m:r>
                          <w:rPr>
                            <w:rFonts w:ascii="Cambria Math" w:hAnsi="Cambria Math"/>
                            <w:sz w:val="22"/>
                            <w:szCs w:val="20"/>
                            <w:lang w:val="en-US"/>
                          </w:rPr>
                          <m:t>1+</m:t>
                        </m:r>
                        <m:d>
                          <m:dPr>
                            <m:ctrlPr>
                              <w:rPr>
                                <w:rFonts w:ascii="Cambria Math" w:hAnsi="Cambria Math"/>
                                <w:i/>
                                <w:sz w:val="22"/>
                                <w:szCs w:val="20"/>
                                <w:lang w:val="en-US"/>
                              </w:rPr>
                            </m:ctrlPr>
                          </m:dPr>
                          <m:e>
                            <m:nary>
                              <m:naryPr>
                                <m:chr m:val="∑"/>
                                <m:limLoc m:val="undOvr"/>
                                <m:grow m:val="1"/>
                                <m:ctrlPr>
                                  <w:rPr>
                                    <w:rFonts w:ascii="Cambria Math" w:hAnsi="Cambria Math"/>
                                    <w:i/>
                                    <w:sz w:val="22"/>
                                    <w:szCs w:val="20"/>
                                    <w:lang w:val="en-US"/>
                                  </w:rPr>
                                </m:ctrlPr>
                              </m:naryPr>
                              <m:sub>
                                <m:r>
                                  <w:rPr>
                                    <w:rFonts w:ascii="Cambria Math" w:hAnsi="Cambria Math"/>
                                    <w:sz w:val="22"/>
                                    <w:szCs w:val="20"/>
                                    <w:lang w:val="en-US"/>
                                  </w:rPr>
                                  <m:t>i=1</m:t>
                                </m:r>
                              </m:sub>
                              <m:sup>
                                <m:r>
                                  <w:rPr>
                                    <w:rFonts w:ascii="Cambria Math" w:hAnsi="Cambria Math"/>
                                    <w:sz w:val="22"/>
                                    <w:szCs w:val="20"/>
                                    <w:lang w:val="en-US"/>
                                  </w:rPr>
                                  <m:t>n</m:t>
                                </m:r>
                              </m:sup>
                              <m:e>
                                <m:f>
                                  <m:fPr>
                                    <m:ctrlPr>
                                      <w:rPr>
                                        <w:rFonts w:ascii="Cambria Math" w:hAnsi="Cambria Math"/>
                                        <w:i/>
                                        <w:sz w:val="22"/>
                                        <w:szCs w:val="20"/>
                                        <w:lang w:val="en-US"/>
                                      </w:rPr>
                                    </m:ctrlPr>
                                  </m:fPr>
                                  <m:num>
                                    <m:sSubSup>
                                      <m:sSubSupPr>
                                        <m:ctrlPr>
                                          <w:rPr>
                                            <w:rFonts w:ascii="Cambria Math" w:hAnsi="Cambria Math"/>
                                            <w:i/>
                                            <w:sz w:val="22"/>
                                            <w:szCs w:val="20"/>
                                            <w:lang w:val="en-US"/>
                                          </w:rPr>
                                        </m:ctrlPr>
                                      </m:sSubSupPr>
                                      <m:e>
                                        <m:r>
                                          <w:rPr>
                                            <w:rFonts w:ascii="Cambria Math" w:hAnsi="Cambria Math"/>
                                            <w:sz w:val="22"/>
                                            <w:szCs w:val="20"/>
                                            <w:lang w:val="en-US"/>
                                          </w:rPr>
                                          <m:t>L</m:t>
                                        </m:r>
                                      </m:e>
                                      <m:sub>
                                        <m:r>
                                          <w:rPr>
                                            <w:rFonts w:ascii="Cambria Math" w:hAnsi="Cambria Math"/>
                                            <w:sz w:val="22"/>
                                            <w:szCs w:val="20"/>
                                            <w:lang w:val="en-US"/>
                                          </w:rPr>
                                          <m:t>s,i</m:t>
                                        </m:r>
                                      </m:sub>
                                      <m:sup>
                                        <m:r>
                                          <w:rPr>
                                            <w:rFonts w:ascii="Cambria Math" w:hAnsi="Cambria Math"/>
                                            <w:sz w:val="22"/>
                                            <w:szCs w:val="20"/>
                                            <w:lang w:val="en-US"/>
                                          </w:rPr>
                                          <m:t>2</m:t>
                                        </m:r>
                                      </m:sup>
                                    </m:sSubSup>
                                    <m:r>
                                      <w:rPr>
                                        <w:rFonts w:ascii="Cambria Math" w:hAnsi="Cambria Math"/>
                                        <w:sz w:val="22"/>
                                        <w:szCs w:val="20"/>
                                        <w:lang w:val="en-US"/>
                                      </w:rPr>
                                      <m:t>∙</m:t>
                                    </m:r>
                                    <m:sSub>
                                      <m:sSubPr>
                                        <m:ctrlPr>
                                          <w:rPr>
                                            <w:rFonts w:ascii="Cambria Math" w:hAnsi="Cambria Math"/>
                                            <w:i/>
                                            <w:sz w:val="22"/>
                                            <w:szCs w:val="20"/>
                                            <w:lang w:val="en-US"/>
                                          </w:rPr>
                                        </m:ctrlPr>
                                      </m:sSubPr>
                                      <m:e>
                                        <m:r>
                                          <w:rPr>
                                            <w:rFonts w:ascii="Cambria Math" w:hAnsi="Cambria Math"/>
                                            <w:sz w:val="22"/>
                                            <w:szCs w:val="20"/>
                                            <w:lang w:val="en-US"/>
                                          </w:rPr>
                                          <m:t>ω</m:t>
                                        </m:r>
                                      </m:e>
                                      <m:sub>
                                        <m:r>
                                          <w:rPr>
                                            <w:rFonts w:ascii="Cambria Math" w:hAnsi="Cambria Math"/>
                                            <w:sz w:val="22"/>
                                            <w:szCs w:val="20"/>
                                            <w:lang w:val="en-US"/>
                                          </w:rPr>
                                          <m:t>s,i</m:t>
                                        </m:r>
                                      </m:sub>
                                    </m:sSub>
                                  </m:num>
                                  <m:den>
                                    <m:sSubSup>
                                      <m:sSubSupPr>
                                        <m:ctrlPr>
                                          <w:rPr>
                                            <w:rFonts w:ascii="Cambria Math" w:hAnsi="Cambria Math"/>
                                            <w:i/>
                                            <w:sz w:val="22"/>
                                            <w:szCs w:val="20"/>
                                            <w:lang w:val="en-US"/>
                                          </w:rPr>
                                        </m:ctrlPr>
                                      </m:sSubSupPr>
                                      <m:e>
                                        <m:r>
                                          <w:rPr>
                                            <w:rFonts w:ascii="Cambria Math" w:hAnsi="Cambria Math"/>
                                            <w:sz w:val="22"/>
                                            <w:szCs w:val="20"/>
                                            <w:lang w:val="en-US"/>
                                          </w:rPr>
                                          <m:t>E</m:t>
                                        </m:r>
                                      </m:e>
                                      <m:sub>
                                        <m:r>
                                          <w:rPr>
                                            <w:rFonts w:ascii="Cambria Math" w:hAnsi="Cambria Math"/>
                                            <w:sz w:val="22"/>
                                            <w:szCs w:val="20"/>
                                            <w:lang w:val="en-US"/>
                                          </w:rPr>
                                          <m:t>v</m:t>
                                        </m:r>
                                      </m:sub>
                                      <m:sup>
                                        <m:r>
                                          <w:rPr>
                                            <w:rFonts w:ascii="Cambria Math" w:hAnsi="Cambria Math"/>
                                            <w:sz w:val="22"/>
                                            <w:szCs w:val="20"/>
                                            <w:lang w:val="en-US"/>
                                          </w:rPr>
                                          <m:t>1.87</m:t>
                                        </m:r>
                                      </m:sup>
                                    </m:sSubSup>
                                    <m:sSubSup>
                                      <m:sSubSupPr>
                                        <m:ctrlPr>
                                          <w:rPr>
                                            <w:rFonts w:ascii="Cambria Math" w:hAnsi="Cambria Math"/>
                                            <w:i/>
                                            <w:sz w:val="22"/>
                                            <w:szCs w:val="20"/>
                                            <w:lang w:val="en-US"/>
                                          </w:rPr>
                                        </m:ctrlPr>
                                      </m:sSubSupPr>
                                      <m:e>
                                        <m:r>
                                          <w:rPr>
                                            <w:rFonts w:ascii="Cambria Math" w:hAnsi="Cambria Math"/>
                                            <w:sz w:val="22"/>
                                            <w:szCs w:val="20"/>
                                            <w:lang w:val="en-US"/>
                                          </w:rPr>
                                          <m:t>P</m:t>
                                        </m:r>
                                      </m:e>
                                      <m:sub>
                                        <m:r>
                                          <w:rPr>
                                            <w:rFonts w:ascii="Cambria Math" w:hAnsi="Cambria Math"/>
                                            <w:sz w:val="22"/>
                                            <w:szCs w:val="20"/>
                                            <w:lang w:val="en-US"/>
                                          </w:rPr>
                                          <m:t>i</m:t>
                                        </m:r>
                                      </m:sub>
                                      <m:sup>
                                        <m:r>
                                          <w:rPr>
                                            <w:rFonts w:ascii="Cambria Math" w:hAnsi="Cambria Math"/>
                                            <w:sz w:val="22"/>
                                            <w:szCs w:val="20"/>
                                            <w:lang w:val="en-US"/>
                                          </w:rPr>
                                          <m:t>2</m:t>
                                        </m:r>
                                      </m:sup>
                                    </m:sSubSup>
                                  </m:den>
                                </m:f>
                              </m:e>
                            </m:nary>
                          </m:e>
                        </m:d>
                      </m:e>
                    </m:d>
                    <m:r>
                      <w:rPr>
                        <w:rFonts w:ascii="Cambria Math" w:hAnsi="Cambria Math"/>
                        <w:sz w:val="22"/>
                        <w:szCs w:val="20"/>
                        <w:lang w:val="en-US"/>
                      </w:rPr>
                      <m:t>+</m:t>
                    </m:r>
                    <m:sSub>
                      <m:sSubPr>
                        <m:ctrlPr>
                          <w:rPr>
                            <w:rFonts w:ascii="Cambria Math" w:hAnsi="Cambria Math"/>
                            <w:i/>
                            <w:sz w:val="22"/>
                            <w:szCs w:val="20"/>
                            <w:lang w:val="en-US"/>
                          </w:rPr>
                        </m:ctrlPr>
                      </m:sSubPr>
                      <m:e>
                        <m:r>
                          <w:rPr>
                            <w:rFonts w:ascii="Cambria Math" w:hAnsi="Cambria Math"/>
                            <w:sz w:val="22"/>
                            <w:szCs w:val="20"/>
                            <w:lang w:val="en-US"/>
                          </w:rPr>
                          <m:t>c</m:t>
                        </m:r>
                      </m:e>
                      <m:sub>
                        <m:r>
                          <w:rPr>
                            <w:rFonts w:ascii="Cambria Math" w:hAnsi="Cambria Math"/>
                            <w:sz w:val="22"/>
                            <w:szCs w:val="20"/>
                            <w:lang w:val="en-US"/>
                          </w:rPr>
                          <m:t>3</m:t>
                        </m:r>
                      </m:sub>
                    </m:sSub>
                  </m:e>
                </m:func>
              </m:oMath>
            </m:oMathPara>
          </w:p>
        </w:tc>
        <w:tc>
          <w:tcPr>
            <w:tcW w:w="851" w:type="dxa"/>
          </w:tcPr>
          <w:p w14:paraId="36A63FC8" w14:textId="77777777" w:rsidR="00EF0B8D" w:rsidRPr="00EB2DF4" w:rsidRDefault="00EF0B8D" w:rsidP="009603B9">
            <w:pPr>
              <w:jc w:val="both"/>
              <w:rPr>
                <w:sz w:val="32"/>
                <w:szCs w:val="22"/>
              </w:rPr>
            </w:pPr>
          </w:p>
          <w:p w14:paraId="22E9A46A" w14:textId="77777777" w:rsidR="00EF0B8D" w:rsidRPr="00AA3D0C" w:rsidRDefault="00EF0B8D" w:rsidP="009603B9">
            <w:pPr>
              <w:jc w:val="both"/>
              <w:rPr>
                <w:sz w:val="22"/>
                <w:szCs w:val="22"/>
              </w:rPr>
            </w:pPr>
            <w:r w:rsidRPr="00AA3D0C">
              <w:rPr>
                <w:sz w:val="22"/>
                <w:szCs w:val="22"/>
              </w:rPr>
              <w:t>[-]</w:t>
            </w:r>
          </w:p>
        </w:tc>
        <w:tc>
          <w:tcPr>
            <w:tcW w:w="509" w:type="dxa"/>
          </w:tcPr>
          <w:p w14:paraId="7855384B" w14:textId="77777777" w:rsidR="00EF0B8D" w:rsidRPr="00EB2DF4" w:rsidRDefault="00EF0B8D" w:rsidP="009603B9">
            <w:pPr>
              <w:jc w:val="right"/>
              <w:rPr>
                <w:sz w:val="32"/>
                <w:szCs w:val="22"/>
              </w:rPr>
            </w:pPr>
          </w:p>
          <w:p w14:paraId="785D8184" w14:textId="545A8BFB" w:rsidR="00EF0B8D" w:rsidRPr="00AA3D0C" w:rsidRDefault="00EF0B8D" w:rsidP="009603B9">
            <w:pPr>
              <w:jc w:val="right"/>
              <w:rPr>
                <w:sz w:val="22"/>
                <w:szCs w:val="22"/>
              </w:rPr>
            </w:pPr>
            <w:r w:rsidRPr="00AA3D0C">
              <w:rPr>
                <w:sz w:val="22"/>
                <w:szCs w:val="22"/>
              </w:rPr>
              <w:t>(</w:t>
            </w:r>
            <w:r w:rsidR="00736277">
              <w:rPr>
                <w:sz w:val="22"/>
                <w:szCs w:val="22"/>
              </w:rPr>
              <w:t>1</w:t>
            </w:r>
            <w:r w:rsidR="00532E33">
              <w:rPr>
                <w:sz w:val="22"/>
                <w:szCs w:val="22"/>
              </w:rPr>
              <w:t>1</w:t>
            </w:r>
            <w:r w:rsidRPr="00AA3D0C">
              <w:rPr>
                <w:sz w:val="22"/>
                <w:szCs w:val="22"/>
              </w:rPr>
              <w:t>)</w:t>
            </w:r>
          </w:p>
        </w:tc>
      </w:tr>
    </w:tbl>
    <w:p w14:paraId="6A08B09E" w14:textId="77777777" w:rsidR="002B7D6E" w:rsidRPr="00AA3D0C" w:rsidRDefault="002B7D6E" w:rsidP="002B7D6E">
      <w:pPr>
        <w:jc w:val="both"/>
        <w:rPr>
          <w:sz w:val="22"/>
          <w:szCs w:val="22"/>
        </w:rPr>
      </w:pPr>
    </w:p>
    <w:p w14:paraId="6A6C95F5" w14:textId="77777777" w:rsidR="002B7D6E" w:rsidRPr="00AA3D0C" w:rsidRDefault="002B7D6E" w:rsidP="002B7D6E">
      <w:pPr>
        <w:pStyle w:val="Heading3"/>
        <w:rPr>
          <w:rFonts w:ascii="Times New Roman" w:hAnsi="Times New Roman" w:cs="Times New Roman"/>
        </w:rPr>
      </w:pPr>
      <w:bookmarkStart w:id="15" w:name="_Toc532751564"/>
      <w:r w:rsidRPr="00AA3D0C">
        <w:rPr>
          <w:rFonts w:ascii="Times New Roman" w:hAnsi="Times New Roman" w:cs="Times New Roman"/>
        </w:rPr>
        <w:t>Policies framework</w:t>
      </w:r>
      <w:bookmarkEnd w:id="15"/>
    </w:p>
    <w:p w14:paraId="3D4ECBF1" w14:textId="4C84FBEE" w:rsidR="002B7D6E" w:rsidRPr="00AA3D0C" w:rsidRDefault="005E3A76" w:rsidP="002B7D6E">
      <w:pPr>
        <w:jc w:val="both"/>
        <w:rPr>
          <w:sz w:val="22"/>
          <w:szCs w:val="22"/>
        </w:rPr>
      </w:pPr>
      <w:r>
        <w:rPr>
          <w:sz w:val="22"/>
          <w:szCs w:val="22"/>
        </w:rPr>
        <w:t>Some</w:t>
      </w:r>
      <w:r w:rsidR="002B7D6E" w:rsidRPr="00AA3D0C">
        <w:rPr>
          <w:sz w:val="22"/>
          <w:szCs w:val="22"/>
        </w:rPr>
        <w:t xml:space="preserve"> standards</w:t>
      </w:r>
      <w:r>
        <w:rPr>
          <w:sz w:val="22"/>
          <w:szCs w:val="22"/>
        </w:rPr>
        <w:t xml:space="preserve">, </w:t>
      </w:r>
      <w:r w:rsidR="002B7D6E" w:rsidRPr="00AA3D0C">
        <w:rPr>
          <w:sz w:val="22"/>
          <w:szCs w:val="22"/>
        </w:rPr>
        <w:t>regulations</w:t>
      </w:r>
      <w:r>
        <w:rPr>
          <w:sz w:val="22"/>
          <w:szCs w:val="22"/>
        </w:rPr>
        <w:t xml:space="preserve"> and certification mechanisms</w:t>
      </w:r>
      <w:r w:rsidR="002B7D6E" w:rsidRPr="00AA3D0C">
        <w:rPr>
          <w:sz w:val="22"/>
          <w:szCs w:val="22"/>
        </w:rPr>
        <w:t xml:space="preserve"> dedicate sections regarding daylight evaluation. </w:t>
      </w:r>
      <w:r>
        <w:rPr>
          <w:sz w:val="22"/>
          <w:szCs w:val="22"/>
        </w:rPr>
        <w:t>In most cases, glare is evaluated in a very simple way</w:t>
      </w:r>
      <w:r w:rsidR="002B7D6E" w:rsidRPr="00AA3D0C">
        <w:rPr>
          <w:sz w:val="22"/>
          <w:szCs w:val="22"/>
        </w:rPr>
        <w:t>.</w:t>
      </w:r>
    </w:p>
    <w:p w14:paraId="12F2AAEE" w14:textId="77777777" w:rsidR="002B7D6E" w:rsidRPr="00AA3D0C" w:rsidRDefault="002B7D6E" w:rsidP="002B7D6E">
      <w:pPr>
        <w:jc w:val="both"/>
        <w:rPr>
          <w:sz w:val="22"/>
          <w:szCs w:val="22"/>
        </w:rPr>
      </w:pPr>
    </w:p>
    <w:p w14:paraId="02941FCA" w14:textId="30C871F6" w:rsidR="002B7D6E" w:rsidRPr="00AA3D0C" w:rsidRDefault="005E3A76" w:rsidP="002B7D6E">
      <w:pPr>
        <w:jc w:val="both"/>
        <w:rPr>
          <w:sz w:val="22"/>
          <w:szCs w:val="22"/>
        </w:rPr>
      </w:pPr>
      <w:r>
        <w:rPr>
          <w:sz w:val="22"/>
          <w:szCs w:val="22"/>
        </w:rPr>
        <w:t>For example</w:t>
      </w:r>
      <w:r w:rsidR="002B7D6E" w:rsidRPr="00AA3D0C">
        <w:rPr>
          <w:sz w:val="22"/>
          <w:szCs w:val="22"/>
        </w:rPr>
        <w:t xml:space="preserve">, the Building Research Establishment Environmental </w:t>
      </w:r>
      <w:r w:rsidR="00EF02D3">
        <w:rPr>
          <w:sz w:val="22"/>
          <w:szCs w:val="22"/>
        </w:rPr>
        <w:t xml:space="preserve">Assessment </w:t>
      </w:r>
      <w:r w:rsidR="002B7D6E" w:rsidRPr="00AA3D0C">
        <w:rPr>
          <w:sz w:val="22"/>
          <w:szCs w:val="22"/>
        </w:rPr>
        <w:t xml:space="preserve">Method </w:t>
      </w:r>
      <w:r w:rsidR="002B7D6E" w:rsidRPr="00AA3D0C">
        <w:rPr>
          <w:sz w:val="22"/>
          <w:szCs w:val="22"/>
        </w:rPr>
        <w:fldChar w:fldCharType="begin" w:fldLock="1"/>
      </w:r>
      <w:r w:rsidR="004F26FE">
        <w:rPr>
          <w:sz w:val="22"/>
          <w:szCs w:val="22"/>
        </w:rPr>
        <w:instrText>ADDIN CSL_CITATION { "citationItems" : [ { "id" : "ITEM-1", "itemData" : { "author" : [ { "dropping-particle" : "", "family" : "BREEAM", "given" : "", "non-dropping-particle" : "", "parse-names" : false, "suffix" : "" } ], "container-title" : "Technical Manual", "id" : "ITEM-1", "issued" : { "date-parts" : [ [ "2017" ] ] }, "page" : "76-90", "publisher" : "SGBC and BRE Global", "publisher-place" : "s.l.", "title" : "BREEAM-SE New Construction", "type" : "article-journal", "volume" : "1.0" }, "uris" : [ "http://www.mendeley.com/documents/?uuid=4d889c52-2ba9-41be-9242-aaf2dbde7685", "http://www.mendeley.com/documents/?uuid=b1ce2a85-2659-45f4-9b95-0f6f62d24284" ] } ], "mendeley" : { "formattedCitation" : "(BREEAM, 2017)", "manualFormatting" : "(BREEAM, 2017)", "plainTextFormattedCitation" : "(BREEAM, 2017)", "previouslyFormattedCitation" : "(BREEAM, 2017)" }, "properties" : { "noteIndex" : 0 }, "schema" : "https://github.com/citation-style-language/schema/raw/master/csl-citation.json" }</w:instrText>
      </w:r>
      <w:r w:rsidR="002B7D6E" w:rsidRPr="00AA3D0C">
        <w:rPr>
          <w:sz w:val="22"/>
          <w:szCs w:val="22"/>
        </w:rPr>
        <w:fldChar w:fldCharType="separate"/>
      </w:r>
      <w:r w:rsidR="002B7D6E" w:rsidRPr="00AA3D0C">
        <w:rPr>
          <w:noProof/>
          <w:sz w:val="22"/>
          <w:szCs w:val="22"/>
        </w:rPr>
        <w:t>(BREE</w:t>
      </w:r>
      <w:r w:rsidR="00EF02D3">
        <w:rPr>
          <w:noProof/>
          <w:sz w:val="22"/>
          <w:szCs w:val="22"/>
        </w:rPr>
        <w:t>A</w:t>
      </w:r>
      <w:r w:rsidR="002B7D6E" w:rsidRPr="00AA3D0C">
        <w:rPr>
          <w:noProof/>
          <w:sz w:val="22"/>
          <w:szCs w:val="22"/>
        </w:rPr>
        <w:t>M, 2017)</w:t>
      </w:r>
      <w:r w:rsidR="002B7D6E" w:rsidRPr="00AA3D0C">
        <w:rPr>
          <w:sz w:val="22"/>
          <w:szCs w:val="22"/>
        </w:rPr>
        <w:fldChar w:fldCharType="end"/>
      </w:r>
      <w:r>
        <w:rPr>
          <w:sz w:val="22"/>
          <w:szCs w:val="22"/>
        </w:rPr>
        <w:t xml:space="preserve"> mentions a</w:t>
      </w:r>
      <w:r w:rsidR="002B7D6E" w:rsidRPr="00AA3D0C">
        <w:rPr>
          <w:sz w:val="22"/>
          <w:szCs w:val="22"/>
        </w:rPr>
        <w:t xml:space="preserve"> </w:t>
      </w:r>
      <w:r w:rsidRPr="00AA3D0C">
        <w:rPr>
          <w:sz w:val="22"/>
          <w:szCs w:val="22"/>
        </w:rPr>
        <w:t xml:space="preserve">method for glare control </w:t>
      </w:r>
      <w:r>
        <w:rPr>
          <w:sz w:val="22"/>
          <w:szCs w:val="22"/>
        </w:rPr>
        <w:t xml:space="preserve">that </w:t>
      </w:r>
      <w:r w:rsidR="002B7D6E" w:rsidRPr="00AA3D0C">
        <w:rPr>
          <w:sz w:val="22"/>
          <w:szCs w:val="22"/>
        </w:rPr>
        <w:t xml:space="preserve">focuses on the form of the building and the designed shading system </w:t>
      </w:r>
      <w:r w:rsidR="00DD7E15">
        <w:rPr>
          <w:sz w:val="22"/>
          <w:szCs w:val="22"/>
        </w:rPr>
        <w:t>(</w:t>
      </w:r>
      <w:r w:rsidR="002B7D6E" w:rsidRPr="00AA3D0C">
        <w:rPr>
          <w:sz w:val="22"/>
          <w:szCs w:val="22"/>
        </w:rPr>
        <w:t>automatic or manual</w:t>
      </w:r>
      <w:r w:rsidR="00DD7E15">
        <w:rPr>
          <w:sz w:val="22"/>
          <w:szCs w:val="22"/>
        </w:rPr>
        <w:t>)</w:t>
      </w:r>
      <w:r>
        <w:rPr>
          <w:sz w:val="22"/>
          <w:szCs w:val="22"/>
        </w:rPr>
        <w:t>. BREEAM</w:t>
      </w:r>
      <w:r w:rsidR="002B7D6E" w:rsidRPr="00AA3D0C">
        <w:rPr>
          <w:sz w:val="22"/>
          <w:szCs w:val="22"/>
        </w:rPr>
        <w:t xml:space="preserve"> does not specify a glare prediction metric; rather it states that glare control, through shading systems, would not be necessary when the sun would not face the façade directly or under cloudy conditions. In other terms, BREE</w:t>
      </w:r>
      <w:r w:rsidR="009D31B0">
        <w:rPr>
          <w:sz w:val="22"/>
          <w:szCs w:val="22"/>
        </w:rPr>
        <w:t>A</w:t>
      </w:r>
      <w:r w:rsidR="002B7D6E" w:rsidRPr="00AA3D0C">
        <w:rPr>
          <w:sz w:val="22"/>
          <w:szCs w:val="22"/>
        </w:rPr>
        <w:t xml:space="preserve">M, implies that the main cause for glare problems derives from </w:t>
      </w:r>
      <w:r>
        <w:rPr>
          <w:sz w:val="22"/>
          <w:szCs w:val="22"/>
        </w:rPr>
        <w:t xml:space="preserve">direct sun </w:t>
      </w:r>
      <w:r w:rsidR="002B7D6E" w:rsidRPr="00AA3D0C">
        <w:rPr>
          <w:sz w:val="22"/>
          <w:szCs w:val="22"/>
        </w:rPr>
        <w:t>beam</w:t>
      </w:r>
      <w:r>
        <w:rPr>
          <w:sz w:val="22"/>
          <w:szCs w:val="22"/>
        </w:rPr>
        <w:t>s</w:t>
      </w:r>
      <w:r w:rsidR="002B7D6E" w:rsidRPr="00AA3D0C">
        <w:rPr>
          <w:sz w:val="22"/>
          <w:szCs w:val="22"/>
        </w:rPr>
        <w:t xml:space="preserve"> and the visible sun. </w:t>
      </w:r>
      <w:r>
        <w:rPr>
          <w:sz w:val="22"/>
          <w:szCs w:val="22"/>
        </w:rPr>
        <w:t>A</w:t>
      </w:r>
      <w:r w:rsidR="002B7D6E" w:rsidRPr="00AA3D0C">
        <w:rPr>
          <w:sz w:val="22"/>
          <w:szCs w:val="22"/>
        </w:rPr>
        <w:t xml:space="preserve">ny possible glare </w:t>
      </w:r>
      <w:r>
        <w:rPr>
          <w:sz w:val="22"/>
          <w:szCs w:val="22"/>
        </w:rPr>
        <w:t>arising from excessive</w:t>
      </w:r>
      <w:r w:rsidR="002B7D6E" w:rsidRPr="00AA3D0C">
        <w:rPr>
          <w:sz w:val="22"/>
          <w:szCs w:val="22"/>
        </w:rPr>
        <w:t xml:space="preserve"> contrast </w:t>
      </w:r>
      <w:r>
        <w:rPr>
          <w:sz w:val="22"/>
          <w:szCs w:val="22"/>
        </w:rPr>
        <w:t>is</w:t>
      </w:r>
      <w:r w:rsidRPr="00AA3D0C">
        <w:rPr>
          <w:sz w:val="22"/>
          <w:szCs w:val="22"/>
        </w:rPr>
        <w:t xml:space="preserve"> </w:t>
      </w:r>
      <w:r w:rsidR="002B7D6E" w:rsidRPr="00AA3D0C">
        <w:rPr>
          <w:sz w:val="22"/>
          <w:szCs w:val="22"/>
        </w:rPr>
        <w:t>excluded.</w:t>
      </w:r>
    </w:p>
    <w:p w14:paraId="07944C1F" w14:textId="77777777" w:rsidR="002B7D6E" w:rsidRPr="00AA3D0C" w:rsidRDefault="002B7D6E" w:rsidP="002B7D6E">
      <w:pPr>
        <w:jc w:val="both"/>
        <w:rPr>
          <w:sz w:val="22"/>
          <w:szCs w:val="22"/>
        </w:rPr>
      </w:pPr>
    </w:p>
    <w:p w14:paraId="5F38FC88" w14:textId="07DB66F1" w:rsidR="002B7D6E" w:rsidRPr="00AA3D0C" w:rsidRDefault="002B7D6E" w:rsidP="002B7D6E">
      <w:pPr>
        <w:jc w:val="both"/>
        <w:rPr>
          <w:sz w:val="22"/>
          <w:szCs w:val="22"/>
        </w:rPr>
      </w:pPr>
      <w:r w:rsidRPr="00AA3D0C">
        <w:rPr>
          <w:sz w:val="22"/>
          <w:szCs w:val="22"/>
        </w:rPr>
        <w:t xml:space="preserve">Likewise, the Leadership in Energy and Environmental Design rating system </w:t>
      </w:r>
      <w:r w:rsidRPr="00AA3D0C">
        <w:rPr>
          <w:sz w:val="22"/>
          <w:szCs w:val="22"/>
        </w:rPr>
        <w:fldChar w:fldCharType="begin" w:fldLock="1"/>
      </w:r>
      <w:r w:rsidR="004F26FE">
        <w:rPr>
          <w:sz w:val="22"/>
          <w:szCs w:val="22"/>
        </w:rPr>
        <w:instrText>ADDIN CSL_CITATION { "citationItems" : [ { "id" : "ITEM-1", "itemData" : { "author" : [ { "dropping-particle" : "", "family" : "LEED", "given" : "", "non-dropping-particle" : "", "parse-names" : false, "suffix" : "" } ], "id" : "ITEM-1", "issued" : { "date-parts" : [ [ "2018" ] ] }, "page" : "132-134", "publisher" : "USGBC", "publisher-place" : "s.l.", "title" : "Building Design and Construction Agenda", "type" : "article-journal", "volume" : "4" }, "uris" : [ "http://www.mendeley.com/documents/?uuid=02dbc384-85a6-4b65-b279-250b6af91ab6", "http://www.mendeley.com/documents/?uuid=23007e8d-36b1-426a-9d78-b7628d98f564" ] } ], "mendeley" : { "formattedCitation" : "(LEED, 2018)", "plainTextFormattedCitation" : "(LEED, 2018)", "previouslyFormattedCitation" : "(LEED, 2018)" }, "properties" : { "noteIndex" : 0 }, "schema" : "https://github.com/citation-style-language/schema/raw/master/csl-citation.json" }</w:instrText>
      </w:r>
      <w:r w:rsidRPr="00AA3D0C">
        <w:rPr>
          <w:sz w:val="22"/>
          <w:szCs w:val="22"/>
        </w:rPr>
        <w:fldChar w:fldCharType="separate"/>
      </w:r>
      <w:r w:rsidRPr="00AA3D0C">
        <w:rPr>
          <w:noProof/>
          <w:sz w:val="22"/>
          <w:szCs w:val="22"/>
        </w:rPr>
        <w:t>(LEED, 2018)</w:t>
      </w:r>
      <w:r w:rsidRPr="00AA3D0C">
        <w:rPr>
          <w:sz w:val="22"/>
          <w:szCs w:val="22"/>
        </w:rPr>
        <w:fldChar w:fldCharType="end"/>
      </w:r>
      <w:r w:rsidRPr="00AA3D0C">
        <w:rPr>
          <w:sz w:val="22"/>
          <w:szCs w:val="22"/>
        </w:rPr>
        <w:t xml:space="preserve"> requires, as a first step, the implementation of an occupant-control or semi-automatic shading system. Following, based on annual simulation with the shading system being excluded, the sp</w:t>
      </w:r>
      <w:r w:rsidR="00AB4BAC">
        <w:rPr>
          <w:sz w:val="22"/>
          <w:szCs w:val="22"/>
        </w:rPr>
        <w:t>atial</w:t>
      </w:r>
      <w:r w:rsidRPr="00AA3D0C">
        <w:rPr>
          <w:sz w:val="22"/>
          <w:szCs w:val="22"/>
        </w:rPr>
        <w:t xml:space="preserve"> Daylight Autonomy (sDA</w:t>
      </w:r>
      <w:r w:rsidRPr="00AA3D0C">
        <w:rPr>
          <w:sz w:val="22"/>
          <w:szCs w:val="22"/>
          <w:vertAlign w:val="subscript"/>
        </w:rPr>
        <w:t>300/50%</w:t>
      </w:r>
      <w:r w:rsidRPr="00AA3D0C">
        <w:rPr>
          <w:sz w:val="22"/>
          <w:szCs w:val="22"/>
        </w:rPr>
        <w:t>) is recommended to be at least</w:t>
      </w:r>
      <w:r w:rsidR="001718B9">
        <w:rPr>
          <w:rStyle w:val="FootnoteReference"/>
          <w:sz w:val="22"/>
          <w:szCs w:val="22"/>
        </w:rPr>
        <w:footnoteReference w:id="6"/>
      </w:r>
      <w:r w:rsidRPr="00AA3D0C">
        <w:rPr>
          <w:sz w:val="22"/>
          <w:szCs w:val="22"/>
        </w:rPr>
        <w:t xml:space="preserve"> </w:t>
      </w:r>
      <w:r w:rsidR="001718B9">
        <w:rPr>
          <w:sz w:val="22"/>
          <w:szCs w:val="22"/>
        </w:rPr>
        <w:t>55</w:t>
      </w:r>
      <w:r w:rsidRPr="00AA3D0C">
        <w:rPr>
          <w:sz w:val="22"/>
          <w:szCs w:val="22"/>
        </w:rPr>
        <w:t>%, while the Annual Sunlight Exposure (ASE</w:t>
      </w:r>
      <w:r w:rsidRPr="00AA3D0C">
        <w:rPr>
          <w:sz w:val="22"/>
          <w:szCs w:val="22"/>
          <w:vertAlign w:val="subscript"/>
        </w:rPr>
        <w:t>1000,250</w:t>
      </w:r>
      <w:r w:rsidRPr="00AA3D0C">
        <w:rPr>
          <w:sz w:val="22"/>
          <w:szCs w:val="22"/>
        </w:rPr>
        <w:t xml:space="preserve">) below 10%. Alternatively, according to LEED, the illuminance levels should not exceed the 3000lx. Although, </w:t>
      </w:r>
      <w:proofErr w:type="spellStart"/>
      <w:r w:rsidRPr="00AA3D0C">
        <w:rPr>
          <w:sz w:val="22"/>
          <w:szCs w:val="22"/>
        </w:rPr>
        <w:t>sDA</w:t>
      </w:r>
      <w:proofErr w:type="spellEnd"/>
      <w:r w:rsidRPr="00AA3D0C">
        <w:rPr>
          <w:sz w:val="22"/>
          <w:szCs w:val="22"/>
        </w:rPr>
        <w:t xml:space="preserve"> is considered as a reliable zonal glare measurement </w:t>
      </w:r>
      <w:r w:rsidRPr="00AA3D0C">
        <w:rPr>
          <w:sz w:val="22"/>
          <w:szCs w:val="22"/>
        </w:rPr>
        <w:fldChar w:fldCharType="begin" w:fldLock="1"/>
      </w:r>
      <w:r w:rsidR="005952EA">
        <w:rPr>
          <w:sz w:val="22"/>
          <w:szCs w:val="22"/>
        </w:rPr>
        <w:instrText>ADDIN CSL_CITATION { "citationItems" : [ { "id" : "ITEM-1", "itemData" : { "DOI" : "10.1016/j.enbuild.2016.06.007", "ISSN" : "0378-7788", "abstract" : "The capability of expressing all the different aspects of the building's performance, besides and beyond the mere energy behavior is becoming more and more important, because of the increased expectations related to either new construction or the renovation of existing buildings. Even though building energy performance is one of the main aims of an appropriate design process or of a suitable management strategy during the operation phase, it can be strongly undermined by the underestimation of the role of the indoor environmental quality. Poor thermal or visual comfort not only affects occupant satisfaction, well-being and productivity, but also induces actions and operations that ultimately compromise the energy efficiency targets. In order to support the design approach, including, since the very beginning, the comfort conditions among the design requisites, a set of metrics is proposed in this work, considering either time constancy or spatial uniformity of a single comfort aspect -or of different aspects at the same time. These metrics have been applied to a simulated reference environment, in order to test their ability to represent the performance of the envelope components when comparing building configurations characterized by high solar and daylighting gains and different window and shading configurations. \ufffd 2016 Elsevier B.V. All rights reserved.", "author" : [ { "dropping-particle" : "", "family" : "Atzeri", "given" : "A M", "non-dropping-particle" : "", "parse-names" : false, "suffix" : "" }, { "dropping-particle" : "", "family" : "Cappelletti", "given" : "F", "non-dropping-particle" : "", "parse-names" : false, "suffix" : "" }, { "dropping-particle" : "", "family" : "Tzempelikos", "given" : "A", "non-dropping-particle" : "", "parse-names" : false, "suffix" : "" }, { "dropping-particle" : "", "family" : "Gasparella", "given" : "A", "non-dropping-particle" : "", "parse-names" : false, "suffix" : "" } ], "container-title" : "Energy and Buildings", "id" : "ITEM-1", "issued" : { "date-parts" : [ [ "2016" ] ] }, "note" : "Cited By :4", "page" : "411-424", "publisher" : "Elsevier Ltd", "publisher-place" : "Affiliation: Free University of Bolzano/Bozen, Faculty of Science and Technology, Bolzano/Bozen, Italy; Affiliation: University IUAV of Venezia, Dpt. of Design and Planning in Complex Environments, Venezia, Italy; Affiliation: Purdue University, School of", "title" : "Comfort metrics for an integrated evaluation of buildings performance", "type" : "article-journal", "volume" : "127" }, "uris" : [ "http://www.mendeley.com/documents/?uuid=47cba7b6-ff5f-498a-826e-81967d2a7f67", "http://www.mendeley.com/documents/?uuid=4f981fe3-7ef5-45b1-9e38-58812d7252df" ] }, { "id" : "ITEM-2", "itemData" : { "author" : [ { "dropping-particle" : "", "family" : "IES", "given" : "", "non-dropping-particle" : "", "parse-names" : false, "suffix" : "" } ], "id" : "ITEM-2", "issued" : { "date-parts" : [ [ "2012" ] ] }, "title" : "Approved Method: IES Spatial Daylight Autonomy (sDA) and Annual Sunlight Exposure (ASE)", "type" : "report" }, "uris" : [ "http://www.mendeley.com/documents/?uuid=7aaf8b21-adb1-4998-bc2a-d7c5d9643d3e", "http://www.mendeley.com/documents/?uuid=c0577468-c425-4656-a836-69c2fb4b7613" ] } ], "mendeley" : { "formattedCitation" : "(IES, 2012; Atzeri &lt;i&gt;et al.&lt;/i&gt;, 2016)", "plainTextFormattedCitation" : "(IES, 2012; Atzeri et al., 2016)", "previouslyFormattedCitation" : "(IES, 2012; Atzeri &lt;i&gt;et al.&lt;/i&gt;, 2016)" }, "properties" : { "noteIndex" : 0 }, "schema" : "https://github.com/citation-style-language/schema/raw/master/csl-citation.json" }</w:instrText>
      </w:r>
      <w:r w:rsidRPr="00AA3D0C">
        <w:rPr>
          <w:sz w:val="22"/>
          <w:szCs w:val="22"/>
        </w:rPr>
        <w:fldChar w:fldCharType="separate"/>
      </w:r>
      <w:r w:rsidRPr="00AA3D0C">
        <w:rPr>
          <w:noProof/>
          <w:sz w:val="22"/>
          <w:szCs w:val="22"/>
        </w:rPr>
        <w:t xml:space="preserve">(IES, 2012; Atzeri </w:t>
      </w:r>
      <w:r w:rsidRPr="00AA3D0C">
        <w:rPr>
          <w:i/>
          <w:noProof/>
          <w:sz w:val="22"/>
          <w:szCs w:val="22"/>
        </w:rPr>
        <w:t>et al.</w:t>
      </w:r>
      <w:r w:rsidRPr="00AA3D0C">
        <w:rPr>
          <w:noProof/>
          <w:sz w:val="22"/>
          <w:szCs w:val="22"/>
        </w:rPr>
        <w:t>, 2016)</w:t>
      </w:r>
      <w:r w:rsidRPr="00AA3D0C">
        <w:rPr>
          <w:sz w:val="22"/>
          <w:szCs w:val="22"/>
        </w:rPr>
        <w:fldChar w:fldCharType="end"/>
      </w:r>
      <w:r w:rsidRPr="00AA3D0C">
        <w:rPr>
          <w:sz w:val="22"/>
          <w:szCs w:val="22"/>
        </w:rPr>
        <w:t xml:space="preserve">, ASE, </w:t>
      </w:r>
      <w:proofErr w:type="spellStart"/>
      <w:r w:rsidRPr="00AA3D0C">
        <w:rPr>
          <w:sz w:val="22"/>
          <w:szCs w:val="22"/>
        </w:rPr>
        <w:t>sDA</w:t>
      </w:r>
      <w:proofErr w:type="spellEnd"/>
      <w:r w:rsidRPr="00AA3D0C">
        <w:rPr>
          <w:sz w:val="22"/>
          <w:szCs w:val="22"/>
        </w:rPr>
        <w:t xml:space="preserve"> and illuminance levels could be accounted only as preliminary glare indicators and not as actual glare metrics.</w:t>
      </w:r>
    </w:p>
    <w:p w14:paraId="283CD1E1" w14:textId="77777777" w:rsidR="002B7D6E" w:rsidRPr="00AA3D0C" w:rsidRDefault="002B7D6E" w:rsidP="002B7D6E">
      <w:pPr>
        <w:jc w:val="both"/>
        <w:rPr>
          <w:sz w:val="22"/>
          <w:szCs w:val="22"/>
        </w:rPr>
      </w:pPr>
    </w:p>
    <w:p w14:paraId="404C5F2F" w14:textId="2E47E166" w:rsidR="002B7D6E" w:rsidRDefault="002B7D6E" w:rsidP="002B7D6E">
      <w:pPr>
        <w:jc w:val="both"/>
        <w:rPr>
          <w:sz w:val="22"/>
          <w:szCs w:val="22"/>
        </w:rPr>
      </w:pPr>
      <w:r w:rsidRPr="00AA3D0C">
        <w:rPr>
          <w:sz w:val="22"/>
          <w:szCs w:val="22"/>
        </w:rPr>
        <w:t xml:space="preserve">A more specific method for glare estimation is to be presented in the European Standard on Daylight of Buildings, currently under development </w:t>
      </w:r>
      <w:r w:rsidRPr="00AA3D0C">
        <w:rPr>
          <w:sz w:val="22"/>
          <w:szCs w:val="22"/>
        </w:rPr>
        <w:fldChar w:fldCharType="begin" w:fldLock="1"/>
      </w:r>
      <w:r w:rsidR="004F26FE">
        <w:rPr>
          <w:sz w:val="22"/>
          <w:szCs w:val="22"/>
        </w:rPr>
        <w:instrText>ADDIN CSL_CITATION { "citationItems" : [ { "id" : "ITEM-1", "itemData" : { "author" : [ { "dropping-particle" : "", "family" : "prEN 17037", "given" : "", "non-dropping-particle" : "", "parse-names" : false, "suffix" : "" } ], "container-title" : "European Standard", "id" : "ITEM-1", "issued" : { "date-parts" : [ [ "2016" ] ] }, "number-of-pages" : "63", "publisher" : "British Standards Institution (BSI)", "title" : "Daylight of buildings", "type" : "book" }, "uris" : [ "http://www.mendeley.com/documents/?uuid=eb735eed-5498-425a-b804-97d0ea7d6d34", "http://www.mendeley.com/documents/?uuid=b1de80a8-25c7-470a-a1f9-0c60d95672ed" ] } ], "mendeley" : { "formattedCitation" : "(prEN 17037, 2016)", "plainTextFormattedCitation" : "(prEN 17037, 2016)", "previouslyFormattedCitation" : "(prEN 17037, 2016)" }, "properties" : { "noteIndex" : 0 }, "schema" : "https://github.com/citation-style-language/schema/raw/master/csl-citation.json" }</w:instrText>
      </w:r>
      <w:r w:rsidRPr="00AA3D0C">
        <w:rPr>
          <w:sz w:val="22"/>
          <w:szCs w:val="22"/>
        </w:rPr>
        <w:fldChar w:fldCharType="separate"/>
      </w:r>
      <w:r w:rsidRPr="00AA3D0C">
        <w:rPr>
          <w:noProof/>
          <w:sz w:val="22"/>
          <w:szCs w:val="22"/>
        </w:rPr>
        <w:t>(prEN 17037, 2016)</w:t>
      </w:r>
      <w:r w:rsidRPr="00AA3D0C">
        <w:rPr>
          <w:sz w:val="22"/>
          <w:szCs w:val="22"/>
        </w:rPr>
        <w:fldChar w:fldCharType="end"/>
      </w:r>
      <w:r w:rsidRPr="00AA3D0C">
        <w:rPr>
          <w:sz w:val="22"/>
          <w:szCs w:val="22"/>
        </w:rPr>
        <w:t xml:space="preserve">. According to the index of the standard drafts, the DGP metric should be used. The current draft recommends DGP to be at most 0.45 or 0.35 for minimum or maximum glare protection, while </w:t>
      </w:r>
      <w:r w:rsidR="00AB4BAC">
        <w:rPr>
          <w:sz w:val="22"/>
          <w:szCs w:val="22"/>
        </w:rPr>
        <w:t xml:space="preserve">it </w:t>
      </w:r>
      <w:r w:rsidRPr="00AA3D0C">
        <w:rPr>
          <w:sz w:val="22"/>
          <w:szCs w:val="22"/>
        </w:rPr>
        <w:t>could exceed those values but only for maximum 5% during the occupied time.</w:t>
      </w:r>
    </w:p>
    <w:p w14:paraId="2283E2E4" w14:textId="77777777" w:rsidR="002B7D6E" w:rsidRPr="00AA3D0C" w:rsidRDefault="002B7D6E" w:rsidP="002B7D6E">
      <w:pPr>
        <w:pStyle w:val="Rubrik2-Byfy"/>
        <w:rPr>
          <w:rFonts w:cs="Times New Roman"/>
        </w:rPr>
      </w:pPr>
      <w:bookmarkStart w:id="16" w:name="_Toc532751565"/>
      <w:r w:rsidRPr="00AA3D0C">
        <w:rPr>
          <w:rFonts w:cs="Times New Roman"/>
        </w:rPr>
        <w:lastRenderedPageBreak/>
        <w:t>Thesis questions</w:t>
      </w:r>
      <w:bookmarkEnd w:id="16"/>
    </w:p>
    <w:p w14:paraId="38A40F88" w14:textId="762816B2" w:rsidR="002B7D6E" w:rsidRPr="00AA3D0C" w:rsidRDefault="002B7D6E" w:rsidP="002B7D6E">
      <w:pPr>
        <w:pStyle w:val="Normal-Byfy"/>
        <w:jc w:val="both"/>
      </w:pPr>
      <w:r w:rsidRPr="00AA3D0C">
        <w:t xml:space="preserve">The short review on glare metrics showed that current glare metrics </w:t>
      </w:r>
      <w:r w:rsidR="00625D19">
        <w:t xml:space="preserve">require high computing capacities and they are </w:t>
      </w:r>
      <w:r w:rsidRPr="00AA3D0C">
        <w:t xml:space="preserve">mostly of use during an advanced design stage. The short review on policies showed that other zonal and dynamic predictors of glare </w:t>
      </w:r>
      <w:r w:rsidR="00625D19">
        <w:t xml:space="preserve">are easy to </w:t>
      </w:r>
      <w:r w:rsidRPr="00AA3D0C">
        <w:t xml:space="preserve">be used, but they lack </w:t>
      </w:r>
      <w:r w:rsidR="00AB4BAC">
        <w:t>validation</w:t>
      </w:r>
      <w:r w:rsidRPr="00AA3D0C">
        <w:t>.</w:t>
      </w:r>
    </w:p>
    <w:p w14:paraId="08F4B1EC" w14:textId="3D82B2DD" w:rsidR="002B7D6E" w:rsidRPr="00AA3D0C" w:rsidRDefault="00625D19" w:rsidP="002B7D6E">
      <w:pPr>
        <w:pStyle w:val="Normal-Byfy"/>
        <w:jc w:val="both"/>
      </w:pPr>
      <w:r>
        <w:t>Given the increasing computational capacity, t</w:t>
      </w:r>
      <w:r w:rsidR="002B7D6E" w:rsidRPr="00AA3D0C">
        <w:t xml:space="preserve">he main </w:t>
      </w:r>
      <w:r w:rsidR="007C4AD1" w:rsidRPr="00AA3D0C">
        <w:t>investigated</w:t>
      </w:r>
      <w:r w:rsidR="002B7D6E" w:rsidRPr="00AA3D0C">
        <w:t xml:space="preserve"> question of this thesis is:</w:t>
      </w:r>
    </w:p>
    <w:p w14:paraId="2E5A5239" w14:textId="55A19E3D" w:rsidR="002B7D6E" w:rsidRPr="00AA3D0C" w:rsidRDefault="00625D19" w:rsidP="00135D19">
      <w:pPr>
        <w:pStyle w:val="Normal-Byfy"/>
        <w:numPr>
          <w:ilvl w:val="0"/>
          <w:numId w:val="2"/>
        </w:numPr>
        <w:jc w:val="both"/>
      </w:pPr>
      <w:r>
        <w:t>How c</w:t>
      </w:r>
      <w:r w:rsidR="002B7D6E" w:rsidRPr="00AA3D0C">
        <w:t xml:space="preserve">an existing glare metrics be combined in order to </w:t>
      </w:r>
      <w:r w:rsidR="00515A2B">
        <w:t>propose</w:t>
      </w:r>
      <w:r w:rsidR="002B7D6E" w:rsidRPr="00AA3D0C">
        <w:t xml:space="preserve"> a zonal and dynamic evaluation of glare for a defined space</w:t>
      </w:r>
      <w:r>
        <w:t xml:space="preserve"> at an early design stage</w:t>
      </w:r>
      <w:r w:rsidR="002B7D6E" w:rsidRPr="00AA3D0C">
        <w:t>?</w:t>
      </w:r>
    </w:p>
    <w:p w14:paraId="7893346E" w14:textId="0993B92D" w:rsidR="00625D19" w:rsidRDefault="002B7D6E" w:rsidP="002B7D6E">
      <w:pPr>
        <w:pStyle w:val="Normal-Byfy"/>
        <w:jc w:val="both"/>
      </w:pPr>
      <w:r w:rsidRPr="00AA3D0C">
        <w:t xml:space="preserve">Therefore, the thesis does not aim to </w:t>
      </w:r>
      <w:r w:rsidR="00515A2B">
        <w:t>create</w:t>
      </w:r>
      <w:r w:rsidRPr="00AA3D0C">
        <w:t xml:space="preserve"> a new glare metric, rather</w:t>
      </w:r>
      <w:r w:rsidR="00F50542">
        <w:t xml:space="preserve"> it</w:t>
      </w:r>
      <w:r w:rsidR="00625D19">
        <w:t xml:space="preserve"> </w:t>
      </w:r>
      <w:r w:rsidRPr="00AA3D0C">
        <w:t>propose</w:t>
      </w:r>
      <w:r w:rsidR="00625D19">
        <w:t>s</w:t>
      </w:r>
      <w:r w:rsidRPr="00AA3D0C">
        <w:t xml:space="preserve"> a </w:t>
      </w:r>
      <w:r w:rsidR="00515A2B">
        <w:t>concept</w:t>
      </w:r>
      <w:r w:rsidR="00625D19">
        <w:t>ual framework</w:t>
      </w:r>
      <w:r w:rsidRPr="00AA3D0C">
        <w:t xml:space="preserve"> to </w:t>
      </w:r>
      <w:r w:rsidR="00625D19">
        <w:t>use</w:t>
      </w:r>
      <w:r w:rsidR="00625D19" w:rsidRPr="00AA3D0C">
        <w:t xml:space="preserve"> </w:t>
      </w:r>
      <w:r w:rsidRPr="00AA3D0C">
        <w:t xml:space="preserve">the existing </w:t>
      </w:r>
      <w:r w:rsidR="00F50542">
        <w:t>metric</w:t>
      </w:r>
      <w:r w:rsidRPr="00AA3D0C">
        <w:t xml:space="preserve">s in an earlier design stage. </w:t>
      </w:r>
      <w:r w:rsidR="00515A2B">
        <w:t>The concept is entirely based on mathematical elaborations</w:t>
      </w:r>
      <w:r w:rsidR="00625D19">
        <w:t xml:space="preserve"> and</w:t>
      </w:r>
      <w:r w:rsidR="00F50542">
        <w:t xml:space="preserve"> </w:t>
      </w:r>
      <w:r w:rsidR="00625D19">
        <w:t xml:space="preserve">lacks validation with </w:t>
      </w:r>
      <w:r w:rsidR="00F50542">
        <w:t xml:space="preserve">human </w:t>
      </w:r>
      <w:r w:rsidR="00625D19">
        <w:t>subjects</w:t>
      </w:r>
      <w:r w:rsidR="00515A2B">
        <w:t xml:space="preserve">. </w:t>
      </w:r>
    </w:p>
    <w:p w14:paraId="4FE6E807" w14:textId="77777777" w:rsidR="006C7092" w:rsidRPr="00AA3D0C" w:rsidRDefault="006C7092" w:rsidP="00DF2219">
      <w:pPr>
        <w:pStyle w:val="Normal-Byfy"/>
        <w:spacing w:after="0"/>
        <w:jc w:val="both"/>
      </w:pPr>
    </w:p>
    <w:p w14:paraId="686044EF" w14:textId="77777777" w:rsidR="002B7D6E" w:rsidRPr="00AA3D0C" w:rsidRDefault="002B7D6E" w:rsidP="002B7D6E">
      <w:pPr>
        <w:pStyle w:val="Rubrik2-Byfy"/>
        <w:rPr>
          <w:rFonts w:cs="Times New Roman"/>
        </w:rPr>
      </w:pPr>
      <w:bookmarkStart w:id="17" w:name="_Toc532751566"/>
      <w:r w:rsidRPr="00AA3D0C">
        <w:rPr>
          <w:rFonts w:cs="Times New Roman"/>
        </w:rPr>
        <w:t>Hypotheses - Limitations</w:t>
      </w:r>
      <w:bookmarkEnd w:id="17"/>
    </w:p>
    <w:p w14:paraId="1B55138A" w14:textId="61AEFDD3" w:rsidR="00625D19" w:rsidRDefault="002B7D6E" w:rsidP="00532E33">
      <w:pPr>
        <w:pStyle w:val="Normal-Byfy"/>
        <w:jc w:val="both"/>
      </w:pPr>
      <w:r w:rsidRPr="00AA3D0C">
        <w:t>This thesis</w:t>
      </w:r>
      <w:r w:rsidR="00625D19">
        <w:t xml:space="preserve"> is divided in two parts. The first, which is the core of the thesis, is the proposal of a concept to evaluate dynamic and zonal glare. The second is an example of application of the concept. Each of the two parts ha</w:t>
      </w:r>
      <w:r w:rsidR="00884D91">
        <w:t>s</w:t>
      </w:r>
      <w:r w:rsidR="00625D19">
        <w:t xml:space="preserve"> </w:t>
      </w:r>
      <w:proofErr w:type="gramStart"/>
      <w:r w:rsidR="00625D19">
        <w:t>a number of</w:t>
      </w:r>
      <w:proofErr w:type="gramEnd"/>
      <w:r w:rsidR="00625D19">
        <w:t xml:space="preserve"> limitations.</w:t>
      </w:r>
    </w:p>
    <w:p w14:paraId="50417058" w14:textId="7689DC1E" w:rsidR="002B7D6E" w:rsidRPr="00AA3D0C" w:rsidRDefault="00625D19" w:rsidP="002B7D6E">
      <w:pPr>
        <w:pStyle w:val="Normal-Byfy"/>
      </w:pPr>
      <w:r>
        <w:t>For the first part:</w:t>
      </w:r>
    </w:p>
    <w:p w14:paraId="797FD2E8" w14:textId="2143923A" w:rsidR="002B7D6E" w:rsidRPr="00AA3D0C" w:rsidRDefault="00625D19" w:rsidP="00135D19">
      <w:pPr>
        <w:pStyle w:val="Normal-Byfy"/>
        <w:numPr>
          <w:ilvl w:val="0"/>
          <w:numId w:val="3"/>
        </w:numPr>
        <w:jc w:val="both"/>
      </w:pPr>
      <w:r>
        <w:t>The concept is based only on reason</w:t>
      </w:r>
      <w:r w:rsidR="00654353">
        <w:t>able</w:t>
      </w:r>
      <w:r>
        <w:t xml:space="preserve"> assumptions. </w:t>
      </w:r>
      <w:r w:rsidR="002B7D6E" w:rsidRPr="00AA3D0C">
        <w:t>A validation with real observers was not conducted.</w:t>
      </w:r>
    </w:p>
    <w:p w14:paraId="771E0011" w14:textId="39F72D01" w:rsidR="00625D19" w:rsidRDefault="00625D19" w:rsidP="00135D19">
      <w:pPr>
        <w:pStyle w:val="Normal-Byfy"/>
        <w:numPr>
          <w:ilvl w:val="0"/>
          <w:numId w:val="3"/>
        </w:numPr>
        <w:jc w:val="both"/>
      </w:pPr>
      <w:r>
        <w:t>The reason</w:t>
      </w:r>
      <w:r w:rsidR="00654353">
        <w:t>able</w:t>
      </w:r>
      <w:r>
        <w:t xml:space="preserve"> assumptions include</w:t>
      </w:r>
      <w:r w:rsidR="004F26FE">
        <w:t xml:space="preserve"> some arbitrary weighting systems. </w:t>
      </w:r>
      <w:r>
        <w:t>The weighting systems come as a proposal and they should be modified or validated by means of</w:t>
      </w:r>
      <w:r w:rsidR="00D07970">
        <w:t xml:space="preserve"> field studies</w:t>
      </w:r>
      <w:r>
        <w:t>.</w:t>
      </w:r>
    </w:p>
    <w:p w14:paraId="7A9B0D57" w14:textId="50904533" w:rsidR="004F26FE" w:rsidRDefault="004F26FE" w:rsidP="00135D19">
      <w:pPr>
        <w:pStyle w:val="Normal-Byfy"/>
        <w:numPr>
          <w:ilvl w:val="0"/>
          <w:numId w:val="3"/>
        </w:numPr>
        <w:jc w:val="both"/>
      </w:pPr>
      <w:r>
        <w:t>In definitive, the conceptual framework should serve as inspiration and it does not aim to provide conclusive statements.</w:t>
      </w:r>
    </w:p>
    <w:p w14:paraId="37CB008C" w14:textId="5E3EA5A8" w:rsidR="002B7D6E" w:rsidRPr="00AA3D0C" w:rsidRDefault="00625D19" w:rsidP="00DD7E15">
      <w:pPr>
        <w:pStyle w:val="Normal-Byfy"/>
      </w:pPr>
      <w:r>
        <w:t>For the second part:</w:t>
      </w:r>
    </w:p>
    <w:p w14:paraId="0DBA7C29" w14:textId="503D28A2" w:rsidR="00625D19" w:rsidRPr="00AA3D0C" w:rsidRDefault="00625D19" w:rsidP="00135D19">
      <w:pPr>
        <w:pStyle w:val="Normal-Byfy"/>
        <w:numPr>
          <w:ilvl w:val="0"/>
          <w:numId w:val="3"/>
        </w:numPr>
        <w:jc w:val="both"/>
      </w:pPr>
      <w:r w:rsidRPr="00AA3D0C">
        <w:t xml:space="preserve">The materials were assumed to be diffusive without roughness or </w:t>
      </w:r>
      <w:proofErr w:type="spellStart"/>
      <w:r w:rsidRPr="00AA3D0C">
        <w:t>s</w:t>
      </w:r>
      <w:r>
        <w:t>p</w:t>
      </w:r>
      <w:r w:rsidRPr="00AA3D0C">
        <w:t>ecularity</w:t>
      </w:r>
      <w:proofErr w:type="spellEnd"/>
      <w:r w:rsidRPr="00AA3D0C">
        <w:t xml:space="preserve">, as </w:t>
      </w:r>
      <w:r>
        <w:t>the focus of the thesis did not include</w:t>
      </w:r>
      <w:r w:rsidRPr="00AA3D0C">
        <w:t xml:space="preserve"> a sensitivity analysis of the materials.</w:t>
      </w:r>
    </w:p>
    <w:p w14:paraId="28C2730E" w14:textId="77777777" w:rsidR="00625D19" w:rsidRPr="00AA3D0C" w:rsidRDefault="00625D19" w:rsidP="00135D19">
      <w:pPr>
        <w:pStyle w:val="Normal-Byfy"/>
        <w:numPr>
          <w:ilvl w:val="0"/>
          <w:numId w:val="3"/>
        </w:numPr>
        <w:jc w:val="both"/>
      </w:pPr>
      <w:r w:rsidRPr="00AA3D0C">
        <w:t>For a reduced computational time, no surrounding buildings were added to the tested geometry.</w:t>
      </w:r>
    </w:p>
    <w:p w14:paraId="01E0D4DA" w14:textId="5C4F7DD0" w:rsidR="002B7D6E" w:rsidRPr="00AA3D0C" w:rsidRDefault="002B7D6E" w:rsidP="00135D19">
      <w:pPr>
        <w:pStyle w:val="Normal-Byfy"/>
        <w:numPr>
          <w:ilvl w:val="0"/>
          <w:numId w:val="3"/>
        </w:numPr>
        <w:jc w:val="both"/>
      </w:pPr>
      <w:r w:rsidRPr="00AA3D0C">
        <w:t xml:space="preserve">The method and all the stated metrics, according to Piccolo and Simone </w:t>
      </w:r>
      <w:r w:rsidRPr="00AA3D0C">
        <w:fldChar w:fldCharType="begin" w:fldLock="1"/>
      </w:r>
      <w:r w:rsidR="004F26FE">
        <w:instrText>ADDIN CSL_CITATION { "citationItems" : [ { "id" : "ITEM-1", "itemData" : { "DOI" : "10.1016/j.buildenv.2008.08.013", "ISBN" : "03601323", "ISSN" : "03601323", "abstract" : "In this paper we report the results of experimental tests carried out to study the effect of electrochromic (EC)-glazing on discomfort glare from windows. The research is performed by a small scale test-cell equipped with a small area double glazing unit (DGU) where one pane consists of an EC device with a visible transmittance \u03c4vranging from about 7 to 70% and the other of an ordinary clear float glass (\u03c4v\u223c 90%), the overall DGU transmittance dynamic range resulting about 4-58%. The performance of the device is investigated under real sky conditions as a function of time, solar radiation intensity, test-cell orientation and switching strategies (static and dynamic). The evaluation methods adopted for assessing the discomfort glare degree are the \"New Daylight Glare Index\" (DGIN) and the \"Glare Subjective Rating\" (SR). Results deriving from application of these two methods are compatible and show that for south facing windows and under the involved climatic conditions EC-glazing can be very effective in reducing discomfort glare caused by high window brightness originating from diffuse skylight. This glare reduction can be realized without compromising much of the available daylight so without necessarily increasing the need for artificial lighting and, at the same time, preserving an unobstructed outside view. Occurrence of glare effects from west (or east) facing windows is more difficult to be controlled due to the lower sun angles which entail the use of EC devices switchable to very low transmittance states (\u03c4v&lt; 7%) and/or integration of traditional sun protection devices. This would probably compromise indoor daylight availability (and potential energy savings associated to reduced use of artificial lighting) as well as exterior view although the positive effect of the EC-glazing could be a substantial reduction of the frequency of use of these additional shading systems. \u00a9 2008 Elsevier Ltd. All rights reserved.", "author" : [ { "dropping-particle" : "", "family" : "Piccolo", "given" : "A.", "non-dropping-particle" : "", "parse-names" : false, "suffix" : "" }, { "dropping-particle" : "", "family" : "Simone", "given" : "F.", "non-dropping-particle" : "", "parse-names" : false, "suffix" : "" } ], "container-title" : "Building and Environment", "id" : "ITEM-1", "issue" : "6", "issued" : { "date-parts" : [ [ "2009" ] ] }, "page" : "1171-1180", "title" : "Effect of switchable glazing on discomfort glare from windows", "type" : "article-journal", "volume" : "44" }, "uris" : [ "http://www.mendeley.com/documents/?uuid=a7c66d02-ff89-489b-a658-66f2544a9f1e", "http://www.mendeley.com/documents/?uuid=32367262-2f7a-32f6-8773-54bcd0459cc9" ] } ], "mendeley" : { "formattedCitation" : "(Piccolo and Simone, 2009)", "manualFormatting" : "(2009)", "plainTextFormattedCitation" : "(Piccolo and Simone, 2009)", "previouslyFormattedCitation" : "(Piccolo and Simone, 2009)" }, "properties" : { "noteIndex" : 0 }, "schema" : "https://github.com/citation-style-language/schema/raw/master/csl-citation.json" }</w:instrText>
      </w:r>
      <w:r w:rsidRPr="00AA3D0C">
        <w:fldChar w:fldCharType="separate"/>
      </w:r>
      <w:r w:rsidRPr="00AA3D0C">
        <w:rPr>
          <w:noProof/>
        </w:rPr>
        <w:t>(2009)</w:t>
      </w:r>
      <w:r w:rsidRPr="00AA3D0C">
        <w:fldChar w:fldCharType="end"/>
      </w:r>
      <w:r w:rsidRPr="00AA3D0C">
        <w:t>, do not account for the spectral light distribution.</w:t>
      </w:r>
    </w:p>
    <w:p w14:paraId="597D8833" w14:textId="256B7F10" w:rsidR="002B7D6E" w:rsidRPr="00AA3D0C" w:rsidRDefault="00AD5E20" w:rsidP="00135D19">
      <w:pPr>
        <w:pStyle w:val="Normal-Byfy"/>
        <w:numPr>
          <w:ilvl w:val="0"/>
          <w:numId w:val="3"/>
        </w:numPr>
        <w:jc w:val="both"/>
      </w:pPr>
      <w:r>
        <w:t>There was a l</w:t>
      </w:r>
      <w:r w:rsidR="002B7D6E" w:rsidRPr="00AA3D0C">
        <w:t>ack of existing validation and extended research regarding the accuracy of the current BSDF method</w:t>
      </w:r>
      <w:r w:rsidR="005E3E95">
        <w:t xml:space="preserve"> evaluation </w:t>
      </w:r>
      <w:r w:rsidR="005E3E95" w:rsidRPr="00AA3D0C">
        <w:fldChar w:fldCharType="begin" w:fldLock="1"/>
      </w:r>
      <w:r w:rsidR="005952EA">
        <w:instrText>ADDIN CSL_CITATION { "citationItems" : [ { "id" : "ITEM-1", "itemData" : { "DOI" : "10.1016/j.enbuild.2016.05.038", "ISSN" : "0378-7788", "abstract" : "Optical properties of window roller shades, which affect daylight performance, visual comfort, and energy use, are usually assumed constant or diffuse. This paper presents a comparison of modeling approaches for calculating shade optical properties and the potential effects on daylighting performance and visual comfort. An angular empirical model, only requiring basic inputs provided by manufacturers (openness factor and total normal visible transmittance), showed good agreement with measured data (integrated sphere measurements and measured BTDF data)with modifications needed only for high incidence angles. The impact of fabric modeling approaches on daylight distributions and glare evaluation was studied using four different shade modeling methods, comparing with full-scale experimental data and with annual daylight simulation results. The results confirm that predicting correct shade optical properties is an important component of daylighting calculation modules. Current \"constant transmittance\" or \"non-angular\" models may result in significant errors in daylight metrics and glare probability. Finally, the basic properties of 14 roller shade products were measured and compared with manufacturer's data. Most listed data are inaccurate and there is no standard for accurate product specifications. It is necessary to develop a new methodology for characterizing, rating and labeling shading fabric products, considering their relative performance in terms of energy use, daylight provision and visual comfort. \ufffd 2016 Elsevier B.V. All rights reserved.", "author" : [ { "dropping-particle" : "", "family" : "Tzempelikos", "given" : "A", "non-dropping-particle" : "", "parse-names" : false, "suffix" : "" }, { "dropping-particle" : "", "family" : "Chan", "given" : "Y -C", "non-dropping-particle" : "", "parse-names" : false, "suffix" : "" } ], "container-title" : "Energy and Buildings", "id" : "ITEM-1", "issued" : { "date-parts" : [ [ "2016" ] ] }, "note" : "Cited By :5", "page" : "396-407", "publisher" : "Elsevier Ltd", "publisher-place" : "Affiliation: Lyles School of Civil Engineering, Purdue University, 550 Stadium Mall Dr., West Lafayette, IN, United States; Affiliation: Center for High Performance Buildings, Ray W. Herrick Laboratories, School of Mechanical Engineering, Purdue Universit", "title" : "Estimating detailed optical properties of window shades from basic available data and modeling implications on daylighting and visual comfort", "type" : "article-journal", "volume" : "126" }, "uris" : [ "http://www.mendeley.com/documents/?uuid=54357e9e-b280-4c97-b273-fdb85ba5d7a6", "http://www.mendeley.com/documents/?uuid=88fe8365-ebbc-40aa-9932-afbf860ea245" ] } ], "mendeley" : { "formattedCitation" : "(Tzempelikos and Chan, 2016)", "plainTextFormattedCitation" : "(Tzempelikos and Chan, 2016)", "previouslyFormattedCitation" : "(Tzempelikos and Chan, 2016)" }, "properties" : { "noteIndex" : 0 }, "schema" : "https://github.com/citation-style-language/schema/raw/master/csl-citation.json" }</w:instrText>
      </w:r>
      <w:r w:rsidR="005E3E95" w:rsidRPr="00AA3D0C">
        <w:fldChar w:fldCharType="separate"/>
      </w:r>
      <w:r w:rsidR="005E3E95" w:rsidRPr="00AA3D0C">
        <w:rPr>
          <w:noProof/>
        </w:rPr>
        <w:t>(Tzempelikos and Chan, 2016)</w:t>
      </w:r>
      <w:r w:rsidR="005E3E95" w:rsidRPr="00AA3D0C">
        <w:fldChar w:fldCharType="end"/>
      </w:r>
      <w:r w:rsidR="005E3E95">
        <w:t xml:space="preserve">. </w:t>
      </w:r>
      <w:r w:rsidR="00A95CB4">
        <w:t>T</w:t>
      </w:r>
      <w:r w:rsidR="002B7D6E" w:rsidRPr="00AA3D0C">
        <w:t xml:space="preserve">he provided </w:t>
      </w:r>
      <w:r w:rsidR="002B7D6E" w:rsidRPr="00AA3D0C">
        <w:lastRenderedPageBreak/>
        <w:t>BSDF from the manufacturer and the occurring data used during the simulations</w:t>
      </w:r>
      <w:r w:rsidR="005E3E95">
        <w:t xml:space="preserve"> of this thesis, were affected by this limitation</w:t>
      </w:r>
      <w:r w:rsidR="002B7D6E" w:rsidRPr="00AA3D0C">
        <w:t>.</w:t>
      </w:r>
    </w:p>
    <w:p w14:paraId="670A20DE" w14:textId="77777777" w:rsidR="002B7D6E" w:rsidRPr="00AA3D0C" w:rsidRDefault="002B7D6E" w:rsidP="00135D19">
      <w:pPr>
        <w:pStyle w:val="Normal-Byfy"/>
        <w:numPr>
          <w:ilvl w:val="0"/>
          <w:numId w:val="3"/>
        </w:numPr>
        <w:jc w:val="both"/>
      </w:pPr>
      <w:r w:rsidRPr="00AA3D0C">
        <w:t>The number of the tested shading elements occurred based on the computational time and the thesis time restriction. An increased number of tested elements (e.g. openness factor for the roller shades and reflectance for the venetian blinds) could result in different relationships between the data.</w:t>
      </w:r>
    </w:p>
    <w:p w14:paraId="0A9BD4F8" w14:textId="4DF877AF" w:rsidR="006F4580" w:rsidRPr="00AA3D0C" w:rsidRDefault="004F26FE" w:rsidP="00135D19">
      <w:pPr>
        <w:pStyle w:val="Normal-Byfy"/>
        <w:numPr>
          <w:ilvl w:val="0"/>
          <w:numId w:val="3"/>
        </w:numPr>
        <w:jc w:val="both"/>
      </w:pPr>
      <w:r>
        <w:t>O</w:t>
      </w:r>
      <w:r w:rsidR="002B7D6E" w:rsidRPr="00AA3D0C">
        <w:t xml:space="preserve">nly one orientation, towards South, was investigated. Other orientations, such as West, </w:t>
      </w:r>
      <w:r>
        <w:t>w</w:t>
      </w:r>
      <w:r w:rsidR="002B7D6E" w:rsidRPr="00AA3D0C">
        <w:t>ould indicate different results.</w:t>
      </w:r>
    </w:p>
    <w:p w14:paraId="1745EC49" w14:textId="1A36060F" w:rsidR="002B7D6E" w:rsidRPr="00AA3D0C" w:rsidRDefault="002B7D6E" w:rsidP="00135D19">
      <w:pPr>
        <w:pStyle w:val="Normal-Byfy"/>
        <w:numPr>
          <w:ilvl w:val="0"/>
          <w:numId w:val="3"/>
        </w:numPr>
        <w:jc w:val="both"/>
      </w:pPr>
      <w:r w:rsidRPr="00AA3D0C">
        <w:t xml:space="preserve">The glare prediction through a fish eye view and DGP, according to </w:t>
      </w:r>
      <w:r w:rsidRPr="005E3E95">
        <w:t>Kim et al</w:t>
      </w:r>
      <w:r w:rsidRPr="00AA3D0C">
        <w:t xml:space="preserve">. </w:t>
      </w:r>
      <w:r w:rsidRPr="00AA3D0C">
        <w:fldChar w:fldCharType="begin" w:fldLock="1"/>
      </w:r>
      <w:r w:rsidR="005952EA">
        <w:instrText>ADDIN CSL_CITATION { "citationItems" : [ { "id" : "ITEM-1", "itemData" : { "DOI" : "10.1016/j.buildenv.2008.07.007", "ISSN" : "0360-1323", "abstract" : "The objective of this study was to propose a new position index for a source located in the whole visual field, including the lower visual field. The sensation of brightness was tested at various positions in the visual field. The Glare Tester especially designed for and used in this experiment had two sources: the standard source located on the line of sight and the test source located at a designated position in the visual field. The boundary of the visual field, BCD luminance on the line of sight, and BCD luminance at various positions in the visual field were measured. The visual field was measured, and the boundaries were approximately 90\ufffd temporally, 67\ufffd inferiorly, and 50\ufffd superiorly. From the measurement of BCD luminance on the line of sight, the BCD luminance was obtained at 2590 cd/m2 under the conditions of a source size of 0.0011 sr and background luminance of 34.3 cd/m2. In measuring BCD luminance at various positions, the standard source was set to the BCD luminance of each observer, with the luminance of the test source being increased. The observers were asked to stop when the sensation of the test source became equal to that of the standard source. From the results of these measurements, the position index Pi was derived. Finally, a chart for determining the position index Pi was proposed based on the three measurements. \ufffd 2008 Elsevier Ltd. All rights reserved.", "author" : [ { "dropping-particle" : "", "family" : "Kim", "given" : "W", "non-dropping-particle" : "", "parse-names" : false, "suffix" : "" }, { "dropping-particle" : "", "family" : "Han", "given" : "H", "non-dropping-particle" : "", "parse-names" : false, "suffix" : "" }, { "dropping-particle" : "", "family" : "Kim", "given" : "J T", "non-dropping-particle" : "", "parse-names" : false, "suffix" : "" } ], "container-title" : "Building and Environment", "id" : "ITEM-1", "issue" : "5", "issued" : { "date-parts" : [ [ "2009" ] ] }, "note" : "Cited By :18", "page" : "1017-1023", "publisher-place" : "Affiliation: Department of Architectural Engineering, Kyung Hee University, 1 Seocheon-dong, Giheung-gu, Gyeonggi-do 446-701 Yongin,, South Korea; Correspondence Address: Kim, J.T.; Department of Architectural Engineering, Kyung Hee University, 1 Seocheon", "title" : "The position index of a glare source at the borderline between comfort and discomfort (BCD) in the whole visual field", "type" : "article-journal", "volume" : "44" }, "uris" : [ "http://www.mendeley.com/documents/?uuid=3a99aa7e-c190-4f49-ab13-69000ea22bd8", "http://www.mendeley.com/documents/?uuid=734244e4-cc53-41d1-89c1-14ce9e932c1c" ] } ], "mendeley" : { "formattedCitation" : "(Kim, Han and Kim, 2009)", "manualFormatting" : "(2009)", "plainTextFormattedCitation" : "(Kim, Han and Kim, 2009)", "previouslyFormattedCitation" : "(Kim, Han and Kim, 2009)" }, "properties" : { "noteIndex" : 0 }, "schema" : "https://github.com/citation-style-language/schema/raw/master/csl-citation.json" }</w:instrText>
      </w:r>
      <w:r w:rsidRPr="00AA3D0C">
        <w:fldChar w:fldCharType="separate"/>
      </w:r>
      <w:r w:rsidRPr="00AA3D0C">
        <w:rPr>
          <w:noProof/>
        </w:rPr>
        <w:t>(2009)</w:t>
      </w:r>
      <w:r w:rsidRPr="00AA3D0C">
        <w:fldChar w:fldCharType="end"/>
      </w:r>
      <w:r w:rsidRPr="00AA3D0C">
        <w:t>,</w:t>
      </w:r>
      <w:r w:rsidRPr="005E3E95">
        <w:t xml:space="preserve"> provided accurate results only 30° above and below the line of view.</w:t>
      </w:r>
    </w:p>
    <w:p w14:paraId="70867D37" w14:textId="3DCF15F4" w:rsidR="00CC62AB" w:rsidRPr="00E77D7F" w:rsidRDefault="00182156" w:rsidP="00135D19">
      <w:pPr>
        <w:pStyle w:val="Normal-Byfy"/>
        <w:numPr>
          <w:ilvl w:val="0"/>
          <w:numId w:val="3"/>
        </w:numPr>
        <w:jc w:val="both"/>
      </w:pPr>
      <w:r w:rsidRPr="00350424">
        <w:t xml:space="preserve">The relationship between the glare sensation and the </w:t>
      </w:r>
      <w:r w:rsidR="00654353">
        <w:t xml:space="preserve">characteristics of the </w:t>
      </w:r>
      <w:r w:rsidRPr="00350424">
        <w:t>view</w:t>
      </w:r>
      <w:r w:rsidR="00654353">
        <w:t xml:space="preserve"> </w:t>
      </w:r>
      <w:r w:rsidRPr="00350424">
        <w:t>through</w:t>
      </w:r>
      <w:r>
        <w:rPr>
          <w:lang w:val="sv-SE"/>
        </w:rPr>
        <w:t xml:space="preserve"> a bare </w:t>
      </w:r>
      <w:r w:rsidRPr="00350424">
        <w:t xml:space="preserve">window was not accounted in this thesis </w:t>
      </w:r>
      <w:r w:rsidR="00E77D7F" w:rsidRPr="00350424">
        <w:fldChar w:fldCharType="begin" w:fldLock="1"/>
      </w:r>
      <w:r w:rsidR="004F26FE">
        <w:instrText>ADDIN CSL_CITATION { "citationItems" : [ { "id" : "ITEM-1", "itemData" : { "DOI" : "10.1177/1365782807077193", "ISBN" : "14771535 (ISSN)", "ISSN" : "14771535", "abstract" : "There is less discomfort glare from a window with an interesting view than from either a neutral screen or a window with a poor view having the same daylight glare index. A view with patches of high luminance is more glaring than a more uniform view with the same mean luminance. In two experiments carried out during May and June 2005, subjects assessed glare from windows in a 20-storey building in Sheffield, UK. The rooms used were identical except that at different levels and orientations the prospects varied from close views of other buildings to extensive urban and natural scenes. In the first experiment, with 72 university students as subjects, the reported discomfort glare from a diffusing screen covering the window was compared with that from a view onto a nearby obstructing wall and from a view with trees and distant landscape. The weather was changeable so each scene was observed over a range of different luminances. In the second experiment, with 96 subjects, the glare from an urban view that included nearby elements, the middle distance and the far distance was compared with a restricted urban view, with an extensive natural view and with a restricted natural view. Independent groups of subjects rated the interest of all the views. It was found that subjects' reported discomfort from glare varied significantly between all three cases in the first experiment and all four cases of the second experiment: glare discomfort decreased as interest increased. The luminance range within a view also affected the experience of glare. The results are consistent with those of an earlier study of glare from small screens. [PUBLICATION ABSTRACT]; There is less discomfort glare from a window with an interesting view than from either a neutral screen or a window with a poor view having the same daylight glare index. A view with patches of high luminance is more glaring than a more uniform view with the same mean luminance. In two experiments carried out during May and June 2005, subjects assessed glare from windows in a 20-storey building in Sheffield, UK. The rooms used were identical except that at different levels and orientations the prospects varied from close views of other buildings to extensive urban and natural scenes. In the first experiment, with 72 university students as subjects, the reported discomfort glare from a diffusing screen covering the window was compared with that from a view onto a nearby obstructing wall and from a view with trees and \u2026", "author" : [ { "dropping-particle" : "", "family" : "Tuaycharoen", "given" : "N.", "non-dropping-particle" : "", "parse-names" : false, "suffix" : "" }, { "dropping-particle" : "", "family" : "Tregenza", "given" : "P. R.", "non-dropping-particle" : "", "parse-names" : false, "suffix" : "" } ], "container-title" : "Lighting Research and Technology", "id" : "ITEM-1", "issue" : "2", "issued" : { "date-parts" : [ [ "2007" ] ] }, "page" : "185-198", "title" : "View and discomfort glare from windows", "type" : "article-journal", "volume" : "39" }, "uris" : [ "http://www.mendeley.com/documents/?uuid=b1796859-7b7a-4051-9cf6-c6c62bab43eb", "http://www.mendeley.com/documents/?uuid=086f0dc0-e7f9-4698-a1e9-f084c9c4084e" ] } ], "mendeley" : { "formattedCitation" : "(Tuaycharoen and Tregenza, 2007)", "plainTextFormattedCitation" : "(Tuaycharoen and Tregenza, 2007)", "previouslyFormattedCitation" : "(Tuaycharoen and Tregenza, 2007)" }, "properties" : { "noteIndex" : 0 }, "schema" : "https://github.com/citation-style-language/schema/raw/master/csl-citation.json" }</w:instrText>
      </w:r>
      <w:r w:rsidR="00E77D7F" w:rsidRPr="00350424">
        <w:fldChar w:fldCharType="separate"/>
      </w:r>
      <w:r w:rsidR="00E77D7F" w:rsidRPr="00350424">
        <w:rPr>
          <w:noProof/>
        </w:rPr>
        <w:t>(Tuaycharoen and Tregenza, 2007)</w:t>
      </w:r>
      <w:r w:rsidR="00E77D7F" w:rsidRPr="00350424">
        <w:fldChar w:fldCharType="end"/>
      </w:r>
      <w:r w:rsidRPr="00350424">
        <w:t xml:space="preserve">. </w:t>
      </w:r>
      <w:r>
        <w:t>Likewise,</w:t>
      </w:r>
      <w:r>
        <w:rPr>
          <w:lang w:val="sv-SE"/>
        </w:rPr>
        <w:t xml:space="preserve"> </w:t>
      </w:r>
      <w:r w:rsidRPr="00350424">
        <w:t>the effect of a shading system in the view out clarity through metrics,</w:t>
      </w:r>
      <w:r>
        <w:rPr>
          <w:lang w:val="sv-SE"/>
        </w:rPr>
        <w:t xml:space="preserve"> </w:t>
      </w:r>
      <w:r w:rsidRPr="00350424">
        <w:t>such as View Clarity Index (VCI), and the relationship to the glare sensation was not considered in this thesis</w:t>
      </w:r>
      <w:r w:rsidR="00E77D7F" w:rsidRPr="00350424">
        <w:t xml:space="preserve"> </w:t>
      </w:r>
      <w:r w:rsidR="00E77D7F" w:rsidRPr="00350424">
        <w:fldChar w:fldCharType="begin" w:fldLock="1"/>
      </w:r>
      <w:r w:rsidR="005952EA">
        <w:instrText>ADDIN CSL_CITATION { "citationItems" : [ { "id" : "ITEM-1", "itemData" : { "DOI" : "10.1016/j.buildenv.2015.04.005", "ISSN" : "0360-1323", "abstract" : "Connection to the outdoors through window views has been related to occupant satisfaction. While view quality depends on outdoor scenery, view clarity can be quantified according to fenestration properties and visual conditions. This paper investigates view clarity through window shades (fabrics) used in commercial buildings. A field study with 18 human subjects was conducted to measure view clarity preferences in offices equipped with 14 shading fabrics of different transparency and color. The tests, including subjective and objective responses, were repeated for different sky conditions and viewing distances. The collected data were used to create a view clarity scoring system and fabric rankings. A new metric, the View Clarity Index (VCI), was developed based on averaged normalized scores using all processed data. The results showed that darker fabrics with higher openness generally achieve higher clarity scores. A few exceptions confirmed the complex combined impact of shading optical properties on view clarity. The influences of fabric type, sky conditions and viewing distance were statistically quantified. In most cases, cloudy conditions and longer viewing distances (up to 2.4\u00a0m) resulted in higher view clarity; however, the VCI rank order was not affected by these factors. Finally, the results were used to develop a reliable model capable of predicting VCI for any shading fabric, using only the shade openness factor and visible transmittance. The new index, together with glare and energy use considerations, can be used to evaluate the overall performance of shading products, leading to improved indoor environmental design and occupant satisfaction.", "author" : [ { "dropping-particle" : "", "family" : "Konstantzos", "given" : "Iason", "non-dropping-particle" : "", "parse-names" : false, "suffix" : "" }, { "dropping-particle" : "", "family" : "Chan", "given" : "Ying-Chieh", "non-dropping-particle" : "", "parse-names" : false, "suffix" : "" }, { "dropping-particle" : "", "family" : "Seibold", "given" : "Julia C.", "non-dropping-particle" : "", "parse-names" : false, "suffix" : "" }, { "dropping-particle" : "", "family" : "Tzempelikos", "given" : "Athanasios", "non-dropping-particle" : "", "parse-names" : false, "suffix" : "" }, { "dropping-particle" : "", "family" : "Proctor", "given" : "Robert W.", "non-dropping-particle" : "", "parse-names" : false, "suffix" : "" }, { "dropping-particle" : "", "family" : "Protzman", "given" : "J. Brent", "non-dropping-particle" : "", "parse-names" : false, "suffix" : "" } ], "container-title" : "Building and Environment", "id" : "ITEM-1", "issued" : { "date-parts" : [ [ "2015", "8" ] ] }, "page" : "206-214", "title" : "View clarity index: A new metric to evaluate clarity of view through window shades", "title-short" : "View clarity index", "type" : "article-journal", "volume" : "90" }, "uris" : [ "http://www.mendeley.com/documents/?uuid=4097b755-3869-4cb0-be77-2d9b3c2d6ab1", "http://www.mendeley.com/documents/?uuid=766ee038-4389-4b4f-8196-ec7493dc0969" ] } ], "mendeley" : { "formattedCitation" : "(Konstantzos &lt;i&gt;et al.&lt;/i&gt;, 2015)", "plainTextFormattedCitation" : "(Konstantzos et al., 2015)", "previouslyFormattedCitation" : "(Konstantzos &lt;i&gt;et al.&lt;/i&gt;, 2015)" }, "properties" : { "noteIndex" : 0 }, "schema" : "https://github.com/citation-style-language/schema/raw/master/csl-citation.json" }</w:instrText>
      </w:r>
      <w:r w:rsidR="00E77D7F" w:rsidRPr="00350424">
        <w:fldChar w:fldCharType="separate"/>
      </w:r>
      <w:r w:rsidR="00E77D7F" w:rsidRPr="00350424">
        <w:rPr>
          <w:noProof/>
        </w:rPr>
        <w:t xml:space="preserve">(Konstantzos </w:t>
      </w:r>
      <w:r w:rsidR="00E77D7F" w:rsidRPr="00350424">
        <w:rPr>
          <w:i/>
          <w:noProof/>
        </w:rPr>
        <w:t>et al.</w:t>
      </w:r>
      <w:r w:rsidR="00E77D7F" w:rsidRPr="00350424">
        <w:rPr>
          <w:noProof/>
        </w:rPr>
        <w:t>, 2015)</w:t>
      </w:r>
      <w:r w:rsidR="00E77D7F" w:rsidRPr="00350424">
        <w:fldChar w:fldCharType="end"/>
      </w:r>
      <w:r w:rsidRPr="00350424">
        <w:t>.</w:t>
      </w:r>
    </w:p>
    <w:p w14:paraId="727E98DE" w14:textId="4BEE287C" w:rsidR="00E77D7F" w:rsidRPr="00AA3D0C" w:rsidRDefault="00E77D7F" w:rsidP="00135D19">
      <w:pPr>
        <w:pStyle w:val="Normal-Byfy"/>
        <w:numPr>
          <w:ilvl w:val="0"/>
          <w:numId w:val="3"/>
        </w:numPr>
        <w:jc w:val="both"/>
      </w:pPr>
      <w:r w:rsidRPr="00AA3D0C">
        <w:t>The possibility of other factors influencing glare sensation , such as fatigue, food intake, caffeine ingestion</w:t>
      </w:r>
      <w:r>
        <w:t xml:space="preserve">, </w:t>
      </w:r>
      <w:r w:rsidRPr="00AA3D0C">
        <w:t xml:space="preserve">degree of eye opening </w:t>
      </w:r>
      <w:r>
        <w:t xml:space="preserve">or visual neuron excitability </w:t>
      </w:r>
      <w:r w:rsidRPr="00AA3D0C">
        <w:t>were not taken into account</w:t>
      </w:r>
      <w:r>
        <w:t xml:space="preserve"> </w:t>
      </w:r>
      <w:r>
        <w:fldChar w:fldCharType="begin" w:fldLock="1"/>
      </w:r>
      <w:r w:rsidR="005952EA">
        <w:instrText>ADDIN CSL_CITATION { "citationItems" : [ { "id" : "ITEM-1", "itemData" : { "DOI" : "10.1016/j.buildenv.2014.11.010", "ISSN" : "0360-1323", "abstract" : "The degree of eye opening (DEO) is proposed as a new indicator of glare in sunny climates in the presence of direct sunlight. A laboratory experiment was carried out (. n=20) in a simulated office space where volunteers performed computer office tasks. Four lighting situations, based on ranges of vertical illuminance at the eye level were evaluated. By means of a visible spectrum eye-tracker DEO was registered in each scenario. The proposed indicator was obtained by mathematical iterations and showed a good correlation with: vertical illuminance at the eye (. r=-0.503; \u03b1=0.0001), Daylight Glare Probability (DGP) (. r=-0.649; \u03b1=0.0001) and Glare Sensation Vote (GSV) (. r=-0.580; \u03b1=0.0001). This new indicator operates in a broad range of lighting conditions, from a low vertical illuminance at the eye scenario with diffuse daylight to a very high vertical illuminance at the eye scenario with uncontrolled direct sunlight. The proposed new indicator satisfies the following criteria: high validity, reliability, diagnostic power and acceptability and it also addresses unresolved aspects of current glare predictive models: GSV, DGP and DGI. \u00a9 2014 Elsevier Ltd.", "author" : [ { "dropping-particle" : "", "family" : "Yamin Garreton", "given" : "J A", "non-dropping-particle" : "", "parse-names" : false, "suffix" : "" }, { "dropping-particle" : "", "family" : "Rodriguez", "given" : "R G", "non-dropping-particle" : "", "parse-names" : false, "suffix" : "" }, { "dropping-particle" : "", "family" : "Ruiz", "given" : "A", "non-dropping-particle" : "", "parse-names" : false, "suffix" : "" }, { "dropping-particle" : "", "family" : "Pattini", "given" : "A E", "non-dropping-particle" : "", "parse-names" : false, "suffix" : "" } ], "container-title" : "Building and Environment", "id" : "ITEM-1", "issued" : { "date-parts" : [ [ "2015" ] ] }, "note" : "Cited By :10", "page" : "142-150", "publisher" : "Elsevier Ltd", "publisher-place" : "Affiliation: Laboratorio de Ambiente Humano y Vivienda, INCIHUSA, Consejo Nacional de Investigaciones Cient\u00edficas y T\u00e9cnicas, Mendoza, Argentina; Affiliation: Dto. de Luminotecnia Luz y Visi\u00f3n, Facultad de Ciencias Exactas y Tecnolog\u00eda, Universidad Nacion", "title" : "Degree of eye opening: A new discomfort glare indicator", "type" : "article-journal", "volume" : "88" }, "uris" : [ "http://www.mendeley.com/documents/?uuid=3f7ce7a7-e267-4a63-b3b2-cb82079b3403", "http://www.mendeley.com/documents/?uuid=43cdb292-b418-4172-9c24-27b6c5a84ad5" ] }, { "id" : "ITEM-2", "itemData" : { "DOI" : "10.1016/j.buildenv.2015.09.021", "ISSN" : "0360-1323", "abstract" : "The literature suggests that glare sensation may be influenced by visual task difficulty. Previous research by the authors provided reasons to infer that the perceived level of visual discomfort may vary with time of day and be affected by temporal and personal factors. The study presented here explores the postulated relationships between visual task difficulty, temporal variables, and glare response as the day progresses. Under controlled laboratory conditions, twenty subjects were exposed to a constant artificial source luminance at four times of day and gave glare sensation votes while completing twelve visual tasks of various difficulties. Self-assessments of temporal variables (fatigue, food intake, caffeine ingestion, mood, previous daylight exposure and sky condition) were provided by test subjects together with their glare judgements. Statistical analysis of responses confirmed that the time interval between test sessions showed a direct relationship to the increased tolerance to artificial source luminance along the day. The temporal variation of glare response was found to be influenced by the difficulty in extracting information from the visual stimulus. Moreover, statistically significant and substantive evidence was detected of a direct effect of fatigue and caffeine ingestion, and an inverse influence of food intake, on reported glare sensation. Consideration of inferential results from all test sessions led to hypothesise that some temporal variables may interact with each other and significantly affect the variation of glare response at different times of day. \ufffd 2015 Elsevier Ltd.", "author" : [ { "dropping-particle" : "", "family" : "Altomonte", "given" : "S", "non-dropping-particle" : "", "parse-names" : false, "suffix" : "" }, { "dropping-particle" : "", "family" : "Kent", "given" : "M G", "non-dropping-particle" : "", "parse-names" : false, "suffix" : "" }, { "dropping-particle" : "", "family" : "Tregenza", "given" : "P R", "non-dropping-particle" : "", "parse-names" : false, "suffix" : "" }, { "dropping-particle" : "", "family" : "Wilson", "given" : "R", "non-dropping-particle" : "", "parse-names" : false, "suffix" : "" } ], "container-title" : "Building and Environment", "id" : "ITEM-2", "issued" : { "date-parts" : [ [ "2016" ] ] }, "note" : "Cited By :8", "page" : "209-226", "publisher" : "Elsevier Ltd", "publisher-place" : "Affiliation: Department of Architecture and Built Environment, The University of Nottingham, United Kingdom; Affiliation: Sheffield School of Architecture, The University of Sheffield, United Kingdom; Correspondence Address: Altomonte, S.; Department of A", "title" : "Visual task difficulty and temporal influences in glare response", "type" : "article-journal", "volume" : "95" }, "uris" : [ "http://www.mendeley.com/documents/?uuid=5d2a80e9-b7b3-481f-9329-45bf971fe511", "http://www.mendeley.com/documents/?uuid=c45d3500-eed7-478f-be84-70a30cad96b6" ] }, { "id" : "ITEM-3", "itemData" : { "DOI" : "10.1016/j.neuropsychologia.2015.02.006", "ISSN" : "0028-3932", "abstract" : "It is well established that there are two main aspects to glare, the visual impairment and the discomfort, known as disability and discomfort glare, respectively. In contrast to the case of disability glare we understand very little about the underlying mechanisms or physiology of discomfort glare. This study attempts to elucidate the neural mechanisms involved using fMRI and glare sources with controlled levels of retinal illuminance. Prior to carrying out the fMRI experiment, we determined each participant's discomfort glare threshold. The participants were then divided into two groups of equal size based on their ranked sensitivity to discomfort glare, a low and high sensitivity group. In the fMRI experiment each participant was presented with three levels of glare intensity whilst simultaneously required to carry out a simple behavioral task. We compared BOLD responses between the two groups and found that the group more sensitive to glare had an increased response that was localized at three discrete, bilateral cortical locations: one in the cunei, one in the lingual gyri and one in the superior parietal lobules. This increased response was present for all light levels tested, whether or not they were intense enough to cause discomfort glare. Based on the results, we present the case that discomfort glare may be a response to hyperexcitability or saturation of visual neurons. \ufffd 2015 The Authors.", "author" : [ { "dropping-particle" : "", "family" : "Bargary", "given" : "G", "non-dropping-particle" : "", "parse-names" : false, "suffix" : "" }, { "dropping-particle" : "", "family" : "Furlan", "given" : "M", "non-dropping-particle" : "", "parse-names" : false, "suffix" : "" }, { "dropping-particle" : "", "family" : "Raynham", "given" : "P J", "non-dropping-particle" : "", "parse-names" : false, "suffix" : "" }, { "dropping-particle" : "", "family" : "Barbur", "given" : "J L", "non-dropping-particle" : "", "parse-names" : false, "suffix" : "" }, { "dropping-particle" : "", "family" : "Smith", "given" : "A T", "non-dropping-particle" : "", "parse-names" : false, "suffix" : "" } ], "container-title" : "Neuropsychologia", "id" : "ITEM-3", "issued" : { "date-parts" : [ [ "2015" ] ] }, "note" : "Cited By :10", "page" : "194-200", "publisher" : "Elsevier Ltd", "publisher-place" : "Affiliation: Applied Vision Research Centre, School of Health Sciences, City University London, Northampton Square, London, United Kingdom; Affiliation: Department of Psychology, Royal Holloway University of London, Egham Hill Egham, United Kingdom; Affil", "title" : "Cortical hyperexcitability and sensitivity to discomfort glare", "type" : "article-journal", "volume" : "69" }, "uris" : [ "http://www.mendeley.com/documents/?uuid=12b4b6cf-4111-4b2a-bdaf-cba0e5d33536", "http://www.mendeley.com/documents/?uuid=9783de2b-8ae9-4ca2-b3c7-1dfb439ffe97" ] } ], "mendeley" : { "formattedCitation" : "(Bargary &lt;i&gt;et al.&lt;/i&gt;, 2015; Yamin Garreton &lt;i&gt;et al.&lt;/i&gt;, 2015; Altomonte &lt;i&gt;et al.&lt;/i&gt;, 2016)", "plainTextFormattedCitation" : "(Bargary et al., 2015; Yamin Garreton et al., 2015; Altomonte et al., 2016)", "previouslyFormattedCitation" : "(Bargary &lt;i&gt;et al.&lt;/i&gt;, 2015; Yamin Garreton &lt;i&gt;et al.&lt;/i&gt;, 2015; Altomonte &lt;i&gt;et al.&lt;/i&gt;, 2016)" }, "properties" : { "noteIndex" : 0 }, "schema" : "https://github.com/citation-style-language/schema/raw/master/csl-citation.json" }</w:instrText>
      </w:r>
      <w:r>
        <w:fldChar w:fldCharType="separate"/>
      </w:r>
      <w:r w:rsidRPr="00CC62AB">
        <w:rPr>
          <w:noProof/>
        </w:rPr>
        <w:t xml:space="preserve">(Bargary </w:t>
      </w:r>
      <w:r w:rsidRPr="00CC62AB">
        <w:rPr>
          <w:i/>
          <w:noProof/>
        </w:rPr>
        <w:t>et al.</w:t>
      </w:r>
      <w:r w:rsidRPr="00CC62AB">
        <w:rPr>
          <w:noProof/>
        </w:rPr>
        <w:t xml:space="preserve">, 2015; Yamin Garreton </w:t>
      </w:r>
      <w:r w:rsidRPr="00CC62AB">
        <w:rPr>
          <w:i/>
          <w:noProof/>
        </w:rPr>
        <w:t>et al.</w:t>
      </w:r>
      <w:r w:rsidRPr="00CC62AB">
        <w:rPr>
          <w:noProof/>
        </w:rPr>
        <w:t xml:space="preserve">, 2015; Altomonte </w:t>
      </w:r>
      <w:r w:rsidRPr="00CC62AB">
        <w:rPr>
          <w:i/>
          <w:noProof/>
        </w:rPr>
        <w:t>et al.</w:t>
      </w:r>
      <w:r w:rsidRPr="00CC62AB">
        <w:rPr>
          <w:noProof/>
        </w:rPr>
        <w:t>, 2016)</w:t>
      </w:r>
      <w:r>
        <w:fldChar w:fldCharType="end"/>
      </w:r>
      <w:r>
        <w:t>.</w:t>
      </w:r>
    </w:p>
    <w:p w14:paraId="7DBB8072" w14:textId="36D1A41A" w:rsidR="002B7D6E" w:rsidRDefault="002B7D6E" w:rsidP="002B7D6E">
      <w:pPr>
        <w:pStyle w:val="Normal-Byfy"/>
      </w:pPr>
    </w:p>
    <w:p w14:paraId="23914BA5" w14:textId="180FB663" w:rsidR="007D76FD" w:rsidRDefault="007D76FD" w:rsidP="002B7D6E">
      <w:pPr>
        <w:pStyle w:val="Normal-Byfy"/>
      </w:pPr>
    </w:p>
    <w:p w14:paraId="2DD4A558" w14:textId="4FEF0321" w:rsidR="007D76FD" w:rsidRDefault="007D76FD" w:rsidP="002B7D6E">
      <w:pPr>
        <w:pStyle w:val="Normal-Byfy"/>
      </w:pPr>
    </w:p>
    <w:p w14:paraId="1F57EA9F" w14:textId="57D6DED4" w:rsidR="007D76FD" w:rsidRDefault="007D76FD" w:rsidP="002B7D6E">
      <w:pPr>
        <w:pStyle w:val="Normal-Byfy"/>
      </w:pPr>
    </w:p>
    <w:p w14:paraId="692F4827" w14:textId="1120BBC2" w:rsidR="007D76FD" w:rsidRDefault="007D76FD" w:rsidP="002B7D6E">
      <w:pPr>
        <w:pStyle w:val="Normal-Byfy"/>
      </w:pPr>
    </w:p>
    <w:p w14:paraId="2FCFCCA2" w14:textId="31E96471" w:rsidR="00F41753" w:rsidRDefault="00F41753" w:rsidP="002B7D6E">
      <w:pPr>
        <w:pStyle w:val="Normal-Byfy"/>
      </w:pPr>
    </w:p>
    <w:p w14:paraId="61BF0E80" w14:textId="77777777" w:rsidR="00F41753" w:rsidRDefault="00F41753" w:rsidP="002B7D6E">
      <w:pPr>
        <w:pStyle w:val="Normal-Byfy"/>
      </w:pPr>
    </w:p>
    <w:p w14:paraId="31C095D3" w14:textId="0AF548D3" w:rsidR="007D76FD" w:rsidRDefault="007D76FD" w:rsidP="002B7D6E">
      <w:pPr>
        <w:pStyle w:val="Normal-Byfy"/>
      </w:pPr>
    </w:p>
    <w:p w14:paraId="7EF78A02" w14:textId="1DEA9D74" w:rsidR="007D76FD" w:rsidRDefault="007D76FD" w:rsidP="002B7D6E">
      <w:pPr>
        <w:pStyle w:val="Normal-Byfy"/>
      </w:pPr>
    </w:p>
    <w:p w14:paraId="4CA730E6" w14:textId="77777777" w:rsidR="00CC2D0A" w:rsidRDefault="00CC2D0A" w:rsidP="002B7D6E">
      <w:pPr>
        <w:pStyle w:val="Normal-Byfy"/>
      </w:pPr>
    </w:p>
    <w:p w14:paraId="20E45885" w14:textId="77777777" w:rsidR="007D76FD" w:rsidRDefault="007D76FD" w:rsidP="002B7D6E">
      <w:pPr>
        <w:pStyle w:val="Normal-Byfy"/>
      </w:pPr>
    </w:p>
    <w:p w14:paraId="1D3B82BD" w14:textId="77777777" w:rsidR="002B7D6E" w:rsidRDefault="002B7D6E" w:rsidP="002B7D6E">
      <w:pPr>
        <w:pStyle w:val="Rubrik1-Byfy"/>
      </w:pPr>
      <w:bookmarkStart w:id="18" w:name="_Toc532751567"/>
      <w:r w:rsidRPr="00AA3D0C">
        <w:lastRenderedPageBreak/>
        <w:t>Methodology</w:t>
      </w:r>
      <w:bookmarkEnd w:id="18"/>
    </w:p>
    <w:p w14:paraId="0F1340BD" w14:textId="77777777" w:rsidR="00F01332" w:rsidRPr="00AA3D0C" w:rsidRDefault="00F01332" w:rsidP="00F01332">
      <w:pPr>
        <w:jc w:val="both"/>
      </w:pPr>
    </w:p>
    <w:p w14:paraId="70A74F59" w14:textId="309D69FE" w:rsidR="002B7D6E" w:rsidRPr="00AA3D0C" w:rsidRDefault="00654353" w:rsidP="002B7D6E">
      <w:pPr>
        <w:pStyle w:val="Rubrik2-Byfy"/>
        <w:rPr>
          <w:rFonts w:cs="Times New Roman"/>
        </w:rPr>
      </w:pPr>
      <w:bookmarkStart w:id="19" w:name="_Toc532751568"/>
      <w:r>
        <w:rPr>
          <w:rFonts w:cs="Times New Roman"/>
        </w:rPr>
        <w:t>C</w:t>
      </w:r>
      <w:r w:rsidR="003A583D">
        <w:rPr>
          <w:rFonts w:cs="Times New Roman"/>
        </w:rPr>
        <w:t>onceptual framework</w:t>
      </w:r>
      <w:bookmarkEnd w:id="19"/>
    </w:p>
    <w:p w14:paraId="5D9C0E7A" w14:textId="42D71E04" w:rsidR="009B72A7" w:rsidRDefault="009B72A7" w:rsidP="002B7D6E">
      <w:pPr>
        <w:jc w:val="both"/>
        <w:rPr>
          <w:sz w:val="22"/>
          <w:szCs w:val="22"/>
        </w:rPr>
      </w:pPr>
      <w:r>
        <w:rPr>
          <w:sz w:val="22"/>
          <w:szCs w:val="22"/>
        </w:rPr>
        <w:t>Th</w:t>
      </w:r>
      <w:r w:rsidR="004F26FE">
        <w:rPr>
          <w:sz w:val="22"/>
          <w:szCs w:val="22"/>
        </w:rPr>
        <w:t>e conceptual framework includes three main steps:</w:t>
      </w:r>
    </w:p>
    <w:p w14:paraId="5AF20D1A" w14:textId="64F502D0" w:rsidR="009B72A7" w:rsidRPr="009246CE" w:rsidRDefault="004F26FE" w:rsidP="00135D19">
      <w:pPr>
        <w:pStyle w:val="ListParagraph"/>
        <w:numPr>
          <w:ilvl w:val="0"/>
          <w:numId w:val="10"/>
        </w:numPr>
        <w:spacing w:before="240"/>
        <w:jc w:val="both"/>
        <w:rPr>
          <w:rFonts w:ascii="Times New Roman" w:hAnsi="Times New Roman" w:cs="Times New Roman"/>
        </w:rPr>
      </w:pPr>
      <w:r w:rsidRPr="009246CE">
        <w:rPr>
          <w:rFonts w:ascii="Times New Roman" w:hAnsi="Times New Roman" w:cs="Times New Roman"/>
        </w:rPr>
        <w:t xml:space="preserve">Check different </w:t>
      </w:r>
      <w:r w:rsidR="009B72A7" w:rsidRPr="009246CE">
        <w:rPr>
          <w:rFonts w:ascii="Times New Roman" w:hAnsi="Times New Roman" w:cs="Times New Roman"/>
        </w:rPr>
        <w:t>glare metrics</w:t>
      </w:r>
      <w:r w:rsidRPr="009246CE">
        <w:rPr>
          <w:rFonts w:ascii="Times New Roman" w:hAnsi="Times New Roman" w:cs="Times New Roman"/>
        </w:rPr>
        <w:t xml:space="preserve"> for the same scene</w:t>
      </w:r>
    </w:p>
    <w:p w14:paraId="12ED7C09" w14:textId="44387D19" w:rsidR="009B72A7" w:rsidRPr="009246CE" w:rsidRDefault="004F26FE" w:rsidP="00135D19">
      <w:pPr>
        <w:pStyle w:val="ListParagraph"/>
        <w:numPr>
          <w:ilvl w:val="0"/>
          <w:numId w:val="10"/>
        </w:numPr>
        <w:spacing w:before="240"/>
        <w:jc w:val="both"/>
        <w:rPr>
          <w:rFonts w:ascii="Times New Roman" w:hAnsi="Times New Roman" w:cs="Times New Roman"/>
        </w:rPr>
      </w:pPr>
      <w:r w:rsidRPr="009246CE">
        <w:rPr>
          <w:rFonts w:ascii="Times New Roman" w:hAnsi="Times New Roman" w:cs="Times New Roman"/>
        </w:rPr>
        <w:t xml:space="preserve">Repeat Step 1 for the same scene with different observer </w:t>
      </w:r>
      <w:r w:rsidR="009B3BB4" w:rsidRPr="009246CE">
        <w:rPr>
          <w:rFonts w:ascii="Times New Roman" w:hAnsi="Times New Roman" w:cs="Times New Roman"/>
        </w:rPr>
        <w:t>position</w:t>
      </w:r>
      <w:r w:rsidRPr="009246CE">
        <w:rPr>
          <w:rFonts w:ascii="Times New Roman" w:hAnsi="Times New Roman" w:cs="Times New Roman"/>
        </w:rPr>
        <w:t>s</w:t>
      </w:r>
      <w:r w:rsidR="009B3BB4" w:rsidRPr="009246CE">
        <w:rPr>
          <w:rFonts w:ascii="Times New Roman" w:hAnsi="Times New Roman" w:cs="Times New Roman"/>
        </w:rPr>
        <w:t xml:space="preserve"> and </w:t>
      </w:r>
      <w:r w:rsidR="002B7D6E" w:rsidRPr="009246CE">
        <w:rPr>
          <w:rFonts w:ascii="Times New Roman" w:hAnsi="Times New Roman" w:cs="Times New Roman"/>
        </w:rPr>
        <w:t xml:space="preserve">gaze </w:t>
      </w:r>
      <w:r w:rsidR="009B3BB4" w:rsidRPr="009246CE">
        <w:rPr>
          <w:rFonts w:ascii="Times New Roman" w:hAnsi="Times New Roman" w:cs="Times New Roman"/>
        </w:rPr>
        <w:t>direction</w:t>
      </w:r>
      <w:r w:rsidRPr="009246CE">
        <w:rPr>
          <w:rFonts w:ascii="Times New Roman" w:hAnsi="Times New Roman" w:cs="Times New Roman"/>
        </w:rPr>
        <w:t>s</w:t>
      </w:r>
    </w:p>
    <w:p w14:paraId="1405E0CC" w14:textId="01920B67" w:rsidR="00D97A6F" w:rsidRPr="00D97A6F" w:rsidRDefault="004F26FE" w:rsidP="00135D19">
      <w:pPr>
        <w:pStyle w:val="ListParagraph"/>
        <w:numPr>
          <w:ilvl w:val="0"/>
          <w:numId w:val="10"/>
        </w:numPr>
        <w:spacing w:before="240"/>
        <w:jc w:val="both"/>
        <w:rPr>
          <w:rFonts w:ascii="Times New Roman" w:hAnsi="Times New Roman" w:cs="Times New Roman"/>
        </w:rPr>
      </w:pPr>
      <w:r w:rsidRPr="009246CE">
        <w:rPr>
          <w:rFonts w:ascii="Times New Roman" w:hAnsi="Times New Roman" w:cs="Times New Roman"/>
        </w:rPr>
        <w:t xml:space="preserve">Include in Step 2 an </w:t>
      </w:r>
      <w:r w:rsidR="009B3BB4" w:rsidRPr="009246CE">
        <w:rPr>
          <w:rFonts w:ascii="Times New Roman" w:hAnsi="Times New Roman" w:cs="Times New Roman"/>
        </w:rPr>
        <w:t>adaptation possibility</w:t>
      </w:r>
      <w:r w:rsidRPr="009246CE">
        <w:rPr>
          <w:rFonts w:ascii="Times New Roman" w:hAnsi="Times New Roman" w:cs="Times New Roman"/>
        </w:rPr>
        <w:t xml:space="preserve"> for the observer, i.e. the observer may decide to slightly move the gaze to avoid glare, and the observer may accept glare if </w:t>
      </w:r>
      <w:r w:rsidR="00660AFC">
        <w:rPr>
          <w:rFonts w:ascii="Times New Roman" w:hAnsi="Times New Roman" w:cs="Times New Roman"/>
        </w:rPr>
        <w:t>the overall glare duration does not exceed a reference time</w:t>
      </w:r>
      <w:r w:rsidRPr="009246CE">
        <w:rPr>
          <w:rFonts w:ascii="Times New Roman" w:hAnsi="Times New Roman" w:cs="Times New Roman"/>
        </w:rPr>
        <w:t>.</w:t>
      </w:r>
    </w:p>
    <w:p w14:paraId="6FDC4729" w14:textId="5ACC2A22" w:rsidR="002B7D6E" w:rsidRDefault="004F26FE" w:rsidP="009B72A7">
      <w:pPr>
        <w:jc w:val="both"/>
        <w:rPr>
          <w:sz w:val="22"/>
          <w:szCs w:val="22"/>
        </w:rPr>
      </w:pPr>
      <w:r>
        <w:rPr>
          <w:sz w:val="22"/>
          <w:szCs w:val="22"/>
        </w:rPr>
        <w:t>The</w:t>
      </w:r>
      <w:r w:rsidR="002B7D6E" w:rsidRPr="009B72A7">
        <w:rPr>
          <w:sz w:val="22"/>
          <w:szCs w:val="22"/>
        </w:rPr>
        <w:t xml:space="preserve"> observer’s adaptation </w:t>
      </w:r>
      <w:r>
        <w:rPr>
          <w:sz w:val="22"/>
          <w:szCs w:val="22"/>
        </w:rPr>
        <w:t xml:space="preserve">is most critical part of the conceptual framework since it needs validation with real observers. For the scope of this thesis, </w:t>
      </w:r>
      <w:r w:rsidR="0085676D">
        <w:rPr>
          <w:sz w:val="22"/>
          <w:szCs w:val="22"/>
        </w:rPr>
        <w:t>the</w:t>
      </w:r>
      <w:r>
        <w:rPr>
          <w:sz w:val="22"/>
          <w:szCs w:val="22"/>
        </w:rPr>
        <w:t xml:space="preserve"> assumption</w:t>
      </w:r>
      <w:r w:rsidR="0085676D">
        <w:rPr>
          <w:sz w:val="22"/>
          <w:szCs w:val="22"/>
        </w:rPr>
        <w:t>s and weighting systems</w:t>
      </w:r>
      <w:r>
        <w:rPr>
          <w:sz w:val="22"/>
          <w:szCs w:val="22"/>
        </w:rPr>
        <w:t xml:space="preserve"> were </w:t>
      </w:r>
      <w:r w:rsidR="0085676D">
        <w:rPr>
          <w:sz w:val="22"/>
          <w:szCs w:val="22"/>
        </w:rPr>
        <w:t xml:space="preserve">partially inspired by </w:t>
      </w:r>
      <w:r>
        <w:rPr>
          <w:sz w:val="22"/>
          <w:szCs w:val="22"/>
        </w:rPr>
        <w:t>the so-called “</w:t>
      </w:r>
      <w:r w:rsidR="002B7D6E" w:rsidRPr="009B72A7">
        <w:rPr>
          <w:sz w:val="22"/>
          <w:szCs w:val="22"/>
        </w:rPr>
        <w:t>adaptive zone</w:t>
      </w:r>
      <w:r>
        <w:rPr>
          <w:sz w:val="22"/>
          <w:szCs w:val="22"/>
        </w:rPr>
        <w:t>”</w:t>
      </w:r>
      <w:r w:rsidR="002B7D6E" w:rsidRPr="009B72A7">
        <w:rPr>
          <w:sz w:val="22"/>
          <w:szCs w:val="22"/>
        </w:rPr>
        <w:t xml:space="preserve">, presented by </w:t>
      </w:r>
      <w:proofErr w:type="spellStart"/>
      <w:r w:rsidR="002B7D6E" w:rsidRPr="009B72A7">
        <w:rPr>
          <w:sz w:val="22"/>
          <w:szCs w:val="22"/>
        </w:rPr>
        <w:t>Jakubiec</w:t>
      </w:r>
      <w:proofErr w:type="spellEnd"/>
      <w:r w:rsidR="002B7D6E" w:rsidRPr="009B72A7">
        <w:rPr>
          <w:sz w:val="22"/>
          <w:szCs w:val="22"/>
        </w:rPr>
        <w:t xml:space="preserve"> and Reinhart </w:t>
      </w:r>
      <w:r w:rsidR="002B7D6E" w:rsidRPr="009B72A7">
        <w:rPr>
          <w:sz w:val="22"/>
          <w:szCs w:val="22"/>
        </w:rPr>
        <w:fldChar w:fldCharType="begin" w:fldLock="1"/>
      </w:r>
      <w:r w:rsidR="005952EA">
        <w:rPr>
          <w:sz w:val="22"/>
          <w:szCs w:val="22"/>
        </w:rPr>
        <w:instrText>ADDIN CSL_CITATION { "citationItems" : [ { "id" : "ITEM-1", "itemData" : { "DOI" : "10.1177/1477153511420097", "ISSN" : "1477-1535", "abstract" : "Discomfort glare is an underutilized parameter in contemporary architectural design due to uncertainties about the meaning of existing metrics, how they should be applied and what the benefits of such analysis are. Glare is position and view direction-dependent within a space, rendering it difficult to assess compared to conventional illuminance-based metrics. This paper compares simulation results for five glare metrics under 144 clear sky conditions in three spaces in order to investigate the ability of these metrics to predict the occurrence of discomfort glare and to hence support the design of comfortable spaces. The metrics analyzed areDaylight Glare Index, CIE Glare Index, Visual Comfort Probability, Unified Glare Rating and Daylight Glare Probability. It is found that Daylight Glare Probability yields the most plausible results. In an attempt to deal with multiple positions and view directions simultaneously, the concept of an 'adaptive zone' is introduced within which building occupants may freely adjust their position and view in order to minimise the effect of glare. The spatial and directional extents of the adaptive zone depend on furniture layout and the freedom of occupants' tasks. It is found that applying the adaptive zone concept to a sidelit office with manually operated venetian blinds reduces the predicted hours of intolerable discomfort glare from 735 to 18 occupied hours per year and increases the annual mean daylight availability from 40% to 72%. \ufffd The Chartered Institution of Building Services Engineers 2011.", "author" : [ { "dropping-particle" : "", "family" : "Jakubiec", "given" : "J A", "non-dropping-particle" : "", "parse-names" : false, "suffix" : "" }, { "dropping-particle" : "", "family" : "Reinhart", "given" : "C F", "non-dropping-particle" : "", "parse-names" : false, "suffix" : "" } ], "container-title" : "Lighting Research and Technology", "id" : "ITEM-1", "issue" : "2", "issued" : { "date-parts" : [ [ "2012" ] ] }, "note" : "Cited By :73", "page" : "149-170", "publisher-place" : "Affiliation: Department of Architecture, Graduate School of Design, Harvard University, Cambridge, MA 02138, United States; Correspondence Address: Jakubiec, J.A.; Department of Architecture, Graduate School of Design, Harvard University, Cambridge, MA 02", "title" : "The 'adaptive zone'-A concept for assessing discomfort glare throughout daylit spaces", "type" : "article-journal", "volume" : "44" }, "uris" : [ "http://www.mendeley.com/documents/?uuid=f01dcf6b-03a6-4aa9-8aa2-59544825192d", "http://www.mendeley.com/documents/?uuid=4a6325c5-bf9d-4d77-bed0-6fe0cc63816d" ] } ], "mendeley" : { "formattedCitation" : "(Jakubiec and Reinhart, 2012)", "manualFormatting" : "(2012)", "plainTextFormattedCitation" : "(Jakubiec and Reinhart, 2012)", "previouslyFormattedCitation" : "(Jakubiec and Reinhart, 2012)" }, "properties" : { "noteIndex" : 0 }, "schema" : "https://github.com/citation-style-language/schema/raw/master/csl-citation.json" }</w:instrText>
      </w:r>
      <w:r w:rsidR="002B7D6E" w:rsidRPr="009B72A7">
        <w:rPr>
          <w:sz w:val="22"/>
          <w:szCs w:val="22"/>
        </w:rPr>
        <w:fldChar w:fldCharType="separate"/>
      </w:r>
      <w:r w:rsidR="002B7D6E" w:rsidRPr="009B72A7">
        <w:rPr>
          <w:noProof/>
          <w:sz w:val="22"/>
          <w:szCs w:val="22"/>
        </w:rPr>
        <w:t>(2012)</w:t>
      </w:r>
      <w:r w:rsidR="002B7D6E" w:rsidRPr="009B72A7">
        <w:rPr>
          <w:sz w:val="22"/>
          <w:szCs w:val="22"/>
        </w:rPr>
        <w:fldChar w:fldCharType="end"/>
      </w:r>
      <w:r>
        <w:rPr>
          <w:sz w:val="22"/>
          <w:szCs w:val="22"/>
        </w:rPr>
        <w:t xml:space="preserve"> and further explored by </w:t>
      </w:r>
      <w:proofErr w:type="spellStart"/>
      <w:r>
        <w:rPr>
          <w:sz w:val="22"/>
          <w:szCs w:val="22"/>
        </w:rPr>
        <w:t>Jakubiec</w:t>
      </w:r>
      <w:proofErr w:type="spellEnd"/>
      <w:r>
        <w:rPr>
          <w:sz w:val="22"/>
          <w:szCs w:val="22"/>
        </w:rPr>
        <w:t xml:space="preserve"> in his PhD dissertation </w:t>
      </w:r>
      <w:r>
        <w:rPr>
          <w:sz w:val="22"/>
          <w:szCs w:val="22"/>
        </w:rPr>
        <w:fldChar w:fldCharType="begin" w:fldLock="1"/>
      </w:r>
      <w:r w:rsidR="005952EA">
        <w:rPr>
          <w:sz w:val="22"/>
          <w:szCs w:val="22"/>
        </w:rPr>
        <w:instrText>ADDIN CSL_CITATION { "citationItems" : [ { "id" : "ITEM-1", "itemData" : { "author" : [ { "dropping-particle" : "", "family" : "Jakubiec", "given" : "Alstan", "non-dropping-particle" : "", "parse-names" : false, "suffix" : "" } ], "id" : "ITEM-1", "issued" : { "date-parts" : [ [ "2014" ] ] }, "number-of-pages" : "144", "publisher" : "Massachusetts Institute of Technology", "title" : "The Use of Visual Comfort Metrics in the Design of Daylit Spaces", "type" : "thesis" }, "uris" : [ "http://www.mendeley.com/documents/?uuid=556fcd68-2e07-4b15-bd5a-fc94c9677e84", "http://www.mendeley.com/documents/?uuid=66b46e62-d368-4491-aef2-734ccb02a805" ] } ], "mendeley" : { "formattedCitation" : "(Jakubiec, 2014)", "plainTextFormattedCitation" : "(Jakubiec, 2014)", "previouslyFormattedCitation" : "(Jakubiec, 2014)" }, "properties" : { "noteIndex" : 0 }, "schema" : "https://github.com/citation-style-language/schema/raw/master/csl-citation.json" }</w:instrText>
      </w:r>
      <w:r>
        <w:rPr>
          <w:sz w:val="22"/>
          <w:szCs w:val="22"/>
        </w:rPr>
        <w:fldChar w:fldCharType="separate"/>
      </w:r>
      <w:r w:rsidRPr="004F26FE">
        <w:rPr>
          <w:noProof/>
          <w:sz w:val="22"/>
          <w:szCs w:val="22"/>
        </w:rPr>
        <w:t>(Jakubiec, 2014)</w:t>
      </w:r>
      <w:r>
        <w:rPr>
          <w:sz w:val="22"/>
          <w:szCs w:val="22"/>
        </w:rPr>
        <w:fldChar w:fldCharType="end"/>
      </w:r>
      <w:r w:rsidR="002B7D6E" w:rsidRPr="009B72A7">
        <w:rPr>
          <w:sz w:val="22"/>
          <w:szCs w:val="22"/>
        </w:rPr>
        <w:t>.</w:t>
      </w:r>
    </w:p>
    <w:p w14:paraId="657951A3" w14:textId="7A3DC61C" w:rsidR="00D97A6F" w:rsidRDefault="00D97A6F" w:rsidP="009B72A7">
      <w:pPr>
        <w:jc w:val="both"/>
        <w:rPr>
          <w:sz w:val="22"/>
          <w:szCs w:val="22"/>
        </w:rPr>
      </w:pPr>
    </w:p>
    <w:p w14:paraId="0D5C226D" w14:textId="77777777" w:rsidR="002B7D6E" w:rsidRPr="00AA3D0C" w:rsidRDefault="002B7D6E" w:rsidP="00E3197E">
      <w:pPr>
        <w:pStyle w:val="Heading3"/>
        <w:rPr>
          <w:rFonts w:ascii="Times New Roman" w:hAnsi="Times New Roman" w:cs="Times New Roman"/>
        </w:rPr>
      </w:pPr>
      <w:bookmarkStart w:id="20" w:name="_Toc532751569"/>
      <w:r w:rsidRPr="00AA3D0C">
        <w:rPr>
          <w:rFonts w:ascii="Times New Roman" w:hAnsi="Times New Roman" w:cs="Times New Roman"/>
        </w:rPr>
        <w:t>Investigated glare metrics</w:t>
      </w:r>
      <w:bookmarkEnd w:id="20"/>
    </w:p>
    <w:p w14:paraId="40C6F565" w14:textId="47A75924" w:rsidR="00D97A6F" w:rsidRPr="00A23774" w:rsidRDefault="0085676D" w:rsidP="002B7D6E">
      <w:pPr>
        <w:jc w:val="both"/>
        <w:rPr>
          <w:sz w:val="22"/>
          <w:szCs w:val="22"/>
        </w:rPr>
      </w:pPr>
      <w:r w:rsidRPr="00A23774">
        <w:rPr>
          <w:sz w:val="22"/>
          <w:szCs w:val="22"/>
        </w:rPr>
        <w:t>The indoor luminous scene would often account for direct beam illuminance and reflections. In such situation, glare prediction is improved when more than a single glare metric is examined</w:t>
      </w:r>
      <w:r w:rsidR="00884D91">
        <w:rPr>
          <w:sz w:val="22"/>
          <w:szCs w:val="22"/>
        </w:rPr>
        <w:t>, see</w:t>
      </w:r>
      <w:r w:rsidRPr="00A23774">
        <w:rPr>
          <w:sz w:val="22"/>
          <w:szCs w:val="22"/>
        </w:rPr>
        <w:t xml:space="preserve"> </w:t>
      </w:r>
      <w:proofErr w:type="spellStart"/>
      <w:r w:rsidRPr="00A23774">
        <w:rPr>
          <w:sz w:val="22"/>
          <w:szCs w:val="22"/>
        </w:rPr>
        <w:t>Jakubiec</w:t>
      </w:r>
      <w:proofErr w:type="spellEnd"/>
      <w:r w:rsidRPr="00A23774">
        <w:rPr>
          <w:sz w:val="22"/>
          <w:szCs w:val="22"/>
        </w:rPr>
        <w:t xml:space="preserve"> and Reinhart </w:t>
      </w:r>
      <w:r w:rsidRPr="00A23774">
        <w:rPr>
          <w:sz w:val="22"/>
          <w:szCs w:val="22"/>
        </w:rPr>
        <w:fldChar w:fldCharType="begin" w:fldLock="1"/>
      </w:r>
      <w:r w:rsidR="005952EA">
        <w:rPr>
          <w:sz w:val="22"/>
          <w:szCs w:val="22"/>
        </w:rPr>
        <w:instrText>ADDIN CSL_CITATION { "citationItems" : [ { "id" : "ITEM-1", "itemData" : { "DOI" : "10.1080/15502724.2015.1090880", "ISSN" : "1550-2724", "abstract" : "A new visual comfort concept is introduced to describe the long-term visual impression of space occupants. This concept, in contrast to instantaneous assessment of visual comfort, aims to describe an overall rating of visual quality in a space. A paired study consisting of occupant surveys and detailed 6-minute time step visual comfort simulations was performed for the studio spaces of Gund Hall in Cambridge, Massachusetts, which is occupied by approximately 500 students. Occupants reported four primary ways of experiencing visual discomfort: discomfort glare, insufficient monitor contrast, direct visibility of the sun, and direct sunlight on the workplane. Survey results were located spatially and in terms of orientation within Gund Hall, and a simulation model was calibrated based on furniture layout, measured material reflectances, and local measured weather data. The results of the study illustrate that it is possible to use current simulation-based visual comfort predictions to predict occupants\ufffd long-term visual comfort assessments in a complex daylit space. By classifying occupant responses into two broad groupings of comfortable and uncomfortable, the prediction methodology correctly identifies reported comfort or discomfort from 73.2% to 86.5% of cases depending on time of day; however, more research is required for broader application of the long-term visual comfort model to other buildings. Through a spatial and temporal presentation of the simulation data, this new methodology can be used as feedback during the process of designing daylit spaces, avoiding visual discomfort, and increasing satisfaction within the built environment. Copyright \ufffd Illuminating Engineering Society.", "author" : [ { "dropping-particle" : "", "family" : "Jakubiec", "given" : "J A", "non-dropping-particle" : "", "parse-names" : false, "suffix" : "" }, { "dropping-particle" : "", "family" : "Reinhart", "given" : "C F", "non-dropping-particle" : "", "parse-names" : false, "suffix" : "" } ], "container-title" : "LEUKOS - Journal of Illuminating Engineering Society of North America", "id" : "ITEM-1", "issue" : "4", "issued" : { "date-parts" : [ [ "2016" ] ] }, "note" : "Cited By :3", "page" : "185-202", "publisher" : "Taylor and Francis Inc.", "publisher-place" : "Affiliation: Architecture and Sustainable Design, Singapore University of Technology and Design, Singapore, Singapore; Affiliation: Department of Architecture, Massachusetts Institute of Technology, Cambridge, MA, United States; Correspondence Address: Ja", "title" : "A Concept for Predicting Occupants' Long-Term Visual Comfort within Daylit Spaces", "type" : "article-journal", "volume" : "12" }, "uris" : [ "http://www.mendeley.com/documents/?uuid=c6b902ca-a2e8-4a0c-be98-9df871d73c02", "http://www.mendeley.com/documents/?uuid=335920d5-dbf7-4e5a-931b-883cfeb05029" ] } ], "mendeley" : { "formattedCitation" : "(Jakubiec and Reinhart, 2016)", "manualFormatting" : "(2016)", "plainTextFormattedCitation" : "(Jakubiec and Reinhart, 2016)", "previouslyFormattedCitation" : "(Jakubiec and Reinhart, 2016)" }, "properties" : { "noteIndex" : 0 }, "schema" : "https://github.com/citation-style-language/schema/raw/master/csl-citation.json" }</w:instrText>
      </w:r>
      <w:r w:rsidRPr="00A23774">
        <w:rPr>
          <w:sz w:val="22"/>
          <w:szCs w:val="22"/>
        </w:rPr>
        <w:fldChar w:fldCharType="separate"/>
      </w:r>
      <w:r w:rsidRPr="00A23774">
        <w:rPr>
          <w:noProof/>
          <w:sz w:val="22"/>
          <w:szCs w:val="22"/>
        </w:rPr>
        <w:t>(2016)</w:t>
      </w:r>
      <w:r w:rsidRPr="00A23774">
        <w:rPr>
          <w:sz w:val="22"/>
          <w:szCs w:val="22"/>
        </w:rPr>
        <w:fldChar w:fldCharType="end"/>
      </w:r>
      <w:r w:rsidRPr="00A23774">
        <w:rPr>
          <w:sz w:val="22"/>
          <w:szCs w:val="22"/>
        </w:rPr>
        <w:t>.</w:t>
      </w:r>
      <w:r w:rsidR="007D76FD">
        <w:rPr>
          <w:sz w:val="22"/>
          <w:szCs w:val="22"/>
        </w:rPr>
        <w:t xml:space="preserve"> </w:t>
      </w:r>
      <w:r w:rsidRPr="00A23774">
        <w:rPr>
          <w:sz w:val="22"/>
          <w:szCs w:val="22"/>
        </w:rPr>
        <w:t>T</w:t>
      </w:r>
      <w:r w:rsidR="00CC727F" w:rsidRPr="00A23774">
        <w:rPr>
          <w:sz w:val="22"/>
          <w:szCs w:val="22"/>
        </w:rPr>
        <w:t xml:space="preserve">hree glare </w:t>
      </w:r>
      <w:r w:rsidRPr="00A23774">
        <w:rPr>
          <w:sz w:val="22"/>
          <w:szCs w:val="22"/>
        </w:rPr>
        <w:t>ind</w:t>
      </w:r>
      <w:r w:rsidR="00AE6A81" w:rsidRPr="00A23774">
        <w:rPr>
          <w:sz w:val="22"/>
          <w:szCs w:val="22"/>
        </w:rPr>
        <w:t>ices</w:t>
      </w:r>
      <w:r w:rsidRPr="00A23774">
        <w:rPr>
          <w:sz w:val="22"/>
          <w:szCs w:val="22"/>
        </w:rPr>
        <w:t xml:space="preserve"> </w:t>
      </w:r>
      <w:r w:rsidR="00CC727F" w:rsidRPr="00A23774">
        <w:rPr>
          <w:sz w:val="22"/>
          <w:szCs w:val="22"/>
        </w:rPr>
        <w:t>were implemented in the presented method:</w:t>
      </w:r>
    </w:p>
    <w:p w14:paraId="5D2AE01B" w14:textId="2C630F92" w:rsidR="00FD025B" w:rsidRPr="00A23774" w:rsidRDefault="00CC727F" w:rsidP="00435292">
      <w:pPr>
        <w:pStyle w:val="ListParagraph"/>
        <w:numPr>
          <w:ilvl w:val="0"/>
          <w:numId w:val="6"/>
        </w:numPr>
        <w:spacing w:before="240"/>
        <w:ind w:left="426"/>
        <w:jc w:val="both"/>
        <w:rPr>
          <w:rFonts w:ascii="Times New Roman" w:hAnsi="Times New Roman" w:cs="Times New Roman"/>
        </w:rPr>
      </w:pPr>
      <w:r w:rsidRPr="00A23774">
        <w:rPr>
          <w:rFonts w:ascii="Times New Roman" w:hAnsi="Times New Roman" w:cs="Times New Roman"/>
          <w:b/>
        </w:rPr>
        <w:t>DGP</w:t>
      </w:r>
      <w:r w:rsidR="005C454F" w:rsidRPr="00A23774">
        <w:rPr>
          <w:rFonts w:ascii="Times New Roman" w:hAnsi="Times New Roman" w:cs="Times New Roman"/>
        </w:rPr>
        <w:t>, for an overall assessment</w:t>
      </w:r>
      <w:r w:rsidR="00093CA7">
        <w:rPr>
          <w:rFonts w:ascii="Times New Roman" w:hAnsi="Times New Roman" w:cs="Times New Roman"/>
        </w:rPr>
        <w:t xml:space="preserve"> considering both brightness and contrast</w:t>
      </w:r>
    </w:p>
    <w:p w14:paraId="50E44D84" w14:textId="2ECF8EF3" w:rsidR="00FD025B" w:rsidRPr="00A23774" w:rsidRDefault="00CC727F" w:rsidP="005A13D2">
      <w:pPr>
        <w:pStyle w:val="ListParagraph"/>
        <w:numPr>
          <w:ilvl w:val="0"/>
          <w:numId w:val="6"/>
        </w:numPr>
        <w:spacing w:before="240"/>
        <w:ind w:left="426"/>
        <w:jc w:val="both"/>
        <w:rPr>
          <w:rFonts w:ascii="Times New Roman" w:hAnsi="Times New Roman" w:cs="Times New Roman"/>
        </w:rPr>
      </w:pPr>
      <w:r w:rsidRPr="00A23774">
        <w:rPr>
          <w:rFonts w:ascii="Times New Roman" w:hAnsi="Times New Roman" w:cs="Times New Roman"/>
          <w:b/>
        </w:rPr>
        <w:t>DG</w:t>
      </w:r>
      <w:r w:rsidR="00FD025B" w:rsidRPr="00A23774">
        <w:rPr>
          <w:rFonts w:ascii="Times New Roman" w:hAnsi="Times New Roman" w:cs="Times New Roman"/>
          <w:b/>
        </w:rPr>
        <w:t>Ps</w:t>
      </w:r>
      <w:r w:rsidR="005C454F" w:rsidRPr="00A23774">
        <w:rPr>
          <w:rFonts w:ascii="Times New Roman" w:hAnsi="Times New Roman" w:cs="Times New Roman"/>
        </w:rPr>
        <w:t>, to focus on brightness rather than contrast</w:t>
      </w:r>
    </w:p>
    <w:p w14:paraId="617E9565" w14:textId="7A138D05" w:rsidR="002B7D6E" w:rsidRDefault="00CC727F" w:rsidP="005A13D2">
      <w:pPr>
        <w:pStyle w:val="ListParagraph"/>
        <w:numPr>
          <w:ilvl w:val="0"/>
          <w:numId w:val="6"/>
        </w:numPr>
        <w:spacing w:before="240"/>
        <w:ind w:left="426"/>
        <w:jc w:val="both"/>
        <w:rPr>
          <w:rFonts w:ascii="Times New Roman" w:hAnsi="Times New Roman" w:cs="Times New Roman"/>
        </w:rPr>
      </w:pPr>
      <w:r w:rsidRPr="00A23774">
        <w:rPr>
          <w:rFonts w:ascii="Times New Roman" w:hAnsi="Times New Roman" w:cs="Times New Roman"/>
          <w:b/>
        </w:rPr>
        <w:t>D</w:t>
      </w:r>
      <w:r w:rsidR="00FD025B" w:rsidRPr="00A23774">
        <w:rPr>
          <w:rFonts w:ascii="Times New Roman" w:hAnsi="Times New Roman" w:cs="Times New Roman"/>
          <w:b/>
        </w:rPr>
        <w:t>GI</w:t>
      </w:r>
      <w:r w:rsidR="005C454F" w:rsidRPr="00A23774">
        <w:rPr>
          <w:rFonts w:ascii="Times New Roman" w:hAnsi="Times New Roman" w:cs="Times New Roman"/>
        </w:rPr>
        <w:t xml:space="preserve">, to </w:t>
      </w:r>
      <w:r w:rsidR="00093CA7">
        <w:rPr>
          <w:rFonts w:ascii="Times New Roman" w:hAnsi="Times New Roman" w:cs="Times New Roman"/>
        </w:rPr>
        <w:t>focus on</w:t>
      </w:r>
      <w:r w:rsidR="005C454F" w:rsidRPr="00A23774">
        <w:rPr>
          <w:rFonts w:ascii="Times New Roman" w:hAnsi="Times New Roman" w:cs="Times New Roman"/>
        </w:rPr>
        <w:t xml:space="preserve"> contrast</w:t>
      </w:r>
      <w:r w:rsidR="00093CA7">
        <w:rPr>
          <w:rFonts w:ascii="Times New Roman" w:hAnsi="Times New Roman" w:cs="Times New Roman"/>
        </w:rPr>
        <w:t xml:space="preserve"> rather than brightness</w:t>
      </w:r>
    </w:p>
    <w:p w14:paraId="09A868E4" w14:textId="43A49F4C" w:rsidR="00C30224" w:rsidRDefault="00F50542" w:rsidP="001D2E5A">
      <w:pPr>
        <w:jc w:val="both"/>
        <w:rPr>
          <w:sz w:val="22"/>
          <w:szCs w:val="22"/>
          <w:lang w:val="en-US"/>
        </w:rPr>
      </w:pPr>
      <w:r>
        <w:t xml:space="preserve">Indeed, </w:t>
      </w:r>
      <w:r w:rsidR="001D2E5A">
        <w:rPr>
          <w:sz w:val="22"/>
          <w:szCs w:val="22"/>
        </w:rPr>
        <w:t xml:space="preserve">DGP </w:t>
      </w:r>
      <w:r w:rsidR="00F43EA9" w:rsidRPr="00C30224">
        <w:rPr>
          <w:sz w:val="22"/>
          <w:szCs w:val="22"/>
        </w:rPr>
        <w:t>considers most parameters that affect the glare sensat</w:t>
      </w:r>
      <w:r w:rsidR="00F43EA9" w:rsidRPr="001D2E5A">
        <w:rPr>
          <w:sz w:val="22"/>
          <w:szCs w:val="22"/>
        </w:rPr>
        <w:t>ion</w:t>
      </w:r>
      <w:r w:rsidR="001D2E5A">
        <w:rPr>
          <w:sz w:val="22"/>
          <w:szCs w:val="22"/>
        </w:rPr>
        <w:t xml:space="preserve"> </w:t>
      </w:r>
      <w:r w:rsidR="001D2E5A" w:rsidRPr="00C2596C">
        <w:rPr>
          <w:sz w:val="22"/>
          <w:szCs w:val="22"/>
        </w:rPr>
        <w:fldChar w:fldCharType="begin" w:fldLock="1"/>
      </w:r>
      <w:r w:rsidR="001D2E5A" w:rsidRPr="00C2596C">
        <w:rPr>
          <w:sz w:val="22"/>
          <w:szCs w:val="22"/>
        </w:rPr>
        <w:instrText>ADDIN CSL_CITATION { "citationItems" : [ { "id" : "ITEM-1", "itemData" : { "DOI" : "10.1177/1477153511420097", "ISSN" : "1477-1535", "abstract" : "Discomfort glare is an underutilized parameter in contemporary architectural design due to uncertainties about the meaning of existing metrics, how they should be applied and what the benefits of such analysis are. Glare is position and view direction-dependent within a space, rendering it difficult to assess compared to conventional illuminance-based metrics. This paper compares simulation results for five glare metrics under 144 clear sky conditions in three spaces in order to investigate the ability of these metrics to predict the occurrence of discomfort glare and to hence support the design of comfortable spaces. The metrics analyzed areDaylight Glare Index, CIE Glare Index, Visual Comfort Probability, Unified Glare Rating and Daylight Glare Probability. It is found that Daylight Glare Probability yields the most plausible results. In an attempt to deal with multiple positions and view directions simultaneously, the concept of an 'adaptive zone' is introduced within which building occupants may freely adjust their position and view in order to minimise the effect of glare. The spatial and directional extents of the adaptive zone depend on furniture layout and the freedom of occupants' tasks. It is found that applying the adaptive zone concept to a sidelit office with manually operated venetian blinds reduces the predicted hours of intolerable discomfort glare from 735 to 18 occupied hours per year and increases the annual mean daylight availability from 40% to 72%. \ufffd The Chartered Institution of Building Services Engineers 2011.", "author" : [ { "dropping-particle" : "", "family" : "Jakubiec", "given" : "J A", "non-dropping-particle" : "", "parse-names" : false, "suffix" : "" }, { "dropping-particle" : "", "family" : "Reinhart", "given" : "C F", "non-dropping-particle" : "", "parse-names" : false, "suffix" : "" } ], "container-title" : "Lighting Research and Technology", "id" : "ITEM-1", "issue" : "2", "issued" : { "date-parts" : [ [ "2012" ] ] }, "note" : "Cited By :73", "page" : "149-170", "publisher-place" : "Affiliation: Department of Architecture, Graduate School of Design, Harvard University, Cambridge, MA 02138, United States; Correspondence Address: Jakubiec, J.A.; Department of Architecture, Graduate School of Design, Harvard University, Cambridge, MA 02", "title" : "The 'adaptive zone'-A concept for assessing discomfort glare throughout daylit spaces", "type" : "article-journal", "volume" : "44" }, "uris" : [ "http://www.mendeley.com/documents/?uuid=f01dcf6b-03a6-4aa9-8aa2-59544825192d", "http://www.mendeley.com/documents/?uuid=4a6325c5-bf9d-4d77-bed0-6fe0cc63816d" ] } ], "mendeley" : { "formattedCitation" : "(Jakubiec and Reinhart, 2012)", "manualFormatting" : "(2012)", "plainTextFormattedCitation" : "(Jakubiec and Reinhart, 2012)", "previouslyFormattedCitation" : "(Jakubiec and Reinhart, 2012)" }, "properties" : { "noteIndex" : 0 }, "schema" : "https://github.com/citation-style-language/schema/raw/master/csl-citation.json" }</w:instrText>
      </w:r>
      <w:r w:rsidR="001D2E5A" w:rsidRPr="00C2596C">
        <w:rPr>
          <w:sz w:val="22"/>
          <w:szCs w:val="22"/>
        </w:rPr>
        <w:fldChar w:fldCharType="separate"/>
      </w:r>
      <w:r w:rsidR="001D2E5A" w:rsidRPr="00C2596C">
        <w:rPr>
          <w:noProof/>
          <w:sz w:val="22"/>
          <w:szCs w:val="22"/>
        </w:rPr>
        <w:t>(</w:t>
      </w:r>
      <w:r w:rsidR="001D2E5A">
        <w:rPr>
          <w:noProof/>
          <w:sz w:val="22"/>
          <w:szCs w:val="22"/>
        </w:rPr>
        <w:t xml:space="preserve">Jakubiec and Reinhart, </w:t>
      </w:r>
      <w:r w:rsidR="001D2E5A" w:rsidRPr="00C2596C">
        <w:rPr>
          <w:noProof/>
          <w:sz w:val="22"/>
          <w:szCs w:val="22"/>
        </w:rPr>
        <w:t>2012)</w:t>
      </w:r>
      <w:r w:rsidR="001D2E5A" w:rsidRPr="00C2596C">
        <w:rPr>
          <w:sz w:val="22"/>
          <w:szCs w:val="22"/>
        </w:rPr>
        <w:fldChar w:fldCharType="end"/>
      </w:r>
      <w:r w:rsidR="00F43EA9" w:rsidRPr="00C30224">
        <w:rPr>
          <w:sz w:val="22"/>
          <w:szCs w:val="22"/>
        </w:rPr>
        <w:t>.</w:t>
      </w:r>
      <w:r w:rsidR="001D2E5A">
        <w:rPr>
          <w:sz w:val="22"/>
          <w:szCs w:val="22"/>
        </w:rPr>
        <w:t xml:space="preserve"> </w:t>
      </w:r>
      <w:r w:rsidR="00884D91" w:rsidRPr="00C30224">
        <w:rPr>
          <w:sz w:val="22"/>
          <w:szCs w:val="22"/>
        </w:rPr>
        <w:t>T</w:t>
      </w:r>
      <w:r w:rsidR="00F43EA9" w:rsidRPr="00C30224">
        <w:rPr>
          <w:sz w:val="22"/>
          <w:szCs w:val="22"/>
        </w:rPr>
        <w:t xml:space="preserve">he first part of the DGP formula predicts discomfort glare from brightly illuminated scenes due to </w:t>
      </w:r>
      <w:proofErr w:type="spellStart"/>
      <w:r w:rsidR="00F43EA9" w:rsidRPr="00C30224">
        <w:rPr>
          <w:sz w:val="22"/>
          <w:szCs w:val="22"/>
        </w:rPr>
        <w:t>Ev</w:t>
      </w:r>
      <w:proofErr w:type="spellEnd"/>
      <w:r w:rsidR="00F43EA9" w:rsidRPr="00C30224">
        <w:rPr>
          <w:sz w:val="22"/>
          <w:szCs w:val="22"/>
        </w:rPr>
        <w:t xml:space="preserve">, while the second part estimates the contrast parameter or adaptation </w:t>
      </w:r>
      <w:r w:rsidR="00F43EA9" w:rsidRPr="00C30224">
        <w:rPr>
          <w:sz w:val="22"/>
          <w:szCs w:val="22"/>
        </w:rPr>
        <w:fldChar w:fldCharType="begin" w:fldLock="1"/>
      </w:r>
      <w:r w:rsidR="00F43EA9" w:rsidRPr="001D2E5A">
        <w:rPr>
          <w:sz w:val="22"/>
          <w:szCs w:val="22"/>
        </w:rPr>
        <w:instrText>ADDIN CSL_CITATION { "citationItems" : [ { "id" : "ITEM-1", "itemData" : { "DOI" : "10.1016/j.enbuild.2006.03.017", "ISSN" : "0378-7788", "abstract" : "Daylighting and the impact of daylighting strategies on the visual environment continue to be a vital issue for building occupants due to visual comfort and user acceptance of luminous indoor environments. Some of the critical factors affecting the level of visual comfort and quality in daylit office spaces include glare, window luminances, and luminance ratios within the field of view. One of the goals of this study was to provide new insight into the impact of luminance distributions on glare. The luminance distribution within the field of view was recorded using CCD camera-based luminance mapping technology. The technology provides a great potential for improved understandings of the relation between measured lighting conditions and user response. With the development of the RADIANCE based evaluation tool \"evalglare\", it became possible to analyse glare according to a number of daylight glare prediction models as well as contrast ratios in various daylit situations (workplace, VDU). User assessments at two locations (Copenhagen, Freiburg) with more than 70 subjects under various daylighting conditions were performed in order to assess existing glare models and to provide a reliable database for the development of a new glare prediction model. The comparison of the results of the user assessments with existing models clearly shows the great potential for improving glare prediction models. For the window luminance a squared correlation factor of only 0.12 and for the daylight glare index (DGI) of 0.56 were found. Due to the low predictive power of existing glare prediction models a new index, daylight glare probability (DGP), was developed and is presented in this paper. DGP is a function of the vertical eye illuminance as well as on the glare source luminance, its solid angle and its position index. The DGP showed a very strong correlation (squared correlation factor of 0.94) with the user's response regarding glare perception. \ufffd 2006 Elsevier B.V. All rights reserved.", "author" : [ { "dropping-particle" : "", "family" : "Wienold", "given" : "J", "non-dropping-particle" : "", "parse-names" : false, "suffix" : "" }, { "dropping-particle" : "", "family" : "Christoffersen", "given" : "J", "non-dropping-particle" : "", "parse-names" : false, "suffix" : "" } ], "container-title" : "Energy and Buildings", "id" : "ITEM-1", "issue" : "7", "issued" : { "date-parts" : [ [ "2006" ] ] }, "page" : "743-757", "publisher-place" : "Affiliation: Fraunhofer Institute for Solar Energy Systems, Heidenhofstr. 2, 79110 Freiburg, Germany; Affiliation: Danish Building Research Institute, Dr. Neergaards vej 15, 2970 Hoersholm, Denmark; Correspondence Address: Wienold, J.; Fraunhofer Institut", "title" : "Evaluation methods and development of a new glare prediction model for daylight environments with the use of CCD cameras", "type" : "article-journal", "volume" : "38" }, "uris" : [ "http://www.mendeley.com/documents/?uuid=96b51dac-9a05-4108-8373-86ad56e99afc", "http://www.mendeley.com/documents/?uuid=81ec8c7e-5ea6-49e9-889a-aba6aa1d571e" ] } ], "mendeley" : { "formattedCitation" : "(Wienold and Christoffersen, 2006)", "plainTextFormattedCitation" : "(Wienold and Christoffersen, 2006)", "previouslyFormattedCitation" : "(Wienold and Christoffersen, 2006)" }, "properties" : { "noteIndex" : 0 }, "schema" : "https://github.com/citation-style-language/schema/raw/master/csl-citation.json" }</w:instrText>
      </w:r>
      <w:r w:rsidR="00F43EA9" w:rsidRPr="00C30224">
        <w:rPr>
          <w:sz w:val="22"/>
          <w:szCs w:val="22"/>
        </w:rPr>
        <w:fldChar w:fldCharType="separate"/>
      </w:r>
      <w:r w:rsidR="00F43EA9" w:rsidRPr="00C30224">
        <w:rPr>
          <w:noProof/>
          <w:sz w:val="22"/>
          <w:szCs w:val="22"/>
        </w:rPr>
        <w:t>(Wienold and Christoffersen, 2006)</w:t>
      </w:r>
      <w:r w:rsidR="00F43EA9" w:rsidRPr="00C30224">
        <w:rPr>
          <w:sz w:val="22"/>
          <w:szCs w:val="22"/>
        </w:rPr>
        <w:fldChar w:fldCharType="end"/>
      </w:r>
      <w:r w:rsidR="001D2E5A">
        <w:rPr>
          <w:sz w:val="22"/>
          <w:szCs w:val="22"/>
        </w:rPr>
        <w:t xml:space="preserve"> (Figure 1)</w:t>
      </w:r>
      <w:r w:rsidR="00F43EA9" w:rsidRPr="00C30224">
        <w:rPr>
          <w:sz w:val="22"/>
          <w:szCs w:val="22"/>
        </w:rPr>
        <w:t>.</w:t>
      </w:r>
      <w:r w:rsidR="006A4FC0">
        <w:rPr>
          <w:sz w:val="22"/>
          <w:szCs w:val="22"/>
        </w:rPr>
        <w:t xml:space="preserve"> </w:t>
      </w:r>
      <w:r w:rsidR="001D2E5A" w:rsidRPr="005871C3">
        <w:rPr>
          <w:sz w:val="22"/>
          <w:szCs w:val="22"/>
        </w:rPr>
        <w:t xml:space="preserve">DGPs </w:t>
      </w:r>
      <w:r w:rsidR="001D2E5A">
        <w:rPr>
          <w:sz w:val="22"/>
          <w:szCs w:val="22"/>
        </w:rPr>
        <w:t>equation focuses more on brightness, as it</w:t>
      </w:r>
      <w:r w:rsidR="001D2E5A" w:rsidRPr="001D2E5A">
        <w:rPr>
          <w:sz w:val="22"/>
          <w:szCs w:val="22"/>
        </w:rPr>
        <w:t xml:space="preserve"> </w:t>
      </w:r>
      <w:r w:rsidR="001D2E5A" w:rsidRPr="005239F7">
        <w:rPr>
          <w:sz w:val="22"/>
          <w:szCs w:val="22"/>
        </w:rPr>
        <w:t>derives from the first part of the DGP</w:t>
      </w:r>
      <w:r w:rsidR="001D2E5A">
        <w:rPr>
          <w:sz w:val="22"/>
          <w:szCs w:val="22"/>
        </w:rPr>
        <w:t xml:space="preserve"> </w:t>
      </w:r>
      <w:r w:rsidR="001D2E5A" w:rsidRPr="00C30224">
        <w:rPr>
          <w:sz w:val="22"/>
          <w:szCs w:val="22"/>
        </w:rPr>
        <w:t>equation.</w:t>
      </w:r>
      <w:r w:rsidR="001D2E5A" w:rsidRPr="008C63D2">
        <w:rPr>
          <w:sz w:val="22"/>
          <w:szCs w:val="22"/>
        </w:rPr>
        <w:t xml:space="preserve"> </w:t>
      </w:r>
      <w:r w:rsidR="00F43EA9" w:rsidRPr="007D76FD">
        <w:rPr>
          <w:sz w:val="22"/>
          <w:szCs w:val="22"/>
        </w:rPr>
        <w:t xml:space="preserve">DGPs could provide a good correlation with DGP in case of sun patches being present on the work plane and in general on the indoor planes </w:t>
      </w:r>
      <w:r w:rsidR="00F43EA9" w:rsidRPr="00C30224">
        <w:rPr>
          <w:sz w:val="22"/>
          <w:szCs w:val="22"/>
        </w:rPr>
        <w:fldChar w:fldCharType="begin" w:fldLock="1"/>
      </w:r>
      <w:r w:rsidR="005952EA" w:rsidRPr="001D2E5A">
        <w:rPr>
          <w:sz w:val="22"/>
          <w:szCs w:val="22"/>
        </w:rPr>
        <w:instrText>ADDIN CSL_CITATION { "citationItems" : [ { "id" : "ITEM-1", "itemData" : { "DOI" : "10.1016/j.buildenv.2015.02.007", "ISSN" : "0360-1323", "abstract" : "This paper presents an experimental and simulation study to evaluate daylight glare probability (DGP) in office spaces with roller shades. Roller shades can be controlled in various ways and have an openness, transmitting direct and diffuse light even when fully closed. Since DGP combines the overall brightness of the visual field and the perceived contrast of the scene in one metric, the development of glare protection guidelines is complex in this case. Full-scale experiments with an HDR camera in test offices were combined with a validated, integrated daylighting and glare model. Correlations between DGP and design parameters (work plane or vertical illuminance) were developed and the applicability of DGP and DGPs for closed and controlled shades is discussed. The results show that DGPs is not an accurate metric when the sun is within the field of view - even for low openness fabrics - while the DGP equation might need a correction for such cases, due to extreme values of the solar corona's luminance influencing the luminance term. DGP and work plane illuminance are not well correlated, except for the case of perfectly diffuse fabrics. However, for all instances when the sun is not visible by the occupant, DGPs can be used to approximate daylight glare, including cases with sunlight on various surfaces in the space, for any fabric openness and control type. This enables the development of model-based, real-time glare control shading operation, with vertical illuminance being the basic parameter. Simple sunlight protection strategies cannot prevent glare, despite maximizing daylight utilization. \ufffd 2015 Elsevier Ltd.", "author" : [ { "dropping-particle" : "", "family" : "Konstantzos", "given" : "I", "non-dropping-particle" : "", "parse-names" : false, "suffix" : "" }, { "dropping-particle" : "", "family" : "Tzempelikos", "given" : "A", "non-dropping-particle" : "", "parse-names" : false, "suffix" : "" }, { "dropping-particle" : "", "family" : "Chan", "given" : "Y -C", "non-dropping-particle" : "", "parse-names" : false, "suffix" : "" } ], "container-title" : "Building and Environment", "id" : "ITEM-1", "issued" : { "date-parts" : [ [ "2015" ] ] }, "note" : "Cited By :29", "page" : "244-254", "publisher" : "Elsevier Ltd", "publisher-place" : "Affiliation: School of Civil Engineering, Purdue University, 550 Stadium Mall Dr., West Lafayette, IN, United States; Affiliation: Ray W. Herrick Laboratories, School of Mechanical Engineering, Purdue University, 140 S. Martin Jischke Dr., West Lafayette,", "title" : "Experimental and simulation analysis of daylight glare probability inoffices with dynamic window shades", "type" : "article-journal", "volume" : "87" }, "uris" : [ "http://www.mendeley.com/documents/?uuid=1f07a46a-dca8-490e-b615-cead106d662b", "http://www.mendeley.com/documents/?uuid=a3efddb5-33f6-4651-a1c8-121751089582" ] } ], "mendeley" : { "formattedCitation" : "(Konstantzos, Tzempelikos and Chan, 2015)", "manualFormatting" : "(Konstantzos et al., 2015)", "plainTextFormattedCitation" : "(Konstantzos, Tzempelikos and Chan, 2015)", "previouslyFormattedCitation" : "(Konstantzos, Tzempelikos and Chan, 2015)" }, "properties" : { "noteIndex" : 0 }, "schema" : "https://github.com/citation-style-language/schema/raw/master/csl-citation.json" }</w:instrText>
      </w:r>
      <w:r w:rsidR="00F43EA9" w:rsidRPr="00C30224">
        <w:rPr>
          <w:sz w:val="22"/>
          <w:szCs w:val="22"/>
        </w:rPr>
        <w:fldChar w:fldCharType="separate"/>
      </w:r>
      <w:r w:rsidR="00F43EA9" w:rsidRPr="00C30224">
        <w:rPr>
          <w:noProof/>
          <w:sz w:val="22"/>
          <w:szCs w:val="22"/>
        </w:rPr>
        <w:t>(Konstantzos et al., 2015)</w:t>
      </w:r>
      <w:r w:rsidR="00F43EA9" w:rsidRPr="00C30224">
        <w:rPr>
          <w:sz w:val="22"/>
          <w:szCs w:val="22"/>
        </w:rPr>
        <w:fldChar w:fldCharType="end"/>
      </w:r>
      <w:r w:rsidR="00F43EA9" w:rsidRPr="00C30224">
        <w:rPr>
          <w:sz w:val="22"/>
          <w:szCs w:val="22"/>
        </w:rPr>
        <w:t>.</w:t>
      </w:r>
      <w:r w:rsidR="001D2E5A" w:rsidRPr="00C30224">
        <w:rPr>
          <w:sz w:val="22"/>
          <w:szCs w:val="22"/>
        </w:rPr>
        <w:t xml:space="preserve"> </w:t>
      </w:r>
      <w:r w:rsidR="001D2E5A" w:rsidRPr="008C63D2">
        <w:rPr>
          <w:sz w:val="22"/>
          <w:szCs w:val="22"/>
        </w:rPr>
        <w:t>DGI</w:t>
      </w:r>
      <w:r w:rsidR="001D2E5A" w:rsidRPr="00C30224">
        <w:rPr>
          <w:sz w:val="22"/>
          <w:szCs w:val="22"/>
        </w:rPr>
        <w:t xml:space="preserve"> </w:t>
      </w:r>
      <w:r w:rsidR="001D2E5A">
        <w:rPr>
          <w:sz w:val="22"/>
          <w:szCs w:val="22"/>
        </w:rPr>
        <w:t>focuses more on the contrast a</w:t>
      </w:r>
      <w:r w:rsidR="001D2E5A" w:rsidRPr="00126E35">
        <w:rPr>
          <w:sz w:val="22"/>
          <w:szCs w:val="22"/>
        </w:rPr>
        <w:t xml:space="preserve">s </w:t>
      </w:r>
      <w:r w:rsidR="001D2E5A" w:rsidRPr="000F6B0D">
        <w:rPr>
          <w:sz w:val="22"/>
          <w:szCs w:val="22"/>
          <w:lang w:val="en-US"/>
        </w:rPr>
        <w:t>comprises an older version of the second part of the DGP metric</w:t>
      </w:r>
      <w:r w:rsidR="001D2E5A" w:rsidRPr="00126E35">
        <w:rPr>
          <w:rStyle w:val="FootnoteReference"/>
          <w:sz w:val="22"/>
          <w:szCs w:val="22"/>
        </w:rPr>
        <w:footnoteReference w:id="7"/>
      </w:r>
      <w:r w:rsidR="001D2E5A" w:rsidRPr="00126E35">
        <w:rPr>
          <w:sz w:val="22"/>
          <w:szCs w:val="22"/>
          <w:lang w:val="en-US"/>
        </w:rPr>
        <w:t>.</w:t>
      </w:r>
    </w:p>
    <w:p w14:paraId="1F4776BE" w14:textId="77777777" w:rsidR="007D76FD" w:rsidRDefault="007D76FD" w:rsidP="007D76FD">
      <w:pPr>
        <w:jc w:val="both"/>
        <w:rPr>
          <w:sz w:val="22"/>
          <w:szCs w:val="22"/>
        </w:rPr>
      </w:pPr>
    </w:p>
    <w:p w14:paraId="52E6F6A9" w14:textId="45CF4A4F" w:rsidR="007D76FD" w:rsidRPr="00A23774" w:rsidRDefault="00BD0EAA" w:rsidP="007D76FD">
      <w:pPr>
        <w:jc w:val="both"/>
        <w:rPr>
          <w:sz w:val="22"/>
          <w:szCs w:val="22"/>
        </w:rPr>
      </w:pPr>
      <w:r>
        <w:rPr>
          <w:sz w:val="22"/>
          <w:szCs w:val="22"/>
        </w:rPr>
        <w:t xml:space="preserve">The </w:t>
      </w:r>
      <w:r w:rsidR="007D76FD" w:rsidRPr="004444F1">
        <w:rPr>
          <w:sz w:val="22"/>
          <w:szCs w:val="22"/>
        </w:rPr>
        <w:t>luminance map generated for the DGP analysis can be reused for the next two glare indexes, so adding DGPs and DGI add information on glare with little to no cost in terms of computational time.</w:t>
      </w:r>
      <w:r w:rsidR="007D76FD">
        <w:rPr>
          <w:sz w:val="22"/>
          <w:szCs w:val="22"/>
        </w:rPr>
        <w:t xml:space="preserve"> </w:t>
      </w:r>
      <w:r w:rsidR="007D76FD" w:rsidRPr="00A23774">
        <w:rPr>
          <w:sz w:val="22"/>
          <w:szCs w:val="22"/>
        </w:rPr>
        <w:t xml:space="preserve">The three indexes have different threshold, </w:t>
      </w:r>
      <w:r w:rsidR="007D76FD" w:rsidRPr="009503DB">
        <w:rPr>
          <w:sz w:val="22"/>
          <w:szCs w:val="22"/>
        </w:rPr>
        <w:t xml:space="preserve">see Table </w:t>
      </w:r>
      <w:r w:rsidR="007D76FD">
        <w:rPr>
          <w:sz w:val="22"/>
          <w:szCs w:val="22"/>
        </w:rPr>
        <w:t>1</w:t>
      </w:r>
      <w:r w:rsidR="007D76FD" w:rsidRPr="009503DB">
        <w:rPr>
          <w:sz w:val="22"/>
          <w:szCs w:val="22"/>
        </w:rPr>
        <w:t>.</w:t>
      </w:r>
    </w:p>
    <w:p w14:paraId="0BB55C15" w14:textId="23999372" w:rsidR="001D2E5A" w:rsidRDefault="00C30224" w:rsidP="001D2E5A">
      <w:pPr>
        <w:jc w:val="both"/>
        <w:rPr>
          <w:sz w:val="22"/>
          <w:szCs w:val="22"/>
        </w:rPr>
      </w:pPr>
      <w:r>
        <w:rPr>
          <w:noProof/>
          <w:sz w:val="22"/>
          <w:szCs w:val="22"/>
          <w:lang w:eastAsia="en-GB"/>
        </w:rPr>
        <w:lastRenderedPageBreak/>
        <w:drawing>
          <wp:inline distT="0" distB="0" distL="0" distR="0" wp14:anchorId="6A1669B5" wp14:editId="28A3B2DF">
            <wp:extent cx="5183360" cy="2013735"/>
            <wp:effectExtent l="0" t="0" r="0" b="5715"/>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187236" cy="2015241"/>
                    </a:xfrm>
                    <a:prstGeom prst="rect">
                      <a:avLst/>
                    </a:prstGeom>
                    <a:noFill/>
                    <a:ln>
                      <a:noFill/>
                    </a:ln>
                  </pic:spPr>
                </pic:pic>
              </a:graphicData>
            </a:graphic>
          </wp:inline>
        </w:drawing>
      </w:r>
    </w:p>
    <w:p w14:paraId="2FE0C87A" w14:textId="77777777" w:rsidR="00C30224" w:rsidRDefault="00C30224" w:rsidP="00C30224">
      <w:pPr>
        <w:spacing w:after="240"/>
        <w:jc w:val="both"/>
        <w:rPr>
          <w:i/>
          <w:sz w:val="20"/>
          <w:szCs w:val="20"/>
        </w:rPr>
      </w:pPr>
      <w:r w:rsidRPr="007E6661">
        <w:rPr>
          <w:i/>
          <w:sz w:val="20"/>
          <w:szCs w:val="20"/>
        </w:rPr>
        <w:t xml:space="preserve">Figure </w:t>
      </w:r>
      <w:r>
        <w:rPr>
          <w:i/>
          <w:sz w:val="20"/>
          <w:szCs w:val="20"/>
        </w:rPr>
        <w:t>1</w:t>
      </w:r>
      <w:r w:rsidRPr="007E6661">
        <w:rPr>
          <w:i/>
          <w:sz w:val="20"/>
          <w:szCs w:val="20"/>
        </w:rPr>
        <w:t>: Diagram</w:t>
      </w:r>
      <w:r>
        <w:rPr>
          <w:i/>
          <w:sz w:val="20"/>
          <w:szCs w:val="20"/>
        </w:rPr>
        <w:t xml:space="preserve"> presenting the correlation between the investigated glare metrics</w:t>
      </w:r>
      <w:r w:rsidRPr="00AA3D0C">
        <w:rPr>
          <w:i/>
          <w:sz w:val="20"/>
          <w:szCs w:val="20"/>
        </w:rPr>
        <w:t>.</w:t>
      </w:r>
    </w:p>
    <w:p w14:paraId="5C8E51AF" w14:textId="09C0D0BC" w:rsidR="00D25426" w:rsidRDefault="00D25426" w:rsidP="00D25426">
      <w:pPr>
        <w:jc w:val="both"/>
        <w:rPr>
          <w:sz w:val="22"/>
          <w:szCs w:val="22"/>
        </w:rPr>
      </w:pPr>
      <w:r w:rsidRPr="00AA3D0C">
        <w:rPr>
          <w:i/>
          <w:sz w:val="20"/>
          <w:szCs w:val="20"/>
        </w:rPr>
        <w:t xml:space="preserve">Table </w:t>
      </w:r>
      <w:r w:rsidR="00554004">
        <w:rPr>
          <w:i/>
          <w:sz w:val="20"/>
          <w:szCs w:val="20"/>
        </w:rPr>
        <w:t>1</w:t>
      </w:r>
      <w:r w:rsidRPr="00AA3D0C">
        <w:rPr>
          <w:i/>
          <w:sz w:val="20"/>
          <w:szCs w:val="20"/>
        </w:rPr>
        <w:t>: Th</w:t>
      </w:r>
      <w:r>
        <w:rPr>
          <w:i/>
          <w:sz w:val="20"/>
          <w:szCs w:val="20"/>
        </w:rPr>
        <w:t>r</w:t>
      </w:r>
      <w:r w:rsidRPr="00AA3D0C">
        <w:rPr>
          <w:i/>
          <w:sz w:val="20"/>
          <w:szCs w:val="20"/>
        </w:rPr>
        <w:t>e</w:t>
      </w:r>
      <w:r>
        <w:rPr>
          <w:i/>
          <w:sz w:val="20"/>
          <w:szCs w:val="20"/>
        </w:rPr>
        <w:t>shold for the</w:t>
      </w:r>
      <w:r w:rsidRPr="00AA3D0C">
        <w:rPr>
          <w:i/>
          <w:sz w:val="20"/>
          <w:szCs w:val="20"/>
        </w:rPr>
        <w:t xml:space="preserve"> </w:t>
      </w:r>
      <w:r>
        <w:rPr>
          <w:i/>
          <w:sz w:val="20"/>
          <w:szCs w:val="20"/>
        </w:rPr>
        <w:t>glare indexes</w:t>
      </w:r>
      <w:r w:rsidR="0052141B">
        <w:rPr>
          <w:i/>
          <w:sz w:val="20"/>
          <w:szCs w:val="20"/>
        </w:rPr>
        <w:t xml:space="preserve"> (from literature)</w:t>
      </w:r>
      <w:r w:rsidRPr="00AA3D0C">
        <w:rPr>
          <w:i/>
          <w:sz w:val="20"/>
          <w:szCs w:val="20"/>
        </w:rPr>
        <w:t>.</w:t>
      </w:r>
    </w:p>
    <w:tbl>
      <w:tblPr>
        <w:tblStyle w:val="TableGrid"/>
        <w:tblpPr w:leftFromText="180" w:rightFromText="180" w:vertAnchor="text" w:horzAnchor="margin" w:tblpXSpec="center" w:tblpY="252"/>
        <w:tblW w:w="6407" w:type="dxa"/>
        <w:tblBorders>
          <w:left w:val="none" w:sz="0" w:space="0" w:color="auto"/>
          <w:right w:val="none" w:sz="0" w:space="0" w:color="auto"/>
          <w:insideV w:val="none" w:sz="0" w:space="0" w:color="auto"/>
        </w:tblBorders>
        <w:tblLook w:val="04A0" w:firstRow="1" w:lastRow="0" w:firstColumn="1" w:lastColumn="0" w:noHBand="0" w:noVBand="1"/>
      </w:tblPr>
      <w:tblGrid>
        <w:gridCol w:w="2324"/>
        <w:gridCol w:w="1361"/>
        <w:gridCol w:w="1361"/>
        <w:gridCol w:w="1361"/>
      </w:tblGrid>
      <w:tr w:rsidR="00093CA7" w:rsidRPr="00AA3D0C" w14:paraId="289E4A4D" w14:textId="6D3EB39F" w:rsidTr="008C63D2">
        <w:trPr>
          <w:trHeight w:val="470"/>
        </w:trPr>
        <w:tc>
          <w:tcPr>
            <w:tcW w:w="2324" w:type="dxa"/>
            <w:vAlign w:val="center"/>
          </w:tcPr>
          <w:p w14:paraId="04BD3511" w14:textId="6457357A" w:rsidR="00093CA7" w:rsidRPr="00AA3D0C" w:rsidRDefault="00093CA7" w:rsidP="00093CA7">
            <w:pPr>
              <w:rPr>
                <w:b/>
                <w:sz w:val="20"/>
                <w:szCs w:val="20"/>
              </w:rPr>
            </w:pPr>
            <w:r>
              <w:rPr>
                <w:b/>
                <w:sz w:val="20"/>
                <w:szCs w:val="20"/>
              </w:rPr>
              <w:t>Glare magnitude</w:t>
            </w:r>
          </w:p>
        </w:tc>
        <w:tc>
          <w:tcPr>
            <w:tcW w:w="1361" w:type="dxa"/>
            <w:vAlign w:val="center"/>
          </w:tcPr>
          <w:p w14:paraId="69A982D3" w14:textId="77777777" w:rsidR="00093CA7" w:rsidRPr="00AA3D0C" w:rsidRDefault="00093CA7" w:rsidP="00093CA7">
            <w:pPr>
              <w:jc w:val="center"/>
              <w:rPr>
                <w:b/>
                <w:sz w:val="20"/>
                <w:szCs w:val="20"/>
              </w:rPr>
            </w:pPr>
            <w:r w:rsidRPr="00AA3D0C">
              <w:rPr>
                <w:b/>
                <w:sz w:val="20"/>
                <w:szCs w:val="20"/>
              </w:rPr>
              <w:t>DGP</w:t>
            </w:r>
          </w:p>
        </w:tc>
        <w:tc>
          <w:tcPr>
            <w:tcW w:w="1361" w:type="dxa"/>
            <w:vAlign w:val="center"/>
          </w:tcPr>
          <w:p w14:paraId="2F31E801" w14:textId="11B83674" w:rsidR="00093CA7" w:rsidRPr="00AA3D0C" w:rsidRDefault="00093CA7" w:rsidP="00093CA7">
            <w:pPr>
              <w:jc w:val="center"/>
              <w:rPr>
                <w:b/>
                <w:sz w:val="20"/>
                <w:szCs w:val="20"/>
              </w:rPr>
            </w:pPr>
            <w:r w:rsidRPr="00AA3D0C">
              <w:rPr>
                <w:b/>
                <w:sz w:val="20"/>
                <w:szCs w:val="20"/>
              </w:rPr>
              <w:t>DG</w:t>
            </w:r>
            <w:r>
              <w:rPr>
                <w:b/>
                <w:sz w:val="20"/>
                <w:szCs w:val="20"/>
              </w:rPr>
              <w:t>Ps</w:t>
            </w:r>
          </w:p>
        </w:tc>
        <w:tc>
          <w:tcPr>
            <w:tcW w:w="1361" w:type="dxa"/>
            <w:vAlign w:val="center"/>
          </w:tcPr>
          <w:p w14:paraId="21C6A8F9" w14:textId="204E01DD" w:rsidR="00093CA7" w:rsidRPr="00AA3D0C" w:rsidRDefault="00093CA7" w:rsidP="00093CA7">
            <w:pPr>
              <w:jc w:val="center"/>
              <w:rPr>
                <w:b/>
                <w:sz w:val="20"/>
                <w:szCs w:val="20"/>
              </w:rPr>
            </w:pPr>
            <w:r w:rsidRPr="00AA3D0C">
              <w:rPr>
                <w:b/>
                <w:sz w:val="20"/>
                <w:szCs w:val="20"/>
              </w:rPr>
              <w:t>DGI</w:t>
            </w:r>
            <w:r w:rsidRPr="00AA3D0C">
              <w:rPr>
                <w:rStyle w:val="FootnoteReference"/>
                <w:b/>
                <w:sz w:val="20"/>
                <w:szCs w:val="20"/>
              </w:rPr>
              <w:footnoteReference w:id="8"/>
            </w:r>
          </w:p>
        </w:tc>
      </w:tr>
      <w:tr w:rsidR="00093CA7" w:rsidRPr="00AA3D0C" w14:paraId="67724E86" w14:textId="0AF5B6B0" w:rsidTr="008C63D2">
        <w:trPr>
          <w:trHeight w:val="470"/>
        </w:trPr>
        <w:tc>
          <w:tcPr>
            <w:tcW w:w="2324" w:type="dxa"/>
            <w:vAlign w:val="center"/>
          </w:tcPr>
          <w:p w14:paraId="5B9540F1" w14:textId="77777777" w:rsidR="00093CA7" w:rsidRPr="00AA3D0C" w:rsidRDefault="00093CA7" w:rsidP="008C63D2">
            <w:pPr>
              <w:spacing w:after="240"/>
              <w:rPr>
                <w:sz w:val="20"/>
                <w:szCs w:val="20"/>
              </w:rPr>
            </w:pPr>
            <w:r w:rsidRPr="00AA3D0C">
              <w:rPr>
                <w:sz w:val="20"/>
                <w:szCs w:val="20"/>
              </w:rPr>
              <w:t>A. Imperceptible</w:t>
            </w:r>
          </w:p>
        </w:tc>
        <w:tc>
          <w:tcPr>
            <w:tcW w:w="1361" w:type="dxa"/>
            <w:vAlign w:val="center"/>
          </w:tcPr>
          <w:p w14:paraId="07E936A5" w14:textId="77777777" w:rsidR="00093CA7" w:rsidRPr="00AA3D0C" w:rsidRDefault="00093CA7" w:rsidP="00093CA7">
            <w:pPr>
              <w:spacing w:after="240"/>
              <w:jc w:val="center"/>
              <w:rPr>
                <w:sz w:val="20"/>
                <w:szCs w:val="20"/>
              </w:rPr>
            </w:pPr>
            <w:r w:rsidRPr="00AA3D0C">
              <w:rPr>
                <w:sz w:val="20"/>
                <w:szCs w:val="20"/>
              </w:rPr>
              <w:t>&lt; 0.35</w:t>
            </w:r>
          </w:p>
        </w:tc>
        <w:tc>
          <w:tcPr>
            <w:tcW w:w="1361" w:type="dxa"/>
            <w:vAlign w:val="center"/>
          </w:tcPr>
          <w:p w14:paraId="32B1BB7C" w14:textId="22094B0B" w:rsidR="00093CA7" w:rsidRPr="00AA3D0C" w:rsidRDefault="00093CA7" w:rsidP="00093CA7">
            <w:pPr>
              <w:spacing w:after="240"/>
              <w:jc w:val="center"/>
              <w:rPr>
                <w:sz w:val="20"/>
                <w:szCs w:val="20"/>
              </w:rPr>
            </w:pPr>
            <w:r w:rsidRPr="00AA3D0C">
              <w:rPr>
                <w:sz w:val="20"/>
                <w:szCs w:val="20"/>
              </w:rPr>
              <w:t>&lt; 0.35</w:t>
            </w:r>
          </w:p>
        </w:tc>
        <w:tc>
          <w:tcPr>
            <w:tcW w:w="1361" w:type="dxa"/>
            <w:vAlign w:val="center"/>
          </w:tcPr>
          <w:p w14:paraId="74B2093D" w14:textId="7D858157" w:rsidR="00093CA7" w:rsidRPr="00AA3D0C" w:rsidRDefault="00093CA7" w:rsidP="00093CA7">
            <w:pPr>
              <w:spacing w:after="240"/>
              <w:jc w:val="center"/>
              <w:rPr>
                <w:sz w:val="20"/>
                <w:szCs w:val="20"/>
              </w:rPr>
            </w:pPr>
            <w:r w:rsidRPr="00AA3D0C">
              <w:rPr>
                <w:sz w:val="20"/>
                <w:szCs w:val="20"/>
              </w:rPr>
              <w:t>&lt; 18</w:t>
            </w:r>
          </w:p>
        </w:tc>
      </w:tr>
      <w:tr w:rsidR="00093CA7" w:rsidRPr="00AA3D0C" w14:paraId="18960057" w14:textId="10F4A67C" w:rsidTr="008C63D2">
        <w:trPr>
          <w:trHeight w:val="470"/>
        </w:trPr>
        <w:tc>
          <w:tcPr>
            <w:tcW w:w="2324" w:type="dxa"/>
            <w:shd w:val="clear" w:color="auto" w:fill="F2DBDB" w:themeFill="accent2" w:themeFillTint="33"/>
            <w:vAlign w:val="center"/>
          </w:tcPr>
          <w:p w14:paraId="273B59A6" w14:textId="77777777" w:rsidR="00093CA7" w:rsidRPr="00AA3D0C" w:rsidRDefault="00093CA7" w:rsidP="008C63D2">
            <w:pPr>
              <w:spacing w:after="240"/>
              <w:rPr>
                <w:sz w:val="20"/>
                <w:szCs w:val="20"/>
              </w:rPr>
            </w:pPr>
            <w:r w:rsidRPr="00AA3D0C">
              <w:rPr>
                <w:sz w:val="20"/>
                <w:szCs w:val="20"/>
              </w:rPr>
              <w:t>B. Perceptible</w:t>
            </w:r>
          </w:p>
        </w:tc>
        <w:tc>
          <w:tcPr>
            <w:tcW w:w="1361" w:type="dxa"/>
            <w:shd w:val="clear" w:color="auto" w:fill="F2DBDB" w:themeFill="accent2" w:themeFillTint="33"/>
            <w:vAlign w:val="center"/>
          </w:tcPr>
          <w:p w14:paraId="2AEB0F85" w14:textId="77777777" w:rsidR="00093CA7" w:rsidRPr="00AA3D0C" w:rsidRDefault="00093CA7" w:rsidP="00093CA7">
            <w:pPr>
              <w:spacing w:after="240"/>
              <w:jc w:val="center"/>
              <w:rPr>
                <w:sz w:val="20"/>
                <w:szCs w:val="20"/>
              </w:rPr>
            </w:pPr>
            <w:r w:rsidRPr="00AA3D0C">
              <w:rPr>
                <w:sz w:val="20"/>
                <w:szCs w:val="20"/>
              </w:rPr>
              <w:t>0.35-0.40</w:t>
            </w:r>
          </w:p>
        </w:tc>
        <w:tc>
          <w:tcPr>
            <w:tcW w:w="1361" w:type="dxa"/>
            <w:shd w:val="clear" w:color="auto" w:fill="F2DBDB" w:themeFill="accent2" w:themeFillTint="33"/>
            <w:vAlign w:val="center"/>
          </w:tcPr>
          <w:p w14:paraId="3F8CD361" w14:textId="1E4CA811" w:rsidR="00093CA7" w:rsidRPr="00AA3D0C" w:rsidRDefault="00093CA7" w:rsidP="00093CA7">
            <w:pPr>
              <w:spacing w:after="240"/>
              <w:jc w:val="center"/>
              <w:rPr>
                <w:sz w:val="20"/>
                <w:szCs w:val="20"/>
              </w:rPr>
            </w:pPr>
            <w:r w:rsidRPr="00AA3D0C">
              <w:rPr>
                <w:sz w:val="20"/>
                <w:szCs w:val="20"/>
              </w:rPr>
              <w:t>0.35-0.40</w:t>
            </w:r>
          </w:p>
        </w:tc>
        <w:tc>
          <w:tcPr>
            <w:tcW w:w="1361" w:type="dxa"/>
            <w:shd w:val="clear" w:color="auto" w:fill="F2DBDB" w:themeFill="accent2" w:themeFillTint="33"/>
            <w:vAlign w:val="center"/>
          </w:tcPr>
          <w:p w14:paraId="7EAA7778" w14:textId="05BFEAB5" w:rsidR="00093CA7" w:rsidRPr="00AA3D0C" w:rsidRDefault="00093CA7" w:rsidP="00093CA7">
            <w:pPr>
              <w:spacing w:after="240"/>
              <w:jc w:val="center"/>
              <w:rPr>
                <w:sz w:val="20"/>
                <w:szCs w:val="20"/>
              </w:rPr>
            </w:pPr>
            <w:r w:rsidRPr="00AA3D0C">
              <w:rPr>
                <w:sz w:val="20"/>
                <w:szCs w:val="20"/>
              </w:rPr>
              <w:t>18 – 24</w:t>
            </w:r>
          </w:p>
        </w:tc>
      </w:tr>
      <w:tr w:rsidR="00093CA7" w:rsidRPr="00AA3D0C" w14:paraId="7953FFAE" w14:textId="65142A5B" w:rsidTr="008C63D2">
        <w:trPr>
          <w:trHeight w:val="470"/>
        </w:trPr>
        <w:tc>
          <w:tcPr>
            <w:tcW w:w="2324" w:type="dxa"/>
            <w:shd w:val="clear" w:color="auto" w:fill="E5B8B7" w:themeFill="accent2" w:themeFillTint="66"/>
            <w:vAlign w:val="center"/>
          </w:tcPr>
          <w:p w14:paraId="4D97C3C0" w14:textId="77777777" w:rsidR="00093CA7" w:rsidRPr="00AA3D0C" w:rsidRDefault="00093CA7" w:rsidP="008C63D2">
            <w:pPr>
              <w:spacing w:after="240"/>
              <w:rPr>
                <w:sz w:val="20"/>
                <w:szCs w:val="20"/>
              </w:rPr>
            </w:pPr>
            <w:r w:rsidRPr="00AA3D0C">
              <w:rPr>
                <w:sz w:val="20"/>
                <w:szCs w:val="20"/>
              </w:rPr>
              <w:t>C. Disturbing</w:t>
            </w:r>
          </w:p>
        </w:tc>
        <w:tc>
          <w:tcPr>
            <w:tcW w:w="1361" w:type="dxa"/>
            <w:shd w:val="clear" w:color="auto" w:fill="E5B8B7" w:themeFill="accent2" w:themeFillTint="66"/>
            <w:vAlign w:val="center"/>
          </w:tcPr>
          <w:p w14:paraId="523D74CA" w14:textId="00AB75AC" w:rsidR="00093CA7" w:rsidRPr="00AA3D0C" w:rsidRDefault="00093CA7" w:rsidP="00093CA7">
            <w:pPr>
              <w:spacing w:after="240"/>
              <w:jc w:val="center"/>
              <w:rPr>
                <w:sz w:val="20"/>
                <w:szCs w:val="20"/>
              </w:rPr>
            </w:pPr>
            <w:r w:rsidRPr="00AA3D0C">
              <w:rPr>
                <w:sz w:val="20"/>
                <w:szCs w:val="20"/>
              </w:rPr>
              <w:t>0.4</w:t>
            </w:r>
            <w:r w:rsidR="00087309">
              <w:rPr>
                <w:sz w:val="20"/>
                <w:szCs w:val="20"/>
              </w:rPr>
              <w:t>1</w:t>
            </w:r>
            <w:r w:rsidRPr="00AA3D0C">
              <w:rPr>
                <w:sz w:val="20"/>
                <w:szCs w:val="20"/>
              </w:rPr>
              <w:t>-0.45</w:t>
            </w:r>
          </w:p>
        </w:tc>
        <w:tc>
          <w:tcPr>
            <w:tcW w:w="1361" w:type="dxa"/>
            <w:shd w:val="clear" w:color="auto" w:fill="E5B8B7" w:themeFill="accent2" w:themeFillTint="66"/>
            <w:vAlign w:val="center"/>
          </w:tcPr>
          <w:p w14:paraId="5FB3370E" w14:textId="6FD3E5B9" w:rsidR="00093CA7" w:rsidRPr="00AA3D0C" w:rsidRDefault="00093CA7" w:rsidP="00093CA7">
            <w:pPr>
              <w:spacing w:after="240"/>
              <w:jc w:val="center"/>
              <w:rPr>
                <w:sz w:val="20"/>
                <w:szCs w:val="20"/>
              </w:rPr>
            </w:pPr>
            <w:r w:rsidRPr="00AA3D0C">
              <w:rPr>
                <w:sz w:val="20"/>
                <w:szCs w:val="20"/>
              </w:rPr>
              <w:t>0.40-0.45</w:t>
            </w:r>
          </w:p>
        </w:tc>
        <w:tc>
          <w:tcPr>
            <w:tcW w:w="1361" w:type="dxa"/>
            <w:shd w:val="clear" w:color="auto" w:fill="E5B8B7" w:themeFill="accent2" w:themeFillTint="66"/>
            <w:vAlign w:val="center"/>
          </w:tcPr>
          <w:p w14:paraId="23AC1584" w14:textId="2E9BDE39" w:rsidR="00093CA7" w:rsidRPr="00AA3D0C" w:rsidRDefault="00093CA7" w:rsidP="00093CA7">
            <w:pPr>
              <w:spacing w:after="240"/>
              <w:jc w:val="center"/>
              <w:rPr>
                <w:sz w:val="20"/>
                <w:szCs w:val="20"/>
              </w:rPr>
            </w:pPr>
            <w:r w:rsidRPr="00AA3D0C">
              <w:rPr>
                <w:sz w:val="20"/>
                <w:szCs w:val="20"/>
              </w:rPr>
              <w:t>24 – 31</w:t>
            </w:r>
          </w:p>
        </w:tc>
      </w:tr>
      <w:tr w:rsidR="00093CA7" w:rsidRPr="00AA3D0C" w14:paraId="40D78672" w14:textId="7A54D4F8" w:rsidTr="008C63D2">
        <w:trPr>
          <w:trHeight w:val="470"/>
        </w:trPr>
        <w:tc>
          <w:tcPr>
            <w:tcW w:w="2324" w:type="dxa"/>
            <w:shd w:val="clear" w:color="auto" w:fill="D99594" w:themeFill="accent2" w:themeFillTint="99"/>
            <w:vAlign w:val="center"/>
          </w:tcPr>
          <w:p w14:paraId="2684B01F" w14:textId="77777777" w:rsidR="00093CA7" w:rsidRPr="00AA3D0C" w:rsidRDefault="00093CA7" w:rsidP="008C63D2">
            <w:pPr>
              <w:spacing w:after="240"/>
              <w:rPr>
                <w:sz w:val="20"/>
                <w:szCs w:val="20"/>
              </w:rPr>
            </w:pPr>
            <w:r w:rsidRPr="00AA3D0C">
              <w:rPr>
                <w:sz w:val="20"/>
                <w:szCs w:val="20"/>
              </w:rPr>
              <w:t>D. Intolerable</w:t>
            </w:r>
          </w:p>
        </w:tc>
        <w:tc>
          <w:tcPr>
            <w:tcW w:w="1361" w:type="dxa"/>
            <w:shd w:val="clear" w:color="auto" w:fill="D99594" w:themeFill="accent2" w:themeFillTint="99"/>
            <w:vAlign w:val="center"/>
          </w:tcPr>
          <w:p w14:paraId="4B655D1E" w14:textId="77777777" w:rsidR="00093CA7" w:rsidRPr="00AA3D0C" w:rsidRDefault="00093CA7" w:rsidP="00093CA7">
            <w:pPr>
              <w:spacing w:after="240"/>
              <w:jc w:val="center"/>
              <w:rPr>
                <w:sz w:val="20"/>
                <w:szCs w:val="20"/>
              </w:rPr>
            </w:pPr>
            <w:r w:rsidRPr="00AA3D0C">
              <w:rPr>
                <w:sz w:val="20"/>
                <w:szCs w:val="20"/>
              </w:rPr>
              <w:t>&gt; 0.45</w:t>
            </w:r>
          </w:p>
        </w:tc>
        <w:tc>
          <w:tcPr>
            <w:tcW w:w="1361" w:type="dxa"/>
            <w:shd w:val="clear" w:color="auto" w:fill="D99594" w:themeFill="accent2" w:themeFillTint="99"/>
            <w:vAlign w:val="center"/>
          </w:tcPr>
          <w:p w14:paraId="6FE1B487" w14:textId="194CB83E" w:rsidR="00093CA7" w:rsidRPr="00AA3D0C" w:rsidRDefault="00093CA7" w:rsidP="00093CA7">
            <w:pPr>
              <w:spacing w:after="240"/>
              <w:jc w:val="center"/>
              <w:rPr>
                <w:sz w:val="20"/>
                <w:szCs w:val="20"/>
              </w:rPr>
            </w:pPr>
            <w:r w:rsidRPr="00AA3D0C">
              <w:rPr>
                <w:sz w:val="20"/>
                <w:szCs w:val="20"/>
              </w:rPr>
              <w:t>&gt; 0.45</w:t>
            </w:r>
          </w:p>
        </w:tc>
        <w:tc>
          <w:tcPr>
            <w:tcW w:w="1361" w:type="dxa"/>
            <w:shd w:val="clear" w:color="auto" w:fill="D99594" w:themeFill="accent2" w:themeFillTint="99"/>
            <w:vAlign w:val="center"/>
          </w:tcPr>
          <w:p w14:paraId="03A95888" w14:textId="2CA8FA96" w:rsidR="00093CA7" w:rsidRPr="00AA3D0C" w:rsidRDefault="00093CA7" w:rsidP="00093CA7">
            <w:pPr>
              <w:spacing w:after="240"/>
              <w:jc w:val="center"/>
              <w:rPr>
                <w:sz w:val="20"/>
                <w:szCs w:val="20"/>
              </w:rPr>
            </w:pPr>
            <w:r w:rsidRPr="00AA3D0C">
              <w:rPr>
                <w:sz w:val="20"/>
                <w:szCs w:val="20"/>
              </w:rPr>
              <w:t>&gt; 31</w:t>
            </w:r>
          </w:p>
        </w:tc>
      </w:tr>
    </w:tbl>
    <w:p w14:paraId="127459DC" w14:textId="77777777" w:rsidR="00D25426" w:rsidRPr="00480A7E" w:rsidRDefault="00D25426" w:rsidP="00D25426">
      <w:pPr>
        <w:jc w:val="both"/>
        <w:rPr>
          <w:i/>
          <w:sz w:val="20"/>
          <w:szCs w:val="20"/>
        </w:rPr>
      </w:pPr>
    </w:p>
    <w:p w14:paraId="03DE1C23" w14:textId="77777777" w:rsidR="007F1193" w:rsidRPr="00AA3D0C" w:rsidRDefault="007F1193" w:rsidP="002B7D6E">
      <w:pPr>
        <w:jc w:val="both"/>
        <w:rPr>
          <w:sz w:val="22"/>
          <w:szCs w:val="22"/>
        </w:rPr>
      </w:pPr>
    </w:p>
    <w:p w14:paraId="34966E77" w14:textId="0A18AD77" w:rsidR="00C30224" w:rsidRDefault="00C30224" w:rsidP="00865C2D">
      <w:pPr>
        <w:spacing w:after="240"/>
        <w:jc w:val="both"/>
        <w:rPr>
          <w:i/>
          <w:sz w:val="20"/>
          <w:szCs w:val="20"/>
        </w:rPr>
      </w:pPr>
    </w:p>
    <w:p w14:paraId="6FC366B9" w14:textId="3648C5C3" w:rsidR="00C30224" w:rsidRDefault="00C30224" w:rsidP="00865C2D">
      <w:pPr>
        <w:spacing w:after="240"/>
        <w:jc w:val="both"/>
        <w:rPr>
          <w:i/>
          <w:sz w:val="20"/>
          <w:szCs w:val="20"/>
        </w:rPr>
      </w:pPr>
    </w:p>
    <w:p w14:paraId="20D79BBD" w14:textId="0A7E6998" w:rsidR="00C30224" w:rsidRDefault="00C30224" w:rsidP="00865C2D">
      <w:pPr>
        <w:spacing w:after="240"/>
        <w:jc w:val="both"/>
        <w:rPr>
          <w:i/>
          <w:sz w:val="20"/>
          <w:szCs w:val="20"/>
        </w:rPr>
      </w:pPr>
    </w:p>
    <w:p w14:paraId="2EA5AE15" w14:textId="25142882" w:rsidR="00C30224" w:rsidRDefault="00C30224" w:rsidP="00865C2D">
      <w:pPr>
        <w:spacing w:after="240"/>
        <w:jc w:val="both"/>
        <w:rPr>
          <w:i/>
          <w:sz w:val="20"/>
          <w:szCs w:val="20"/>
        </w:rPr>
      </w:pPr>
    </w:p>
    <w:p w14:paraId="1162C4A4" w14:textId="77777777" w:rsidR="00C30224" w:rsidRDefault="00C30224" w:rsidP="00865C2D">
      <w:pPr>
        <w:spacing w:after="240"/>
        <w:jc w:val="both"/>
        <w:rPr>
          <w:i/>
          <w:sz w:val="20"/>
          <w:szCs w:val="20"/>
        </w:rPr>
      </w:pPr>
    </w:p>
    <w:p w14:paraId="07E37A8C" w14:textId="77777777" w:rsidR="006B56D3" w:rsidRPr="00FA29AB" w:rsidRDefault="006B56D3" w:rsidP="006B56D3">
      <w:pPr>
        <w:jc w:val="both"/>
        <w:rPr>
          <w:sz w:val="22"/>
          <w:szCs w:val="22"/>
        </w:rPr>
      </w:pPr>
    </w:p>
    <w:p w14:paraId="6371DE4B" w14:textId="75414054" w:rsidR="006B56D3" w:rsidRPr="006B56D3" w:rsidRDefault="002B7D6E" w:rsidP="006B56D3">
      <w:pPr>
        <w:pStyle w:val="Heading3"/>
        <w:rPr>
          <w:rFonts w:ascii="Times New Roman" w:hAnsi="Times New Roman" w:cs="Times New Roman"/>
        </w:rPr>
      </w:pPr>
      <w:bookmarkStart w:id="21" w:name="_Toc532751570"/>
      <w:r w:rsidRPr="00FA29AB">
        <w:rPr>
          <w:rFonts w:ascii="Times New Roman" w:hAnsi="Times New Roman" w:cs="Times New Roman"/>
        </w:rPr>
        <w:t>Position and Gaze direction</w:t>
      </w:r>
      <w:bookmarkEnd w:id="21"/>
    </w:p>
    <w:p w14:paraId="0ABA7FEF" w14:textId="27651CD2" w:rsidR="000066A9" w:rsidRDefault="000036EF" w:rsidP="002B7D6E">
      <w:pPr>
        <w:jc w:val="both"/>
        <w:rPr>
          <w:sz w:val="22"/>
          <w:szCs w:val="22"/>
        </w:rPr>
      </w:pPr>
      <w:r w:rsidRPr="0015664A">
        <w:rPr>
          <w:sz w:val="22"/>
          <w:szCs w:val="22"/>
        </w:rPr>
        <w:t xml:space="preserve">The glare indexes should be now calculated for every time step at different observers’ position and gaze directions. </w:t>
      </w:r>
      <w:r w:rsidR="0052141B">
        <w:rPr>
          <w:sz w:val="22"/>
          <w:szCs w:val="22"/>
        </w:rPr>
        <w:t>Theoretically, there is an infinite number of combinations between the observers’ position and gaze direction. In order to save</w:t>
      </w:r>
      <w:r w:rsidR="0052141B" w:rsidRPr="00677770">
        <w:rPr>
          <w:sz w:val="22"/>
          <w:szCs w:val="22"/>
        </w:rPr>
        <w:t xml:space="preserve"> computational time</w:t>
      </w:r>
      <w:r w:rsidR="0052141B">
        <w:rPr>
          <w:sz w:val="22"/>
          <w:szCs w:val="22"/>
        </w:rPr>
        <w:t>, the combinations should be reduced to only the necessary ones</w:t>
      </w:r>
      <w:r w:rsidR="004E3849" w:rsidRPr="00677770">
        <w:rPr>
          <w:sz w:val="22"/>
          <w:szCs w:val="22"/>
        </w:rPr>
        <w:t xml:space="preserve">. </w:t>
      </w:r>
      <w:r w:rsidR="0052141B">
        <w:rPr>
          <w:sz w:val="22"/>
          <w:szCs w:val="22"/>
        </w:rPr>
        <w:t xml:space="preserve">Defining exactly the necessary ones is difficult, but </w:t>
      </w:r>
      <w:r w:rsidR="004E3849" w:rsidRPr="00677770">
        <w:rPr>
          <w:sz w:val="22"/>
          <w:szCs w:val="22"/>
        </w:rPr>
        <w:t xml:space="preserve">knowing that </w:t>
      </w:r>
      <w:r w:rsidR="004E3849" w:rsidRPr="00AE6A81">
        <w:rPr>
          <w:sz w:val="22"/>
          <w:szCs w:val="22"/>
        </w:rPr>
        <w:t xml:space="preserve">the glare risk decreases when the glare source is distant from the visual centre </w:t>
      </w:r>
      <w:r w:rsidR="004E3849" w:rsidRPr="00AE6A81">
        <w:rPr>
          <w:sz w:val="22"/>
          <w:szCs w:val="22"/>
        </w:rPr>
        <w:fldChar w:fldCharType="begin" w:fldLock="1"/>
      </w:r>
      <w:r w:rsidR="005952EA">
        <w:rPr>
          <w:sz w:val="22"/>
          <w:szCs w:val="22"/>
        </w:rPr>
        <w:instrText>ADDIN CSL_CITATION { "citationItems" : [ { "id" : "ITEM-1", "itemData" : { "abstract" : "This paper describes a highly optimized design workflow for integrating detailed daylighting analysis using Radiance/DAYSIM with thermal load simulations using EnergyPlus within DIVA, a sustainable analysis plugin for the Rhinoceros 3D Nurbs modeling program. First, the importance of using detailed daylighting models is discussed such that occupant comfort and behavior when operating blinds can be accurately considered. DIVA\"s method of this implementation is then described for a single-zone perimeter office model. Finally, schedules and energy results generated using EnergyPlus defaults are compared to those from detailed analysis in DIVA/DAYSIM. The merits of an integrated workflow are discussed, and it is shown that such an analysis has a significant impact on lighting, heating and cooling loads for a building.", "author" : [ { "dropping-particle" : "", "family" : "Jakubiec", "given" : "J A", "non-dropping-particle" : "", "parse-names" : false, "suffix" : "" }, { "dropping-particle" : "", "family" : "Reinhart", "given" : "C F", "non-dropping-particle" : "", "parse-names" : false, "suffix" : "" } ], "container-title" : "Proceedings of Building Simulation 2011: 12th Conference of International Building Performance Simulation Association; 12th Conference of International Building Performance Simulation Association Building Simulation 2011, BS 2011", "id" : "ITEM-1", "issued" : { "date-parts" : [ [ "2011" ] ] }, "note" : "Conference code: 93272; Cited By :64", "page" : "2202-2209", "publisher-place" : "Affiliation: Harvard University, Graduate School of Design, Department of Architecture, United States; Correspondence Address: Jakubiec, J. A.; Harvard University, Graduate School of Design, Department of ArchitectureUnited States", "title" : "DIVA 2.0: Integrating daylight and thermal simulations using rhinoceros 3D, DAYSIM and EnergyPlus", "type" : "paper-conference" }, "uris" : [ "http://www.mendeley.com/documents/?uuid=b59c02c2-32d1-43fd-acd2-59d2c3f236a8", "http://www.mendeley.com/documents/?uuid=5cdc2550-c545-4f72-aa2a-4dd78848af78" ] }, { "id" : "ITEM-2", "itemData" : { "DOI" : "10.3130/aija.61.17_8", "author" : [ { "dropping-particle" : "", "family" : "Tokura", "given" : "Miwaok", "non-dropping-particle" : "", "parse-names" : false, "suffix" : "" }, { "dropping-particle" : "", "family" : "Iwata", "given" : "Toshie", "non-dropping-particle" : "", "parse-names" : false, "suffix" : "" }, { "dropping-particle" : "", "family" : "Shukuya", "given" : "Masanori", "non-dropping-particle" : "", "parse-names" : false, "suffix" : "" } ], "container-title" : "Journal of Architecture and Planning (Transactions of AIJ)", "id" : "ITEM-2", "issue" : "489", "issued" : { "date-parts" : [ [ "1996" ] ] }, "note" : "TI:", "page" : "17-25", "title" : "Experimental study on discomfort glare caused by windows part 3: Development of a method for evaluating discomfort glare from a large light source", "type" : "article-journal", "volume" : "61" }, "uris" : [ "http://www.mendeley.com/documents/?uuid=f0b89191-66e2-426d-ab7b-9ca32335f006", "http://www.mendeley.com/documents/?uuid=9c44a8d9-7848-4975-a746-c0b8eb7f051b" ] } ], "mendeley" : { "formattedCitation" : "(Tokura, Iwata and Shukuya, 1996; Jakubiec and Reinhart, 2011)", "manualFormatting" : "(Tokura et al., 1996; Jakubiec and Reinhart, 2011)", "plainTextFormattedCitation" : "(Tokura, Iwata and Shukuya, 1996; Jakubiec and Reinhart, 2011)", "previouslyFormattedCitation" : "(Tokura, Iwata and Shukuya, 1996; Jakubiec and Reinhart, 2011)" }, "properties" : { "noteIndex" : 0 }, "schema" : "https://github.com/citation-style-language/schema/raw/master/csl-citation.json" }</w:instrText>
      </w:r>
      <w:r w:rsidR="004E3849" w:rsidRPr="00AE6A81">
        <w:rPr>
          <w:sz w:val="22"/>
          <w:szCs w:val="22"/>
        </w:rPr>
        <w:fldChar w:fldCharType="separate"/>
      </w:r>
      <w:r w:rsidR="004E3849" w:rsidRPr="00AE6A81">
        <w:rPr>
          <w:noProof/>
          <w:sz w:val="22"/>
          <w:szCs w:val="22"/>
        </w:rPr>
        <w:t xml:space="preserve">(Tokura </w:t>
      </w:r>
      <w:r w:rsidR="004E3849" w:rsidRPr="00AE6A81">
        <w:rPr>
          <w:i/>
          <w:noProof/>
          <w:sz w:val="22"/>
          <w:szCs w:val="22"/>
        </w:rPr>
        <w:t>et al.</w:t>
      </w:r>
      <w:r w:rsidR="004E3849" w:rsidRPr="00AE6A81">
        <w:rPr>
          <w:noProof/>
          <w:sz w:val="22"/>
          <w:szCs w:val="22"/>
        </w:rPr>
        <w:t>, 1996; Jakubiec and Reinhart, 2011)</w:t>
      </w:r>
      <w:r w:rsidR="004E3849" w:rsidRPr="00AE6A81">
        <w:rPr>
          <w:sz w:val="22"/>
          <w:szCs w:val="22"/>
        </w:rPr>
        <w:fldChar w:fldCharType="end"/>
      </w:r>
      <w:r w:rsidR="004E3849" w:rsidRPr="00AE6A81">
        <w:rPr>
          <w:sz w:val="22"/>
          <w:szCs w:val="22"/>
        </w:rPr>
        <w:t>, it is reasonable to focus on areas potentially closer to glare sources</w:t>
      </w:r>
      <w:r w:rsidR="0052141B">
        <w:rPr>
          <w:sz w:val="22"/>
          <w:szCs w:val="22"/>
        </w:rPr>
        <w:t xml:space="preserve"> (e.g. sun patches)</w:t>
      </w:r>
      <w:r w:rsidR="004E3849" w:rsidRPr="00AE6A81">
        <w:rPr>
          <w:sz w:val="22"/>
          <w:szCs w:val="22"/>
        </w:rPr>
        <w:t xml:space="preserve"> and where the luminosity may change more often.</w:t>
      </w:r>
    </w:p>
    <w:p w14:paraId="1BBBC2A1" w14:textId="0D264EF1" w:rsidR="000066A9" w:rsidRDefault="000066A9" w:rsidP="000066A9">
      <w:pPr>
        <w:rPr>
          <w:sz w:val="22"/>
          <w:szCs w:val="22"/>
        </w:rPr>
      </w:pPr>
    </w:p>
    <w:p w14:paraId="59D1DB9D" w14:textId="6D0F5FA1" w:rsidR="006A4FC0" w:rsidRPr="00AE6A81" w:rsidRDefault="00911A4E" w:rsidP="002B7D6E">
      <w:pPr>
        <w:jc w:val="both"/>
        <w:rPr>
          <w:sz w:val="22"/>
          <w:szCs w:val="22"/>
        </w:rPr>
      </w:pPr>
      <w:r>
        <w:rPr>
          <w:sz w:val="22"/>
          <w:szCs w:val="22"/>
        </w:rPr>
        <w:t>T</w:t>
      </w:r>
      <w:r w:rsidR="004E3849" w:rsidRPr="00AE6A81">
        <w:rPr>
          <w:sz w:val="22"/>
          <w:szCs w:val="22"/>
        </w:rPr>
        <w:t>he conceptual framework envisages an initial analysis aiming at identify</w:t>
      </w:r>
      <w:r w:rsidR="00AE6A81">
        <w:rPr>
          <w:sz w:val="22"/>
          <w:szCs w:val="22"/>
        </w:rPr>
        <w:t>ing</w:t>
      </w:r>
      <w:r w:rsidR="004E3849" w:rsidRPr="00AE6A81">
        <w:rPr>
          <w:sz w:val="22"/>
          <w:szCs w:val="22"/>
        </w:rPr>
        <w:t xml:space="preserve"> areas where direct sunlight falls. In such areas, the density of simulated observer’s positions is higher. The analysis is grid-based and requires little computational effort.</w:t>
      </w:r>
    </w:p>
    <w:p w14:paraId="07C579EB" w14:textId="77777777" w:rsidR="000066A9" w:rsidRDefault="000066A9" w:rsidP="00677770">
      <w:pPr>
        <w:jc w:val="both"/>
        <w:rPr>
          <w:sz w:val="22"/>
          <w:szCs w:val="22"/>
        </w:rPr>
      </w:pPr>
    </w:p>
    <w:p w14:paraId="022E747D" w14:textId="7CE5DF7B" w:rsidR="00677770" w:rsidRDefault="00677770" w:rsidP="00677770">
      <w:pPr>
        <w:jc w:val="both"/>
        <w:rPr>
          <w:sz w:val="22"/>
          <w:szCs w:val="22"/>
        </w:rPr>
      </w:pPr>
      <w:r w:rsidRPr="00AE6A81">
        <w:rPr>
          <w:sz w:val="22"/>
          <w:szCs w:val="22"/>
        </w:rPr>
        <w:t xml:space="preserve">For each of these observer’s positions, </w:t>
      </w:r>
      <w:r w:rsidRPr="00B50FCC">
        <w:rPr>
          <w:sz w:val="22"/>
          <w:szCs w:val="22"/>
        </w:rPr>
        <w:t>the centre</w:t>
      </w:r>
      <w:r w:rsidRPr="0015664A">
        <w:rPr>
          <w:sz w:val="22"/>
          <w:szCs w:val="22"/>
        </w:rPr>
        <w:t xml:space="preserve"> of vision is assumed central, integral to the head of the observer, and moved -15° below the standard line of view, to simulate the potential sitting view focused on a</w:t>
      </w:r>
      <w:r w:rsidRPr="00677770">
        <w:rPr>
          <w:sz w:val="22"/>
          <w:szCs w:val="22"/>
        </w:rPr>
        <w:t xml:space="preserve"> screen. The observer’s head can rotate by 180° (Figure </w:t>
      </w:r>
      <w:r w:rsidR="000F310C">
        <w:rPr>
          <w:sz w:val="22"/>
          <w:szCs w:val="22"/>
        </w:rPr>
        <w:t>2</w:t>
      </w:r>
      <w:r w:rsidRPr="00677770">
        <w:rPr>
          <w:sz w:val="22"/>
          <w:szCs w:val="22"/>
        </w:rPr>
        <w:t>).</w:t>
      </w:r>
    </w:p>
    <w:p w14:paraId="42243662" w14:textId="709E78BB" w:rsidR="002B7D6E" w:rsidRDefault="004E3849" w:rsidP="002B7D6E">
      <w:pPr>
        <w:jc w:val="both"/>
        <w:rPr>
          <w:sz w:val="22"/>
          <w:szCs w:val="22"/>
        </w:rPr>
      </w:pPr>
      <w:r w:rsidRPr="00660AFC">
        <w:rPr>
          <w:sz w:val="22"/>
          <w:szCs w:val="22"/>
        </w:rPr>
        <w:lastRenderedPageBreak/>
        <w:t>For the case study</w:t>
      </w:r>
      <w:r w:rsidR="007531C9" w:rsidRPr="00660AFC">
        <w:rPr>
          <w:sz w:val="22"/>
          <w:szCs w:val="22"/>
        </w:rPr>
        <w:t>,</w:t>
      </w:r>
      <w:r w:rsidR="00911A4E" w:rsidRPr="00660AFC">
        <w:rPr>
          <w:sz w:val="22"/>
          <w:szCs w:val="22"/>
        </w:rPr>
        <w:t xml:space="preserve"> </w:t>
      </w:r>
      <w:r w:rsidRPr="00660AFC">
        <w:rPr>
          <w:sz w:val="22"/>
          <w:szCs w:val="22"/>
        </w:rPr>
        <w:t xml:space="preserve">which is </w:t>
      </w:r>
      <w:r w:rsidR="00660AFC" w:rsidRPr="001B7760">
        <w:rPr>
          <w:sz w:val="22"/>
          <w:szCs w:val="22"/>
        </w:rPr>
        <w:t>later illustrated</w:t>
      </w:r>
      <w:r w:rsidR="002B7D6E" w:rsidRPr="00660AFC">
        <w:rPr>
          <w:sz w:val="22"/>
          <w:szCs w:val="22"/>
        </w:rPr>
        <w:t>,</w:t>
      </w:r>
      <w:r w:rsidRPr="00660AFC">
        <w:rPr>
          <w:sz w:val="22"/>
          <w:szCs w:val="22"/>
        </w:rPr>
        <w:t xml:space="preserve"> such</w:t>
      </w:r>
      <w:r w:rsidRPr="00677770">
        <w:rPr>
          <w:sz w:val="22"/>
          <w:szCs w:val="22"/>
        </w:rPr>
        <w:t xml:space="preserve"> analysis was conducted</w:t>
      </w:r>
      <w:r w:rsidR="002B7D6E" w:rsidRPr="00677770">
        <w:rPr>
          <w:sz w:val="22"/>
          <w:szCs w:val="22"/>
        </w:rPr>
        <w:t xml:space="preserve"> with the eye position set at 1.2m above the floor, </w:t>
      </w:r>
      <w:r w:rsidR="001C6847" w:rsidRPr="00677770">
        <w:rPr>
          <w:sz w:val="22"/>
          <w:szCs w:val="22"/>
        </w:rPr>
        <w:t>resembling</w:t>
      </w:r>
      <w:r w:rsidR="002B7D6E" w:rsidRPr="00677770">
        <w:rPr>
          <w:sz w:val="22"/>
          <w:szCs w:val="22"/>
        </w:rPr>
        <w:t xml:space="preserve"> an observer sitting in front of a computer screen. </w:t>
      </w:r>
      <w:r w:rsidR="002B7D6E" w:rsidRPr="00B50FCC">
        <w:rPr>
          <w:sz w:val="22"/>
          <w:szCs w:val="22"/>
        </w:rPr>
        <w:t xml:space="preserve">Based on this analysis, 12 different points were chosen </w:t>
      </w:r>
      <w:r w:rsidR="002B7D6E" w:rsidRPr="0015664A">
        <w:rPr>
          <w:sz w:val="22"/>
          <w:szCs w:val="22"/>
        </w:rPr>
        <w:t>(Fig</w:t>
      </w:r>
      <w:r w:rsidR="00D445CD" w:rsidRPr="00677770">
        <w:rPr>
          <w:sz w:val="22"/>
          <w:szCs w:val="22"/>
        </w:rPr>
        <w:t xml:space="preserve">ure </w:t>
      </w:r>
      <w:r w:rsidR="000F310C">
        <w:rPr>
          <w:sz w:val="22"/>
          <w:szCs w:val="22"/>
        </w:rPr>
        <w:t>2</w:t>
      </w:r>
      <w:r w:rsidR="002B7D6E" w:rsidRPr="00677770">
        <w:rPr>
          <w:sz w:val="22"/>
          <w:szCs w:val="22"/>
        </w:rPr>
        <w:t xml:space="preserve">). </w:t>
      </w:r>
      <w:r w:rsidRPr="00677770">
        <w:rPr>
          <w:sz w:val="22"/>
          <w:szCs w:val="22"/>
        </w:rPr>
        <w:t>As mentioned, t</w:t>
      </w:r>
      <w:r w:rsidR="002B7D6E" w:rsidRPr="00677770">
        <w:rPr>
          <w:sz w:val="22"/>
          <w:szCs w:val="22"/>
        </w:rPr>
        <w:t xml:space="preserve">he grid </w:t>
      </w:r>
      <w:r w:rsidRPr="00677770">
        <w:rPr>
          <w:sz w:val="22"/>
          <w:szCs w:val="22"/>
        </w:rPr>
        <w:t>is</w:t>
      </w:r>
      <w:r w:rsidR="002B7D6E" w:rsidRPr="00677770">
        <w:rPr>
          <w:sz w:val="22"/>
          <w:szCs w:val="22"/>
        </w:rPr>
        <w:t xml:space="preserve"> denser where direct sunlight hours </w:t>
      </w:r>
      <w:r w:rsidR="00854C42" w:rsidRPr="00677770">
        <w:rPr>
          <w:sz w:val="22"/>
          <w:szCs w:val="22"/>
        </w:rPr>
        <w:t>are</w:t>
      </w:r>
      <w:r w:rsidRPr="00677770">
        <w:rPr>
          <w:sz w:val="22"/>
          <w:szCs w:val="22"/>
        </w:rPr>
        <w:t xml:space="preserve"> </w:t>
      </w:r>
      <w:r w:rsidR="002B7D6E" w:rsidRPr="00677770">
        <w:rPr>
          <w:sz w:val="22"/>
          <w:szCs w:val="22"/>
        </w:rPr>
        <w:t>higher.</w:t>
      </w:r>
    </w:p>
    <w:p w14:paraId="432EFEA5" w14:textId="77777777" w:rsidR="00092248" w:rsidRPr="00677770" w:rsidRDefault="00092248" w:rsidP="002B7D6E">
      <w:pPr>
        <w:jc w:val="both"/>
        <w:rPr>
          <w:sz w:val="22"/>
          <w:szCs w:val="22"/>
        </w:rPr>
      </w:pPr>
    </w:p>
    <w:p w14:paraId="4729C054" w14:textId="363AD63B" w:rsidR="006C3CE8" w:rsidRPr="00865C2D" w:rsidRDefault="00865C2D" w:rsidP="00865C2D">
      <w:pPr>
        <w:jc w:val="both"/>
        <w:rPr>
          <w:sz w:val="22"/>
          <w:szCs w:val="22"/>
        </w:rPr>
      </w:pPr>
      <w:r>
        <w:rPr>
          <w:i/>
          <w:noProof/>
          <w:sz w:val="20"/>
          <w:szCs w:val="20"/>
          <w:lang w:eastAsia="en-GB"/>
        </w:rPr>
        <w:drawing>
          <wp:inline distT="0" distB="0" distL="0" distR="0" wp14:anchorId="61531714" wp14:editId="4BA93A9F">
            <wp:extent cx="5178425" cy="2242185"/>
            <wp:effectExtent l="0" t="0" r="3175" b="5715"/>
            <wp:docPr id="1524" name="Picture 15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178425" cy="2242185"/>
                    </a:xfrm>
                    <a:prstGeom prst="rect">
                      <a:avLst/>
                    </a:prstGeom>
                    <a:noFill/>
                    <a:ln>
                      <a:noFill/>
                    </a:ln>
                  </pic:spPr>
                </pic:pic>
              </a:graphicData>
            </a:graphic>
          </wp:inline>
        </w:drawing>
      </w:r>
      <w:r w:rsidR="006C3CE8" w:rsidRPr="00AA3D0C">
        <w:rPr>
          <w:i/>
          <w:sz w:val="20"/>
          <w:szCs w:val="20"/>
        </w:rPr>
        <w:t xml:space="preserve">Figure </w:t>
      </w:r>
      <w:r w:rsidR="000F310C">
        <w:rPr>
          <w:i/>
          <w:sz w:val="20"/>
          <w:szCs w:val="20"/>
        </w:rPr>
        <w:t>2</w:t>
      </w:r>
      <w:r w:rsidR="006C3CE8" w:rsidRPr="00AA3D0C">
        <w:rPr>
          <w:i/>
          <w:sz w:val="20"/>
          <w:szCs w:val="20"/>
        </w:rPr>
        <w:t>: Picture showing the total hours of direct sun based on annual analysis, the emerged observer’s positions and the rotation of the gaze.</w:t>
      </w:r>
    </w:p>
    <w:p w14:paraId="42E69779" w14:textId="234DC9D6" w:rsidR="00092248" w:rsidRDefault="00092248" w:rsidP="002B7D6E">
      <w:pPr>
        <w:jc w:val="both"/>
        <w:rPr>
          <w:sz w:val="22"/>
          <w:szCs w:val="22"/>
        </w:rPr>
      </w:pPr>
    </w:p>
    <w:p w14:paraId="5B0A13E6" w14:textId="77777777" w:rsidR="00EC768A" w:rsidRDefault="00FB733E" w:rsidP="00EC768A">
      <w:pPr>
        <w:pStyle w:val="Heading3"/>
        <w:rPr>
          <w:rFonts w:ascii="Times New Roman" w:hAnsi="Times New Roman" w:cs="Times New Roman"/>
          <w:lang w:val="sv-SE"/>
        </w:rPr>
      </w:pPr>
      <w:bookmarkStart w:id="22" w:name="_Toc532751571"/>
      <w:r>
        <w:rPr>
          <w:rFonts w:ascii="Times New Roman" w:hAnsi="Times New Roman" w:cs="Times New Roman"/>
          <w:lang w:val="sv-SE"/>
        </w:rPr>
        <w:t>Adaptation Possibility</w:t>
      </w:r>
      <w:bookmarkEnd w:id="22"/>
    </w:p>
    <w:p w14:paraId="6E29BDD7" w14:textId="54C9985C" w:rsidR="00A21399" w:rsidRDefault="005B4720" w:rsidP="00F800CC">
      <w:pPr>
        <w:jc w:val="both"/>
        <w:rPr>
          <w:sz w:val="22"/>
          <w:szCs w:val="22"/>
        </w:rPr>
      </w:pPr>
      <w:r w:rsidRPr="00AA3D0C">
        <w:rPr>
          <w:sz w:val="22"/>
          <w:szCs w:val="22"/>
        </w:rPr>
        <w:t>At this stage, the method</w:t>
      </w:r>
      <w:r w:rsidR="00854C42">
        <w:rPr>
          <w:sz w:val="22"/>
          <w:szCs w:val="22"/>
        </w:rPr>
        <w:t xml:space="preserve"> </w:t>
      </w:r>
      <w:r w:rsidRPr="00AA3D0C">
        <w:rPr>
          <w:sz w:val="22"/>
          <w:szCs w:val="22"/>
        </w:rPr>
        <w:t xml:space="preserve">would provide </w:t>
      </w:r>
      <w:proofErr w:type="gramStart"/>
      <w:r w:rsidRPr="00AA3D0C">
        <w:rPr>
          <w:sz w:val="22"/>
          <w:szCs w:val="22"/>
        </w:rPr>
        <w:t>a number of</w:t>
      </w:r>
      <w:proofErr w:type="gramEnd"/>
      <w:r w:rsidRPr="00AA3D0C">
        <w:rPr>
          <w:sz w:val="22"/>
          <w:szCs w:val="22"/>
        </w:rPr>
        <w:t xml:space="preserve"> glare predictions</w:t>
      </w:r>
      <w:r w:rsidR="007531C9">
        <w:rPr>
          <w:sz w:val="22"/>
          <w:szCs w:val="22"/>
        </w:rPr>
        <w:t>,</w:t>
      </w:r>
      <w:r w:rsidRPr="00AA3D0C">
        <w:rPr>
          <w:sz w:val="22"/>
          <w:szCs w:val="22"/>
        </w:rPr>
        <w:t xml:space="preserve"> one for each sitting position</w:t>
      </w:r>
      <w:r w:rsidR="00677770">
        <w:rPr>
          <w:sz w:val="22"/>
          <w:szCs w:val="22"/>
        </w:rPr>
        <w:t xml:space="preserve"> and</w:t>
      </w:r>
      <w:r w:rsidRPr="00AA3D0C">
        <w:rPr>
          <w:sz w:val="22"/>
          <w:szCs w:val="22"/>
        </w:rPr>
        <w:t xml:space="preserve"> gaze direction</w:t>
      </w:r>
      <w:r w:rsidR="007531C9">
        <w:rPr>
          <w:sz w:val="22"/>
          <w:szCs w:val="22"/>
        </w:rPr>
        <w:t xml:space="preserve">, </w:t>
      </w:r>
      <w:r w:rsidR="00495124">
        <w:rPr>
          <w:sz w:val="22"/>
          <w:szCs w:val="22"/>
        </w:rPr>
        <w:t xml:space="preserve">and </w:t>
      </w:r>
      <w:r w:rsidR="007531C9">
        <w:rPr>
          <w:sz w:val="22"/>
          <w:szCs w:val="22"/>
        </w:rPr>
        <w:t>all at a defined point-in-time</w:t>
      </w:r>
      <w:r w:rsidRPr="00AA3D0C">
        <w:rPr>
          <w:sz w:val="22"/>
          <w:szCs w:val="22"/>
        </w:rPr>
        <w:t xml:space="preserve">. However, </w:t>
      </w:r>
      <w:proofErr w:type="spellStart"/>
      <w:r w:rsidRPr="00AA3D0C">
        <w:rPr>
          <w:sz w:val="22"/>
          <w:szCs w:val="22"/>
        </w:rPr>
        <w:t>Jakubiec</w:t>
      </w:r>
      <w:proofErr w:type="spellEnd"/>
      <w:r w:rsidRPr="00AA3D0C">
        <w:rPr>
          <w:sz w:val="22"/>
          <w:szCs w:val="22"/>
        </w:rPr>
        <w:t xml:space="preserve"> and Reinhart </w:t>
      </w:r>
      <w:r w:rsidRPr="00AA3D0C">
        <w:rPr>
          <w:sz w:val="22"/>
          <w:szCs w:val="22"/>
        </w:rPr>
        <w:fldChar w:fldCharType="begin" w:fldLock="1"/>
      </w:r>
      <w:r w:rsidR="005952EA">
        <w:rPr>
          <w:sz w:val="22"/>
          <w:szCs w:val="22"/>
        </w:rPr>
        <w:instrText>ADDIN CSL_CITATION { "citationItems" : [ { "id" : "ITEM-1", "itemData" : { "DOI" : "10.1177/1477153511420097", "ISSN" : "1477-1535", "abstract" : "Discomfort glare is an underutilized parameter in contemporary architectural design due to uncertainties about the meaning of existing metrics, how they should be applied and what the benefits of such analysis are. Glare is position and view direction-dependent within a space, rendering it difficult to assess compared to conventional illuminance-based metrics. This paper compares simulation results for five glare metrics under 144 clear sky conditions in three spaces in order to investigate the ability of these metrics to predict the occurrence of discomfort glare and to hence support the design of comfortable spaces. The metrics analyzed areDaylight Glare Index, CIE Glare Index, Visual Comfort Probability, Unified Glare Rating and Daylight Glare Probability. It is found that Daylight Glare Probability yields the most plausible results. In an attempt to deal with multiple positions and view directions simultaneously, the concept of an 'adaptive zone' is introduced within which building occupants may freely adjust their position and view in order to minimise the effect of glare. The spatial and directional extents of the adaptive zone depend on furniture layout and the freedom of occupants' tasks. It is found that applying the adaptive zone concept to a sidelit office with manually operated venetian blinds reduces the predicted hours of intolerable discomfort glare from 735 to 18 occupied hours per year and increases the annual mean daylight availability from 40% to 72%. \ufffd The Chartered Institution of Building Services Engineers 2011.", "author" : [ { "dropping-particle" : "", "family" : "Jakubiec", "given" : "J A", "non-dropping-particle" : "", "parse-names" : false, "suffix" : "" }, { "dropping-particle" : "", "family" : "Reinhart", "given" : "C F", "non-dropping-particle" : "", "parse-names" : false, "suffix" : "" } ], "container-title" : "Lighting Research and Technology", "id" : "ITEM-1", "issue" : "2", "issued" : { "date-parts" : [ [ "2012" ] ] }, "note" : "Cited By :73", "page" : "149-170", "publisher-place" : "Affiliation: Department of Architecture, Graduate School of Design, Harvard University, Cambridge, MA 02138, United States; Correspondence Address: Jakubiec, J.A.; Department of Architecture, Graduate School of Design, Harvard University, Cambridge, MA 02", "title" : "The 'adaptive zone'-A concept for assessing discomfort glare throughout daylit spaces", "type" : "article-journal", "volume" : "44" }, "uris" : [ "http://www.mendeley.com/documents/?uuid=f01dcf6b-03a6-4aa9-8aa2-59544825192d", "http://www.mendeley.com/documents/?uuid=4a6325c5-bf9d-4d77-bed0-6fe0cc63816d" ] } ], "mendeley" : { "formattedCitation" : "(Jakubiec and Reinhart, 2012)", "manualFormatting" : "(2012)", "plainTextFormattedCitation" : "(Jakubiec and Reinhart, 2012)", "previouslyFormattedCitation" : "(Jakubiec and Reinhart, 2012)" }, "properties" : { "noteIndex" : 0 }, "schema" : "https://github.com/citation-style-language/schema/raw/master/csl-citation.json" }</w:instrText>
      </w:r>
      <w:r w:rsidRPr="00AA3D0C">
        <w:rPr>
          <w:sz w:val="22"/>
          <w:szCs w:val="22"/>
        </w:rPr>
        <w:fldChar w:fldCharType="separate"/>
      </w:r>
      <w:r w:rsidRPr="00AA3D0C">
        <w:rPr>
          <w:noProof/>
          <w:sz w:val="22"/>
          <w:szCs w:val="22"/>
        </w:rPr>
        <w:t>(2012)</w:t>
      </w:r>
      <w:r w:rsidRPr="00AA3D0C">
        <w:rPr>
          <w:sz w:val="22"/>
          <w:szCs w:val="22"/>
        </w:rPr>
        <w:fldChar w:fldCharType="end"/>
      </w:r>
      <w:r w:rsidRPr="00AA3D0C">
        <w:rPr>
          <w:sz w:val="22"/>
          <w:szCs w:val="22"/>
        </w:rPr>
        <w:t xml:space="preserve"> showed that the observer may </w:t>
      </w:r>
      <w:r w:rsidR="00677770">
        <w:rPr>
          <w:sz w:val="22"/>
          <w:szCs w:val="22"/>
        </w:rPr>
        <w:t>slightly rotate</w:t>
      </w:r>
      <w:r w:rsidR="00677770" w:rsidRPr="00AA3D0C">
        <w:rPr>
          <w:sz w:val="22"/>
          <w:szCs w:val="22"/>
        </w:rPr>
        <w:t xml:space="preserve"> </w:t>
      </w:r>
      <w:r w:rsidRPr="00495124">
        <w:rPr>
          <w:sz w:val="22"/>
          <w:szCs w:val="22"/>
        </w:rPr>
        <w:t xml:space="preserve">to </w:t>
      </w:r>
      <w:r w:rsidR="00677770" w:rsidRPr="00495124">
        <w:rPr>
          <w:sz w:val="22"/>
          <w:szCs w:val="22"/>
        </w:rPr>
        <w:t xml:space="preserve">avoid glare (the aforementioned “adaptive zone”), while it seems that </w:t>
      </w:r>
      <w:r w:rsidR="00495124" w:rsidRPr="00495124">
        <w:rPr>
          <w:sz w:val="22"/>
          <w:szCs w:val="22"/>
        </w:rPr>
        <w:t xml:space="preserve">the observer may accept glare </w:t>
      </w:r>
      <w:r w:rsidR="00495124" w:rsidRPr="001B7760">
        <w:rPr>
          <w:sz w:val="22"/>
          <w:szCs w:val="22"/>
        </w:rPr>
        <w:t>if the glare duration does not exceed a reference time</w:t>
      </w:r>
      <w:r w:rsidR="00677770" w:rsidRPr="00495124">
        <w:rPr>
          <w:sz w:val="22"/>
          <w:szCs w:val="22"/>
        </w:rPr>
        <w:t xml:space="preserve"> </w:t>
      </w:r>
      <w:r w:rsidR="00677770" w:rsidRPr="001B7760">
        <w:rPr>
          <w:sz w:val="22"/>
          <w:szCs w:val="22"/>
        </w:rPr>
        <w:fldChar w:fldCharType="begin" w:fldLock="1"/>
      </w:r>
      <w:r w:rsidR="00677770" w:rsidRPr="00495124">
        <w:rPr>
          <w:sz w:val="22"/>
          <w:szCs w:val="22"/>
        </w:rPr>
        <w:instrText>ADDIN CSL_CITATION { "citationItems" : [ { "id" : "ITEM-1", "itemData" : { "author" : [ { "dropping-particle" : "", "family" : "prEN 17037", "given" : "", "non-dropping-particle" : "", "parse-names" : false, "suffix" : "" } ], "container-title" : "European Standard", "id" : "ITEM-1", "issued" : { "date-parts" : [ [ "2016" ] ] }, "number-of-pages" : "63", "publisher" : "British Standards Institution (BSI)", "title" : "Daylight of buildings", "type" : "book" }, "uris" : [ "http://www.mendeley.com/documents/?uuid=b1de80a8-25c7-470a-a1f9-0c60d95672ed", "http://www.mendeley.com/documents/?uuid=eb735eed-5498-425a-b804-97d0ea7d6d34" ] } ], "mendeley" : { "formattedCitation" : "(prEN 17037, 2016)", "plainTextFormattedCitation" : "(prEN 17037, 2016)", "previouslyFormattedCitation" : "(prEN 17037, 2016)" }, "properties" : { "noteIndex" : 0 }, "schema" : "https://github.com/citation-style-language/schema/raw/master/csl-citation.json" }</w:instrText>
      </w:r>
      <w:r w:rsidR="00677770" w:rsidRPr="001B7760">
        <w:rPr>
          <w:sz w:val="22"/>
          <w:szCs w:val="22"/>
        </w:rPr>
        <w:fldChar w:fldCharType="separate"/>
      </w:r>
      <w:r w:rsidR="00677770" w:rsidRPr="00495124">
        <w:rPr>
          <w:noProof/>
          <w:sz w:val="22"/>
          <w:szCs w:val="22"/>
        </w:rPr>
        <w:t>(prEN 17037, 2016)</w:t>
      </w:r>
      <w:r w:rsidR="00677770" w:rsidRPr="001B7760">
        <w:rPr>
          <w:sz w:val="22"/>
          <w:szCs w:val="22"/>
        </w:rPr>
        <w:fldChar w:fldCharType="end"/>
      </w:r>
      <w:r w:rsidRPr="00495124">
        <w:rPr>
          <w:sz w:val="22"/>
          <w:szCs w:val="22"/>
        </w:rPr>
        <w:t>. Thus, for the data processing, a weighting system</w:t>
      </w:r>
      <w:r w:rsidR="007531C9" w:rsidRPr="00495124">
        <w:rPr>
          <w:sz w:val="22"/>
          <w:szCs w:val="22"/>
        </w:rPr>
        <w:t xml:space="preserve"> for </w:t>
      </w:r>
      <w:r w:rsidR="007531C9" w:rsidRPr="001B7760">
        <w:rPr>
          <w:i/>
          <w:sz w:val="22"/>
          <w:szCs w:val="22"/>
        </w:rPr>
        <w:t>adaptation possibility</w:t>
      </w:r>
      <w:r w:rsidRPr="00495124">
        <w:rPr>
          <w:sz w:val="22"/>
          <w:szCs w:val="22"/>
        </w:rPr>
        <w:t xml:space="preserve"> was created</w:t>
      </w:r>
      <w:r w:rsidR="007531C9" w:rsidRPr="00495124">
        <w:rPr>
          <w:sz w:val="22"/>
          <w:szCs w:val="22"/>
        </w:rPr>
        <w:t>. The adaptation can be</w:t>
      </w:r>
      <w:r w:rsidR="00504C58" w:rsidRPr="00495124">
        <w:rPr>
          <w:sz w:val="22"/>
          <w:szCs w:val="22"/>
        </w:rPr>
        <w:t>:</w:t>
      </w:r>
    </w:p>
    <w:p w14:paraId="24F39050" w14:textId="77777777" w:rsidR="00504C58" w:rsidRPr="00092248" w:rsidRDefault="00504C58" w:rsidP="00504C58">
      <w:pPr>
        <w:jc w:val="both"/>
        <w:rPr>
          <w:sz w:val="22"/>
          <w:szCs w:val="22"/>
        </w:rPr>
      </w:pPr>
    </w:p>
    <w:p w14:paraId="7F48E9C4" w14:textId="52EAAD4A" w:rsidR="00504C58" w:rsidRPr="00E21E2C" w:rsidRDefault="00504C58" w:rsidP="00135D19">
      <w:pPr>
        <w:pStyle w:val="ListParagraph"/>
        <w:numPr>
          <w:ilvl w:val="0"/>
          <w:numId w:val="11"/>
        </w:numPr>
        <w:jc w:val="both"/>
        <w:rPr>
          <w:rFonts w:ascii="Times New Roman" w:hAnsi="Times New Roman" w:cs="Times New Roman"/>
        </w:rPr>
      </w:pPr>
      <w:r w:rsidRPr="00E21E2C">
        <w:rPr>
          <w:rFonts w:ascii="Times New Roman" w:hAnsi="Times New Roman" w:cs="Times New Roman"/>
        </w:rPr>
        <w:t xml:space="preserve">in terms of </w:t>
      </w:r>
      <w:r w:rsidRPr="00E21E2C">
        <w:rPr>
          <w:rFonts w:ascii="Times New Roman" w:hAnsi="Times New Roman" w:cs="Times New Roman"/>
          <w:b/>
        </w:rPr>
        <w:t>head rotation</w:t>
      </w:r>
    </w:p>
    <w:p w14:paraId="0D47E95C" w14:textId="70AC01E9" w:rsidR="00504C58" w:rsidRPr="00E21E2C" w:rsidRDefault="00504C58" w:rsidP="00135D19">
      <w:pPr>
        <w:pStyle w:val="ListParagraph"/>
        <w:numPr>
          <w:ilvl w:val="0"/>
          <w:numId w:val="11"/>
        </w:numPr>
        <w:jc w:val="both"/>
        <w:rPr>
          <w:rFonts w:ascii="Times New Roman" w:hAnsi="Times New Roman" w:cs="Times New Roman"/>
        </w:rPr>
      </w:pPr>
      <w:r w:rsidRPr="00E21E2C">
        <w:rPr>
          <w:rFonts w:ascii="Times New Roman" w:hAnsi="Times New Roman" w:cs="Times New Roman"/>
        </w:rPr>
        <w:t xml:space="preserve">in terms of </w:t>
      </w:r>
      <w:r w:rsidRPr="00E21E2C">
        <w:rPr>
          <w:rFonts w:ascii="Times New Roman" w:hAnsi="Times New Roman" w:cs="Times New Roman"/>
          <w:b/>
        </w:rPr>
        <w:t>glare duration</w:t>
      </w:r>
    </w:p>
    <w:p w14:paraId="41486FA9" w14:textId="3CEC5F22" w:rsidR="007D76FD" w:rsidRDefault="00EC768A" w:rsidP="002B7D6E">
      <w:pPr>
        <w:spacing w:after="240"/>
        <w:jc w:val="both"/>
        <w:rPr>
          <w:sz w:val="22"/>
          <w:szCs w:val="22"/>
        </w:rPr>
      </w:pPr>
      <w:r w:rsidRPr="00092248">
        <w:rPr>
          <w:sz w:val="22"/>
          <w:szCs w:val="22"/>
        </w:rPr>
        <w:t>T</w:t>
      </w:r>
      <w:r w:rsidR="00BE5234" w:rsidRPr="00092248">
        <w:rPr>
          <w:sz w:val="22"/>
          <w:szCs w:val="22"/>
        </w:rPr>
        <w:t>he</w:t>
      </w:r>
      <w:r w:rsidR="007531C9">
        <w:rPr>
          <w:sz w:val="22"/>
          <w:szCs w:val="22"/>
        </w:rPr>
        <w:t xml:space="preserve"> weighting system adopted for both case of</w:t>
      </w:r>
      <w:r w:rsidR="00BE5234" w:rsidRPr="00092248">
        <w:rPr>
          <w:sz w:val="22"/>
          <w:szCs w:val="22"/>
        </w:rPr>
        <w:t xml:space="preserve"> </w:t>
      </w:r>
      <w:r w:rsidR="00BE5234" w:rsidRPr="00092248">
        <w:rPr>
          <w:i/>
          <w:sz w:val="22"/>
          <w:szCs w:val="22"/>
        </w:rPr>
        <w:t>adaptation p</w:t>
      </w:r>
      <w:r w:rsidR="00BE5234" w:rsidRPr="00AA3D0C">
        <w:rPr>
          <w:i/>
          <w:sz w:val="22"/>
          <w:szCs w:val="22"/>
        </w:rPr>
        <w:t>ossibility</w:t>
      </w:r>
      <w:r w:rsidR="00BE5234" w:rsidRPr="00AA3D0C">
        <w:rPr>
          <w:sz w:val="22"/>
          <w:szCs w:val="22"/>
        </w:rPr>
        <w:t xml:space="preserve"> was based on reasoned assumptions for a computer-based task. </w:t>
      </w:r>
      <w:r w:rsidR="00C05626">
        <w:rPr>
          <w:sz w:val="22"/>
          <w:szCs w:val="22"/>
        </w:rPr>
        <w:t>Therefore</w:t>
      </w:r>
      <w:r w:rsidR="007531C9">
        <w:rPr>
          <w:sz w:val="22"/>
          <w:szCs w:val="22"/>
        </w:rPr>
        <w:t>,</w:t>
      </w:r>
      <w:r w:rsidR="00C05626">
        <w:rPr>
          <w:sz w:val="22"/>
          <w:szCs w:val="22"/>
        </w:rPr>
        <w:t xml:space="preserve"> the weighting system is proposed as a</w:t>
      </w:r>
      <w:r w:rsidR="007D76FD">
        <w:rPr>
          <w:sz w:val="22"/>
          <w:szCs w:val="22"/>
        </w:rPr>
        <w:t xml:space="preserve"> </w:t>
      </w:r>
      <w:r w:rsidR="00C05626">
        <w:rPr>
          <w:sz w:val="22"/>
          <w:szCs w:val="22"/>
        </w:rPr>
        <w:t>concept, while the value of weights need in-depth investigation and validation by means of</w:t>
      </w:r>
      <w:r w:rsidR="000D21A5">
        <w:rPr>
          <w:sz w:val="22"/>
          <w:szCs w:val="22"/>
        </w:rPr>
        <w:t xml:space="preserve"> </w:t>
      </w:r>
      <w:r w:rsidR="00BE5234" w:rsidRPr="00AA3D0C">
        <w:rPr>
          <w:i/>
          <w:sz w:val="22"/>
          <w:szCs w:val="22"/>
        </w:rPr>
        <w:t>ad hoc</w:t>
      </w:r>
      <w:r w:rsidR="00BE5234" w:rsidRPr="00AA3D0C">
        <w:rPr>
          <w:sz w:val="22"/>
          <w:szCs w:val="22"/>
        </w:rPr>
        <w:t xml:space="preserve"> </w:t>
      </w:r>
      <w:r w:rsidR="00C05626">
        <w:rPr>
          <w:sz w:val="22"/>
          <w:szCs w:val="22"/>
        </w:rPr>
        <w:t>research with real individuals</w:t>
      </w:r>
      <w:r w:rsidR="00BE5234" w:rsidRPr="00AA3D0C">
        <w:rPr>
          <w:sz w:val="22"/>
          <w:szCs w:val="22"/>
        </w:rPr>
        <w:t>.</w:t>
      </w:r>
    </w:p>
    <w:p w14:paraId="464F8ACD" w14:textId="3D731195" w:rsidR="00350F23" w:rsidRPr="00B675AD" w:rsidRDefault="00350F23" w:rsidP="00B675AD">
      <w:pPr>
        <w:pStyle w:val="Heading4"/>
        <w:rPr>
          <w:sz w:val="24"/>
        </w:rPr>
      </w:pPr>
      <w:bookmarkStart w:id="23" w:name="_Toc532751572"/>
      <w:r w:rsidRPr="00B675AD">
        <w:rPr>
          <w:sz w:val="24"/>
        </w:rPr>
        <w:t>Adaptation possibility in terms of head rotation</w:t>
      </w:r>
      <w:bookmarkEnd w:id="23"/>
    </w:p>
    <w:p w14:paraId="36A6C8AE" w14:textId="2214DC36" w:rsidR="002E2986" w:rsidRDefault="00350F23" w:rsidP="00BD0EAA">
      <w:pPr>
        <w:jc w:val="both"/>
        <w:rPr>
          <w:sz w:val="22"/>
          <w:szCs w:val="22"/>
          <w:highlight w:val="red"/>
          <w:lang w:val="sv-SE"/>
        </w:rPr>
      </w:pPr>
      <w:r>
        <w:rPr>
          <w:sz w:val="22"/>
          <w:szCs w:val="22"/>
        </w:rPr>
        <w:t>According to literature, glare sensation increases when the glare source is closer to the visual centre</w:t>
      </w:r>
      <w:r w:rsidR="00BD11AD">
        <w:rPr>
          <w:sz w:val="22"/>
          <w:szCs w:val="22"/>
        </w:rPr>
        <w:t xml:space="preserve"> </w:t>
      </w:r>
      <w:r w:rsidR="00BD11AD" w:rsidRPr="00BD11AD">
        <w:rPr>
          <w:sz w:val="22"/>
          <w:szCs w:val="22"/>
        </w:rPr>
        <w:fldChar w:fldCharType="begin" w:fldLock="1"/>
      </w:r>
      <w:r w:rsidR="004C6D89">
        <w:rPr>
          <w:sz w:val="22"/>
          <w:szCs w:val="22"/>
        </w:rPr>
        <w:instrText>ADDIN CSL_CITATION { "citationItems" : [ { "id" : "ITEM-1", "itemData" : { "abstract" : "This paper describes a highly optimized design workflow for integrating detailed daylighting analysis using Radiance/DAYSIM with thermal load simulations using EnergyPlus within DIVA, a sustainable analysis plugin for the Rhinoceros 3D Nurbs modeling program. First, the importance of using detailed daylighting models is discussed such that occupant comfort and behavior when operating blinds can be accurately considered. DIVA\"s method of this implementation is then described for a single-zone perimeter office model. Finally, schedules and energy results generated using EnergyPlus defaults are compared to those from detailed analysis in DIVA/DAYSIM. The merits of an integrated workflow are discussed, and it is shown that such an analysis has a significant impact on lighting, heating and cooling loads for a building.", "author" : [ { "dropping-particle" : "", "family" : "Jakubiec", "given" : "J A", "non-dropping-particle" : "", "parse-names" : false, "suffix" : "" }, { "dropping-particle" : "", "family" : "Reinhart", "given" : "C F", "non-dropping-particle" : "", "parse-names" : false, "suffix" : "" } ], "container-title" : "Proceedings of Building Simulation 2011: 12th Conference of International Building Performance Simulation Association; 12th Conference of International Building Performance Simulation Association Building Simulation 2011, BS 2011", "id" : "ITEM-1", "issued" : { "date-parts" : [ [ "2011" ] ] }, "note" : "Conference code: 93272; Cited By :64", "page" : "2202-2209", "publisher-place" : "Affiliation: Harvard University, Graduate School of Design, Department of Architecture, United States; Correspondence Address: Jakubiec, J. A.; Harvard University, Graduate School of Design, Department of ArchitectureUnited States", "title" : "DIVA 2.0: Integrating daylight and thermal simulations using rhinoceros 3D, DAYSIM and EnergyPlus", "type" : "paper-conference" }, "uris" : [ "http://www.mendeley.com/documents/?uuid=b59c02c2-32d1-43fd-acd2-59d2c3f236a8" ] } ], "mendeley" : { "formattedCitation" : "(Jakubiec and Reinhart, 2011)", "plainTextFormattedCitation" : "(Jakubiec and Reinhart, 2011)", "previouslyFormattedCitation" : "(Jakubiec and Reinhart, 2011)" }, "properties" : { "noteIndex" : 0 }, "schema" : "https://github.com/citation-style-language/schema/raw/master/csl-citation.json" }</w:instrText>
      </w:r>
      <w:r w:rsidR="00BD11AD" w:rsidRPr="00BD11AD">
        <w:rPr>
          <w:sz w:val="22"/>
          <w:szCs w:val="22"/>
        </w:rPr>
        <w:fldChar w:fldCharType="separate"/>
      </w:r>
      <w:r w:rsidR="00BD11AD" w:rsidRPr="00BD11AD">
        <w:rPr>
          <w:noProof/>
          <w:sz w:val="22"/>
          <w:szCs w:val="22"/>
        </w:rPr>
        <w:t>(Jakubiec and Reinhart, 2011)</w:t>
      </w:r>
      <w:r w:rsidR="00BD11AD" w:rsidRPr="00BD11AD">
        <w:rPr>
          <w:sz w:val="22"/>
          <w:szCs w:val="22"/>
        </w:rPr>
        <w:fldChar w:fldCharType="end"/>
      </w:r>
      <w:r>
        <w:rPr>
          <w:sz w:val="22"/>
          <w:szCs w:val="22"/>
        </w:rPr>
        <w:t>.</w:t>
      </w:r>
      <w:r w:rsidRPr="00AA3D0C">
        <w:rPr>
          <w:sz w:val="22"/>
          <w:szCs w:val="22"/>
        </w:rPr>
        <w:t xml:space="preserve"> </w:t>
      </w:r>
      <w:r>
        <w:rPr>
          <w:sz w:val="22"/>
          <w:szCs w:val="22"/>
        </w:rPr>
        <w:t>Thus, glare at neutral head position should be weighted more. The exact weight to assign is an open question, but for the sake of demonstration in this thesis</w:t>
      </w:r>
      <w:r w:rsidR="00A21399">
        <w:rPr>
          <w:sz w:val="22"/>
          <w:szCs w:val="22"/>
          <w:lang w:val="el-GR"/>
        </w:rPr>
        <w:t>,</w:t>
      </w:r>
      <w:r>
        <w:rPr>
          <w:sz w:val="22"/>
          <w:szCs w:val="22"/>
        </w:rPr>
        <w:t xml:space="preserve"> it was assumed </w:t>
      </w:r>
      <w:r w:rsidRPr="00AA3D0C">
        <w:rPr>
          <w:sz w:val="22"/>
          <w:szCs w:val="22"/>
        </w:rPr>
        <w:t>to be an exponentiation of 2</w:t>
      </w:r>
      <w:r>
        <w:rPr>
          <w:sz w:val="22"/>
          <w:szCs w:val="22"/>
        </w:rPr>
        <w:t xml:space="preserve"> starting from the extreme rotation positions (0</w:t>
      </w:r>
      <w:r w:rsidRPr="00AA3D0C">
        <w:rPr>
          <w:sz w:val="22"/>
          <w:szCs w:val="22"/>
        </w:rPr>
        <w:t>°</w:t>
      </w:r>
      <w:r>
        <w:rPr>
          <w:sz w:val="22"/>
          <w:szCs w:val="22"/>
        </w:rPr>
        <w:t xml:space="preserve"> and 180</w:t>
      </w:r>
      <w:r w:rsidRPr="00AA3D0C">
        <w:rPr>
          <w:sz w:val="22"/>
          <w:szCs w:val="22"/>
        </w:rPr>
        <w:t>°</w:t>
      </w:r>
      <w:r>
        <w:rPr>
          <w:sz w:val="22"/>
          <w:szCs w:val="22"/>
        </w:rPr>
        <w:t xml:space="preserve"> degrees) (Figure </w:t>
      </w:r>
      <w:r w:rsidR="000F310C">
        <w:rPr>
          <w:sz w:val="22"/>
          <w:szCs w:val="22"/>
        </w:rPr>
        <w:t>3</w:t>
      </w:r>
      <w:r>
        <w:rPr>
          <w:sz w:val="22"/>
          <w:szCs w:val="22"/>
        </w:rPr>
        <w:t>). In practice, if the neutral position shows glare, the</w:t>
      </w:r>
      <w:r w:rsidR="00CF1716">
        <w:rPr>
          <w:sz w:val="22"/>
          <w:szCs w:val="22"/>
        </w:rPr>
        <w:t xml:space="preserve"> generic</w:t>
      </w:r>
      <w:r>
        <w:rPr>
          <w:sz w:val="22"/>
          <w:szCs w:val="22"/>
        </w:rPr>
        <w:t xml:space="preserve"> </w:t>
      </w:r>
      <w:r w:rsidR="002E2986">
        <w:rPr>
          <w:sz w:val="22"/>
          <w:szCs w:val="22"/>
        </w:rPr>
        <w:t xml:space="preserve">glare </w:t>
      </w:r>
      <w:r>
        <w:rPr>
          <w:sz w:val="22"/>
          <w:szCs w:val="22"/>
        </w:rPr>
        <w:t xml:space="preserve">index is multiplied by 32. </w:t>
      </w:r>
      <w:r w:rsidR="00CF1716">
        <w:rPr>
          <w:sz w:val="22"/>
          <w:szCs w:val="22"/>
        </w:rPr>
        <w:t>However, i</w:t>
      </w:r>
      <w:r w:rsidR="00C05626">
        <w:rPr>
          <w:sz w:val="22"/>
          <w:szCs w:val="22"/>
        </w:rPr>
        <w:t xml:space="preserve">f </w:t>
      </w:r>
      <w:r w:rsidR="00CF1716">
        <w:rPr>
          <w:sz w:val="22"/>
          <w:szCs w:val="22"/>
        </w:rPr>
        <w:t xml:space="preserve">the </w:t>
      </w:r>
      <w:r w:rsidR="00C05626">
        <w:rPr>
          <w:sz w:val="22"/>
          <w:szCs w:val="22"/>
        </w:rPr>
        <w:t>40 degrees</w:t>
      </w:r>
      <w:r w:rsidR="00CF1716">
        <w:rPr>
          <w:sz w:val="22"/>
          <w:szCs w:val="22"/>
        </w:rPr>
        <w:t xml:space="preserve"> position shows glare</w:t>
      </w:r>
      <w:r w:rsidR="00C05626">
        <w:rPr>
          <w:sz w:val="22"/>
          <w:szCs w:val="22"/>
        </w:rPr>
        <w:t>, th</w:t>
      </w:r>
      <w:r w:rsidR="00BD11AD">
        <w:rPr>
          <w:sz w:val="22"/>
          <w:szCs w:val="22"/>
        </w:rPr>
        <w:t>e</w:t>
      </w:r>
      <w:r w:rsidR="00C05626">
        <w:rPr>
          <w:sz w:val="22"/>
          <w:szCs w:val="22"/>
        </w:rPr>
        <w:t xml:space="preserve">n the generic glare index is multiplied </w:t>
      </w:r>
      <w:r w:rsidR="00CF1716">
        <w:rPr>
          <w:sz w:val="22"/>
          <w:szCs w:val="22"/>
        </w:rPr>
        <w:t xml:space="preserve">only </w:t>
      </w:r>
      <w:r w:rsidR="00C05626">
        <w:rPr>
          <w:sz w:val="22"/>
          <w:szCs w:val="22"/>
        </w:rPr>
        <w:t xml:space="preserve">by 8. </w:t>
      </w:r>
      <w:r>
        <w:rPr>
          <w:sz w:val="22"/>
          <w:szCs w:val="22"/>
        </w:rPr>
        <w:t>If the glare is still present even after a rotation</w:t>
      </w:r>
      <w:r w:rsidR="002E2986">
        <w:rPr>
          <w:sz w:val="22"/>
          <w:szCs w:val="22"/>
        </w:rPr>
        <w:t xml:space="preserve"> (for </w:t>
      </w:r>
      <w:r w:rsidR="002E2986">
        <w:rPr>
          <w:sz w:val="22"/>
          <w:szCs w:val="22"/>
        </w:rPr>
        <w:lastRenderedPageBreak/>
        <w:t>example to 60</w:t>
      </w:r>
      <w:r w:rsidR="002E2986" w:rsidRPr="00AA3D0C">
        <w:rPr>
          <w:sz w:val="22"/>
          <w:szCs w:val="22"/>
        </w:rPr>
        <w:t>°</w:t>
      </w:r>
      <w:r w:rsidR="002E2986">
        <w:rPr>
          <w:sz w:val="22"/>
          <w:szCs w:val="22"/>
        </w:rPr>
        <w:t xml:space="preserve">), the glare index </w:t>
      </w:r>
      <w:r w:rsidR="002E2986" w:rsidRPr="00532E33">
        <w:rPr>
          <w:sz w:val="22"/>
          <w:szCs w:val="22"/>
        </w:rPr>
        <w:t>at this position is multiplied by 16</w:t>
      </w:r>
      <w:r w:rsidR="00093CA7">
        <w:rPr>
          <w:sz w:val="22"/>
          <w:szCs w:val="22"/>
        </w:rPr>
        <w:t xml:space="preserve"> </w:t>
      </w:r>
      <w:r w:rsidR="00093CA7" w:rsidRPr="008C63D2">
        <w:rPr>
          <w:sz w:val="22"/>
          <w:szCs w:val="22"/>
          <w:lang w:val="sv-SE"/>
        </w:rPr>
        <w:t>(eq. 12), see example in Figure 4.</w:t>
      </w:r>
    </w:p>
    <w:p w14:paraId="41A3F51C" w14:textId="77777777" w:rsidR="00BD0EAA" w:rsidRPr="00532E33" w:rsidRDefault="00BD0EAA" w:rsidP="008C63D2">
      <w:pPr>
        <w:jc w:val="both"/>
        <w:rPr>
          <w:sz w:val="22"/>
          <w:szCs w:val="22"/>
        </w:rPr>
      </w:pPr>
    </w:p>
    <w:tbl>
      <w:tblPr>
        <w:tblStyle w:val="TableGrid"/>
        <w:tblpPr w:leftFromText="180" w:rightFromText="180" w:vertAnchor="text" w:horzAnchor="margin" w:tblpY="154"/>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570"/>
        <w:gridCol w:w="895"/>
        <w:gridCol w:w="689"/>
      </w:tblGrid>
      <w:tr w:rsidR="00A21399" w:rsidRPr="00AA3D0C" w14:paraId="01752D08" w14:textId="77777777" w:rsidTr="00F73C7D">
        <w:tc>
          <w:tcPr>
            <w:tcW w:w="6570" w:type="dxa"/>
          </w:tcPr>
          <w:p w14:paraId="4B9539E2" w14:textId="546BEED8" w:rsidR="00A21399" w:rsidRPr="00975DD1" w:rsidRDefault="00A21399" w:rsidP="008C63D2">
            <w:pPr>
              <w:jc w:val="both"/>
              <w:rPr>
                <w:b/>
                <w:sz w:val="22"/>
                <w:szCs w:val="22"/>
              </w:rPr>
            </w:pPr>
            <m:oMathPara>
              <m:oMathParaPr>
                <m:jc m:val="right"/>
              </m:oMathParaPr>
              <m:oMath>
                <m:r>
                  <w:rPr>
                    <w:rFonts w:ascii="Cambria Math" w:hAnsi="Cambria Math"/>
                    <w:sz w:val="22"/>
                    <w:szCs w:val="22"/>
                  </w:rPr>
                  <m:t>adaptation possibility in terms of head rotation=</m:t>
                </m:r>
                <m:sSub>
                  <m:sSubPr>
                    <m:ctrlPr>
                      <w:rPr>
                        <w:rFonts w:ascii="Cambria Math" w:hAnsi="Cambria Math"/>
                        <w:i/>
                        <w:sz w:val="22"/>
                        <w:szCs w:val="22"/>
                      </w:rPr>
                    </m:ctrlPr>
                  </m:sSubPr>
                  <m:e>
                    <m:r>
                      <w:rPr>
                        <w:rFonts w:ascii="Cambria Math" w:hAnsi="Cambria Math"/>
                        <w:sz w:val="22"/>
                        <w:szCs w:val="22"/>
                      </w:rPr>
                      <m:t>φ ∙G</m:t>
                    </m:r>
                  </m:e>
                  <m:sub>
                    <m:r>
                      <w:rPr>
                        <w:rFonts w:ascii="Cambria Math" w:hAnsi="Cambria Math"/>
                        <w:sz w:val="22"/>
                        <w:szCs w:val="22"/>
                      </w:rPr>
                      <m:t>dir</m:t>
                    </m:r>
                  </m:sub>
                </m:sSub>
              </m:oMath>
            </m:oMathPara>
          </w:p>
        </w:tc>
        <w:tc>
          <w:tcPr>
            <w:tcW w:w="895" w:type="dxa"/>
          </w:tcPr>
          <w:p w14:paraId="36DA60A7" w14:textId="77777777" w:rsidR="00A21399" w:rsidRPr="00AA3D0C" w:rsidRDefault="00A21399" w:rsidP="008C63D2">
            <w:pPr>
              <w:rPr>
                <w:sz w:val="22"/>
                <w:szCs w:val="22"/>
              </w:rPr>
            </w:pPr>
            <w:r>
              <w:rPr>
                <w:sz w:val="22"/>
                <w:szCs w:val="22"/>
              </w:rPr>
              <w:t>[-]</w:t>
            </w:r>
          </w:p>
        </w:tc>
        <w:tc>
          <w:tcPr>
            <w:tcW w:w="689" w:type="dxa"/>
          </w:tcPr>
          <w:p w14:paraId="72BAC06E" w14:textId="42501B06" w:rsidR="00A21399" w:rsidRPr="00AA3D0C" w:rsidRDefault="00A21399" w:rsidP="008C63D2">
            <w:pPr>
              <w:jc w:val="right"/>
              <w:rPr>
                <w:sz w:val="22"/>
                <w:szCs w:val="22"/>
              </w:rPr>
            </w:pPr>
            <w:r>
              <w:rPr>
                <w:sz w:val="22"/>
                <w:szCs w:val="22"/>
              </w:rPr>
              <w:t>(1</w:t>
            </w:r>
            <w:r w:rsidR="00532E33">
              <w:rPr>
                <w:sz w:val="22"/>
                <w:szCs w:val="22"/>
              </w:rPr>
              <w:t>2</w:t>
            </w:r>
            <w:r>
              <w:rPr>
                <w:sz w:val="22"/>
                <w:szCs w:val="22"/>
              </w:rPr>
              <w:t>)</w:t>
            </w:r>
          </w:p>
        </w:tc>
      </w:tr>
    </w:tbl>
    <w:p w14:paraId="4FBAB965" w14:textId="7831C70C" w:rsidR="00A21399" w:rsidRPr="00CC07DB" w:rsidRDefault="00A21399" w:rsidP="00135D19">
      <w:pPr>
        <w:pStyle w:val="ListParagraph"/>
        <w:numPr>
          <w:ilvl w:val="0"/>
          <w:numId w:val="6"/>
        </w:numPr>
        <w:spacing w:before="240"/>
        <w:ind w:left="426"/>
        <w:jc w:val="both"/>
        <w:rPr>
          <w:rFonts w:ascii="Times New Roman" w:hAnsi="Times New Roman" w:cs="Times New Roman"/>
          <w:b/>
        </w:rPr>
      </w:pPr>
      <w:r w:rsidRPr="00CC07DB">
        <w:rPr>
          <w:rFonts w:ascii="Times New Roman" w:hAnsi="Times New Roman" w:cs="Times New Roman"/>
          <w:i/>
          <w:u w:val="single"/>
          <w:lang w:val="sv-SE"/>
        </w:rPr>
        <w:t>G</w:t>
      </w:r>
      <w:r w:rsidRPr="00CC07DB">
        <w:rPr>
          <w:rFonts w:ascii="Times New Roman" w:hAnsi="Times New Roman" w:cs="Times New Roman"/>
          <w:i/>
          <w:u w:val="single"/>
          <w:vertAlign w:val="subscript"/>
          <w:lang w:val="sv-SE"/>
        </w:rPr>
        <w:t>dir</w:t>
      </w:r>
      <w:r w:rsidRPr="00CC07DB">
        <w:rPr>
          <w:rFonts w:ascii="Times New Roman" w:hAnsi="Times New Roman" w:cs="Times New Roman"/>
          <w:u w:val="single"/>
          <w:lang w:val="sv-SE"/>
        </w:rPr>
        <w:t>:</w:t>
      </w:r>
      <w:r w:rsidRPr="00CC07DB">
        <w:rPr>
          <w:rFonts w:ascii="Times New Roman" w:hAnsi="Times New Roman" w:cs="Times New Roman"/>
          <w:lang w:val="sv-SE"/>
        </w:rPr>
        <w:t xml:space="preserve"> </w:t>
      </w:r>
      <w:r w:rsidRPr="00CC07DB">
        <w:rPr>
          <w:rFonts w:ascii="Times New Roman" w:hAnsi="Times New Roman" w:cs="Times New Roman"/>
        </w:rPr>
        <w:t>the glare results</w:t>
      </w:r>
      <w:r w:rsidR="00D22D7F">
        <w:rPr>
          <w:rFonts w:ascii="Times New Roman" w:hAnsi="Times New Roman" w:cs="Times New Roman"/>
        </w:rPr>
        <w:t xml:space="preserve"> based on different head positions (in terms of head rotation)</w:t>
      </w:r>
      <w:r w:rsidRPr="00CC07DB">
        <w:rPr>
          <w:rFonts w:ascii="Times New Roman" w:hAnsi="Times New Roman" w:cs="Times New Roman"/>
        </w:rPr>
        <w:t xml:space="preserve">, named as </w:t>
      </w:r>
      <w:r w:rsidRPr="00CC07DB">
        <w:rPr>
          <w:rFonts w:ascii="Times New Roman" w:hAnsi="Times New Roman" w:cs="Times New Roman"/>
          <w:i/>
        </w:rPr>
        <w:t>directional Glare</w:t>
      </w:r>
      <w:r w:rsidR="00092248" w:rsidRPr="00CC07DB">
        <w:rPr>
          <w:rFonts w:ascii="Times New Roman" w:hAnsi="Times New Roman" w:cs="Times New Roman"/>
          <w:i/>
        </w:rPr>
        <w:t>.</w:t>
      </w:r>
    </w:p>
    <w:p w14:paraId="6CD0F1AD" w14:textId="2D4A4801" w:rsidR="00A21399" w:rsidRPr="00CC07DB" w:rsidRDefault="00A21399" w:rsidP="00135D19">
      <w:pPr>
        <w:pStyle w:val="ListParagraph"/>
        <w:numPr>
          <w:ilvl w:val="0"/>
          <w:numId w:val="6"/>
        </w:numPr>
        <w:spacing w:before="240"/>
        <w:ind w:left="426"/>
        <w:jc w:val="both"/>
        <w:rPr>
          <w:rFonts w:ascii="Times New Roman" w:hAnsi="Times New Roman" w:cs="Times New Roman"/>
          <w:b/>
        </w:rPr>
      </w:pPr>
      <w:r w:rsidRPr="00CC07DB">
        <w:rPr>
          <w:rFonts w:ascii="Times New Roman" w:hAnsi="Times New Roman" w:cs="Times New Roman"/>
          <w:i/>
          <w:u w:val="single"/>
          <w:lang w:val="el-GR"/>
        </w:rPr>
        <w:t>φ</w:t>
      </w:r>
      <w:r w:rsidRPr="00CC07DB">
        <w:rPr>
          <w:rFonts w:ascii="Times New Roman" w:hAnsi="Times New Roman" w:cs="Times New Roman"/>
          <w:i/>
          <w:u w:val="single"/>
          <w:lang w:val="en-US"/>
        </w:rPr>
        <w:t>:</w:t>
      </w:r>
      <w:r w:rsidRPr="00CC07DB">
        <w:rPr>
          <w:rFonts w:ascii="Times New Roman" w:hAnsi="Times New Roman" w:cs="Times New Roman"/>
          <w:i/>
          <w:lang w:val="en-US"/>
        </w:rPr>
        <w:t xml:space="preserve"> </w:t>
      </w:r>
      <w:r w:rsidRPr="00CC07DB">
        <w:rPr>
          <w:rFonts w:ascii="Times New Roman" w:hAnsi="Times New Roman" w:cs="Times New Roman"/>
          <w:lang w:val="en-US"/>
        </w:rPr>
        <w:t>weighting factor assum</w:t>
      </w:r>
      <w:r w:rsidR="00092248" w:rsidRPr="00CC07DB">
        <w:rPr>
          <w:rFonts w:ascii="Times New Roman" w:hAnsi="Times New Roman" w:cs="Times New Roman"/>
          <w:lang w:val="en-US"/>
        </w:rPr>
        <w:t>ed to be an exponentiation of 2 (arbitrary).</w:t>
      </w:r>
    </w:p>
    <w:p w14:paraId="30B6E6C3" w14:textId="088129F5" w:rsidR="006C3CE8" w:rsidRPr="00865C2D" w:rsidRDefault="00865C2D" w:rsidP="00865C2D">
      <w:pPr>
        <w:spacing w:after="240"/>
        <w:jc w:val="both"/>
        <w:rPr>
          <w:sz w:val="22"/>
          <w:szCs w:val="22"/>
        </w:rPr>
      </w:pPr>
      <w:r>
        <w:rPr>
          <w:b/>
          <w:noProof/>
          <w:sz w:val="22"/>
          <w:szCs w:val="22"/>
          <w:lang w:eastAsia="en-GB"/>
        </w:rPr>
        <w:drawing>
          <wp:inline distT="0" distB="0" distL="0" distR="0" wp14:anchorId="006D52B2" wp14:editId="33AFD904">
            <wp:extent cx="5177464" cy="2116477"/>
            <wp:effectExtent l="0" t="0" r="4445" b="0"/>
            <wp:docPr id="1525" name="Picture 15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194418" cy="2123408"/>
                    </a:xfrm>
                    <a:prstGeom prst="rect">
                      <a:avLst/>
                    </a:prstGeom>
                    <a:noFill/>
                    <a:ln>
                      <a:noFill/>
                    </a:ln>
                  </pic:spPr>
                </pic:pic>
              </a:graphicData>
            </a:graphic>
          </wp:inline>
        </w:drawing>
      </w:r>
      <w:r w:rsidR="002B7D6E" w:rsidRPr="00AA3D0C">
        <w:rPr>
          <w:i/>
          <w:sz w:val="20"/>
          <w:szCs w:val="20"/>
        </w:rPr>
        <w:t xml:space="preserve">Figure </w:t>
      </w:r>
      <w:r w:rsidR="000F310C">
        <w:rPr>
          <w:i/>
          <w:sz w:val="20"/>
          <w:szCs w:val="20"/>
        </w:rPr>
        <w:t>3</w:t>
      </w:r>
      <w:r w:rsidR="002B7D6E" w:rsidRPr="00AA3D0C">
        <w:rPr>
          <w:i/>
          <w:sz w:val="20"/>
          <w:szCs w:val="20"/>
        </w:rPr>
        <w:t xml:space="preserve">: Diagram showing the calculation of the different </w:t>
      </w:r>
      <w:proofErr w:type="spellStart"/>
      <w:r w:rsidR="002B7D6E" w:rsidRPr="00AA3D0C">
        <w:rPr>
          <w:i/>
          <w:sz w:val="20"/>
          <w:szCs w:val="20"/>
        </w:rPr>
        <w:t>G</w:t>
      </w:r>
      <w:r w:rsidR="002B7D6E" w:rsidRPr="00AA3D0C">
        <w:rPr>
          <w:i/>
          <w:sz w:val="20"/>
          <w:szCs w:val="20"/>
          <w:vertAlign w:val="subscript"/>
        </w:rPr>
        <w:t>dir</w:t>
      </w:r>
      <w:proofErr w:type="spellEnd"/>
      <w:r w:rsidR="002B7D6E" w:rsidRPr="00AA3D0C">
        <w:rPr>
          <w:i/>
          <w:sz w:val="20"/>
          <w:szCs w:val="20"/>
        </w:rPr>
        <w:t xml:space="preserve"> and the glare credits for the weighting system.</w:t>
      </w:r>
    </w:p>
    <w:p w14:paraId="73B3CE6D" w14:textId="6DA63614" w:rsidR="00D72600" w:rsidRDefault="00865C2D" w:rsidP="002B7D6E">
      <w:pPr>
        <w:jc w:val="both"/>
        <w:rPr>
          <w:b/>
          <w:sz w:val="22"/>
          <w:szCs w:val="22"/>
        </w:rPr>
      </w:pPr>
      <w:r>
        <w:rPr>
          <w:i/>
          <w:noProof/>
          <w:sz w:val="20"/>
          <w:szCs w:val="22"/>
          <w:lang w:eastAsia="en-GB"/>
        </w:rPr>
        <w:drawing>
          <wp:inline distT="0" distB="0" distL="0" distR="0" wp14:anchorId="1C7595E7" wp14:editId="6604837A">
            <wp:extent cx="5178425" cy="2198370"/>
            <wp:effectExtent l="0" t="0" r="3175" b="0"/>
            <wp:docPr id="1527" name="Picture 15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178425" cy="2198370"/>
                    </a:xfrm>
                    <a:prstGeom prst="rect">
                      <a:avLst/>
                    </a:prstGeom>
                    <a:noFill/>
                    <a:ln>
                      <a:noFill/>
                    </a:ln>
                  </pic:spPr>
                </pic:pic>
              </a:graphicData>
            </a:graphic>
          </wp:inline>
        </w:drawing>
      </w:r>
    </w:p>
    <w:p w14:paraId="564B3009" w14:textId="33861720" w:rsidR="00D72600" w:rsidRDefault="00204F19" w:rsidP="00492E03">
      <w:pPr>
        <w:spacing w:after="240"/>
        <w:jc w:val="both"/>
        <w:rPr>
          <w:i/>
          <w:sz w:val="20"/>
          <w:szCs w:val="22"/>
        </w:rPr>
      </w:pPr>
      <w:r w:rsidRPr="00AA3D0C">
        <w:rPr>
          <w:i/>
          <w:sz w:val="20"/>
          <w:szCs w:val="22"/>
        </w:rPr>
        <w:t xml:space="preserve">Figure </w:t>
      </w:r>
      <w:r w:rsidR="00865C2D">
        <w:rPr>
          <w:i/>
          <w:sz w:val="20"/>
          <w:szCs w:val="22"/>
        </w:rPr>
        <w:t>4</w:t>
      </w:r>
      <w:r w:rsidRPr="00AA3D0C">
        <w:rPr>
          <w:i/>
          <w:sz w:val="20"/>
          <w:szCs w:val="22"/>
        </w:rPr>
        <w:t xml:space="preserve">: </w:t>
      </w:r>
      <w:r>
        <w:rPr>
          <w:i/>
          <w:sz w:val="20"/>
          <w:szCs w:val="22"/>
        </w:rPr>
        <w:t>Explanatory diagram of the adaptation possibility in terms of head rotation for one observer position at 10:00.</w:t>
      </w:r>
    </w:p>
    <w:p w14:paraId="3A31E57E" w14:textId="3981FF60" w:rsidR="006A4FC0" w:rsidRDefault="006A4FC0" w:rsidP="00492E03">
      <w:pPr>
        <w:spacing w:after="240"/>
        <w:jc w:val="both"/>
        <w:rPr>
          <w:i/>
          <w:sz w:val="20"/>
          <w:szCs w:val="22"/>
        </w:rPr>
      </w:pPr>
    </w:p>
    <w:p w14:paraId="4B2EE376" w14:textId="77777777" w:rsidR="005A13D2" w:rsidRDefault="005A13D2" w:rsidP="00492E03">
      <w:pPr>
        <w:spacing w:after="240"/>
        <w:jc w:val="both"/>
        <w:rPr>
          <w:i/>
          <w:sz w:val="20"/>
          <w:szCs w:val="22"/>
        </w:rPr>
      </w:pPr>
    </w:p>
    <w:p w14:paraId="0A32DCAC" w14:textId="77777777" w:rsidR="006A4FC0" w:rsidRDefault="006A4FC0" w:rsidP="00492E03">
      <w:pPr>
        <w:spacing w:after="240"/>
        <w:jc w:val="both"/>
        <w:rPr>
          <w:i/>
          <w:sz w:val="20"/>
          <w:szCs w:val="22"/>
        </w:rPr>
      </w:pPr>
    </w:p>
    <w:p w14:paraId="51630B82" w14:textId="580B7949" w:rsidR="002E2986" w:rsidRPr="005F7193" w:rsidRDefault="002E2986" w:rsidP="002E2986">
      <w:pPr>
        <w:pStyle w:val="Heading4"/>
        <w:rPr>
          <w:sz w:val="24"/>
        </w:rPr>
      </w:pPr>
      <w:bookmarkStart w:id="24" w:name="_Toc532751573"/>
      <w:r w:rsidRPr="005F7193">
        <w:rPr>
          <w:sz w:val="24"/>
        </w:rPr>
        <w:lastRenderedPageBreak/>
        <w:t>Adaptation possibility in terms of glare duration</w:t>
      </w:r>
      <w:bookmarkEnd w:id="24"/>
    </w:p>
    <w:p w14:paraId="5CBD4131" w14:textId="3EB5F0F2" w:rsidR="00440BEA" w:rsidRDefault="00D25674" w:rsidP="002B7D6E">
      <w:pPr>
        <w:jc w:val="both"/>
        <w:rPr>
          <w:sz w:val="22"/>
          <w:szCs w:val="22"/>
        </w:rPr>
      </w:pPr>
      <w:r>
        <w:rPr>
          <w:sz w:val="22"/>
          <w:szCs w:val="22"/>
        </w:rPr>
        <w:t xml:space="preserve">The study </w:t>
      </w:r>
      <w:r w:rsidR="009244FC">
        <w:rPr>
          <w:sz w:val="22"/>
          <w:szCs w:val="22"/>
        </w:rPr>
        <w:t>is inspired by</w:t>
      </w:r>
      <w:r>
        <w:rPr>
          <w:sz w:val="22"/>
          <w:szCs w:val="22"/>
        </w:rPr>
        <w:t xml:space="preserve"> the </w:t>
      </w:r>
      <w:r w:rsidR="00BC36B5">
        <w:rPr>
          <w:sz w:val="22"/>
          <w:szCs w:val="22"/>
        </w:rPr>
        <w:t xml:space="preserve">preliminary version of the </w:t>
      </w:r>
      <w:r w:rsidR="005570B7" w:rsidRPr="00AA3D0C">
        <w:rPr>
          <w:sz w:val="22"/>
          <w:szCs w:val="22"/>
        </w:rPr>
        <w:t>European Standard on Daylight of Buildings</w:t>
      </w:r>
      <w:r>
        <w:rPr>
          <w:sz w:val="22"/>
          <w:szCs w:val="22"/>
        </w:rPr>
        <w:t xml:space="preserve"> </w:t>
      </w:r>
      <w:r w:rsidR="005570B7" w:rsidRPr="00AA3D0C">
        <w:rPr>
          <w:sz w:val="22"/>
          <w:szCs w:val="22"/>
        </w:rPr>
        <w:fldChar w:fldCharType="begin" w:fldLock="1"/>
      </w:r>
      <w:r w:rsidR="004F26FE">
        <w:rPr>
          <w:sz w:val="22"/>
          <w:szCs w:val="22"/>
        </w:rPr>
        <w:instrText>ADDIN CSL_CITATION { "citationItems" : [ { "id" : "ITEM-1", "itemData" : { "author" : [ { "dropping-particle" : "", "family" : "prEN 17037", "given" : "", "non-dropping-particle" : "", "parse-names" : false, "suffix" : "" } ], "container-title" : "European Standard", "id" : "ITEM-1", "issued" : { "date-parts" : [ [ "2016" ] ] }, "number-of-pages" : "63", "publisher" : "British Standards Institution (BSI)", "title" : "Daylight of buildings", "type" : "book" }, "uris" : [ "http://www.mendeley.com/documents/?uuid=b1de80a8-25c7-470a-a1f9-0c60d95672ed", "http://www.mendeley.com/documents/?uuid=eb735eed-5498-425a-b804-97d0ea7d6d34" ] } ], "mendeley" : { "formattedCitation" : "(prEN 17037, 2016)", "plainTextFormattedCitation" : "(prEN 17037, 2016)", "previouslyFormattedCitation" : "(prEN 17037, 2016)" }, "properties" : { "noteIndex" : 0 }, "schema" : "https://github.com/citation-style-language/schema/raw/master/csl-citation.json" }</w:instrText>
      </w:r>
      <w:r w:rsidR="005570B7" w:rsidRPr="00AA3D0C">
        <w:rPr>
          <w:sz w:val="22"/>
          <w:szCs w:val="22"/>
        </w:rPr>
        <w:fldChar w:fldCharType="separate"/>
      </w:r>
      <w:r w:rsidR="005570B7" w:rsidRPr="00AA3D0C">
        <w:rPr>
          <w:noProof/>
          <w:sz w:val="22"/>
          <w:szCs w:val="22"/>
        </w:rPr>
        <w:t>(prEN 17037, 2016)</w:t>
      </w:r>
      <w:r w:rsidR="005570B7" w:rsidRPr="00AA3D0C">
        <w:rPr>
          <w:sz w:val="22"/>
          <w:szCs w:val="22"/>
        </w:rPr>
        <w:fldChar w:fldCharType="end"/>
      </w:r>
      <w:r w:rsidR="005570B7" w:rsidRPr="00AA3D0C">
        <w:rPr>
          <w:sz w:val="22"/>
          <w:szCs w:val="22"/>
        </w:rPr>
        <w:t xml:space="preserve">. </w:t>
      </w:r>
      <w:r w:rsidR="0081453E">
        <w:rPr>
          <w:sz w:val="22"/>
          <w:szCs w:val="22"/>
        </w:rPr>
        <w:t>T</w:t>
      </w:r>
      <w:r w:rsidR="00323536">
        <w:rPr>
          <w:sz w:val="22"/>
          <w:szCs w:val="22"/>
        </w:rPr>
        <w:t xml:space="preserve">he standard </w:t>
      </w:r>
      <w:r w:rsidR="0081453E">
        <w:rPr>
          <w:sz w:val="22"/>
          <w:szCs w:val="22"/>
        </w:rPr>
        <w:t xml:space="preserve">sets </w:t>
      </w:r>
      <w:r w:rsidR="00E92247">
        <w:rPr>
          <w:sz w:val="22"/>
          <w:szCs w:val="22"/>
        </w:rPr>
        <w:t>durat</w:t>
      </w:r>
      <w:r w:rsidR="00E92247" w:rsidRPr="00D458E4">
        <w:rPr>
          <w:sz w:val="22"/>
          <w:szCs w:val="22"/>
        </w:rPr>
        <w:t>ion</w:t>
      </w:r>
      <w:r w:rsidR="009244FC" w:rsidRPr="00D458E4">
        <w:rPr>
          <w:sz w:val="22"/>
          <w:szCs w:val="22"/>
        </w:rPr>
        <w:t xml:space="preserve"> </w:t>
      </w:r>
      <w:r w:rsidR="0081453E" w:rsidRPr="00D458E4">
        <w:rPr>
          <w:sz w:val="22"/>
          <w:szCs w:val="22"/>
        </w:rPr>
        <w:t xml:space="preserve">thresholds for the </w:t>
      </w:r>
      <w:r w:rsidR="009244FC" w:rsidRPr="00D458E4">
        <w:rPr>
          <w:sz w:val="22"/>
          <w:szCs w:val="22"/>
        </w:rPr>
        <w:t xml:space="preserve">values of </w:t>
      </w:r>
      <w:r w:rsidR="0081453E" w:rsidRPr="00D458E4">
        <w:rPr>
          <w:sz w:val="22"/>
          <w:szCs w:val="22"/>
        </w:rPr>
        <w:t xml:space="preserve">DGP </w:t>
      </w:r>
      <w:r w:rsidR="009244FC" w:rsidRPr="00D458E4">
        <w:rPr>
          <w:sz w:val="22"/>
          <w:szCs w:val="22"/>
        </w:rPr>
        <w:t>during usage time, with the scope of evaluating shading devices</w:t>
      </w:r>
      <w:r w:rsidR="006D21FD" w:rsidRPr="00D458E4">
        <w:rPr>
          <w:sz w:val="22"/>
          <w:szCs w:val="22"/>
        </w:rPr>
        <w:t xml:space="preserve">. </w:t>
      </w:r>
      <w:r w:rsidR="009244FC" w:rsidRPr="00D458E4">
        <w:rPr>
          <w:sz w:val="22"/>
          <w:szCs w:val="22"/>
        </w:rPr>
        <w:t xml:space="preserve">Even though </w:t>
      </w:r>
      <w:r w:rsidR="006D21FD" w:rsidRPr="00D458E4">
        <w:rPr>
          <w:sz w:val="22"/>
          <w:szCs w:val="22"/>
        </w:rPr>
        <w:t xml:space="preserve">this </w:t>
      </w:r>
      <w:r w:rsidR="00E92247" w:rsidRPr="008C63D2">
        <w:rPr>
          <w:sz w:val="22"/>
          <w:szCs w:val="22"/>
        </w:rPr>
        <w:t>standard</w:t>
      </w:r>
      <w:r w:rsidR="00E92247" w:rsidRPr="00D458E4">
        <w:rPr>
          <w:sz w:val="22"/>
          <w:szCs w:val="22"/>
        </w:rPr>
        <w:t xml:space="preserve"> </w:t>
      </w:r>
      <w:r w:rsidR="00D458E4" w:rsidRPr="008C63D2">
        <w:rPr>
          <w:sz w:val="22"/>
          <w:szCs w:val="22"/>
        </w:rPr>
        <w:t>does not</w:t>
      </w:r>
      <w:r w:rsidR="009244FC" w:rsidRPr="00D458E4">
        <w:rPr>
          <w:sz w:val="22"/>
          <w:szCs w:val="22"/>
        </w:rPr>
        <w:t xml:space="preserve"> evaluate the severity of prolonged glare independently from the shading devices, the thresholds proposed in the </w:t>
      </w:r>
      <w:proofErr w:type="spellStart"/>
      <w:r w:rsidR="009244FC" w:rsidRPr="00D458E4">
        <w:rPr>
          <w:sz w:val="22"/>
          <w:szCs w:val="22"/>
        </w:rPr>
        <w:t>prEN</w:t>
      </w:r>
      <w:proofErr w:type="spellEnd"/>
      <w:r w:rsidR="009244FC" w:rsidRPr="00D458E4">
        <w:rPr>
          <w:sz w:val="22"/>
          <w:szCs w:val="22"/>
        </w:rPr>
        <w:t xml:space="preserve"> 17037 (2016) are, at the best of the author’s knowledge, among the few proposal</w:t>
      </w:r>
      <w:r w:rsidR="00D11A2A">
        <w:rPr>
          <w:sz w:val="22"/>
          <w:szCs w:val="22"/>
        </w:rPr>
        <w:t>s</w:t>
      </w:r>
      <w:r w:rsidR="009244FC" w:rsidRPr="00D458E4">
        <w:rPr>
          <w:sz w:val="22"/>
          <w:szCs w:val="22"/>
        </w:rPr>
        <w:t xml:space="preserve"> </w:t>
      </w:r>
      <w:r w:rsidR="00D11A2A">
        <w:rPr>
          <w:sz w:val="22"/>
          <w:szCs w:val="22"/>
        </w:rPr>
        <w:t>dealing with</w:t>
      </w:r>
      <w:r w:rsidR="009244FC" w:rsidRPr="00D458E4">
        <w:rPr>
          <w:sz w:val="22"/>
          <w:szCs w:val="22"/>
        </w:rPr>
        <w:t xml:space="preserve"> the issue of prolonged glare. </w:t>
      </w:r>
      <w:r w:rsidR="006D21FD" w:rsidRPr="00D458E4">
        <w:rPr>
          <w:sz w:val="22"/>
          <w:szCs w:val="22"/>
        </w:rPr>
        <w:t xml:space="preserve"> </w:t>
      </w:r>
      <w:r w:rsidR="009244FC" w:rsidRPr="00D458E4">
        <w:rPr>
          <w:sz w:val="22"/>
          <w:szCs w:val="22"/>
        </w:rPr>
        <w:t xml:space="preserve">Therefore, </w:t>
      </w:r>
      <w:r w:rsidR="006D21FD" w:rsidRPr="00D458E4">
        <w:rPr>
          <w:sz w:val="22"/>
          <w:szCs w:val="22"/>
        </w:rPr>
        <w:t>the</w:t>
      </w:r>
      <w:r w:rsidR="009244FC" w:rsidRPr="00D458E4">
        <w:rPr>
          <w:sz w:val="22"/>
          <w:szCs w:val="22"/>
        </w:rPr>
        <w:t xml:space="preserve"> method </w:t>
      </w:r>
      <w:r w:rsidR="00D11A2A">
        <w:rPr>
          <w:sz w:val="22"/>
          <w:szCs w:val="22"/>
        </w:rPr>
        <w:t xml:space="preserve">presented in this thesis </w:t>
      </w:r>
      <w:r w:rsidR="009244FC" w:rsidRPr="00D458E4">
        <w:rPr>
          <w:sz w:val="22"/>
          <w:szCs w:val="22"/>
        </w:rPr>
        <w:t>proposes a weighting system inspired by the preliminary version of the standard</w:t>
      </w:r>
      <w:r w:rsidR="00D11A2A">
        <w:rPr>
          <w:sz w:val="22"/>
          <w:szCs w:val="22"/>
        </w:rPr>
        <w:t xml:space="preserve">, </w:t>
      </w:r>
      <w:r w:rsidR="009244FC" w:rsidRPr="00D458E4">
        <w:rPr>
          <w:sz w:val="22"/>
          <w:szCs w:val="22"/>
        </w:rPr>
        <w:t>which is shown</w:t>
      </w:r>
      <w:r w:rsidR="00D11A2A">
        <w:rPr>
          <w:sz w:val="22"/>
          <w:szCs w:val="22"/>
        </w:rPr>
        <w:t xml:space="preserve"> in</w:t>
      </w:r>
      <w:r w:rsidR="009244FC" w:rsidRPr="00D458E4">
        <w:rPr>
          <w:sz w:val="22"/>
          <w:szCs w:val="22"/>
        </w:rPr>
        <w:t xml:space="preserve"> Table 2.</w:t>
      </w:r>
    </w:p>
    <w:p w14:paraId="212BFB13" w14:textId="77777777" w:rsidR="00597F7C" w:rsidRDefault="00597F7C" w:rsidP="002B7D6E">
      <w:pPr>
        <w:jc w:val="both"/>
        <w:rPr>
          <w:sz w:val="22"/>
          <w:szCs w:val="22"/>
        </w:rPr>
      </w:pPr>
    </w:p>
    <w:p w14:paraId="02E1BEB6" w14:textId="58DB83B7" w:rsidR="002B7D6E" w:rsidRPr="008C63D2" w:rsidRDefault="002B7D6E" w:rsidP="002B7D6E">
      <w:pPr>
        <w:jc w:val="both"/>
        <w:rPr>
          <w:i/>
          <w:sz w:val="20"/>
          <w:szCs w:val="20"/>
        </w:rPr>
      </w:pPr>
      <w:r w:rsidRPr="00435292">
        <w:rPr>
          <w:i/>
          <w:sz w:val="20"/>
          <w:szCs w:val="20"/>
        </w:rPr>
        <w:t xml:space="preserve">Table </w:t>
      </w:r>
      <w:r w:rsidR="00554004" w:rsidRPr="005A13D2">
        <w:rPr>
          <w:i/>
          <w:sz w:val="20"/>
          <w:szCs w:val="20"/>
        </w:rPr>
        <w:t>2</w:t>
      </w:r>
      <w:r w:rsidRPr="005A13D2">
        <w:rPr>
          <w:i/>
          <w:sz w:val="20"/>
          <w:szCs w:val="20"/>
        </w:rPr>
        <w:t xml:space="preserve">: </w:t>
      </w:r>
      <w:r w:rsidR="009244FC">
        <w:rPr>
          <w:i/>
          <w:sz w:val="20"/>
          <w:szCs w:val="20"/>
        </w:rPr>
        <w:t>Weighting system for evaluating severity of glare prolonged in time</w:t>
      </w:r>
      <w:r w:rsidRPr="005A13D2">
        <w:rPr>
          <w:i/>
          <w:sz w:val="20"/>
          <w:szCs w:val="20"/>
        </w:rPr>
        <w:t>.</w:t>
      </w:r>
    </w:p>
    <w:tbl>
      <w:tblPr>
        <w:tblStyle w:val="TableGrid"/>
        <w:tblpPr w:leftFromText="180" w:rightFromText="180" w:vertAnchor="text" w:horzAnchor="margin" w:tblpXSpec="center" w:tblpY="187"/>
        <w:tblW w:w="7938" w:type="dxa"/>
        <w:tblBorders>
          <w:left w:val="none" w:sz="0" w:space="0" w:color="auto"/>
          <w:right w:val="none" w:sz="0" w:space="0" w:color="auto"/>
          <w:insideV w:val="none" w:sz="0" w:space="0" w:color="auto"/>
        </w:tblBorders>
        <w:tblLayout w:type="fixed"/>
        <w:tblLook w:val="04A0" w:firstRow="1" w:lastRow="0" w:firstColumn="1" w:lastColumn="0" w:noHBand="0" w:noVBand="1"/>
      </w:tblPr>
      <w:tblGrid>
        <w:gridCol w:w="1336"/>
        <w:gridCol w:w="1074"/>
        <w:gridCol w:w="1492"/>
        <w:gridCol w:w="1768"/>
        <w:gridCol w:w="2268"/>
      </w:tblGrid>
      <w:tr w:rsidR="000066A9" w:rsidRPr="00AA3D0C" w14:paraId="0934C3BB" w14:textId="77777777" w:rsidTr="008C63D2">
        <w:tc>
          <w:tcPr>
            <w:tcW w:w="2410" w:type="dxa"/>
            <w:gridSpan w:val="2"/>
            <w:tcBorders>
              <w:left w:val="nil"/>
              <w:bottom w:val="nil"/>
              <w:right w:val="single" w:sz="4" w:space="0" w:color="auto"/>
            </w:tcBorders>
          </w:tcPr>
          <w:p w14:paraId="295E0C1C" w14:textId="06238DF6" w:rsidR="000066A9" w:rsidRPr="000E5203" w:rsidRDefault="000066A9" w:rsidP="000E5203">
            <w:pPr>
              <w:jc w:val="center"/>
              <w:rPr>
                <w:b/>
                <w:sz w:val="20"/>
                <w:szCs w:val="20"/>
              </w:rPr>
            </w:pPr>
            <w:r>
              <w:rPr>
                <w:b/>
                <w:sz w:val="20"/>
                <w:szCs w:val="20"/>
              </w:rPr>
              <w:t>Glare index ranges</w:t>
            </w:r>
          </w:p>
        </w:tc>
        <w:tc>
          <w:tcPr>
            <w:tcW w:w="1492" w:type="dxa"/>
            <w:vMerge w:val="restart"/>
            <w:tcBorders>
              <w:left w:val="single" w:sz="4" w:space="0" w:color="auto"/>
              <w:right w:val="single" w:sz="4" w:space="0" w:color="auto"/>
            </w:tcBorders>
          </w:tcPr>
          <w:p w14:paraId="1DE47BC6" w14:textId="7F668BA3" w:rsidR="000066A9" w:rsidRDefault="000066A9" w:rsidP="00C511F4">
            <w:pPr>
              <w:jc w:val="center"/>
              <w:rPr>
                <w:b/>
                <w:sz w:val="20"/>
                <w:szCs w:val="20"/>
              </w:rPr>
            </w:pPr>
            <w:r>
              <w:rPr>
                <w:b/>
                <w:sz w:val="20"/>
                <w:szCs w:val="20"/>
              </w:rPr>
              <w:t>Threshold during usage time</w:t>
            </w:r>
          </w:p>
          <w:p w14:paraId="21E8F9A8" w14:textId="76B0A8F4" w:rsidR="009244FC" w:rsidRDefault="009244FC" w:rsidP="00C511F4">
            <w:pPr>
              <w:jc w:val="center"/>
              <w:rPr>
                <w:b/>
                <w:sz w:val="20"/>
                <w:szCs w:val="20"/>
              </w:rPr>
            </w:pPr>
            <w:r>
              <w:rPr>
                <w:b/>
                <w:sz w:val="20"/>
                <w:szCs w:val="20"/>
              </w:rPr>
              <w:t xml:space="preserve">(from </w:t>
            </w:r>
            <w:proofErr w:type="spellStart"/>
            <w:r>
              <w:rPr>
                <w:b/>
                <w:sz w:val="20"/>
                <w:szCs w:val="20"/>
              </w:rPr>
              <w:t>prEN</w:t>
            </w:r>
            <w:proofErr w:type="spellEnd"/>
            <w:r>
              <w:rPr>
                <w:b/>
                <w:sz w:val="20"/>
                <w:szCs w:val="20"/>
              </w:rPr>
              <w:t xml:space="preserve"> 17037, 2016)</w:t>
            </w:r>
          </w:p>
          <w:p w14:paraId="1803464C" w14:textId="5E352E5F" w:rsidR="000066A9" w:rsidRPr="00B5719A" w:rsidRDefault="000066A9" w:rsidP="008C63D2">
            <w:pPr>
              <w:rPr>
                <w:sz w:val="20"/>
                <w:szCs w:val="20"/>
              </w:rPr>
            </w:pPr>
          </w:p>
        </w:tc>
        <w:tc>
          <w:tcPr>
            <w:tcW w:w="4036" w:type="dxa"/>
            <w:gridSpan w:val="2"/>
            <w:tcBorders>
              <w:top w:val="single" w:sz="4" w:space="0" w:color="auto"/>
              <w:left w:val="single" w:sz="4" w:space="0" w:color="auto"/>
              <w:bottom w:val="single" w:sz="4" w:space="0" w:color="000000"/>
              <w:right w:val="nil"/>
            </w:tcBorders>
          </w:tcPr>
          <w:p w14:paraId="50AC9DF6" w14:textId="250CB79C" w:rsidR="000066A9" w:rsidRPr="000E5203" w:rsidRDefault="000066A9" w:rsidP="00093CA7">
            <w:pPr>
              <w:jc w:val="center"/>
              <w:rPr>
                <w:sz w:val="20"/>
                <w:szCs w:val="20"/>
              </w:rPr>
            </w:pPr>
            <w:proofErr w:type="spellStart"/>
            <w:r>
              <w:rPr>
                <w:b/>
                <w:sz w:val="20"/>
                <w:szCs w:val="20"/>
              </w:rPr>
              <w:t>GlareCredi</w:t>
            </w:r>
            <w:r w:rsidR="004A2AB6">
              <w:rPr>
                <w:b/>
                <w:sz w:val="20"/>
                <w:szCs w:val="20"/>
              </w:rPr>
              <w:t>t</w:t>
            </w:r>
            <w:proofErr w:type="spellEnd"/>
          </w:p>
        </w:tc>
      </w:tr>
      <w:tr w:rsidR="00991867" w:rsidRPr="00AA3D0C" w14:paraId="04251AAD" w14:textId="77777777" w:rsidTr="008C63D2">
        <w:tc>
          <w:tcPr>
            <w:tcW w:w="1336" w:type="dxa"/>
            <w:tcBorders>
              <w:top w:val="single" w:sz="4" w:space="0" w:color="000000"/>
              <w:left w:val="nil"/>
            </w:tcBorders>
          </w:tcPr>
          <w:p w14:paraId="68EDA8BC" w14:textId="77777777" w:rsidR="000066A9" w:rsidRPr="000E5203" w:rsidRDefault="000066A9" w:rsidP="00A929FF">
            <w:pPr>
              <w:jc w:val="center"/>
              <w:rPr>
                <w:b/>
                <w:sz w:val="20"/>
                <w:szCs w:val="20"/>
              </w:rPr>
            </w:pPr>
          </w:p>
          <w:p w14:paraId="65A7CBBB" w14:textId="3376A03A" w:rsidR="000066A9" w:rsidRPr="000E5203" w:rsidRDefault="000066A9" w:rsidP="000E5203">
            <w:pPr>
              <w:jc w:val="center"/>
              <w:rPr>
                <w:b/>
                <w:sz w:val="20"/>
                <w:szCs w:val="20"/>
              </w:rPr>
            </w:pPr>
            <w:r w:rsidRPr="000E5203">
              <w:rPr>
                <w:b/>
                <w:sz w:val="20"/>
                <w:szCs w:val="20"/>
              </w:rPr>
              <w:t>DGP/DGPs</w:t>
            </w:r>
          </w:p>
        </w:tc>
        <w:tc>
          <w:tcPr>
            <w:tcW w:w="1074" w:type="dxa"/>
            <w:tcBorders>
              <w:top w:val="single" w:sz="4" w:space="0" w:color="000000"/>
              <w:right w:val="single" w:sz="4" w:space="0" w:color="auto"/>
            </w:tcBorders>
          </w:tcPr>
          <w:p w14:paraId="209C9E6E" w14:textId="77777777" w:rsidR="000066A9" w:rsidRPr="000E5203" w:rsidRDefault="000066A9" w:rsidP="00A929FF">
            <w:pPr>
              <w:jc w:val="center"/>
              <w:rPr>
                <w:b/>
                <w:sz w:val="20"/>
                <w:szCs w:val="20"/>
              </w:rPr>
            </w:pPr>
          </w:p>
          <w:p w14:paraId="48459CD9" w14:textId="766BCCCC" w:rsidR="000066A9" w:rsidRPr="000E5203" w:rsidRDefault="000066A9" w:rsidP="000E5203">
            <w:pPr>
              <w:jc w:val="center"/>
              <w:rPr>
                <w:b/>
                <w:sz w:val="20"/>
                <w:szCs w:val="20"/>
              </w:rPr>
            </w:pPr>
            <w:r w:rsidRPr="000E5203">
              <w:rPr>
                <w:b/>
                <w:sz w:val="20"/>
                <w:szCs w:val="20"/>
              </w:rPr>
              <w:t>DGI</w:t>
            </w:r>
          </w:p>
        </w:tc>
        <w:tc>
          <w:tcPr>
            <w:tcW w:w="1492" w:type="dxa"/>
            <w:vMerge/>
            <w:tcBorders>
              <w:left w:val="single" w:sz="4" w:space="0" w:color="auto"/>
              <w:right w:val="single" w:sz="4" w:space="0" w:color="auto"/>
            </w:tcBorders>
          </w:tcPr>
          <w:p w14:paraId="319F0859" w14:textId="77777777" w:rsidR="000066A9" w:rsidRPr="000E5203" w:rsidRDefault="000066A9" w:rsidP="00C511F4">
            <w:pPr>
              <w:jc w:val="center"/>
              <w:rPr>
                <w:b/>
                <w:sz w:val="20"/>
                <w:szCs w:val="20"/>
              </w:rPr>
            </w:pPr>
          </w:p>
        </w:tc>
        <w:tc>
          <w:tcPr>
            <w:tcW w:w="1768" w:type="dxa"/>
            <w:tcBorders>
              <w:top w:val="single" w:sz="4" w:space="0" w:color="000000"/>
              <w:left w:val="single" w:sz="4" w:space="0" w:color="auto"/>
            </w:tcBorders>
          </w:tcPr>
          <w:p w14:paraId="3D55CC0D" w14:textId="77777777" w:rsidR="000066A9" w:rsidRPr="000E5203" w:rsidRDefault="000066A9" w:rsidP="00C511F4">
            <w:pPr>
              <w:jc w:val="center"/>
              <w:rPr>
                <w:b/>
                <w:sz w:val="20"/>
                <w:szCs w:val="20"/>
              </w:rPr>
            </w:pPr>
          </w:p>
          <w:p w14:paraId="3D101E2A" w14:textId="23702969" w:rsidR="000066A9" w:rsidRPr="000E5203" w:rsidRDefault="000066A9" w:rsidP="00435292">
            <w:pPr>
              <w:jc w:val="center"/>
              <w:rPr>
                <w:b/>
                <w:sz w:val="20"/>
                <w:szCs w:val="20"/>
              </w:rPr>
            </w:pPr>
            <w:proofErr w:type="spellStart"/>
            <w:r>
              <w:rPr>
                <w:b/>
                <w:sz w:val="20"/>
                <w:szCs w:val="20"/>
              </w:rPr>
              <w:t>Glare</w:t>
            </w:r>
            <w:r w:rsidRPr="000E5203">
              <w:rPr>
                <w:b/>
                <w:sz w:val="20"/>
                <w:szCs w:val="20"/>
              </w:rPr>
              <w:t>Credit</w:t>
            </w:r>
            <w:r w:rsidR="00991867" w:rsidRPr="008C63D2">
              <w:rPr>
                <w:b/>
                <w:sz w:val="20"/>
                <w:szCs w:val="20"/>
                <w:vertAlign w:val="subscript"/>
              </w:rPr>
              <w:t>initi</w:t>
            </w:r>
            <w:r w:rsidR="00991867">
              <w:rPr>
                <w:b/>
                <w:sz w:val="20"/>
                <w:szCs w:val="20"/>
                <w:vertAlign w:val="subscript"/>
              </w:rPr>
              <w:t>al</w:t>
            </w:r>
            <w:proofErr w:type="spellEnd"/>
            <w:r w:rsidRPr="000E5203">
              <w:rPr>
                <w:rStyle w:val="FootnoteReference"/>
                <w:b/>
                <w:sz w:val="20"/>
                <w:szCs w:val="20"/>
              </w:rPr>
              <w:footnoteReference w:id="9"/>
            </w:r>
          </w:p>
        </w:tc>
        <w:tc>
          <w:tcPr>
            <w:tcW w:w="2268" w:type="dxa"/>
            <w:tcBorders>
              <w:top w:val="single" w:sz="4" w:space="0" w:color="000000"/>
              <w:right w:val="nil"/>
            </w:tcBorders>
          </w:tcPr>
          <w:p w14:paraId="53458AB2" w14:textId="77777777" w:rsidR="000066A9" w:rsidRPr="000E5203" w:rsidRDefault="000066A9" w:rsidP="00C511F4">
            <w:pPr>
              <w:jc w:val="center"/>
              <w:rPr>
                <w:b/>
                <w:sz w:val="20"/>
                <w:szCs w:val="20"/>
              </w:rPr>
            </w:pPr>
          </w:p>
          <w:p w14:paraId="731C4174" w14:textId="71D3DD36" w:rsidR="000066A9" w:rsidRDefault="000066A9" w:rsidP="00C511F4">
            <w:pPr>
              <w:jc w:val="center"/>
              <w:rPr>
                <w:b/>
                <w:sz w:val="20"/>
                <w:szCs w:val="20"/>
              </w:rPr>
            </w:pPr>
            <w:proofErr w:type="spellStart"/>
            <w:r>
              <w:rPr>
                <w:b/>
                <w:sz w:val="20"/>
                <w:szCs w:val="20"/>
              </w:rPr>
              <w:t>Glare</w:t>
            </w:r>
            <w:r w:rsidRPr="000E5203">
              <w:rPr>
                <w:b/>
                <w:sz w:val="20"/>
                <w:szCs w:val="20"/>
              </w:rPr>
              <w:t>Credit</w:t>
            </w:r>
            <w:r w:rsidR="00991867" w:rsidRPr="008C63D2">
              <w:rPr>
                <w:b/>
                <w:sz w:val="20"/>
                <w:szCs w:val="20"/>
                <w:vertAlign w:val="subscript"/>
              </w:rPr>
              <w:t>changed</w:t>
            </w:r>
            <w:proofErr w:type="spellEnd"/>
          </w:p>
          <w:p w14:paraId="2E621750" w14:textId="0786E19F" w:rsidR="000066A9" w:rsidRPr="000E5203" w:rsidRDefault="000066A9" w:rsidP="008C63D2">
            <w:pPr>
              <w:rPr>
                <w:b/>
                <w:sz w:val="20"/>
                <w:szCs w:val="20"/>
              </w:rPr>
            </w:pPr>
          </w:p>
        </w:tc>
      </w:tr>
      <w:tr w:rsidR="00991867" w:rsidRPr="00AA3D0C" w14:paraId="6A9DC6F0" w14:textId="77777777" w:rsidTr="008C63D2">
        <w:tc>
          <w:tcPr>
            <w:tcW w:w="1336" w:type="dxa"/>
            <w:tcBorders>
              <w:left w:val="nil"/>
            </w:tcBorders>
          </w:tcPr>
          <w:p w14:paraId="36554312" w14:textId="62F0477A" w:rsidR="000066A9" w:rsidRPr="00AA3D0C" w:rsidRDefault="000066A9" w:rsidP="000E5203">
            <w:pPr>
              <w:spacing w:after="240"/>
              <w:jc w:val="center"/>
              <w:rPr>
                <w:sz w:val="20"/>
                <w:szCs w:val="20"/>
              </w:rPr>
            </w:pPr>
            <w:r>
              <w:rPr>
                <w:sz w:val="20"/>
                <w:szCs w:val="20"/>
              </w:rPr>
              <w:t>&lt; 0.35</w:t>
            </w:r>
          </w:p>
        </w:tc>
        <w:tc>
          <w:tcPr>
            <w:tcW w:w="1074" w:type="dxa"/>
            <w:tcBorders>
              <w:right w:val="single" w:sz="4" w:space="0" w:color="auto"/>
            </w:tcBorders>
          </w:tcPr>
          <w:p w14:paraId="1E7D24AF" w14:textId="3249A612" w:rsidR="000066A9" w:rsidRPr="00AA3D0C" w:rsidRDefault="000066A9" w:rsidP="000E5203">
            <w:pPr>
              <w:spacing w:after="240"/>
              <w:jc w:val="center"/>
              <w:rPr>
                <w:sz w:val="20"/>
                <w:szCs w:val="20"/>
              </w:rPr>
            </w:pPr>
            <w:r w:rsidRPr="00AA3D0C">
              <w:rPr>
                <w:sz w:val="20"/>
                <w:szCs w:val="20"/>
              </w:rPr>
              <w:t>&lt; 18</w:t>
            </w:r>
          </w:p>
        </w:tc>
        <w:tc>
          <w:tcPr>
            <w:tcW w:w="1492" w:type="dxa"/>
            <w:tcBorders>
              <w:left w:val="single" w:sz="4" w:space="0" w:color="auto"/>
              <w:right w:val="single" w:sz="4" w:space="0" w:color="auto"/>
            </w:tcBorders>
          </w:tcPr>
          <w:p w14:paraId="41F50C24" w14:textId="77777777" w:rsidR="000066A9" w:rsidRPr="00AA3D0C" w:rsidRDefault="000066A9" w:rsidP="007143FB">
            <w:pPr>
              <w:spacing w:after="240"/>
              <w:jc w:val="center"/>
              <w:rPr>
                <w:sz w:val="20"/>
                <w:szCs w:val="20"/>
              </w:rPr>
            </w:pPr>
            <w:r w:rsidRPr="00AA3D0C">
              <w:rPr>
                <w:sz w:val="20"/>
                <w:szCs w:val="20"/>
              </w:rPr>
              <w:t>-</w:t>
            </w:r>
          </w:p>
        </w:tc>
        <w:tc>
          <w:tcPr>
            <w:tcW w:w="1768" w:type="dxa"/>
            <w:tcBorders>
              <w:left w:val="single" w:sz="4" w:space="0" w:color="auto"/>
            </w:tcBorders>
          </w:tcPr>
          <w:p w14:paraId="70DF8E40" w14:textId="77777777" w:rsidR="000066A9" w:rsidRPr="00B5719A" w:rsidRDefault="000066A9" w:rsidP="007143FB">
            <w:pPr>
              <w:spacing w:after="240"/>
              <w:jc w:val="center"/>
              <w:rPr>
                <w:b/>
                <w:sz w:val="20"/>
                <w:szCs w:val="20"/>
              </w:rPr>
            </w:pPr>
            <w:r>
              <w:rPr>
                <w:b/>
                <w:sz w:val="20"/>
                <w:szCs w:val="20"/>
              </w:rPr>
              <w:t>1</w:t>
            </w:r>
          </w:p>
        </w:tc>
        <w:tc>
          <w:tcPr>
            <w:tcW w:w="2268" w:type="dxa"/>
            <w:tcBorders>
              <w:right w:val="nil"/>
            </w:tcBorders>
          </w:tcPr>
          <w:p w14:paraId="4B6130E6" w14:textId="77777777" w:rsidR="000066A9" w:rsidRPr="00B5719A" w:rsidRDefault="000066A9" w:rsidP="007143FB">
            <w:pPr>
              <w:spacing w:after="240"/>
              <w:jc w:val="center"/>
              <w:rPr>
                <w:b/>
                <w:sz w:val="20"/>
                <w:szCs w:val="20"/>
              </w:rPr>
            </w:pPr>
            <w:r>
              <w:rPr>
                <w:b/>
                <w:sz w:val="20"/>
                <w:szCs w:val="20"/>
              </w:rPr>
              <w:t>1</w:t>
            </w:r>
          </w:p>
        </w:tc>
      </w:tr>
      <w:tr w:rsidR="00991867" w:rsidRPr="00AA3D0C" w14:paraId="70A38295" w14:textId="77777777" w:rsidTr="008C63D2">
        <w:tc>
          <w:tcPr>
            <w:tcW w:w="1336" w:type="dxa"/>
            <w:tcBorders>
              <w:left w:val="nil"/>
            </w:tcBorders>
            <w:shd w:val="clear" w:color="auto" w:fill="F2DBDB" w:themeFill="accent2" w:themeFillTint="33"/>
          </w:tcPr>
          <w:p w14:paraId="536B3A85" w14:textId="3E818E84" w:rsidR="000066A9" w:rsidRPr="00AA3D0C" w:rsidRDefault="000066A9" w:rsidP="000E5203">
            <w:pPr>
              <w:spacing w:after="240"/>
              <w:jc w:val="center"/>
              <w:rPr>
                <w:sz w:val="20"/>
                <w:szCs w:val="20"/>
              </w:rPr>
            </w:pPr>
            <w:r>
              <w:rPr>
                <w:sz w:val="20"/>
                <w:szCs w:val="20"/>
              </w:rPr>
              <w:t>0.35 – 0.40</w:t>
            </w:r>
          </w:p>
        </w:tc>
        <w:tc>
          <w:tcPr>
            <w:tcW w:w="1074" w:type="dxa"/>
            <w:tcBorders>
              <w:right w:val="single" w:sz="4" w:space="0" w:color="auto"/>
            </w:tcBorders>
            <w:shd w:val="clear" w:color="auto" w:fill="F2DBDB" w:themeFill="accent2" w:themeFillTint="33"/>
          </w:tcPr>
          <w:p w14:paraId="41E5C7CB" w14:textId="4E74BFEE" w:rsidR="000066A9" w:rsidRPr="00AA3D0C" w:rsidRDefault="000066A9" w:rsidP="000E5203">
            <w:pPr>
              <w:spacing w:after="240"/>
              <w:jc w:val="center"/>
              <w:rPr>
                <w:sz w:val="20"/>
                <w:szCs w:val="20"/>
              </w:rPr>
            </w:pPr>
            <w:r w:rsidRPr="00AA3D0C">
              <w:rPr>
                <w:sz w:val="20"/>
                <w:szCs w:val="20"/>
              </w:rPr>
              <w:t>18 – 24</w:t>
            </w:r>
          </w:p>
        </w:tc>
        <w:tc>
          <w:tcPr>
            <w:tcW w:w="1492" w:type="dxa"/>
            <w:tcBorders>
              <w:left w:val="single" w:sz="4" w:space="0" w:color="auto"/>
              <w:right w:val="single" w:sz="4" w:space="0" w:color="auto"/>
            </w:tcBorders>
            <w:shd w:val="clear" w:color="auto" w:fill="F2DBDB" w:themeFill="accent2" w:themeFillTint="33"/>
          </w:tcPr>
          <w:p w14:paraId="272E9216" w14:textId="77777777" w:rsidR="000066A9" w:rsidRPr="00AA3D0C" w:rsidRDefault="000066A9" w:rsidP="007143FB">
            <w:pPr>
              <w:spacing w:after="240"/>
              <w:jc w:val="center"/>
              <w:rPr>
                <w:sz w:val="20"/>
                <w:szCs w:val="20"/>
              </w:rPr>
            </w:pPr>
            <w:r w:rsidRPr="00AA3D0C">
              <w:rPr>
                <w:sz w:val="20"/>
                <w:szCs w:val="20"/>
              </w:rPr>
              <w:t>5%</w:t>
            </w:r>
          </w:p>
        </w:tc>
        <w:tc>
          <w:tcPr>
            <w:tcW w:w="1768" w:type="dxa"/>
            <w:tcBorders>
              <w:left w:val="single" w:sz="4" w:space="0" w:color="auto"/>
            </w:tcBorders>
            <w:shd w:val="clear" w:color="auto" w:fill="F2DBDB" w:themeFill="accent2" w:themeFillTint="33"/>
          </w:tcPr>
          <w:p w14:paraId="40A71994" w14:textId="77777777" w:rsidR="000066A9" w:rsidRPr="00B5719A" w:rsidRDefault="000066A9" w:rsidP="007143FB">
            <w:pPr>
              <w:spacing w:after="240"/>
              <w:jc w:val="center"/>
              <w:rPr>
                <w:b/>
                <w:sz w:val="20"/>
                <w:szCs w:val="20"/>
              </w:rPr>
            </w:pPr>
            <w:r>
              <w:rPr>
                <w:b/>
                <w:sz w:val="20"/>
                <w:szCs w:val="20"/>
              </w:rPr>
              <w:t>2</w:t>
            </w:r>
          </w:p>
        </w:tc>
        <w:tc>
          <w:tcPr>
            <w:tcW w:w="2268" w:type="dxa"/>
            <w:tcBorders>
              <w:right w:val="nil"/>
            </w:tcBorders>
            <w:shd w:val="clear" w:color="auto" w:fill="F2DBDB" w:themeFill="accent2" w:themeFillTint="33"/>
          </w:tcPr>
          <w:p w14:paraId="658D1675" w14:textId="77777777" w:rsidR="000066A9" w:rsidRPr="00B5719A" w:rsidRDefault="000066A9" w:rsidP="007143FB">
            <w:pPr>
              <w:spacing w:after="240"/>
              <w:jc w:val="center"/>
              <w:rPr>
                <w:b/>
                <w:sz w:val="20"/>
                <w:szCs w:val="20"/>
              </w:rPr>
            </w:pPr>
            <w:r>
              <w:rPr>
                <w:b/>
                <w:sz w:val="20"/>
                <w:szCs w:val="20"/>
              </w:rPr>
              <w:t>1</w:t>
            </w:r>
          </w:p>
        </w:tc>
      </w:tr>
      <w:tr w:rsidR="00991867" w:rsidRPr="00AA3D0C" w14:paraId="350686EC" w14:textId="77777777" w:rsidTr="008C63D2">
        <w:tc>
          <w:tcPr>
            <w:tcW w:w="1336" w:type="dxa"/>
            <w:tcBorders>
              <w:left w:val="nil"/>
            </w:tcBorders>
            <w:shd w:val="clear" w:color="auto" w:fill="E5B8B7" w:themeFill="accent2" w:themeFillTint="66"/>
          </w:tcPr>
          <w:p w14:paraId="411014D4" w14:textId="5B3C559C" w:rsidR="000066A9" w:rsidRPr="00AA3D0C" w:rsidRDefault="000066A9" w:rsidP="000E5203">
            <w:pPr>
              <w:spacing w:after="240"/>
              <w:jc w:val="center"/>
              <w:rPr>
                <w:sz w:val="20"/>
                <w:szCs w:val="20"/>
              </w:rPr>
            </w:pPr>
            <w:r>
              <w:rPr>
                <w:sz w:val="20"/>
                <w:szCs w:val="20"/>
              </w:rPr>
              <w:t>0.41 – 0.45</w:t>
            </w:r>
          </w:p>
        </w:tc>
        <w:tc>
          <w:tcPr>
            <w:tcW w:w="1074" w:type="dxa"/>
            <w:tcBorders>
              <w:right w:val="single" w:sz="4" w:space="0" w:color="auto"/>
            </w:tcBorders>
            <w:shd w:val="clear" w:color="auto" w:fill="E5B8B7" w:themeFill="accent2" w:themeFillTint="66"/>
          </w:tcPr>
          <w:p w14:paraId="4BD5868A" w14:textId="6FF3DA8F" w:rsidR="000066A9" w:rsidRPr="00AA3D0C" w:rsidRDefault="000066A9" w:rsidP="000E5203">
            <w:pPr>
              <w:spacing w:after="240"/>
              <w:jc w:val="center"/>
              <w:rPr>
                <w:sz w:val="20"/>
                <w:szCs w:val="20"/>
              </w:rPr>
            </w:pPr>
            <w:r w:rsidRPr="00AA3D0C">
              <w:rPr>
                <w:sz w:val="20"/>
                <w:szCs w:val="20"/>
              </w:rPr>
              <w:t>2</w:t>
            </w:r>
            <w:r>
              <w:rPr>
                <w:sz w:val="20"/>
                <w:szCs w:val="20"/>
              </w:rPr>
              <w:t>5</w:t>
            </w:r>
            <w:r w:rsidRPr="00AA3D0C">
              <w:rPr>
                <w:sz w:val="20"/>
                <w:szCs w:val="20"/>
              </w:rPr>
              <w:t xml:space="preserve"> – 31</w:t>
            </w:r>
          </w:p>
        </w:tc>
        <w:tc>
          <w:tcPr>
            <w:tcW w:w="1492" w:type="dxa"/>
            <w:tcBorders>
              <w:left w:val="single" w:sz="4" w:space="0" w:color="auto"/>
              <w:right w:val="single" w:sz="4" w:space="0" w:color="auto"/>
            </w:tcBorders>
            <w:shd w:val="clear" w:color="auto" w:fill="E5B8B7" w:themeFill="accent2" w:themeFillTint="66"/>
          </w:tcPr>
          <w:p w14:paraId="59973213" w14:textId="77777777" w:rsidR="000066A9" w:rsidRPr="00AA3D0C" w:rsidRDefault="000066A9" w:rsidP="007143FB">
            <w:pPr>
              <w:spacing w:after="240"/>
              <w:jc w:val="center"/>
              <w:rPr>
                <w:sz w:val="20"/>
                <w:szCs w:val="20"/>
              </w:rPr>
            </w:pPr>
            <w:r w:rsidRPr="00AA3D0C">
              <w:rPr>
                <w:sz w:val="20"/>
                <w:szCs w:val="20"/>
              </w:rPr>
              <w:t>5%</w:t>
            </w:r>
          </w:p>
        </w:tc>
        <w:tc>
          <w:tcPr>
            <w:tcW w:w="1768" w:type="dxa"/>
            <w:tcBorders>
              <w:left w:val="single" w:sz="4" w:space="0" w:color="auto"/>
            </w:tcBorders>
            <w:shd w:val="clear" w:color="auto" w:fill="E5B8B7" w:themeFill="accent2" w:themeFillTint="66"/>
          </w:tcPr>
          <w:p w14:paraId="1868E9DB" w14:textId="77777777" w:rsidR="000066A9" w:rsidRPr="00B5719A" w:rsidRDefault="000066A9" w:rsidP="007143FB">
            <w:pPr>
              <w:spacing w:after="240"/>
              <w:jc w:val="center"/>
              <w:rPr>
                <w:b/>
                <w:sz w:val="20"/>
                <w:szCs w:val="20"/>
              </w:rPr>
            </w:pPr>
            <w:r>
              <w:rPr>
                <w:b/>
                <w:sz w:val="20"/>
                <w:szCs w:val="20"/>
              </w:rPr>
              <w:t>3</w:t>
            </w:r>
          </w:p>
        </w:tc>
        <w:tc>
          <w:tcPr>
            <w:tcW w:w="2268" w:type="dxa"/>
            <w:tcBorders>
              <w:right w:val="nil"/>
            </w:tcBorders>
            <w:shd w:val="clear" w:color="auto" w:fill="E5B8B7" w:themeFill="accent2" w:themeFillTint="66"/>
          </w:tcPr>
          <w:p w14:paraId="0BE04011" w14:textId="77777777" w:rsidR="000066A9" w:rsidRPr="00B5719A" w:rsidRDefault="000066A9" w:rsidP="007143FB">
            <w:pPr>
              <w:spacing w:after="240"/>
              <w:jc w:val="center"/>
              <w:rPr>
                <w:b/>
                <w:sz w:val="20"/>
                <w:szCs w:val="20"/>
              </w:rPr>
            </w:pPr>
            <w:r>
              <w:rPr>
                <w:b/>
                <w:sz w:val="20"/>
                <w:szCs w:val="20"/>
              </w:rPr>
              <w:t>2</w:t>
            </w:r>
          </w:p>
        </w:tc>
      </w:tr>
      <w:tr w:rsidR="00991867" w:rsidRPr="00AA3D0C" w14:paraId="53602089" w14:textId="77777777" w:rsidTr="008C63D2">
        <w:tc>
          <w:tcPr>
            <w:tcW w:w="1336" w:type="dxa"/>
            <w:tcBorders>
              <w:left w:val="nil"/>
            </w:tcBorders>
            <w:shd w:val="clear" w:color="auto" w:fill="D99594" w:themeFill="accent2" w:themeFillTint="99"/>
          </w:tcPr>
          <w:p w14:paraId="771BA12E" w14:textId="34AD178A" w:rsidR="000066A9" w:rsidRPr="00AA3D0C" w:rsidRDefault="000066A9" w:rsidP="000E5203">
            <w:pPr>
              <w:spacing w:after="240"/>
              <w:jc w:val="center"/>
              <w:rPr>
                <w:sz w:val="20"/>
                <w:szCs w:val="20"/>
              </w:rPr>
            </w:pPr>
            <w:r>
              <w:rPr>
                <w:sz w:val="20"/>
                <w:szCs w:val="20"/>
              </w:rPr>
              <w:t>&gt; 0.45</w:t>
            </w:r>
          </w:p>
        </w:tc>
        <w:tc>
          <w:tcPr>
            <w:tcW w:w="1074" w:type="dxa"/>
            <w:tcBorders>
              <w:right w:val="single" w:sz="4" w:space="0" w:color="auto"/>
            </w:tcBorders>
            <w:shd w:val="clear" w:color="auto" w:fill="D99594" w:themeFill="accent2" w:themeFillTint="99"/>
          </w:tcPr>
          <w:p w14:paraId="5672CECB" w14:textId="79149CA0" w:rsidR="000066A9" w:rsidRPr="00AA3D0C" w:rsidRDefault="000066A9" w:rsidP="000E5203">
            <w:pPr>
              <w:spacing w:after="240"/>
              <w:jc w:val="center"/>
              <w:rPr>
                <w:sz w:val="20"/>
                <w:szCs w:val="20"/>
              </w:rPr>
            </w:pPr>
            <w:r w:rsidRPr="00AA3D0C">
              <w:rPr>
                <w:sz w:val="20"/>
                <w:szCs w:val="20"/>
              </w:rPr>
              <w:t>&gt; 31</w:t>
            </w:r>
          </w:p>
        </w:tc>
        <w:tc>
          <w:tcPr>
            <w:tcW w:w="1492" w:type="dxa"/>
            <w:tcBorders>
              <w:left w:val="single" w:sz="4" w:space="0" w:color="auto"/>
              <w:right w:val="single" w:sz="4" w:space="0" w:color="auto"/>
            </w:tcBorders>
            <w:shd w:val="clear" w:color="auto" w:fill="D99594" w:themeFill="accent2" w:themeFillTint="99"/>
          </w:tcPr>
          <w:p w14:paraId="0D743165" w14:textId="77777777" w:rsidR="000066A9" w:rsidRPr="00AA3D0C" w:rsidRDefault="000066A9" w:rsidP="007143FB">
            <w:pPr>
              <w:spacing w:after="240"/>
              <w:jc w:val="center"/>
              <w:rPr>
                <w:sz w:val="20"/>
                <w:szCs w:val="20"/>
              </w:rPr>
            </w:pPr>
            <w:r w:rsidRPr="00AA3D0C">
              <w:rPr>
                <w:sz w:val="20"/>
                <w:szCs w:val="20"/>
              </w:rPr>
              <w:t>5%</w:t>
            </w:r>
          </w:p>
        </w:tc>
        <w:tc>
          <w:tcPr>
            <w:tcW w:w="1768" w:type="dxa"/>
            <w:tcBorders>
              <w:left w:val="single" w:sz="4" w:space="0" w:color="auto"/>
            </w:tcBorders>
            <w:shd w:val="clear" w:color="auto" w:fill="D99594" w:themeFill="accent2" w:themeFillTint="99"/>
          </w:tcPr>
          <w:p w14:paraId="3D979588" w14:textId="77777777" w:rsidR="000066A9" w:rsidRPr="00B5719A" w:rsidRDefault="000066A9" w:rsidP="007143FB">
            <w:pPr>
              <w:spacing w:after="240"/>
              <w:jc w:val="center"/>
              <w:rPr>
                <w:b/>
                <w:sz w:val="20"/>
                <w:szCs w:val="20"/>
              </w:rPr>
            </w:pPr>
            <w:r>
              <w:rPr>
                <w:b/>
                <w:sz w:val="20"/>
                <w:szCs w:val="20"/>
              </w:rPr>
              <w:t>4</w:t>
            </w:r>
          </w:p>
        </w:tc>
        <w:tc>
          <w:tcPr>
            <w:tcW w:w="2268" w:type="dxa"/>
            <w:tcBorders>
              <w:right w:val="nil"/>
            </w:tcBorders>
            <w:shd w:val="clear" w:color="auto" w:fill="D99594" w:themeFill="accent2" w:themeFillTint="99"/>
          </w:tcPr>
          <w:p w14:paraId="7B5051D4" w14:textId="77777777" w:rsidR="000066A9" w:rsidRPr="00B5719A" w:rsidRDefault="000066A9" w:rsidP="007143FB">
            <w:pPr>
              <w:spacing w:after="240"/>
              <w:jc w:val="center"/>
              <w:rPr>
                <w:b/>
                <w:sz w:val="20"/>
                <w:szCs w:val="20"/>
              </w:rPr>
            </w:pPr>
            <w:r>
              <w:rPr>
                <w:b/>
                <w:sz w:val="20"/>
                <w:szCs w:val="20"/>
              </w:rPr>
              <w:t>3</w:t>
            </w:r>
          </w:p>
        </w:tc>
      </w:tr>
    </w:tbl>
    <w:p w14:paraId="0CED6747" w14:textId="0A9FB9CE" w:rsidR="000066A9" w:rsidRDefault="000066A9" w:rsidP="007A55CE">
      <w:pPr>
        <w:jc w:val="both"/>
        <w:rPr>
          <w:sz w:val="22"/>
          <w:szCs w:val="22"/>
        </w:rPr>
      </w:pPr>
    </w:p>
    <w:p w14:paraId="35F31F07" w14:textId="66E3A0B3" w:rsidR="00D909BF" w:rsidRDefault="007A55CE" w:rsidP="008C63D2">
      <w:pPr>
        <w:spacing w:after="240"/>
        <w:jc w:val="both"/>
        <w:rPr>
          <w:sz w:val="22"/>
          <w:szCs w:val="22"/>
        </w:rPr>
      </w:pPr>
      <w:r w:rsidRPr="000E5203">
        <w:rPr>
          <w:sz w:val="22"/>
          <w:szCs w:val="22"/>
        </w:rPr>
        <w:t xml:space="preserve">In </w:t>
      </w:r>
      <w:r w:rsidR="009627E9">
        <w:rPr>
          <w:sz w:val="22"/>
          <w:szCs w:val="22"/>
        </w:rPr>
        <w:t>practice</w:t>
      </w:r>
      <w:r w:rsidRPr="000E5203">
        <w:rPr>
          <w:sz w:val="22"/>
          <w:szCs w:val="22"/>
        </w:rPr>
        <w:t xml:space="preserve">, </w:t>
      </w:r>
      <w:r w:rsidR="009627E9">
        <w:rPr>
          <w:sz w:val="22"/>
          <w:szCs w:val="22"/>
        </w:rPr>
        <w:t>the</w:t>
      </w:r>
      <w:r w:rsidRPr="000E5203">
        <w:rPr>
          <w:sz w:val="22"/>
          <w:szCs w:val="22"/>
          <w:lang w:val="en-US"/>
        </w:rPr>
        <w:t xml:space="preserve"> </w:t>
      </w:r>
      <w:proofErr w:type="spellStart"/>
      <w:r w:rsidR="009627E9">
        <w:rPr>
          <w:sz w:val="22"/>
          <w:szCs w:val="22"/>
          <w:lang w:val="en-US"/>
        </w:rPr>
        <w:t>GlareC</w:t>
      </w:r>
      <w:r w:rsidRPr="000E5203">
        <w:rPr>
          <w:sz w:val="22"/>
          <w:szCs w:val="22"/>
          <w:lang w:val="en-US"/>
        </w:rPr>
        <w:t>redit</w:t>
      </w:r>
      <w:proofErr w:type="spellEnd"/>
      <w:r w:rsidRPr="000E5203">
        <w:rPr>
          <w:sz w:val="22"/>
          <w:szCs w:val="22"/>
          <w:lang w:val="en-US"/>
        </w:rPr>
        <w:t xml:space="preserve"> </w:t>
      </w:r>
      <w:r w:rsidR="009627E9">
        <w:rPr>
          <w:sz w:val="22"/>
          <w:szCs w:val="22"/>
          <w:lang w:val="en-US"/>
        </w:rPr>
        <w:t>is</w:t>
      </w:r>
      <w:r w:rsidR="009627E9" w:rsidRPr="000E5203">
        <w:rPr>
          <w:sz w:val="22"/>
          <w:szCs w:val="22"/>
          <w:lang w:val="en-US"/>
        </w:rPr>
        <w:t xml:space="preserve"> </w:t>
      </w:r>
      <w:r w:rsidRPr="000E5203">
        <w:rPr>
          <w:sz w:val="22"/>
          <w:szCs w:val="22"/>
          <w:lang w:val="en-US"/>
        </w:rPr>
        <w:t xml:space="preserve">assigned based on whether the glare </w:t>
      </w:r>
      <w:r w:rsidR="005F7193" w:rsidRPr="000E5203">
        <w:rPr>
          <w:sz w:val="22"/>
          <w:szCs w:val="22"/>
          <w:lang w:val="en-US"/>
        </w:rPr>
        <w:t>occur</w:t>
      </w:r>
      <w:r w:rsidR="005F7193">
        <w:rPr>
          <w:sz w:val="22"/>
          <w:szCs w:val="22"/>
          <w:lang w:val="en-US"/>
        </w:rPr>
        <w:t>red</w:t>
      </w:r>
      <w:r w:rsidRPr="000E5203">
        <w:rPr>
          <w:sz w:val="22"/>
          <w:szCs w:val="22"/>
          <w:lang w:val="en-US"/>
        </w:rPr>
        <w:t xml:space="preserve"> </w:t>
      </w:r>
      <w:r w:rsidR="009627E9">
        <w:rPr>
          <w:sz w:val="22"/>
          <w:szCs w:val="22"/>
          <w:lang w:val="en-US"/>
        </w:rPr>
        <w:t xml:space="preserve">for </w:t>
      </w:r>
      <w:r w:rsidRPr="000E5203">
        <w:rPr>
          <w:sz w:val="22"/>
          <w:szCs w:val="22"/>
          <w:lang w:val="en-US"/>
        </w:rPr>
        <w:t>more or less than 5 % of the usage time</w:t>
      </w:r>
      <w:r w:rsidR="009627E9">
        <w:rPr>
          <w:sz w:val="22"/>
          <w:szCs w:val="22"/>
        </w:rPr>
        <w:t xml:space="preserve"> </w:t>
      </w:r>
      <w:r w:rsidR="00D909BF" w:rsidRPr="00725DB0">
        <w:rPr>
          <w:sz w:val="22"/>
          <w:szCs w:val="22"/>
        </w:rPr>
        <w:t>(eq. 1</w:t>
      </w:r>
      <w:r w:rsidR="00725DB0" w:rsidRPr="00725DB0">
        <w:rPr>
          <w:sz w:val="22"/>
          <w:szCs w:val="22"/>
        </w:rPr>
        <w:t>3</w:t>
      </w:r>
      <w:r w:rsidR="00FD2315">
        <w:rPr>
          <w:sz w:val="22"/>
          <w:szCs w:val="22"/>
        </w:rPr>
        <w:t>, eq.14</w:t>
      </w:r>
      <w:r w:rsidR="00D909BF" w:rsidRPr="00725DB0">
        <w:rPr>
          <w:sz w:val="22"/>
          <w:szCs w:val="22"/>
        </w:rPr>
        <w:t>).</w:t>
      </w:r>
      <w:r w:rsidR="009627E9">
        <w:rPr>
          <w:sz w:val="22"/>
          <w:szCs w:val="22"/>
        </w:rPr>
        <w:t xml:space="preserve"> In mathematical terms:</w:t>
      </w:r>
    </w:p>
    <w:p w14:paraId="2BA051AA" w14:textId="2EED3EC2" w:rsidR="006A4FC0" w:rsidRDefault="00316A55" w:rsidP="007A55CE">
      <w:pPr>
        <w:jc w:val="both"/>
        <w:rPr>
          <w:sz w:val="22"/>
          <w:szCs w:val="22"/>
        </w:rPr>
      </w:pPr>
      <w:r>
        <w:rPr>
          <w:sz w:val="22"/>
          <w:szCs w:val="22"/>
        </w:rPr>
        <w:t>If glare duration ≥ 5% then</w:t>
      </w:r>
      <w:r w:rsidR="00BD0EAA">
        <w:rPr>
          <w:sz w:val="22"/>
          <w:szCs w:val="22"/>
        </w:rPr>
        <w:t>,</w:t>
      </w:r>
    </w:p>
    <w:tbl>
      <w:tblPr>
        <w:tblStyle w:val="TableGrid"/>
        <w:tblpPr w:leftFromText="180" w:rightFromText="180" w:vertAnchor="text" w:horzAnchor="margin" w:tblpY="154"/>
        <w:tblW w:w="847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473"/>
      </w:tblGrid>
      <w:tr w:rsidR="00316A55" w:rsidRPr="00AA3D0C" w14:paraId="6D8917D7" w14:textId="33E55E9E" w:rsidTr="008C63D2">
        <w:trPr>
          <w:trHeight w:val="509"/>
        </w:trPr>
        <w:tc>
          <w:tcPr>
            <w:tcW w:w="8473" w:type="dxa"/>
          </w:tcPr>
          <w:p w14:paraId="398AD1DC" w14:textId="4070217C" w:rsidR="00316A55" w:rsidRPr="00435292" w:rsidRDefault="00316A55" w:rsidP="008C63D2">
            <w:pPr>
              <w:ind w:left="-113"/>
              <w:jc w:val="both"/>
              <w:rPr>
                <w:b/>
                <w:sz w:val="22"/>
                <w:szCs w:val="22"/>
              </w:rPr>
            </w:pPr>
            <m:oMath>
              <m:r>
                <w:rPr>
                  <w:rFonts w:ascii="Cambria Math" w:hAnsi="Cambria Math"/>
                  <w:sz w:val="22"/>
                  <w:szCs w:val="22"/>
                </w:rPr>
                <m:t>adaptation possibility in terms ofglare duration=</m:t>
              </m:r>
              <m:sSub>
                <m:sSubPr>
                  <m:ctrlPr>
                    <w:rPr>
                      <w:rFonts w:ascii="Cambria Math" w:hAnsi="Cambria Math"/>
                      <w:b/>
                      <w:i/>
                      <w:sz w:val="22"/>
                      <w:szCs w:val="22"/>
                    </w:rPr>
                  </m:ctrlPr>
                </m:sSubPr>
                <m:e>
                  <m:r>
                    <m:rPr>
                      <m:sty m:val="bi"/>
                    </m:rPr>
                    <w:rPr>
                      <w:rFonts w:ascii="Cambria Math" w:hAnsi="Cambria Math"/>
                      <w:sz w:val="22"/>
                      <w:szCs w:val="22"/>
                    </w:rPr>
                    <m:t>GlareCredit</m:t>
                  </m:r>
                </m:e>
                <m:sub>
                  <m:r>
                    <m:rPr>
                      <m:sty m:val="bi"/>
                    </m:rPr>
                    <w:rPr>
                      <w:rFonts w:ascii="Cambria Math" w:hAnsi="Cambria Math"/>
                      <w:sz w:val="22"/>
                      <w:szCs w:val="22"/>
                    </w:rPr>
                    <m:t>initial</m:t>
                  </m:r>
                </m:sub>
              </m:sSub>
              <m:r>
                <m:rPr>
                  <m:sty m:val="bi"/>
                </m:rPr>
                <w:rPr>
                  <w:rFonts w:ascii="Cambria Math" w:hAnsi="Cambria Math"/>
                  <w:sz w:val="22"/>
                  <w:szCs w:val="22"/>
                </w:rPr>
                <m:t>∙</m:t>
              </m:r>
              <m:sSub>
                <m:sSubPr>
                  <m:ctrlPr>
                    <w:rPr>
                      <w:rFonts w:ascii="Cambria Math" w:hAnsi="Cambria Math"/>
                      <w:i/>
                      <w:sz w:val="22"/>
                      <w:szCs w:val="22"/>
                    </w:rPr>
                  </m:ctrlPr>
                </m:sSubPr>
                <m:e>
                  <m:r>
                    <w:rPr>
                      <w:rFonts w:ascii="Cambria Math" w:hAnsi="Cambria Math"/>
                      <w:sz w:val="22"/>
                      <w:szCs w:val="22"/>
                    </w:rPr>
                    <m:t>G</m:t>
                  </m:r>
                </m:e>
                <m:sub>
                  <m:r>
                    <w:rPr>
                      <w:rFonts w:ascii="Cambria Math" w:hAnsi="Cambria Math"/>
                      <w:sz w:val="22"/>
                      <w:szCs w:val="22"/>
                    </w:rPr>
                    <m:t>dir</m:t>
                  </m:r>
                </m:sub>
              </m:sSub>
              <m:r>
                <m:rPr>
                  <m:sty m:val="bi"/>
                </m:rPr>
                <w:rPr>
                  <w:rFonts w:ascii="Cambria Math" w:hAnsi="Cambria Math"/>
                  <w:sz w:val="22"/>
                  <w:szCs w:val="22"/>
                </w:rPr>
                <m:t xml:space="preserve">   </m:t>
              </m:r>
            </m:oMath>
            <w:r w:rsidRPr="008C63D2">
              <w:rPr>
                <w:sz w:val="22"/>
                <w:szCs w:val="22"/>
              </w:rPr>
              <w:t>[</w:t>
            </w:r>
            <w:proofErr w:type="gramStart"/>
            <w:r w:rsidRPr="008C63D2">
              <w:rPr>
                <w:sz w:val="22"/>
                <w:szCs w:val="22"/>
              </w:rPr>
              <w:t>-](</w:t>
            </w:r>
            <w:proofErr w:type="gramEnd"/>
            <w:r w:rsidRPr="008C63D2">
              <w:rPr>
                <w:sz w:val="22"/>
                <w:szCs w:val="22"/>
              </w:rPr>
              <w:t>13)</w:t>
            </w:r>
          </w:p>
        </w:tc>
      </w:tr>
    </w:tbl>
    <w:p w14:paraId="675B1C9F" w14:textId="5A02F7ED" w:rsidR="00BD0EAA" w:rsidRDefault="00BD0EAA" w:rsidP="00D97A6F">
      <w:pPr>
        <w:jc w:val="both"/>
        <w:rPr>
          <w:sz w:val="22"/>
        </w:rPr>
      </w:pPr>
      <w:r>
        <w:rPr>
          <w:sz w:val="22"/>
        </w:rPr>
        <w:t>else,</w:t>
      </w:r>
    </w:p>
    <w:tbl>
      <w:tblPr>
        <w:tblStyle w:val="TableGrid"/>
        <w:tblpPr w:leftFromText="180" w:rightFromText="180" w:vertAnchor="text" w:horzAnchor="margin" w:tblpX="-142" w:tblpY="154"/>
        <w:tblW w:w="874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744"/>
      </w:tblGrid>
      <w:tr w:rsidR="00BD0EAA" w:rsidRPr="00AA3D0C" w14:paraId="5077C7F5" w14:textId="77777777" w:rsidTr="008C63D2">
        <w:trPr>
          <w:trHeight w:val="444"/>
        </w:trPr>
        <w:tc>
          <w:tcPr>
            <w:tcW w:w="8744" w:type="dxa"/>
          </w:tcPr>
          <w:p w14:paraId="390A053D" w14:textId="202C4B71" w:rsidR="00BD0EAA" w:rsidRPr="00BA0760" w:rsidRDefault="00BD0EAA" w:rsidP="008C63D2">
            <w:pPr>
              <w:jc w:val="both"/>
              <w:rPr>
                <w:b/>
                <w:sz w:val="22"/>
                <w:szCs w:val="22"/>
              </w:rPr>
            </w:pPr>
            <m:oMath>
              <m:r>
                <w:rPr>
                  <w:rFonts w:ascii="Cambria Math" w:hAnsi="Cambria Math"/>
                  <w:sz w:val="22"/>
                  <w:szCs w:val="22"/>
                </w:rPr>
                <m:t>adaptation possibility in terms ofglare duration=</m:t>
              </m:r>
              <m:sSub>
                <m:sSubPr>
                  <m:ctrlPr>
                    <w:rPr>
                      <w:rFonts w:ascii="Cambria Math" w:hAnsi="Cambria Math"/>
                      <w:b/>
                      <w:i/>
                      <w:sz w:val="22"/>
                      <w:szCs w:val="22"/>
                    </w:rPr>
                  </m:ctrlPr>
                </m:sSubPr>
                <m:e>
                  <m:r>
                    <m:rPr>
                      <m:sty m:val="bi"/>
                    </m:rPr>
                    <w:rPr>
                      <w:rFonts w:ascii="Cambria Math" w:hAnsi="Cambria Math"/>
                      <w:sz w:val="22"/>
                      <w:szCs w:val="22"/>
                    </w:rPr>
                    <m:t>GlareCredit</m:t>
                  </m:r>
                </m:e>
                <m:sub>
                  <m:r>
                    <m:rPr>
                      <m:sty m:val="bi"/>
                    </m:rPr>
                    <w:rPr>
                      <w:rFonts w:ascii="Cambria Math" w:hAnsi="Cambria Math"/>
                      <w:sz w:val="22"/>
                      <w:szCs w:val="22"/>
                    </w:rPr>
                    <m:t>changed</m:t>
                  </m:r>
                </m:sub>
              </m:sSub>
              <m:r>
                <m:rPr>
                  <m:sty m:val="bi"/>
                </m:rPr>
                <w:rPr>
                  <w:rFonts w:ascii="Cambria Math" w:hAnsi="Cambria Math"/>
                  <w:sz w:val="22"/>
                  <w:szCs w:val="22"/>
                </w:rPr>
                <m:t>∙</m:t>
              </m:r>
              <m:sSub>
                <m:sSubPr>
                  <m:ctrlPr>
                    <w:rPr>
                      <w:rFonts w:ascii="Cambria Math" w:hAnsi="Cambria Math"/>
                      <w:i/>
                      <w:sz w:val="22"/>
                      <w:szCs w:val="22"/>
                    </w:rPr>
                  </m:ctrlPr>
                </m:sSubPr>
                <m:e>
                  <m:r>
                    <w:rPr>
                      <w:rFonts w:ascii="Cambria Math" w:hAnsi="Cambria Math"/>
                      <w:sz w:val="22"/>
                      <w:szCs w:val="22"/>
                    </w:rPr>
                    <m:t>G</m:t>
                  </m:r>
                </m:e>
                <m:sub>
                  <m:r>
                    <w:rPr>
                      <w:rFonts w:ascii="Cambria Math" w:hAnsi="Cambria Math"/>
                      <w:sz w:val="22"/>
                      <w:szCs w:val="22"/>
                    </w:rPr>
                    <m:t>dir</m:t>
                  </m:r>
                </m:sub>
              </m:sSub>
              <m:r>
                <m:rPr>
                  <m:sty m:val="bi"/>
                </m:rPr>
                <w:rPr>
                  <w:rFonts w:ascii="Cambria Math" w:hAnsi="Cambria Math"/>
                  <w:sz w:val="22"/>
                  <w:szCs w:val="22"/>
                </w:rPr>
                <m:t xml:space="preserve"> </m:t>
              </m:r>
            </m:oMath>
            <w:r w:rsidRPr="00BA0760">
              <w:rPr>
                <w:sz w:val="22"/>
                <w:szCs w:val="22"/>
              </w:rPr>
              <w:t>[</w:t>
            </w:r>
            <w:proofErr w:type="gramStart"/>
            <w:r w:rsidRPr="00BA0760">
              <w:rPr>
                <w:sz w:val="22"/>
                <w:szCs w:val="22"/>
              </w:rPr>
              <w:t>-</w:t>
            </w:r>
            <w:r>
              <w:rPr>
                <w:sz w:val="22"/>
                <w:szCs w:val="22"/>
              </w:rPr>
              <w:t>]</w:t>
            </w:r>
            <w:r w:rsidRPr="00BA0760">
              <w:rPr>
                <w:sz w:val="22"/>
                <w:szCs w:val="22"/>
              </w:rPr>
              <w:t>(</w:t>
            </w:r>
            <w:proofErr w:type="gramEnd"/>
            <w:r w:rsidRPr="00BA0760">
              <w:rPr>
                <w:sz w:val="22"/>
                <w:szCs w:val="22"/>
              </w:rPr>
              <w:t>1</w:t>
            </w:r>
            <w:r>
              <w:rPr>
                <w:sz w:val="22"/>
                <w:szCs w:val="22"/>
              </w:rPr>
              <w:t>4</w:t>
            </w:r>
            <w:r w:rsidRPr="00BA0760">
              <w:rPr>
                <w:sz w:val="22"/>
                <w:szCs w:val="22"/>
              </w:rPr>
              <w:t>)</w:t>
            </w:r>
          </w:p>
        </w:tc>
      </w:tr>
    </w:tbl>
    <w:p w14:paraId="799B686E" w14:textId="2FD83FEE" w:rsidR="004A2AB6" w:rsidRPr="005A3FDD" w:rsidRDefault="004A2AB6" w:rsidP="004A2AB6">
      <w:pPr>
        <w:pStyle w:val="ListParagraph"/>
        <w:numPr>
          <w:ilvl w:val="0"/>
          <w:numId w:val="6"/>
        </w:numPr>
        <w:spacing w:before="240"/>
        <w:ind w:left="426"/>
        <w:jc w:val="both"/>
        <w:rPr>
          <w:rFonts w:ascii="Times New Roman" w:hAnsi="Times New Roman" w:cs="Times New Roman"/>
          <w:b/>
        </w:rPr>
      </w:pPr>
      <w:r w:rsidRPr="005A3FDD">
        <w:rPr>
          <w:rFonts w:ascii="Times New Roman" w:hAnsi="Times New Roman" w:cs="Times New Roman"/>
          <w:i/>
          <w:u w:val="single"/>
          <w:lang w:val="sv-SE"/>
        </w:rPr>
        <w:t>GlareCredit</w:t>
      </w:r>
      <w:r w:rsidR="00087309" w:rsidRPr="008C63D2">
        <w:rPr>
          <w:rFonts w:ascii="Times New Roman" w:hAnsi="Times New Roman" w:cs="Times New Roman"/>
          <w:i/>
          <w:u w:val="single"/>
          <w:vertAlign w:val="subscript"/>
          <w:lang w:val="sv-SE"/>
        </w:rPr>
        <w:t>initial</w:t>
      </w:r>
      <w:r w:rsidRPr="005A3FDD">
        <w:rPr>
          <w:rFonts w:ascii="Times New Roman" w:hAnsi="Times New Roman" w:cs="Times New Roman"/>
          <w:u w:val="single"/>
          <w:lang w:val="sv-SE"/>
        </w:rPr>
        <w:t>:</w:t>
      </w:r>
      <w:r w:rsidRPr="005A3FDD">
        <w:rPr>
          <w:rFonts w:ascii="Times New Roman" w:hAnsi="Times New Roman" w:cs="Times New Roman"/>
          <w:lang w:val="sv-SE"/>
        </w:rPr>
        <w:t xml:space="preserve"> </w:t>
      </w:r>
      <w:r w:rsidR="005A3FDD" w:rsidRPr="008C63D2">
        <w:rPr>
          <w:rFonts w:ascii="Times New Roman" w:hAnsi="Times New Roman" w:cs="Times New Roman"/>
          <w:lang w:val="sv-SE"/>
        </w:rPr>
        <w:t>the weighting factor in case the glare duration is more than 5%</w:t>
      </w:r>
    </w:p>
    <w:p w14:paraId="5A024762" w14:textId="2F16E0BA" w:rsidR="004A2AB6" w:rsidRPr="008C63D2" w:rsidRDefault="004A2AB6" w:rsidP="004A2AB6">
      <w:pPr>
        <w:pStyle w:val="ListParagraph"/>
        <w:numPr>
          <w:ilvl w:val="0"/>
          <w:numId w:val="6"/>
        </w:numPr>
        <w:spacing w:before="240"/>
        <w:ind w:left="426"/>
        <w:jc w:val="both"/>
        <w:rPr>
          <w:rFonts w:ascii="Times New Roman" w:hAnsi="Times New Roman" w:cs="Times New Roman"/>
          <w:b/>
        </w:rPr>
      </w:pPr>
      <w:proofErr w:type="spellStart"/>
      <w:r w:rsidRPr="005A3FDD">
        <w:rPr>
          <w:rFonts w:ascii="Times New Roman" w:hAnsi="Times New Roman" w:cs="Times New Roman"/>
          <w:i/>
          <w:u w:val="single"/>
          <w:lang w:val="en-US"/>
        </w:rPr>
        <w:t>GlareCredit</w:t>
      </w:r>
      <w:r w:rsidR="00087309" w:rsidRPr="008C63D2">
        <w:rPr>
          <w:rFonts w:ascii="Times New Roman" w:hAnsi="Times New Roman" w:cs="Times New Roman"/>
          <w:i/>
          <w:u w:val="single"/>
          <w:vertAlign w:val="subscript"/>
          <w:lang w:val="en-US"/>
        </w:rPr>
        <w:t>changed</w:t>
      </w:r>
      <w:proofErr w:type="spellEnd"/>
      <w:r w:rsidRPr="005A3FDD">
        <w:rPr>
          <w:rFonts w:ascii="Times New Roman" w:hAnsi="Times New Roman" w:cs="Times New Roman"/>
          <w:i/>
          <w:u w:val="single"/>
          <w:lang w:val="en-US"/>
        </w:rPr>
        <w:t>:</w:t>
      </w:r>
      <w:r w:rsidRPr="005A3FDD">
        <w:rPr>
          <w:rFonts w:ascii="Times New Roman" w:hAnsi="Times New Roman" w:cs="Times New Roman"/>
          <w:i/>
          <w:lang w:val="en-US"/>
        </w:rPr>
        <w:t xml:space="preserve"> </w:t>
      </w:r>
      <w:r w:rsidR="005A3FDD" w:rsidRPr="008C63D2">
        <w:rPr>
          <w:rFonts w:ascii="Times New Roman" w:hAnsi="Times New Roman" w:cs="Times New Roman"/>
          <w:lang w:val="en-US"/>
        </w:rPr>
        <w:t>the weighting factor in case the glare duration is less than 5%</w:t>
      </w:r>
    </w:p>
    <w:p w14:paraId="5CAB4E1D" w14:textId="5F733984" w:rsidR="004A2AB6" w:rsidRPr="005A3FDD" w:rsidRDefault="004A2AB6" w:rsidP="004A2AB6">
      <w:pPr>
        <w:pStyle w:val="ListParagraph"/>
        <w:numPr>
          <w:ilvl w:val="0"/>
          <w:numId w:val="6"/>
        </w:numPr>
        <w:spacing w:before="240"/>
        <w:ind w:left="426"/>
        <w:jc w:val="both"/>
        <w:rPr>
          <w:rFonts w:ascii="Times New Roman" w:hAnsi="Times New Roman" w:cs="Times New Roman"/>
          <w:b/>
        </w:rPr>
      </w:pPr>
      <w:proofErr w:type="spellStart"/>
      <w:r w:rsidRPr="005A3FDD">
        <w:rPr>
          <w:rFonts w:ascii="Times New Roman" w:hAnsi="Times New Roman" w:cs="Times New Roman"/>
          <w:i/>
          <w:u w:val="single"/>
          <w:lang w:val="en-US"/>
        </w:rPr>
        <w:t>GlareCredit</w:t>
      </w:r>
      <w:proofErr w:type="spellEnd"/>
      <w:r w:rsidRPr="005A3FDD">
        <w:rPr>
          <w:rFonts w:ascii="Times New Roman" w:hAnsi="Times New Roman" w:cs="Times New Roman"/>
          <w:i/>
          <w:u w:val="single"/>
          <w:lang w:val="en-US"/>
        </w:rPr>
        <w:t>:</w:t>
      </w:r>
      <w:r w:rsidRPr="005A3FDD">
        <w:rPr>
          <w:rFonts w:ascii="Times New Roman" w:hAnsi="Times New Roman" w:cs="Times New Roman"/>
          <w:lang w:val="en-US"/>
        </w:rPr>
        <w:t xml:space="preserve"> </w:t>
      </w:r>
      <w:r w:rsidR="005A3FDD" w:rsidRPr="008C63D2">
        <w:rPr>
          <w:rFonts w:ascii="Times New Roman" w:hAnsi="Times New Roman" w:cs="Times New Roman"/>
          <w:lang w:val="en-US"/>
        </w:rPr>
        <w:t>the weighting factor for the adaptation possibility in terms of glare duration (</w:t>
      </w:r>
      <w:proofErr w:type="spellStart"/>
      <w:r w:rsidR="005A3FDD" w:rsidRPr="008C63D2">
        <w:rPr>
          <w:rFonts w:ascii="Times New Roman" w:hAnsi="Times New Roman" w:cs="Times New Roman"/>
          <w:lang w:val="en-US"/>
        </w:rPr>
        <w:t>GlareCredit</w:t>
      </w:r>
      <w:r w:rsidR="005A3FDD" w:rsidRPr="008C63D2">
        <w:rPr>
          <w:rFonts w:ascii="Times New Roman" w:hAnsi="Times New Roman" w:cs="Times New Roman"/>
          <w:vertAlign w:val="subscript"/>
          <w:lang w:val="en-US"/>
        </w:rPr>
        <w:t>initial</w:t>
      </w:r>
      <w:proofErr w:type="spellEnd"/>
      <w:r w:rsidR="005A3FDD" w:rsidRPr="008C63D2">
        <w:rPr>
          <w:rFonts w:ascii="Times New Roman" w:hAnsi="Times New Roman" w:cs="Times New Roman"/>
          <w:lang w:val="en-US"/>
        </w:rPr>
        <w:t xml:space="preserve"> </w:t>
      </w:r>
      <w:r w:rsidR="005A3FDD">
        <w:rPr>
          <w:rFonts w:ascii="Times New Roman" w:hAnsi="Times New Roman" w:cs="Times New Roman"/>
          <w:lang w:val="en-US"/>
        </w:rPr>
        <w:t>or</w:t>
      </w:r>
      <w:r w:rsidR="005A3FDD" w:rsidRPr="008C63D2">
        <w:rPr>
          <w:rFonts w:ascii="Times New Roman" w:hAnsi="Times New Roman" w:cs="Times New Roman"/>
          <w:lang w:val="en-US"/>
        </w:rPr>
        <w:t xml:space="preserve"> </w:t>
      </w:r>
      <w:proofErr w:type="spellStart"/>
      <w:r w:rsidR="005A3FDD" w:rsidRPr="008C63D2">
        <w:rPr>
          <w:rFonts w:ascii="Times New Roman" w:hAnsi="Times New Roman" w:cs="Times New Roman"/>
          <w:lang w:val="en-US"/>
        </w:rPr>
        <w:t>GlareCredit</w:t>
      </w:r>
      <w:r w:rsidR="005A3FDD" w:rsidRPr="008C63D2">
        <w:rPr>
          <w:rFonts w:ascii="Times New Roman" w:hAnsi="Times New Roman" w:cs="Times New Roman"/>
          <w:vertAlign w:val="subscript"/>
          <w:lang w:val="en-US"/>
        </w:rPr>
        <w:t>changed</w:t>
      </w:r>
      <w:proofErr w:type="spellEnd"/>
      <w:r w:rsidR="005A3FDD" w:rsidRPr="008C63D2">
        <w:rPr>
          <w:rFonts w:ascii="Times New Roman" w:hAnsi="Times New Roman" w:cs="Times New Roman"/>
          <w:lang w:val="en-US"/>
        </w:rPr>
        <w:t>)</w:t>
      </w:r>
    </w:p>
    <w:p w14:paraId="10950ED4" w14:textId="106FC1B0" w:rsidR="00BD0EAA" w:rsidRDefault="00E97B2E" w:rsidP="008C63D2">
      <w:pPr>
        <w:spacing w:before="240"/>
        <w:jc w:val="both"/>
        <w:rPr>
          <w:sz w:val="22"/>
          <w:szCs w:val="22"/>
        </w:rPr>
      </w:pPr>
      <w:r>
        <w:rPr>
          <w:sz w:val="22"/>
          <w:szCs w:val="22"/>
        </w:rPr>
        <w:t xml:space="preserve">Figure </w:t>
      </w:r>
      <w:r w:rsidR="00865C2D">
        <w:rPr>
          <w:sz w:val="22"/>
          <w:szCs w:val="22"/>
        </w:rPr>
        <w:t>5</w:t>
      </w:r>
      <w:r>
        <w:rPr>
          <w:sz w:val="22"/>
          <w:szCs w:val="22"/>
        </w:rPr>
        <w:t xml:space="preserve"> works as an explanatory diagram of the </w:t>
      </w:r>
      <w:proofErr w:type="gramStart"/>
      <w:r>
        <w:rPr>
          <w:sz w:val="22"/>
          <w:szCs w:val="22"/>
        </w:rPr>
        <w:t>aforementioned weighting</w:t>
      </w:r>
      <w:proofErr w:type="gramEnd"/>
      <w:r>
        <w:rPr>
          <w:sz w:val="22"/>
          <w:szCs w:val="22"/>
        </w:rPr>
        <w:t xml:space="preserve"> system for the glare duration. The simulated glare values of two observer positions with different head rotations per hour are presented.</w:t>
      </w:r>
    </w:p>
    <w:p w14:paraId="28AADD63" w14:textId="7D4ECC6A" w:rsidR="002B7D6E" w:rsidRDefault="00053E43" w:rsidP="008C63D2">
      <w:pPr>
        <w:spacing w:before="240"/>
        <w:rPr>
          <w:i/>
          <w:sz w:val="20"/>
          <w:szCs w:val="22"/>
        </w:rPr>
      </w:pPr>
      <w:r>
        <w:rPr>
          <w:noProof/>
          <w:sz w:val="22"/>
          <w:szCs w:val="22"/>
          <w:lang w:eastAsia="en-GB"/>
        </w:rPr>
        <w:lastRenderedPageBreak/>
        <w:drawing>
          <wp:inline distT="0" distB="0" distL="0" distR="0" wp14:anchorId="55001B0A" wp14:editId="4F7DCD45">
            <wp:extent cx="5013789" cy="5295119"/>
            <wp:effectExtent l="0" t="0" r="0" b="1270"/>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024590" cy="5306526"/>
                    </a:xfrm>
                    <a:prstGeom prst="rect">
                      <a:avLst/>
                    </a:prstGeom>
                    <a:noFill/>
                    <a:ln>
                      <a:noFill/>
                    </a:ln>
                  </pic:spPr>
                </pic:pic>
              </a:graphicData>
            </a:graphic>
          </wp:inline>
        </w:drawing>
      </w:r>
      <w:r w:rsidR="002B7D6E" w:rsidRPr="00AA3D0C">
        <w:rPr>
          <w:i/>
          <w:sz w:val="20"/>
          <w:szCs w:val="22"/>
        </w:rPr>
        <w:t xml:space="preserve">Figure </w:t>
      </w:r>
      <w:r w:rsidR="00865C2D">
        <w:rPr>
          <w:i/>
          <w:sz w:val="20"/>
          <w:szCs w:val="22"/>
        </w:rPr>
        <w:t>5</w:t>
      </w:r>
      <w:r w:rsidR="002B7D6E" w:rsidRPr="00AA3D0C">
        <w:rPr>
          <w:i/>
          <w:sz w:val="20"/>
          <w:szCs w:val="22"/>
        </w:rPr>
        <w:t xml:space="preserve">: </w:t>
      </w:r>
      <w:r w:rsidR="006C1D5E">
        <w:rPr>
          <w:i/>
          <w:sz w:val="20"/>
          <w:szCs w:val="22"/>
        </w:rPr>
        <w:t>Explanatory diagram of the adaptation possibility in terms of glare duration</w:t>
      </w:r>
      <w:r w:rsidR="00E97B2E">
        <w:rPr>
          <w:i/>
          <w:sz w:val="20"/>
          <w:szCs w:val="22"/>
        </w:rPr>
        <w:t xml:space="preserve"> for two observer positions</w:t>
      </w:r>
      <w:r w:rsidR="00415488">
        <w:rPr>
          <w:i/>
          <w:sz w:val="20"/>
          <w:szCs w:val="22"/>
        </w:rPr>
        <w:t xml:space="preserve"> (glare values of DGP)</w:t>
      </w:r>
      <w:r w:rsidR="00E97B2E">
        <w:rPr>
          <w:i/>
          <w:sz w:val="20"/>
          <w:szCs w:val="22"/>
        </w:rPr>
        <w:t>.</w:t>
      </w:r>
    </w:p>
    <w:p w14:paraId="3DFBE360" w14:textId="15947BB5" w:rsidR="005B4720" w:rsidRDefault="009627E9" w:rsidP="002B7D6E">
      <w:pPr>
        <w:spacing w:before="240"/>
        <w:jc w:val="both"/>
        <w:rPr>
          <w:sz w:val="22"/>
          <w:szCs w:val="22"/>
        </w:rPr>
      </w:pPr>
      <w:r w:rsidRPr="008C63D2">
        <w:rPr>
          <w:sz w:val="22"/>
          <w:szCs w:val="22"/>
        </w:rPr>
        <w:t>The concepts of adaptation possibility in terms of head rotation and glare duration may be merged together</w:t>
      </w:r>
      <w:r>
        <w:rPr>
          <w:sz w:val="22"/>
          <w:szCs w:val="22"/>
        </w:rPr>
        <w:t xml:space="preserve"> </w:t>
      </w:r>
      <w:r w:rsidR="005B4720" w:rsidRPr="00550A2E">
        <w:rPr>
          <w:sz w:val="22"/>
          <w:szCs w:val="22"/>
        </w:rPr>
        <w:t>(eq.</w:t>
      </w:r>
      <w:r w:rsidR="00550A2E" w:rsidRPr="00550A2E">
        <w:rPr>
          <w:sz w:val="22"/>
          <w:szCs w:val="22"/>
        </w:rPr>
        <w:t>1</w:t>
      </w:r>
      <w:r w:rsidR="00FD2315">
        <w:rPr>
          <w:sz w:val="22"/>
          <w:szCs w:val="22"/>
        </w:rPr>
        <w:t>5</w:t>
      </w:r>
      <w:r w:rsidR="005B4720" w:rsidRPr="00550A2E">
        <w:rPr>
          <w:sz w:val="22"/>
          <w:szCs w:val="22"/>
        </w:rPr>
        <w:t>).</w:t>
      </w:r>
    </w:p>
    <w:tbl>
      <w:tblPr>
        <w:tblStyle w:val="TableGrid"/>
        <w:tblpPr w:leftFromText="180" w:rightFromText="180" w:vertAnchor="text" w:horzAnchor="margin" w:tblpY="154"/>
        <w:tblW w:w="823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635"/>
        <w:gridCol w:w="903"/>
        <w:gridCol w:w="695"/>
      </w:tblGrid>
      <w:tr w:rsidR="005B4720" w:rsidRPr="00AA3D0C" w14:paraId="0534CC6D" w14:textId="77777777" w:rsidTr="008C63D2">
        <w:trPr>
          <w:trHeight w:val="634"/>
        </w:trPr>
        <w:tc>
          <w:tcPr>
            <w:tcW w:w="6635" w:type="dxa"/>
          </w:tcPr>
          <w:p w14:paraId="034EAD80" w14:textId="3BF73AB2" w:rsidR="005B4720" w:rsidRPr="001B7760" w:rsidRDefault="005B4720" w:rsidP="008E6602">
            <w:pPr>
              <w:spacing w:before="240"/>
              <w:jc w:val="both"/>
              <w:rPr>
                <w:b/>
                <w:i/>
                <w:sz w:val="22"/>
                <w:szCs w:val="22"/>
              </w:rPr>
            </w:pPr>
            <m:oMathPara>
              <m:oMathParaPr>
                <m:jc m:val="right"/>
              </m:oMathParaPr>
              <m:oMath>
                <m:r>
                  <m:rPr>
                    <m:sty m:val="bi"/>
                  </m:rPr>
                  <w:rPr>
                    <w:rFonts w:ascii="Cambria Math" w:hAnsi="Cambria Math"/>
                    <w:sz w:val="22"/>
                    <w:szCs w:val="22"/>
                  </w:rPr>
                  <m:t xml:space="preserve">AdaptationPossibility= </m:t>
                </m:r>
                <m:sSub>
                  <m:sSubPr>
                    <m:ctrlPr>
                      <w:rPr>
                        <w:rFonts w:ascii="Cambria Math" w:hAnsi="Cambria Math"/>
                        <w:b/>
                        <w:i/>
                        <w:sz w:val="22"/>
                        <w:szCs w:val="22"/>
                      </w:rPr>
                    </m:ctrlPr>
                  </m:sSubPr>
                  <m:e>
                    <m:r>
                      <m:rPr>
                        <m:sty m:val="bi"/>
                      </m:rPr>
                      <w:rPr>
                        <w:rFonts w:ascii="Cambria Math" w:hAnsi="Cambria Math"/>
                        <w:sz w:val="22"/>
                        <w:szCs w:val="22"/>
                      </w:rPr>
                      <m:t>φ∙G</m:t>
                    </m:r>
                  </m:e>
                  <m:sub>
                    <m:r>
                      <m:rPr>
                        <m:sty m:val="bi"/>
                      </m:rPr>
                      <w:rPr>
                        <w:rFonts w:ascii="Cambria Math" w:hAnsi="Cambria Math"/>
                        <w:sz w:val="22"/>
                        <w:szCs w:val="22"/>
                      </w:rPr>
                      <m:t>dir</m:t>
                    </m:r>
                  </m:sub>
                </m:sSub>
                <m:r>
                  <m:rPr>
                    <m:sty m:val="bi"/>
                  </m:rPr>
                  <w:rPr>
                    <w:rFonts w:ascii="Cambria Math" w:hAnsi="Cambria Math"/>
                    <w:sz w:val="22"/>
                    <w:szCs w:val="22"/>
                  </w:rPr>
                  <m:t>∙GlareCredit</m:t>
                </m:r>
              </m:oMath>
            </m:oMathPara>
          </w:p>
        </w:tc>
        <w:tc>
          <w:tcPr>
            <w:tcW w:w="903" w:type="dxa"/>
          </w:tcPr>
          <w:p w14:paraId="7C62AFE2" w14:textId="77777777" w:rsidR="005B4720" w:rsidRPr="00AA3D0C" w:rsidRDefault="005B4720" w:rsidP="008E6602">
            <w:pPr>
              <w:spacing w:before="240"/>
              <w:rPr>
                <w:sz w:val="22"/>
                <w:szCs w:val="22"/>
              </w:rPr>
            </w:pPr>
            <w:r>
              <w:rPr>
                <w:sz w:val="22"/>
                <w:szCs w:val="22"/>
              </w:rPr>
              <w:t>[-]</w:t>
            </w:r>
          </w:p>
        </w:tc>
        <w:tc>
          <w:tcPr>
            <w:tcW w:w="695" w:type="dxa"/>
          </w:tcPr>
          <w:p w14:paraId="71026DA2" w14:textId="7C5A8B71" w:rsidR="005B4720" w:rsidRPr="00AA3D0C" w:rsidRDefault="005B4720" w:rsidP="008E6602">
            <w:pPr>
              <w:spacing w:before="240"/>
              <w:jc w:val="right"/>
              <w:rPr>
                <w:sz w:val="22"/>
                <w:szCs w:val="22"/>
              </w:rPr>
            </w:pPr>
            <w:r>
              <w:rPr>
                <w:sz w:val="22"/>
                <w:szCs w:val="22"/>
              </w:rPr>
              <w:t>(</w:t>
            </w:r>
            <w:r w:rsidR="00550A2E">
              <w:rPr>
                <w:sz w:val="22"/>
                <w:szCs w:val="22"/>
              </w:rPr>
              <w:t>1</w:t>
            </w:r>
            <w:r w:rsidR="00FD2315">
              <w:rPr>
                <w:sz w:val="22"/>
                <w:szCs w:val="22"/>
              </w:rPr>
              <w:t>5</w:t>
            </w:r>
            <w:r>
              <w:rPr>
                <w:sz w:val="22"/>
                <w:szCs w:val="22"/>
              </w:rPr>
              <w:t>)</w:t>
            </w:r>
          </w:p>
        </w:tc>
      </w:tr>
    </w:tbl>
    <w:p w14:paraId="3A14C1A7" w14:textId="2B2DC227" w:rsidR="00FB733E" w:rsidRPr="00E22D27" w:rsidRDefault="00911A4E" w:rsidP="00D51C0D">
      <w:pPr>
        <w:spacing w:before="240" w:after="240"/>
        <w:jc w:val="both"/>
        <w:rPr>
          <w:sz w:val="22"/>
          <w:szCs w:val="22"/>
        </w:rPr>
      </w:pPr>
      <w:r>
        <w:rPr>
          <w:sz w:val="22"/>
          <w:szCs w:val="22"/>
        </w:rPr>
        <w:t>I</w:t>
      </w:r>
      <w:r w:rsidR="00D51C0D" w:rsidRPr="00E22D27">
        <w:rPr>
          <w:sz w:val="22"/>
          <w:szCs w:val="22"/>
        </w:rPr>
        <w:t>n order to extract one glare value per observer position (</w:t>
      </w:r>
      <w:proofErr w:type="gramStart"/>
      <w:r w:rsidR="00D51C0D" w:rsidRPr="00E22D27">
        <w:rPr>
          <w:sz w:val="22"/>
          <w:szCs w:val="22"/>
        </w:rPr>
        <w:t>taking into account</w:t>
      </w:r>
      <w:proofErr w:type="gramEnd"/>
      <w:r w:rsidR="00D51C0D" w:rsidRPr="00E22D27">
        <w:rPr>
          <w:sz w:val="22"/>
          <w:szCs w:val="22"/>
        </w:rPr>
        <w:t xml:space="preserve"> the adaptation possibility), two equations were developed based on different kind of analyses</w:t>
      </w:r>
      <w:r w:rsidR="00E771FC">
        <w:rPr>
          <w:sz w:val="22"/>
          <w:szCs w:val="22"/>
        </w:rPr>
        <w:t xml:space="preserve"> (presented also in Figure </w:t>
      </w:r>
      <w:r w:rsidR="00865C2D">
        <w:rPr>
          <w:sz w:val="22"/>
          <w:szCs w:val="22"/>
        </w:rPr>
        <w:t>6</w:t>
      </w:r>
      <w:r w:rsidR="00E771FC">
        <w:rPr>
          <w:sz w:val="22"/>
          <w:szCs w:val="22"/>
        </w:rPr>
        <w:t>):</w:t>
      </w:r>
    </w:p>
    <w:p w14:paraId="495607D9" w14:textId="5594A7DF" w:rsidR="00FB733E" w:rsidRPr="00E22D27" w:rsidRDefault="00FB733E" w:rsidP="00135D19">
      <w:pPr>
        <w:pStyle w:val="ListParagraph"/>
        <w:numPr>
          <w:ilvl w:val="0"/>
          <w:numId w:val="8"/>
        </w:numPr>
        <w:rPr>
          <w:rFonts w:ascii="Times New Roman" w:hAnsi="Times New Roman" w:cs="Times New Roman"/>
          <w:lang w:val="sv-SE"/>
        </w:rPr>
      </w:pPr>
      <w:r w:rsidRPr="00E22D27">
        <w:rPr>
          <w:rFonts w:ascii="Times New Roman" w:hAnsi="Times New Roman" w:cs="Times New Roman"/>
          <w:lang w:val="sv-SE"/>
        </w:rPr>
        <w:t xml:space="preserve">point-in-time analysis </w:t>
      </w:r>
      <w:r w:rsidR="00F800CC">
        <w:rPr>
          <w:rFonts w:ascii="Times New Roman" w:hAnsi="Times New Roman" w:cs="Times New Roman"/>
          <w:lang w:val="sv-SE"/>
        </w:rPr>
        <w:sym w:font="Wingdings" w:char="F0E0"/>
      </w:r>
      <w:r w:rsidRPr="00E22D27">
        <w:rPr>
          <w:rFonts w:ascii="Times New Roman" w:hAnsi="Times New Roman" w:cs="Times New Roman"/>
          <w:lang w:val="sv-SE"/>
        </w:rPr>
        <w:t xml:space="preserve"> </w:t>
      </w:r>
      <w:r w:rsidRPr="00E22D27">
        <w:rPr>
          <w:rFonts w:ascii="Times New Roman" w:hAnsi="Times New Roman" w:cs="Times New Roman"/>
          <w:i/>
          <w:lang w:val="sv-SE"/>
        </w:rPr>
        <w:t>Total Point Glare</w:t>
      </w:r>
      <w:r w:rsidRPr="00E22D27">
        <w:rPr>
          <w:rFonts w:ascii="Times New Roman" w:hAnsi="Times New Roman" w:cs="Times New Roman"/>
          <w:lang w:val="sv-SE"/>
        </w:rPr>
        <w:t xml:space="preserve"> </w:t>
      </w:r>
      <w:r w:rsidR="00D51C0D" w:rsidRPr="00E22D27">
        <w:rPr>
          <w:rFonts w:ascii="Times New Roman" w:hAnsi="Times New Roman" w:cs="Times New Roman"/>
          <w:lang w:val="sv-SE"/>
        </w:rPr>
        <w:t xml:space="preserve">equation </w:t>
      </w:r>
      <w:r w:rsidRPr="00E22D27">
        <w:rPr>
          <w:rFonts w:ascii="Times New Roman" w:hAnsi="Times New Roman" w:cs="Times New Roman"/>
          <w:lang w:val="sv-SE"/>
        </w:rPr>
        <w:t>(</w:t>
      </w:r>
      <w:r w:rsidRPr="00E22D27">
        <w:rPr>
          <w:rFonts w:ascii="Times New Roman" w:hAnsi="Times New Roman" w:cs="Times New Roman"/>
          <w:b/>
          <w:lang w:val="sv-SE"/>
        </w:rPr>
        <w:t>TPG</w:t>
      </w:r>
      <w:r w:rsidRPr="00E22D27">
        <w:rPr>
          <w:rFonts w:ascii="Times New Roman" w:hAnsi="Times New Roman" w:cs="Times New Roman"/>
          <w:lang w:val="sv-SE"/>
        </w:rPr>
        <w:t>)</w:t>
      </w:r>
    </w:p>
    <w:p w14:paraId="20D1240B" w14:textId="7C2F81D6" w:rsidR="000E5203" w:rsidRDefault="00FB733E" w:rsidP="00135D19">
      <w:pPr>
        <w:pStyle w:val="ListParagraph"/>
        <w:numPr>
          <w:ilvl w:val="0"/>
          <w:numId w:val="8"/>
        </w:numPr>
        <w:rPr>
          <w:rFonts w:ascii="Times New Roman" w:hAnsi="Times New Roman" w:cs="Times New Roman"/>
          <w:lang w:val="sv-SE"/>
        </w:rPr>
      </w:pPr>
      <w:r w:rsidRPr="00E22D27">
        <w:rPr>
          <w:rFonts w:ascii="Times New Roman" w:hAnsi="Times New Roman" w:cs="Times New Roman"/>
          <w:lang w:val="sv-SE"/>
        </w:rPr>
        <w:t xml:space="preserve">during a period of time </w:t>
      </w:r>
      <w:r w:rsidR="00D51C0D" w:rsidRPr="00E22D27">
        <w:rPr>
          <w:rFonts w:ascii="Times New Roman" w:hAnsi="Times New Roman" w:cs="Times New Roman"/>
          <w:lang w:val="sv-SE"/>
        </w:rPr>
        <w:t xml:space="preserve">analysis </w:t>
      </w:r>
      <w:r w:rsidR="00F800CC">
        <w:rPr>
          <w:rFonts w:ascii="Times New Roman" w:hAnsi="Times New Roman" w:cs="Times New Roman"/>
          <w:lang w:val="sv-SE"/>
        </w:rPr>
        <w:sym w:font="Wingdings" w:char="F0E0"/>
      </w:r>
      <w:r w:rsidRPr="00E22D27">
        <w:rPr>
          <w:rFonts w:ascii="Times New Roman" w:hAnsi="Times New Roman" w:cs="Times New Roman"/>
          <w:lang w:val="sv-SE"/>
        </w:rPr>
        <w:t xml:space="preserve"> </w:t>
      </w:r>
      <w:r w:rsidRPr="00E22D27">
        <w:rPr>
          <w:rFonts w:ascii="Times New Roman" w:hAnsi="Times New Roman" w:cs="Times New Roman"/>
          <w:i/>
          <w:lang w:val="sv-SE"/>
        </w:rPr>
        <w:t>Space-Time Glare</w:t>
      </w:r>
      <w:r w:rsidRPr="00E22D27">
        <w:rPr>
          <w:rFonts w:ascii="Times New Roman" w:hAnsi="Times New Roman" w:cs="Times New Roman"/>
          <w:lang w:val="sv-SE"/>
        </w:rPr>
        <w:t xml:space="preserve"> </w:t>
      </w:r>
      <w:r w:rsidR="00D51C0D" w:rsidRPr="00E22D27">
        <w:rPr>
          <w:rFonts w:ascii="Times New Roman" w:hAnsi="Times New Roman" w:cs="Times New Roman"/>
          <w:lang w:val="sv-SE"/>
        </w:rPr>
        <w:t xml:space="preserve">equation </w:t>
      </w:r>
      <w:r w:rsidRPr="00E22D27">
        <w:rPr>
          <w:rFonts w:ascii="Times New Roman" w:hAnsi="Times New Roman" w:cs="Times New Roman"/>
          <w:lang w:val="sv-SE"/>
        </w:rPr>
        <w:t>(</w:t>
      </w:r>
      <w:r w:rsidRPr="00E22D27">
        <w:rPr>
          <w:rFonts w:ascii="Times New Roman" w:hAnsi="Times New Roman" w:cs="Times New Roman"/>
          <w:b/>
          <w:lang w:val="sv-SE"/>
        </w:rPr>
        <w:t>STG</w:t>
      </w:r>
      <w:r w:rsidRPr="00E22D27">
        <w:rPr>
          <w:rFonts w:ascii="Times New Roman" w:hAnsi="Times New Roman" w:cs="Times New Roman"/>
          <w:lang w:val="sv-SE"/>
        </w:rPr>
        <w:t>)</w:t>
      </w:r>
    </w:p>
    <w:p w14:paraId="4594E61A" w14:textId="77777777" w:rsidR="006B56D3" w:rsidRPr="006B56D3" w:rsidRDefault="006B56D3" w:rsidP="006B56D3">
      <w:pPr>
        <w:rPr>
          <w:lang w:val="sv-SE"/>
        </w:rPr>
      </w:pPr>
    </w:p>
    <w:p w14:paraId="41583B21" w14:textId="38A47333" w:rsidR="000D21A5" w:rsidRDefault="005A1301" w:rsidP="005D7766">
      <w:pPr>
        <w:jc w:val="center"/>
        <w:rPr>
          <w:lang w:val="sv-SE"/>
        </w:rPr>
      </w:pPr>
      <w:r>
        <w:rPr>
          <w:noProof/>
          <w:lang w:eastAsia="en-GB"/>
        </w:rPr>
        <w:drawing>
          <wp:inline distT="0" distB="0" distL="0" distR="0" wp14:anchorId="3A1ED7D6" wp14:editId="2A615964">
            <wp:extent cx="3435434" cy="2332233"/>
            <wp:effectExtent l="0" t="0" r="0" b="0"/>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3455295" cy="2345716"/>
                    </a:xfrm>
                    <a:prstGeom prst="rect">
                      <a:avLst/>
                    </a:prstGeom>
                    <a:noFill/>
                    <a:ln>
                      <a:noFill/>
                    </a:ln>
                  </pic:spPr>
                </pic:pic>
              </a:graphicData>
            </a:graphic>
          </wp:inline>
        </w:drawing>
      </w:r>
    </w:p>
    <w:p w14:paraId="59A6E09C" w14:textId="634AEED5" w:rsidR="00492E03" w:rsidRDefault="00E771FC" w:rsidP="00865C2D">
      <w:pPr>
        <w:jc w:val="both"/>
        <w:rPr>
          <w:i/>
          <w:sz w:val="20"/>
          <w:szCs w:val="22"/>
        </w:rPr>
      </w:pPr>
      <w:r w:rsidRPr="00AA3D0C">
        <w:rPr>
          <w:i/>
          <w:sz w:val="20"/>
          <w:szCs w:val="22"/>
        </w:rPr>
        <w:t xml:space="preserve">Figure </w:t>
      </w:r>
      <w:r w:rsidR="00865C2D">
        <w:rPr>
          <w:i/>
          <w:sz w:val="20"/>
          <w:szCs w:val="22"/>
        </w:rPr>
        <w:t>6</w:t>
      </w:r>
      <w:r w:rsidRPr="00AA3D0C">
        <w:rPr>
          <w:i/>
          <w:sz w:val="20"/>
          <w:szCs w:val="22"/>
        </w:rPr>
        <w:t xml:space="preserve">: </w:t>
      </w:r>
      <w:r>
        <w:rPr>
          <w:i/>
          <w:sz w:val="20"/>
          <w:szCs w:val="22"/>
        </w:rPr>
        <w:t xml:space="preserve">Explanatory diagram of the correlation between </w:t>
      </w:r>
      <w:proofErr w:type="spellStart"/>
      <w:r>
        <w:rPr>
          <w:i/>
          <w:sz w:val="20"/>
          <w:szCs w:val="22"/>
        </w:rPr>
        <w:t>AdaptationPossibility</w:t>
      </w:r>
      <w:proofErr w:type="spellEnd"/>
      <w:r>
        <w:rPr>
          <w:i/>
          <w:sz w:val="20"/>
          <w:szCs w:val="22"/>
        </w:rPr>
        <w:t xml:space="preserve"> and TPG-STG.</w:t>
      </w:r>
    </w:p>
    <w:p w14:paraId="4CB94F99" w14:textId="77777777" w:rsidR="006B56D3" w:rsidRPr="00865C2D" w:rsidRDefault="006B56D3" w:rsidP="00865C2D">
      <w:pPr>
        <w:jc w:val="both"/>
        <w:rPr>
          <w:i/>
          <w:sz w:val="20"/>
          <w:szCs w:val="22"/>
        </w:rPr>
      </w:pPr>
    </w:p>
    <w:p w14:paraId="4431FB1F" w14:textId="77777777" w:rsidR="00FB733E" w:rsidRPr="00D51C0D" w:rsidRDefault="00D51C0D" w:rsidP="00D51C0D">
      <w:pPr>
        <w:pStyle w:val="Heading4"/>
        <w:rPr>
          <w:sz w:val="20"/>
          <w:szCs w:val="22"/>
        </w:rPr>
      </w:pPr>
      <w:bookmarkStart w:id="25" w:name="_Ref525209200"/>
      <w:bookmarkStart w:id="26" w:name="_Toc532751574"/>
      <w:r w:rsidRPr="00D51C0D">
        <w:rPr>
          <w:sz w:val="24"/>
          <w:lang w:val="sv-SE"/>
        </w:rPr>
        <w:t>TPG</w:t>
      </w:r>
      <w:bookmarkEnd w:id="25"/>
      <w:bookmarkEnd w:id="26"/>
    </w:p>
    <w:p w14:paraId="4C7BACC0" w14:textId="2A8D8667" w:rsidR="00D51C0D" w:rsidRPr="00D941D6" w:rsidRDefault="001576BF" w:rsidP="00D51C0D">
      <w:pPr>
        <w:spacing w:before="240" w:after="240"/>
        <w:jc w:val="both"/>
        <w:rPr>
          <w:sz w:val="22"/>
          <w:szCs w:val="22"/>
        </w:rPr>
      </w:pPr>
      <w:r w:rsidRPr="00D941D6">
        <w:rPr>
          <w:sz w:val="22"/>
          <w:szCs w:val="22"/>
        </w:rPr>
        <w:t>The</w:t>
      </w:r>
      <w:r w:rsidR="00D51C0D" w:rsidRPr="00D941D6">
        <w:rPr>
          <w:sz w:val="22"/>
          <w:szCs w:val="22"/>
        </w:rPr>
        <w:t xml:space="preserve"> </w:t>
      </w:r>
      <w:r w:rsidR="00D941D6" w:rsidRPr="00D941D6">
        <w:rPr>
          <w:i/>
          <w:sz w:val="22"/>
          <w:szCs w:val="22"/>
          <w:lang w:val="sv-SE"/>
        </w:rPr>
        <w:t>Total Point Glare</w:t>
      </w:r>
      <w:r w:rsidR="00D941D6" w:rsidRPr="00D941D6">
        <w:rPr>
          <w:sz w:val="22"/>
          <w:szCs w:val="22"/>
          <w:lang w:val="sv-SE"/>
        </w:rPr>
        <w:t xml:space="preserve"> </w:t>
      </w:r>
      <w:r w:rsidR="008D37B5">
        <w:rPr>
          <w:sz w:val="22"/>
          <w:szCs w:val="22"/>
          <w:lang w:val="sv-SE"/>
        </w:rPr>
        <w:t>(</w:t>
      </w:r>
      <w:r w:rsidRPr="00D941D6">
        <w:rPr>
          <w:sz w:val="22"/>
          <w:szCs w:val="22"/>
        </w:rPr>
        <w:t>TPG</w:t>
      </w:r>
      <w:r w:rsidR="008D37B5">
        <w:rPr>
          <w:sz w:val="22"/>
          <w:szCs w:val="22"/>
        </w:rPr>
        <w:t>)</w:t>
      </w:r>
      <w:r w:rsidR="00D51C0D" w:rsidRPr="00D941D6">
        <w:rPr>
          <w:sz w:val="22"/>
          <w:szCs w:val="22"/>
        </w:rPr>
        <w:t xml:space="preserve"> </w:t>
      </w:r>
      <w:r w:rsidR="007915F9">
        <w:rPr>
          <w:sz w:val="22"/>
          <w:szCs w:val="22"/>
        </w:rPr>
        <w:t>represents</w:t>
      </w:r>
      <w:r w:rsidR="000A56A3">
        <w:rPr>
          <w:sz w:val="22"/>
          <w:szCs w:val="22"/>
        </w:rPr>
        <w:t xml:space="preserve"> </w:t>
      </w:r>
      <w:r w:rsidR="008D37B5">
        <w:rPr>
          <w:sz w:val="22"/>
          <w:szCs w:val="22"/>
        </w:rPr>
        <w:t>the</w:t>
      </w:r>
      <w:r w:rsidR="000A56A3">
        <w:rPr>
          <w:sz w:val="22"/>
          <w:szCs w:val="22"/>
        </w:rPr>
        <w:t xml:space="preserve"> normalization </w:t>
      </w:r>
      <w:r w:rsidR="007915F9">
        <w:rPr>
          <w:sz w:val="22"/>
          <w:szCs w:val="22"/>
        </w:rPr>
        <w:t xml:space="preserve">of </w:t>
      </w:r>
      <w:r w:rsidR="008D37B5">
        <w:rPr>
          <w:sz w:val="22"/>
          <w:szCs w:val="22"/>
        </w:rPr>
        <w:t xml:space="preserve">the </w:t>
      </w:r>
      <w:r w:rsidR="008D37B5" w:rsidRPr="008C63D2">
        <w:rPr>
          <w:i/>
          <w:sz w:val="22"/>
          <w:szCs w:val="22"/>
        </w:rPr>
        <w:t>adaptation possibility</w:t>
      </w:r>
      <w:r w:rsidR="008D37B5">
        <w:rPr>
          <w:sz w:val="22"/>
          <w:szCs w:val="22"/>
        </w:rPr>
        <w:t xml:space="preserve"> (eq. 15) </w:t>
      </w:r>
      <w:r w:rsidR="00654353">
        <w:rPr>
          <w:sz w:val="22"/>
          <w:szCs w:val="22"/>
        </w:rPr>
        <w:t>with</w:t>
      </w:r>
      <w:r w:rsidR="008D37B5">
        <w:rPr>
          <w:sz w:val="22"/>
          <w:szCs w:val="22"/>
        </w:rPr>
        <w:t xml:space="preserve"> respect to the </w:t>
      </w:r>
      <w:r w:rsidR="00F52A2B">
        <w:rPr>
          <w:sz w:val="22"/>
          <w:szCs w:val="22"/>
        </w:rPr>
        <w:t>worst-case</w:t>
      </w:r>
      <w:r w:rsidR="008D37B5">
        <w:rPr>
          <w:sz w:val="22"/>
          <w:szCs w:val="22"/>
        </w:rPr>
        <w:t xml:space="preserve"> scenario</w:t>
      </w:r>
      <w:r w:rsidR="000A56A3">
        <w:rPr>
          <w:sz w:val="22"/>
          <w:szCs w:val="22"/>
        </w:rPr>
        <w:t xml:space="preserve">. </w:t>
      </w:r>
      <w:r w:rsidR="008D37B5">
        <w:rPr>
          <w:sz w:val="22"/>
          <w:szCs w:val="22"/>
        </w:rPr>
        <w:t xml:space="preserve">Therefore, </w:t>
      </w:r>
      <w:r w:rsidR="000A56A3">
        <w:rPr>
          <w:sz w:val="22"/>
          <w:szCs w:val="22"/>
        </w:rPr>
        <w:t xml:space="preserve">TPG </w:t>
      </w:r>
      <w:r w:rsidR="00D51C0D" w:rsidRPr="00D941D6">
        <w:rPr>
          <w:sz w:val="22"/>
          <w:szCs w:val="22"/>
        </w:rPr>
        <w:t>de</w:t>
      </w:r>
      <w:r w:rsidR="008D37B5">
        <w:rPr>
          <w:sz w:val="22"/>
          <w:szCs w:val="22"/>
        </w:rPr>
        <w:t>fines the severity of glare</w:t>
      </w:r>
      <w:r w:rsidR="00F52A2B">
        <w:rPr>
          <w:sz w:val="22"/>
          <w:szCs w:val="22"/>
        </w:rPr>
        <w:t xml:space="preserve"> (in percentage)</w:t>
      </w:r>
      <w:r w:rsidR="008D37B5">
        <w:rPr>
          <w:sz w:val="22"/>
          <w:szCs w:val="22"/>
        </w:rPr>
        <w:t xml:space="preserve"> at one observer position, but for </w:t>
      </w:r>
      <w:r w:rsidR="00045105" w:rsidRPr="00D941D6">
        <w:rPr>
          <w:sz w:val="22"/>
          <w:szCs w:val="22"/>
        </w:rPr>
        <w:t>multiple gaze</w:t>
      </w:r>
      <w:r w:rsidR="008D37B5">
        <w:rPr>
          <w:sz w:val="22"/>
          <w:szCs w:val="22"/>
        </w:rPr>
        <w:t xml:space="preserve"> directions </w:t>
      </w:r>
      <w:r w:rsidR="00087309">
        <w:rPr>
          <w:sz w:val="22"/>
          <w:szCs w:val="22"/>
        </w:rPr>
        <w:t xml:space="preserve">in a point-in-time </w:t>
      </w:r>
      <w:r w:rsidR="00045105" w:rsidRPr="00550A2E">
        <w:rPr>
          <w:sz w:val="22"/>
          <w:szCs w:val="22"/>
        </w:rPr>
        <w:t>(eq.</w:t>
      </w:r>
      <w:r w:rsidR="00550A2E" w:rsidRPr="00550A2E">
        <w:rPr>
          <w:sz w:val="22"/>
          <w:szCs w:val="22"/>
        </w:rPr>
        <w:t>1</w:t>
      </w:r>
      <w:r w:rsidR="00FD2315">
        <w:rPr>
          <w:sz w:val="22"/>
          <w:szCs w:val="22"/>
        </w:rPr>
        <w:t>6</w:t>
      </w:r>
      <w:r w:rsidR="00045105" w:rsidRPr="00550A2E">
        <w:rPr>
          <w:sz w:val="22"/>
          <w:szCs w:val="22"/>
        </w:rPr>
        <w:t>).</w:t>
      </w:r>
      <w:r w:rsidR="00045105" w:rsidRPr="00D941D6">
        <w:rPr>
          <w:sz w:val="22"/>
          <w:szCs w:val="22"/>
        </w:rPr>
        <w:t xml:space="preserve"> </w:t>
      </w:r>
    </w:p>
    <w:tbl>
      <w:tblPr>
        <w:tblStyle w:val="TableGrid"/>
        <w:tblpPr w:leftFromText="180" w:rightFromText="180" w:vertAnchor="text" w:horzAnchor="margin" w:tblpY="154"/>
        <w:tblW w:w="827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328"/>
        <w:gridCol w:w="1246"/>
        <w:gridCol w:w="703"/>
      </w:tblGrid>
      <w:tr w:rsidR="001576BF" w:rsidRPr="00AA3D0C" w14:paraId="583286D5" w14:textId="77777777" w:rsidTr="008C63D2">
        <w:trPr>
          <w:trHeight w:val="996"/>
        </w:trPr>
        <w:tc>
          <w:tcPr>
            <w:tcW w:w="6328" w:type="dxa"/>
          </w:tcPr>
          <w:p w14:paraId="3F9F2F72" w14:textId="77777777" w:rsidR="00550A2E" w:rsidRPr="00550A2E" w:rsidRDefault="00550A2E" w:rsidP="008E6602">
            <w:pPr>
              <w:jc w:val="both"/>
              <w:rPr>
                <w:b/>
                <w:sz w:val="8"/>
                <w:szCs w:val="22"/>
              </w:rPr>
            </w:pPr>
          </w:p>
          <w:p w14:paraId="58EBFF41" w14:textId="77777777" w:rsidR="001576BF" w:rsidRPr="00AA3D0C" w:rsidRDefault="001576BF" w:rsidP="008E6602">
            <w:pPr>
              <w:jc w:val="both"/>
              <w:rPr>
                <w:sz w:val="22"/>
                <w:szCs w:val="22"/>
              </w:rPr>
            </w:pPr>
            <m:oMathPara>
              <m:oMathParaPr>
                <m:jc m:val="right"/>
              </m:oMathParaPr>
              <m:oMath>
                <m:r>
                  <m:rPr>
                    <m:sty m:val="bi"/>
                  </m:rPr>
                  <w:rPr>
                    <w:rFonts w:ascii="Cambria Math" w:hAnsi="Cambria Math"/>
                    <w:sz w:val="22"/>
                    <w:szCs w:val="22"/>
                  </w:rPr>
                  <m:t>TPG</m:t>
                </m:r>
                <m:r>
                  <w:rPr>
                    <w:rFonts w:ascii="Cambria Math" w:hAnsi="Cambria Math"/>
                    <w:sz w:val="22"/>
                    <w:szCs w:val="22"/>
                  </w:rPr>
                  <m:t xml:space="preserve">= </m:t>
                </m:r>
                <m:d>
                  <m:dPr>
                    <m:ctrlPr>
                      <w:rPr>
                        <w:rFonts w:ascii="Cambria Math" w:hAnsi="Cambria Math"/>
                        <w:i/>
                        <w:sz w:val="22"/>
                        <w:szCs w:val="22"/>
                      </w:rPr>
                    </m:ctrlPr>
                  </m:dPr>
                  <m:e>
                    <m:f>
                      <m:fPr>
                        <m:ctrlPr>
                          <w:rPr>
                            <w:rFonts w:ascii="Cambria Math" w:hAnsi="Cambria Math"/>
                            <w:i/>
                            <w:sz w:val="22"/>
                            <w:szCs w:val="22"/>
                          </w:rPr>
                        </m:ctrlPr>
                      </m:fPr>
                      <m:num>
                        <m:nary>
                          <m:naryPr>
                            <m:chr m:val="∑"/>
                            <m:limLoc m:val="undOvr"/>
                            <m:grow m:val="1"/>
                            <m:ctrlPr>
                              <w:rPr>
                                <w:rFonts w:ascii="Cambria Math" w:hAnsi="Cambria Math"/>
                                <w:i/>
                                <w:sz w:val="22"/>
                                <w:szCs w:val="22"/>
                              </w:rPr>
                            </m:ctrlPr>
                          </m:naryPr>
                          <m:sub>
                            <m:r>
                              <w:rPr>
                                <w:rFonts w:ascii="Cambria Math" w:hAnsi="Cambria Math"/>
                                <w:sz w:val="22"/>
                                <w:szCs w:val="22"/>
                              </w:rPr>
                              <m:t>i=1</m:t>
                            </m:r>
                          </m:sub>
                          <m:sup>
                            <m:r>
                              <w:rPr>
                                <w:rFonts w:ascii="Cambria Math" w:hAnsi="Cambria Math"/>
                                <w:sz w:val="22"/>
                                <w:szCs w:val="22"/>
                              </w:rPr>
                              <m:t>n</m:t>
                            </m:r>
                          </m:sup>
                          <m:e>
                            <m:sSub>
                              <m:sSubPr>
                                <m:ctrlPr>
                                  <w:rPr>
                                    <w:rFonts w:ascii="Cambria Math" w:hAnsi="Cambria Math"/>
                                    <w:i/>
                                    <w:sz w:val="22"/>
                                    <w:szCs w:val="22"/>
                                  </w:rPr>
                                </m:ctrlPr>
                              </m:sSubPr>
                              <m:e>
                                <m:r>
                                  <w:rPr>
                                    <w:rFonts w:ascii="Cambria Math" w:hAnsi="Cambria Math"/>
                                    <w:sz w:val="22"/>
                                    <w:szCs w:val="22"/>
                                  </w:rPr>
                                  <m:t>AdaptationPossibility</m:t>
                                </m:r>
                              </m:e>
                              <m:sub>
                                <m:r>
                                  <w:rPr>
                                    <w:rFonts w:ascii="Cambria Math" w:hAnsi="Cambria Math"/>
                                    <w:sz w:val="22"/>
                                    <w:szCs w:val="22"/>
                                  </w:rPr>
                                  <m:t>i</m:t>
                                </m:r>
                              </m:sub>
                            </m:sSub>
                          </m:e>
                        </m:nary>
                      </m:num>
                      <m:den>
                        <m:sSub>
                          <m:sSubPr>
                            <m:ctrlPr>
                              <w:rPr>
                                <w:rFonts w:ascii="Cambria Math" w:hAnsi="Cambria Math"/>
                                <w:i/>
                                <w:sz w:val="22"/>
                                <w:szCs w:val="22"/>
                              </w:rPr>
                            </m:ctrlPr>
                          </m:sSubPr>
                          <m:e>
                            <m:r>
                              <w:rPr>
                                <w:rFonts w:ascii="Cambria Math" w:hAnsi="Cambria Math"/>
                                <w:sz w:val="22"/>
                                <w:szCs w:val="22"/>
                              </w:rPr>
                              <m:t>TPG</m:t>
                            </m:r>
                          </m:e>
                          <m:sub>
                            <m:r>
                              <w:rPr>
                                <w:rFonts w:ascii="Cambria Math" w:hAnsi="Cambria Math"/>
                                <w:sz w:val="22"/>
                                <w:szCs w:val="22"/>
                              </w:rPr>
                              <m:t>max</m:t>
                            </m:r>
                          </m:sub>
                        </m:sSub>
                      </m:den>
                    </m:f>
                  </m:e>
                </m:d>
                <m:r>
                  <w:rPr>
                    <w:rFonts w:ascii="Cambria Math" w:hAnsi="Cambria Math"/>
                    <w:sz w:val="22"/>
                    <w:szCs w:val="22"/>
                  </w:rPr>
                  <m:t>∙100</m:t>
                </m:r>
              </m:oMath>
            </m:oMathPara>
          </w:p>
        </w:tc>
        <w:tc>
          <w:tcPr>
            <w:tcW w:w="1246" w:type="dxa"/>
          </w:tcPr>
          <w:p w14:paraId="70AC4E75" w14:textId="77777777" w:rsidR="001576BF" w:rsidRPr="00AA3D0C" w:rsidRDefault="001576BF" w:rsidP="008E6602">
            <w:pPr>
              <w:spacing w:before="240"/>
              <w:rPr>
                <w:sz w:val="22"/>
                <w:szCs w:val="22"/>
              </w:rPr>
            </w:pPr>
            <w:r w:rsidRPr="00AA3D0C">
              <w:rPr>
                <w:sz w:val="22"/>
                <w:szCs w:val="22"/>
              </w:rPr>
              <w:t>[%]</w:t>
            </w:r>
          </w:p>
        </w:tc>
        <w:tc>
          <w:tcPr>
            <w:tcW w:w="703" w:type="dxa"/>
          </w:tcPr>
          <w:p w14:paraId="1D4AC349" w14:textId="79F4DE3D" w:rsidR="001576BF" w:rsidRPr="00AA3D0C" w:rsidRDefault="001576BF" w:rsidP="008E6602">
            <w:pPr>
              <w:spacing w:before="240"/>
              <w:jc w:val="right"/>
              <w:rPr>
                <w:sz w:val="22"/>
                <w:szCs w:val="22"/>
              </w:rPr>
            </w:pPr>
            <w:r w:rsidRPr="00550A2E">
              <w:rPr>
                <w:sz w:val="22"/>
                <w:szCs w:val="22"/>
              </w:rPr>
              <w:t>(</w:t>
            </w:r>
            <w:r w:rsidR="00550A2E" w:rsidRPr="00550A2E">
              <w:rPr>
                <w:sz w:val="22"/>
                <w:szCs w:val="22"/>
              </w:rPr>
              <w:t>1</w:t>
            </w:r>
            <w:r w:rsidR="00FD2315">
              <w:rPr>
                <w:sz w:val="22"/>
                <w:szCs w:val="22"/>
              </w:rPr>
              <w:t>6</w:t>
            </w:r>
            <w:r w:rsidRPr="00550A2E">
              <w:rPr>
                <w:sz w:val="22"/>
                <w:szCs w:val="22"/>
              </w:rPr>
              <w:t>)</w:t>
            </w:r>
          </w:p>
        </w:tc>
      </w:tr>
    </w:tbl>
    <w:p w14:paraId="28FBBCD1" w14:textId="018327B3" w:rsidR="001576BF" w:rsidRPr="00E22D27" w:rsidRDefault="00727810" w:rsidP="00135D19">
      <w:pPr>
        <w:pStyle w:val="ListParagraph"/>
        <w:numPr>
          <w:ilvl w:val="0"/>
          <w:numId w:val="6"/>
        </w:numPr>
        <w:spacing w:before="240"/>
        <w:ind w:left="426"/>
        <w:jc w:val="both"/>
        <w:rPr>
          <w:rFonts w:ascii="Times New Roman" w:hAnsi="Times New Roman" w:cs="Times New Roman"/>
        </w:rPr>
      </w:pPr>
      <w:r w:rsidRPr="00E22D27">
        <w:rPr>
          <w:rFonts w:ascii="Times New Roman" w:hAnsi="Times New Roman" w:cs="Times New Roman"/>
          <w:i/>
          <w:u w:val="single"/>
        </w:rPr>
        <w:t>n</w:t>
      </w:r>
      <w:r w:rsidR="006A787C" w:rsidRPr="00E22D27">
        <w:rPr>
          <w:rFonts w:ascii="Times New Roman" w:hAnsi="Times New Roman" w:cs="Times New Roman"/>
          <w:i/>
          <w:u w:val="single"/>
        </w:rPr>
        <w:t>:</w:t>
      </w:r>
      <w:r w:rsidRPr="00E22D27">
        <w:rPr>
          <w:rFonts w:ascii="Times New Roman" w:hAnsi="Times New Roman" w:cs="Times New Roman"/>
          <w:i/>
        </w:rPr>
        <w:t xml:space="preserve"> </w:t>
      </w:r>
      <w:r w:rsidR="001576BF" w:rsidRPr="00E22D27">
        <w:rPr>
          <w:rFonts w:ascii="Times New Roman" w:hAnsi="Times New Roman" w:cs="Times New Roman"/>
        </w:rPr>
        <w:t xml:space="preserve">total number of gaze directions </w:t>
      </w:r>
      <w:r w:rsidRPr="00E22D27">
        <w:rPr>
          <w:rFonts w:ascii="Times New Roman" w:hAnsi="Times New Roman" w:cs="Times New Roman"/>
        </w:rPr>
        <w:t>(</w:t>
      </w:r>
      <w:proofErr w:type="spellStart"/>
      <w:r w:rsidRPr="00E22D27">
        <w:rPr>
          <w:rFonts w:ascii="Times New Roman" w:hAnsi="Times New Roman" w:cs="Times New Roman"/>
        </w:rPr>
        <w:t>G</w:t>
      </w:r>
      <w:r w:rsidRPr="00E22D27">
        <w:rPr>
          <w:rFonts w:ascii="Times New Roman" w:hAnsi="Times New Roman" w:cs="Times New Roman"/>
          <w:vertAlign w:val="subscript"/>
        </w:rPr>
        <w:t>dir</w:t>
      </w:r>
      <w:proofErr w:type="spellEnd"/>
      <w:r w:rsidRPr="00E22D27">
        <w:rPr>
          <w:rFonts w:ascii="Times New Roman" w:hAnsi="Times New Roman" w:cs="Times New Roman"/>
        </w:rPr>
        <w:t xml:space="preserve">) </w:t>
      </w:r>
      <w:r w:rsidR="001576BF" w:rsidRPr="00E22D27">
        <w:rPr>
          <w:rFonts w:ascii="Times New Roman" w:hAnsi="Times New Roman" w:cs="Times New Roman"/>
        </w:rPr>
        <w:t>in a certain position</w:t>
      </w:r>
    </w:p>
    <w:p w14:paraId="5C875A9E" w14:textId="75BC321A" w:rsidR="008C197A" w:rsidRPr="008C63D2" w:rsidRDefault="008C197A" w:rsidP="00135D19">
      <w:pPr>
        <w:pStyle w:val="ListParagraph"/>
        <w:numPr>
          <w:ilvl w:val="0"/>
          <w:numId w:val="6"/>
        </w:numPr>
        <w:spacing w:before="240"/>
        <w:ind w:left="426"/>
        <w:jc w:val="both"/>
        <w:rPr>
          <w:rFonts w:ascii="Times New Roman" w:hAnsi="Times New Roman" w:cs="Times New Roman"/>
        </w:rPr>
      </w:pPr>
      <w:r w:rsidRPr="00E22D27">
        <w:rPr>
          <w:rFonts w:ascii="Times New Roman" w:hAnsi="Times New Roman" w:cs="Times New Roman"/>
          <w:i/>
          <w:u w:val="single"/>
          <w:lang w:val="sv-SE"/>
        </w:rPr>
        <w:t>i:</w:t>
      </w:r>
      <w:r w:rsidRPr="00E22D27">
        <w:rPr>
          <w:rFonts w:ascii="Times New Roman" w:hAnsi="Times New Roman" w:cs="Times New Roman"/>
        </w:rPr>
        <w:t xml:space="preserve"> </w:t>
      </w:r>
      <w:r w:rsidR="00061A61">
        <w:rPr>
          <w:rFonts w:ascii="Times New Roman" w:hAnsi="Times New Roman" w:cs="Times New Roman"/>
        </w:rPr>
        <w:t>each of t</w:t>
      </w:r>
      <w:r w:rsidRPr="00E22D27">
        <w:rPr>
          <w:rFonts w:ascii="Times New Roman" w:hAnsi="Times New Roman" w:cs="Times New Roman"/>
        </w:rPr>
        <w:t>he different gaze directions starting from 0º to 180º</w:t>
      </w:r>
      <w:r w:rsidR="00061A61">
        <w:rPr>
          <w:rFonts w:ascii="Times New Roman" w:hAnsi="Times New Roman" w:cs="Times New Roman"/>
        </w:rPr>
        <w:t>, with 20</w:t>
      </w:r>
      <w:r w:rsidR="00061A61" w:rsidRPr="00E22D27">
        <w:rPr>
          <w:rFonts w:ascii="Times New Roman" w:hAnsi="Times New Roman" w:cs="Times New Roman"/>
        </w:rPr>
        <w:t>º</w:t>
      </w:r>
      <w:r w:rsidR="00061A61">
        <w:rPr>
          <w:rFonts w:ascii="Times New Roman" w:hAnsi="Times New Roman" w:cs="Times New Roman"/>
        </w:rPr>
        <w:t xml:space="preserve"> steps</w:t>
      </w:r>
      <w:r w:rsidR="005770F4">
        <w:rPr>
          <w:rFonts w:ascii="Times New Roman" w:hAnsi="Times New Roman" w:cs="Times New Roman"/>
        </w:rPr>
        <w:t xml:space="preserve"> </w:t>
      </w:r>
      <w:r w:rsidR="005770F4">
        <w:rPr>
          <w:rFonts w:ascii="Times New Roman" w:hAnsi="Times New Roman" w:cs="Times New Roman"/>
          <w:lang w:val="sv-SE"/>
        </w:rPr>
        <w:t>(</w:t>
      </w:r>
      <w:r w:rsidR="00061A61">
        <w:rPr>
          <w:rFonts w:ascii="Times New Roman" w:hAnsi="Times New Roman" w:cs="Times New Roman"/>
          <w:lang w:val="sv-SE"/>
        </w:rPr>
        <w:t>see</w:t>
      </w:r>
      <w:r w:rsidRPr="00E22D27">
        <w:rPr>
          <w:rFonts w:ascii="Times New Roman" w:hAnsi="Times New Roman" w:cs="Times New Roman"/>
          <w:lang w:val="sv-SE"/>
        </w:rPr>
        <w:t xml:space="preserve"> Figure</w:t>
      </w:r>
      <w:r w:rsidR="003D3207">
        <w:rPr>
          <w:rFonts w:ascii="Times New Roman" w:hAnsi="Times New Roman" w:cs="Times New Roman"/>
          <w:lang w:val="sv-SE"/>
        </w:rPr>
        <w:t xml:space="preserve"> </w:t>
      </w:r>
      <w:r w:rsidRPr="00E22D27">
        <w:rPr>
          <w:rFonts w:ascii="Times New Roman" w:hAnsi="Times New Roman" w:cs="Times New Roman"/>
          <w:lang w:val="sv-SE"/>
        </w:rPr>
        <w:t>3)</w:t>
      </w:r>
    </w:p>
    <w:p w14:paraId="321E1A12" w14:textId="63D0998F" w:rsidR="00CC07DB" w:rsidRPr="00E22D27" w:rsidRDefault="00CC07DB" w:rsidP="00135D19">
      <w:pPr>
        <w:pStyle w:val="ListParagraph"/>
        <w:numPr>
          <w:ilvl w:val="0"/>
          <w:numId w:val="6"/>
        </w:numPr>
        <w:spacing w:before="240"/>
        <w:ind w:left="426"/>
        <w:jc w:val="both"/>
        <w:rPr>
          <w:rFonts w:ascii="Times New Roman" w:hAnsi="Times New Roman" w:cs="Times New Roman"/>
        </w:rPr>
      </w:pPr>
      <w:r>
        <w:rPr>
          <w:rFonts w:ascii="Times New Roman" w:hAnsi="Times New Roman" w:cs="Times New Roman"/>
          <w:i/>
          <w:u w:val="single"/>
          <w:lang w:val="sv-SE"/>
        </w:rPr>
        <w:t>TPG</w:t>
      </w:r>
      <w:r w:rsidRPr="008C63D2">
        <w:rPr>
          <w:rFonts w:ascii="Times New Roman" w:hAnsi="Times New Roman" w:cs="Times New Roman"/>
          <w:i/>
          <w:u w:val="single"/>
          <w:vertAlign w:val="subscript"/>
          <w:lang w:val="sv-SE"/>
        </w:rPr>
        <w:t>max</w:t>
      </w:r>
      <w:r>
        <w:rPr>
          <w:rFonts w:ascii="Times New Roman" w:hAnsi="Times New Roman" w:cs="Times New Roman"/>
          <w:i/>
          <w:u w:val="single"/>
          <w:lang w:val="sv-SE"/>
        </w:rPr>
        <w:t>:</w:t>
      </w:r>
      <w:r>
        <w:rPr>
          <w:rFonts w:ascii="Times New Roman" w:hAnsi="Times New Roman" w:cs="Times New Roman"/>
          <w:lang w:val="sv-SE"/>
        </w:rPr>
        <w:t xml:space="preserve"> the maximum TPG, </w:t>
      </w:r>
      <w:r w:rsidRPr="009244FC">
        <w:rPr>
          <w:rFonts w:ascii="Times New Roman" w:hAnsi="Times New Roman" w:cs="Times New Roman"/>
        </w:rPr>
        <w:t xml:space="preserve">i.e. </w:t>
      </w:r>
      <w:r w:rsidRPr="008207D4">
        <w:rPr>
          <w:rFonts w:ascii="Times New Roman" w:hAnsi="Times New Roman" w:cs="Times New Roman"/>
        </w:rPr>
        <w:t xml:space="preserve">when all the directional gazes of a specific position would have </w:t>
      </w:r>
      <w:r w:rsidRPr="008207D4">
        <w:rPr>
          <w:rFonts w:ascii="Times New Roman" w:hAnsi="Times New Roman" w:cs="Times New Roman"/>
          <w:b/>
        </w:rPr>
        <w:t>disturbing glare</w:t>
      </w:r>
      <w:r w:rsidRPr="008207D4">
        <w:rPr>
          <w:rFonts w:ascii="Times New Roman" w:hAnsi="Times New Roman" w:cs="Times New Roman"/>
        </w:rPr>
        <w:t xml:space="preserve"> per hour</w:t>
      </w:r>
    </w:p>
    <w:tbl>
      <w:tblPr>
        <w:tblStyle w:val="TableGrid"/>
        <w:tblpPr w:leftFromText="180" w:rightFromText="180" w:vertAnchor="text" w:horzAnchor="margin" w:tblpY="-55"/>
        <w:tblW w:w="823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141"/>
        <w:gridCol w:w="1323"/>
        <w:gridCol w:w="772"/>
      </w:tblGrid>
      <w:tr w:rsidR="00CC07DB" w:rsidRPr="00AA3D0C" w14:paraId="5F7AF1E5" w14:textId="77777777" w:rsidTr="008C63D2">
        <w:trPr>
          <w:trHeight w:val="146"/>
        </w:trPr>
        <w:tc>
          <w:tcPr>
            <w:tcW w:w="6141" w:type="dxa"/>
          </w:tcPr>
          <w:p w14:paraId="3DD0DB89" w14:textId="77777777" w:rsidR="00CC07DB" w:rsidRPr="00CC07DB" w:rsidRDefault="00B030DD" w:rsidP="00CC07DB">
            <w:pPr>
              <w:jc w:val="both"/>
              <w:rPr>
                <w:rFonts w:ascii="Cambria Math" w:eastAsiaTheme="minorEastAsia" w:hAnsi="Cambria Math"/>
                <w:i/>
                <w:sz w:val="22"/>
                <w:szCs w:val="22"/>
              </w:rPr>
            </w:pPr>
            <m:oMathPara>
              <m:oMathParaPr>
                <m:jc m:val="right"/>
              </m:oMathParaPr>
              <m:oMath>
                <m:sSub>
                  <m:sSubPr>
                    <m:ctrlPr>
                      <w:rPr>
                        <w:rFonts w:ascii="Cambria Math" w:hAnsi="Cambria Math"/>
                        <w:i/>
                        <w:sz w:val="22"/>
                        <w:szCs w:val="22"/>
                      </w:rPr>
                    </m:ctrlPr>
                  </m:sSubPr>
                  <m:e>
                    <m:r>
                      <w:rPr>
                        <w:rFonts w:ascii="Cambria Math" w:hAnsi="Cambria Math"/>
                        <w:sz w:val="22"/>
                        <w:szCs w:val="22"/>
                      </w:rPr>
                      <m:t>TPG</m:t>
                    </m:r>
                  </m:e>
                  <m:sub>
                    <m:r>
                      <w:rPr>
                        <w:rFonts w:ascii="Cambria Math" w:hAnsi="Cambria Math"/>
                        <w:sz w:val="22"/>
                        <w:szCs w:val="22"/>
                      </w:rPr>
                      <m:t>max</m:t>
                    </m:r>
                  </m:sub>
                </m:sSub>
                <m:r>
                  <w:rPr>
                    <w:rFonts w:ascii="Cambria Math" w:hAnsi="Cambria Math"/>
                    <w:sz w:val="22"/>
                    <w:szCs w:val="22"/>
                  </w:rPr>
                  <m:t>=GlareCredit∙</m:t>
                </m:r>
                <m:nary>
                  <m:naryPr>
                    <m:chr m:val="∑"/>
                    <m:limLoc m:val="undOvr"/>
                    <m:ctrlPr>
                      <w:rPr>
                        <w:rFonts w:ascii="Cambria Math" w:hAnsi="Cambria Math"/>
                        <w:i/>
                        <w:sz w:val="22"/>
                        <w:szCs w:val="22"/>
                      </w:rPr>
                    </m:ctrlPr>
                  </m:naryPr>
                  <m:sub>
                    <m:r>
                      <w:rPr>
                        <w:rFonts w:ascii="Cambria Math" w:hAnsi="Cambria Math"/>
                        <w:sz w:val="22"/>
                        <w:szCs w:val="22"/>
                      </w:rPr>
                      <m:t>i=1</m:t>
                    </m:r>
                  </m:sub>
                  <m:sup>
                    <m:r>
                      <w:rPr>
                        <w:rFonts w:ascii="Cambria Math" w:hAnsi="Cambria Math"/>
                        <w:sz w:val="22"/>
                        <w:szCs w:val="22"/>
                      </w:rPr>
                      <m:t>n</m:t>
                    </m:r>
                  </m:sup>
                  <m:e>
                    <m:sSub>
                      <m:sSubPr>
                        <m:ctrlPr>
                          <w:rPr>
                            <w:rFonts w:ascii="Cambria Math" w:hAnsi="Cambria Math"/>
                            <w:i/>
                            <w:sz w:val="22"/>
                            <w:szCs w:val="22"/>
                            <w:lang w:val="el-GR"/>
                          </w:rPr>
                        </m:ctrlPr>
                      </m:sSubPr>
                      <m:e>
                        <m:r>
                          <w:rPr>
                            <w:rFonts w:ascii="Cambria Math" w:hAnsi="Cambria Math"/>
                            <w:sz w:val="22"/>
                            <w:szCs w:val="22"/>
                            <w:lang w:val="el-GR"/>
                          </w:rPr>
                          <m:t>φ</m:t>
                        </m:r>
                      </m:e>
                      <m:sub>
                        <m:r>
                          <w:rPr>
                            <w:rFonts w:ascii="Cambria Math" w:hAnsi="Cambria Math"/>
                            <w:sz w:val="22"/>
                            <w:szCs w:val="22"/>
                            <w:lang w:val="el-GR"/>
                          </w:rPr>
                          <m:t>i</m:t>
                        </m:r>
                      </m:sub>
                    </m:sSub>
                  </m:e>
                </m:nary>
                <m:r>
                  <w:rPr>
                    <w:rFonts w:ascii="Cambria Math" w:hAnsi="Cambria Math"/>
                    <w:sz w:val="22"/>
                    <w:szCs w:val="22"/>
                  </w:rPr>
                  <m:t>∙</m:t>
                </m:r>
                <m:sSub>
                  <m:sSubPr>
                    <m:ctrlPr>
                      <w:rPr>
                        <w:rFonts w:ascii="Cambria Math" w:hAnsi="Cambria Math"/>
                        <w:i/>
                        <w:sz w:val="22"/>
                        <w:szCs w:val="22"/>
                      </w:rPr>
                    </m:ctrlPr>
                  </m:sSubPr>
                  <m:e>
                    <m:r>
                      <w:rPr>
                        <w:rFonts w:ascii="Cambria Math" w:hAnsi="Cambria Math"/>
                        <w:sz w:val="22"/>
                        <w:szCs w:val="22"/>
                      </w:rPr>
                      <m:t>G</m:t>
                    </m:r>
                  </m:e>
                  <m:sub>
                    <m:r>
                      <w:rPr>
                        <w:rFonts w:ascii="Cambria Math" w:hAnsi="Cambria Math"/>
                        <w:sz w:val="22"/>
                        <w:szCs w:val="22"/>
                      </w:rPr>
                      <m:t>dir,max</m:t>
                    </m:r>
                  </m:sub>
                </m:sSub>
              </m:oMath>
            </m:oMathPara>
          </w:p>
          <w:p w14:paraId="1082D902" w14:textId="77777777" w:rsidR="00CC07DB" w:rsidRPr="00421CF9" w:rsidRDefault="00CC07DB" w:rsidP="00CC07DB">
            <w:pPr>
              <w:jc w:val="both"/>
              <w:rPr>
                <w:rFonts w:ascii="Cambria Math" w:eastAsiaTheme="minorEastAsia" w:hAnsi="Cambria Math"/>
                <w:i/>
                <w:sz w:val="22"/>
                <w:szCs w:val="22"/>
              </w:rPr>
            </w:pPr>
          </w:p>
        </w:tc>
        <w:tc>
          <w:tcPr>
            <w:tcW w:w="1323" w:type="dxa"/>
          </w:tcPr>
          <w:p w14:paraId="06CBEB16" w14:textId="77777777" w:rsidR="00CC07DB" w:rsidRPr="00550A2E" w:rsidRDefault="00CC07DB" w:rsidP="00CC07DB">
            <w:pPr>
              <w:rPr>
                <w:sz w:val="18"/>
                <w:szCs w:val="22"/>
              </w:rPr>
            </w:pPr>
          </w:p>
          <w:p w14:paraId="580657CC" w14:textId="77777777" w:rsidR="00CC07DB" w:rsidRPr="00AA3D0C" w:rsidRDefault="00CC07DB" w:rsidP="00CC07DB">
            <w:pPr>
              <w:rPr>
                <w:sz w:val="22"/>
                <w:szCs w:val="22"/>
              </w:rPr>
            </w:pPr>
            <w:r w:rsidRPr="00AA3D0C">
              <w:rPr>
                <w:sz w:val="22"/>
                <w:szCs w:val="22"/>
              </w:rPr>
              <w:t>[</w:t>
            </w:r>
            <w:r>
              <w:rPr>
                <w:sz w:val="22"/>
                <w:szCs w:val="22"/>
              </w:rPr>
              <w:t>-</w:t>
            </w:r>
            <w:r w:rsidRPr="00AA3D0C">
              <w:rPr>
                <w:sz w:val="22"/>
                <w:szCs w:val="22"/>
              </w:rPr>
              <w:t>]</w:t>
            </w:r>
          </w:p>
        </w:tc>
        <w:tc>
          <w:tcPr>
            <w:tcW w:w="772" w:type="dxa"/>
          </w:tcPr>
          <w:p w14:paraId="06631EC8" w14:textId="77777777" w:rsidR="00CC07DB" w:rsidRPr="00550A2E" w:rsidRDefault="00CC07DB" w:rsidP="00CC07DB">
            <w:pPr>
              <w:jc w:val="right"/>
              <w:rPr>
                <w:sz w:val="18"/>
                <w:szCs w:val="22"/>
              </w:rPr>
            </w:pPr>
          </w:p>
          <w:p w14:paraId="23A080D3" w14:textId="77777777" w:rsidR="00CC07DB" w:rsidRPr="00AA3D0C" w:rsidRDefault="00CC07DB" w:rsidP="00CC07DB">
            <w:pPr>
              <w:jc w:val="right"/>
              <w:rPr>
                <w:sz w:val="22"/>
                <w:szCs w:val="22"/>
              </w:rPr>
            </w:pPr>
            <w:r w:rsidRPr="00AA3D0C">
              <w:rPr>
                <w:sz w:val="22"/>
                <w:szCs w:val="22"/>
              </w:rPr>
              <w:t>(</w:t>
            </w:r>
            <w:r>
              <w:rPr>
                <w:sz w:val="22"/>
                <w:szCs w:val="22"/>
              </w:rPr>
              <w:t>17)</w:t>
            </w:r>
          </w:p>
        </w:tc>
      </w:tr>
    </w:tbl>
    <w:p w14:paraId="0E41F695" w14:textId="4BC60546" w:rsidR="00421CF9" w:rsidRPr="00E22D27" w:rsidRDefault="005457CA" w:rsidP="00135D19">
      <w:pPr>
        <w:pStyle w:val="ListParagraph"/>
        <w:numPr>
          <w:ilvl w:val="0"/>
          <w:numId w:val="7"/>
        </w:numPr>
        <w:spacing w:before="240"/>
        <w:ind w:left="426"/>
        <w:jc w:val="both"/>
        <w:rPr>
          <w:rFonts w:ascii="Times New Roman" w:hAnsi="Times New Roman" w:cs="Times New Roman"/>
        </w:rPr>
      </w:pPr>
      <w:proofErr w:type="spellStart"/>
      <w:r w:rsidRPr="007D76FD">
        <w:rPr>
          <w:rFonts w:ascii="Times New Roman" w:hAnsi="Times New Roman" w:cs="Times New Roman"/>
        </w:rPr>
        <w:t>G</w:t>
      </w:r>
      <w:r w:rsidR="006A787C" w:rsidRPr="00435292">
        <w:rPr>
          <w:rFonts w:ascii="Times New Roman" w:hAnsi="Times New Roman" w:cs="Times New Roman"/>
        </w:rPr>
        <w:t>lare</w:t>
      </w:r>
      <w:r w:rsidRPr="005A13D2">
        <w:rPr>
          <w:rFonts w:ascii="Times New Roman" w:hAnsi="Times New Roman" w:cs="Times New Roman"/>
        </w:rPr>
        <w:t>C</w:t>
      </w:r>
      <w:r w:rsidR="006A787C" w:rsidRPr="005A13D2">
        <w:rPr>
          <w:rFonts w:ascii="Times New Roman" w:hAnsi="Times New Roman" w:cs="Times New Roman"/>
        </w:rPr>
        <w:t>redit</w:t>
      </w:r>
      <w:proofErr w:type="spellEnd"/>
      <w:r w:rsidR="006A787C" w:rsidRPr="00E22D27">
        <w:rPr>
          <w:rFonts w:ascii="Times New Roman" w:hAnsi="Times New Roman" w:cs="Times New Roman"/>
        </w:rPr>
        <w:t xml:space="preserve"> </w:t>
      </w:r>
      <w:r w:rsidR="006A787C" w:rsidRPr="00E22D27">
        <w:rPr>
          <w:rFonts w:ascii="Times New Roman" w:hAnsi="Times New Roman" w:cs="Times New Roman"/>
          <w:lang w:val="el-GR"/>
        </w:rPr>
        <w:t xml:space="preserve">= </w:t>
      </w:r>
      <w:r w:rsidR="00307436" w:rsidRPr="00E22D27">
        <w:rPr>
          <w:rFonts w:ascii="Times New Roman" w:hAnsi="Times New Roman" w:cs="Times New Roman"/>
        </w:rPr>
        <w:t>3</w:t>
      </w:r>
      <w:r w:rsidR="000A2D7F">
        <w:rPr>
          <w:rFonts w:ascii="Times New Roman" w:hAnsi="Times New Roman" w:cs="Times New Roman"/>
        </w:rPr>
        <w:t xml:space="preserve"> (</w:t>
      </w:r>
      <w:r w:rsidR="00991867">
        <w:rPr>
          <w:rFonts w:ascii="Times New Roman" w:hAnsi="Times New Roman" w:cs="Times New Roman"/>
        </w:rPr>
        <w:t>weighting factor</w:t>
      </w:r>
      <w:r w:rsidR="000A2D7F">
        <w:rPr>
          <w:rFonts w:ascii="Times New Roman" w:hAnsi="Times New Roman" w:cs="Times New Roman"/>
        </w:rPr>
        <w:t xml:space="preserve"> for disturbing glare)</w:t>
      </w:r>
      <w:r w:rsidR="006752AA">
        <w:rPr>
          <w:rFonts w:ascii="Times New Roman" w:hAnsi="Times New Roman" w:cs="Times New Roman"/>
        </w:rPr>
        <w:t xml:space="preserve"> (see Table 1 and Table 2)</w:t>
      </w:r>
    </w:p>
    <w:p w14:paraId="139D7232" w14:textId="3BCCB94D" w:rsidR="00421CF9" w:rsidRPr="00E22D27" w:rsidRDefault="000A2D7F" w:rsidP="00135D19">
      <w:pPr>
        <w:pStyle w:val="ListParagraph"/>
        <w:numPr>
          <w:ilvl w:val="0"/>
          <w:numId w:val="7"/>
        </w:numPr>
        <w:spacing w:before="240" w:after="0"/>
        <w:ind w:left="426"/>
        <w:jc w:val="both"/>
        <w:rPr>
          <w:rFonts w:ascii="Times New Roman" w:hAnsi="Times New Roman" w:cs="Times New Roman"/>
        </w:rPr>
      </w:pPr>
      <w:proofErr w:type="spellStart"/>
      <w:proofErr w:type="gramStart"/>
      <w:r>
        <w:rPr>
          <w:rFonts w:ascii="Times New Roman" w:hAnsi="Times New Roman" w:cs="Times New Roman"/>
        </w:rPr>
        <w:t>G</w:t>
      </w:r>
      <w:r w:rsidRPr="008C63D2">
        <w:rPr>
          <w:rFonts w:ascii="Times New Roman" w:hAnsi="Times New Roman" w:cs="Times New Roman"/>
          <w:vertAlign w:val="subscript"/>
        </w:rPr>
        <w:t>dir</w:t>
      </w:r>
      <w:r w:rsidR="005770F4" w:rsidRPr="008C63D2">
        <w:rPr>
          <w:rFonts w:ascii="Times New Roman" w:hAnsi="Times New Roman" w:cs="Times New Roman"/>
          <w:vertAlign w:val="subscript"/>
        </w:rPr>
        <w:t>,max</w:t>
      </w:r>
      <w:proofErr w:type="spellEnd"/>
      <w:proofErr w:type="gramEnd"/>
      <w:r w:rsidR="00421CF9" w:rsidRPr="00E22D27">
        <w:rPr>
          <w:rFonts w:ascii="Times New Roman" w:hAnsi="Times New Roman" w:cs="Times New Roman"/>
        </w:rPr>
        <w:t>= 0.45</w:t>
      </w:r>
      <w:r w:rsidR="005770F4">
        <w:rPr>
          <w:rFonts w:ascii="Times New Roman" w:hAnsi="Times New Roman" w:cs="Times New Roman"/>
        </w:rPr>
        <w:t xml:space="preserve"> (for DGP/DGPs) or</w:t>
      </w:r>
      <w:r w:rsidR="00421CF9" w:rsidRPr="00E22D27">
        <w:rPr>
          <w:rFonts w:ascii="Times New Roman" w:hAnsi="Times New Roman" w:cs="Times New Roman"/>
        </w:rPr>
        <w:t xml:space="preserve"> </w:t>
      </w:r>
      <w:proofErr w:type="spellStart"/>
      <w:r w:rsidR="005770F4">
        <w:rPr>
          <w:rFonts w:ascii="Times New Roman" w:hAnsi="Times New Roman" w:cs="Times New Roman"/>
        </w:rPr>
        <w:t>G</w:t>
      </w:r>
      <w:r w:rsidR="005770F4" w:rsidRPr="008C63D2">
        <w:rPr>
          <w:rFonts w:ascii="Times New Roman" w:hAnsi="Times New Roman" w:cs="Times New Roman"/>
          <w:vertAlign w:val="subscript"/>
        </w:rPr>
        <w:t>dir,max</w:t>
      </w:r>
      <w:proofErr w:type="spellEnd"/>
      <w:r w:rsidR="005770F4" w:rsidRPr="008C63D2">
        <w:rPr>
          <w:rFonts w:ascii="Times New Roman" w:hAnsi="Times New Roman" w:cs="Times New Roman"/>
          <w:vertAlign w:val="subscript"/>
        </w:rPr>
        <w:t xml:space="preserve"> </w:t>
      </w:r>
      <w:r w:rsidR="005770F4" w:rsidRPr="00E22D27">
        <w:rPr>
          <w:rFonts w:ascii="Times New Roman" w:hAnsi="Times New Roman" w:cs="Times New Roman"/>
        </w:rPr>
        <w:t>=</w:t>
      </w:r>
      <w:r w:rsidR="005770F4">
        <w:rPr>
          <w:rFonts w:ascii="Times New Roman" w:hAnsi="Times New Roman" w:cs="Times New Roman"/>
        </w:rPr>
        <w:t xml:space="preserve"> </w:t>
      </w:r>
      <w:r w:rsidR="005770F4" w:rsidRPr="00E22D27">
        <w:rPr>
          <w:rFonts w:ascii="Times New Roman" w:hAnsi="Times New Roman" w:cs="Times New Roman"/>
        </w:rPr>
        <w:t>31/100 =0.31 (</w:t>
      </w:r>
      <w:r w:rsidR="005770F4">
        <w:rPr>
          <w:rFonts w:ascii="Times New Roman" w:hAnsi="Times New Roman" w:cs="Times New Roman"/>
        </w:rPr>
        <w:t xml:space="preserve">for </w:t>
      </w:r>
      <w:r w:rsidR="00421CF9" w:rsidRPr="00E22D27">
        <w:rPr>
          <w:rFonts w:ascii="Times New Roman" w:hAnsi="Times New Roman" w:cs="Times New Roman"/>
        </w:rPr>
        <w:t>DGI</w:t>
      </w:r>
      <w:r w:rsidR="00421CF9" w:rsidRPr="00E22D27">
        <w:rPr>
          <w:rStyle w:val="FootnoteReference"/>
          <w:rFonts w:ascii="Times New Roman" w:hAnsi="Times New Roman" w:cs="Times New Roman"/>
        </w:rPr>
        <w:footnoteReference w:id="10"/>
      </w:r>
      <w:r w:rsidR="005770F4">
        <w:rPr>
          <w:rFonts w:ascii="Times New Roman" w:hAnsi="Times New Roman" w:cs="Times New Roman"/>
        </w:rPr>
        <w:t>).</w:t>
      </w:r>
    </w:p>
    <w:p w14:paraId="0BE4FE56" w14:textId="64E8E603" w:rsidR="00EB749D" w:rsidRPr="009A4D84" w:rsidRDefault="00C8089F" w:rsidP="008C63D2">
      <w:pPr>
        <w:spacing w:before="240" w:after="240"/>
        <w:jc w:val="both"/>
        <w:rPr>
          <w:sz w:val="22"/>
          <w:szCs w:val="22"/>
        </w:rPr>
      </w:pPr>
      <w:r>
        <w:rPr>
          <w:sz w:val="22"/>
          <w:szCs w:val="22"/>
        </w:rPr>
        <w:lastRenderedPageBreak/>
        <w:t xml:space="preserve">Once the normalization is performed, the method would require a target value for TGP, </w:t>
      </w:r>
      <w:r w:rsidRPr="009A4D84">
        <w:rPr>
          <w:sz w:val="22"/>
          <w:szCs w:val="22"/>
        </w:rPr>
        <w:t>(</w:t>
      </w:r>
      <w:proofErr w:type="spellStart"/>
      <w:r w:rsidR="006A4FC0" w:rsidRPr="009A4D84">
        <w:rPr>
          <w:sz w:val="22"/>
          <w:szCs w:val="22"/>
        </w:rPr>
        <w:t>TPG</w:t>
      </w:r>
      <w:r w:rsidR="006A4FC0" w:rsidRPr="008C63D2">
        <w:rPr>
          <w:sz w:val="22"/>
          <w:szCs w:val="22"/>
          <w:vertAlign w:val="subscript"/>
        </w:rPr>
        <w:t>target</w:t>
      </w:r>
      <w:proofErr w:type="spellEnd"/>
      <w:r w:rsidRPr="009A4D84">
        <w:rPr>
          <w:sz w:val="22"/>
          <w:szCs w:val="22"/>
        </w:rPr>
        <w:t xml:space="preserve">). </w:t>
      </w:r>
      <w:r>
        <w:rPr>
          <w:sz w:val="22"/>
          <w:szCs w:val="22"/>
        </w:rPr>
        <w:t xml:space="preserve">Even in this case, in lack of field tests with individuals, the target </w:t>
      </w:r>
      <w:r w:rsidR="008C197A">
        <w:rPr>
          <w:sz w:val="22"/>
          <w:szCs w:val="22"/>
        </w:rPr>
        <w:t>was</w:t>
      </w:r>
      <w:r w:rsidR="00045105">
        <w:rPr>
          <w:sz w:val="22"/>
          <w:szCs w:val="22"/>
        </w:rPr>
        <w:t xml:space="preserve"> </w:t>
      </w:r>
      <w:r>
        <w:rPr>
          <w:sz w:val="22"/>
          <w:szCs w:val="22"/>
        </w:rPr>
        <w:t>arbitrarily</w:t>
      </w:r>
      <w:r w:rsidR="00557AD7">
        <w:rPr>
          <w:sz w:val="22"/>
          <w:szCs w:val="22"/>
        </w:rPr>
        <w:t xml:space="preserve"> chosen</w:t>
      </w:r>
      <w:r>
        <w:rPr>
          <w:sz w:val="22"/>
          <w:szCs w:val="22"/>
        </w:rPr>
        <w:t xml:space="preserve"> as equal</w:t>
      </w:r>
      <w:r w:rsidR="000A56A3">
        <w:rPr>
          <w:sz w:val="22"/>
          <w:szCs w:val="22"/>
        </w:rPr>
        <w:t xml:space="preserve"> to </w:t>
      </w:r>
      <w:r w:rsidR="000A2D7F" w:rsidRPr="008C63D2">
        <w:rPr>
          <w:b/>
          <w:sz w:val="22"/>
          <w:szCs w:val="22"/>
        </w:rPr>
        <w:t>perceptible</w:t>
      </w:r>
      <w:r w:rsidR="000A56A3" w:rsidRPr="008C63D2">
        <w:rPr>
          <w:b/>
          <w:sz w:val="22"/>
          <w:szCs w:val="22"/>
        </w:rPr>
        <w:t xml:space="preserve"> glare</w:t>
      </w:r>
      <w:r w:rsidR="000A56A3">
        <w:rPr>
          <w:sz w:val="22"/>
          <w:szCs w:val="22"/>
        </w:rPr>
        <w:t xml:space="preserve"> for all direction</w:t>
      </w:r>
      <w:r w:rsidR="00BE1EF1">
        <w:rPr>
          <w:sz w:val="22"/>
          <w:szCs w:val="22"/>
        </w:rPr>
        <w:t>s.</w:t>
      </w:r>
    </w:p>
    <w:tbl>
      <w:tblPr>
        <w:tblStyle w:val="TableGrid"/>
        <w:tblpPr w:leftFromText="180" w:rightFromText="180" w:vertAnchor="text" w:horzAnchor="margin" w:tblpY="154"/>
        <w:tblW w:w="823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143"/>
        <w:gridCol w:w="1396"/>
        <w:gridCol w:w="699"/>
      </w:tblGrid>
      <w:tr w:rsidR="00307436" w:rsidRPr="00AA3D0C" w14:paraId="2E198A6F" w14:textId="77777777" w:rsidTr="008C63D2">
        <w:trPr>
          <w:trHeight w:val="903"/>
        </w:trPr>
        <w:tc>
          <w:tcPr>
            <w:tcW w:w="6143" w:type="dxa"/>
          </w:tcPr>
          <w:p w14:paraId="6AFDD333" w14:textId="4468007C" w:rsidR="00307436" w:rsidRPr="00421CF9" w:rsidRDefault="00B030DD" w:rsidP="008E6602">
            <w:pPr>
              <w:jc w:val="both"/>
              <w:rPr>
                <w:rFonts w:ascii="Cambria Math" w:eastAsiaTheme="minorEastAsia" w:hAnsi="Cambria Math"/>
                <w:i/>
                <w:sz w:val="22"/>
                <w:szCs w:val="22"/>
              </w:rPr>
            </w:pPr>
            <m:oMathPara>
              <m:oMathParaPr>
                <m:jc m:val="right"/>
              </m:oMathParaPr>
              <m:oMath>
                <m:sSub>
                  <m:sSubPr>
                    <m:ctrlPr>
                      <w:rPr>
                        <w:rFonts w:ascii="Cambria Math" w:hAnsi="Cambria Math"/>
                        <w:i/>
                        <w:sz w:val="22"/>
                        <w:szCs w:val="22"/>
                      </w:rPr>
                    </m:ctrlPr>
                  </m:sSubPr>
                  <m:e>
                    <m:r>
                      <w:rPr>
                        <w:rFonts w:ascii="Cambria Math" w:hAnsi="Cambria Math"/>
                        <w:sz w:val="22"/>
                        <w:szCs w:val="22"/>
                      </w:rPr>
                      <m:t>TPG</m:t>
                    </m:r>
                  </m:e>
                  <m:sub>
                    <m:r>
                      <w:rPr>
                        <w:rFonts w:ascii="Cambria Math" w:hAnsi="Cambria Math"/>
                        <w:sz w:val="22"/>
                        <w:szCs w:val="22"/>
                      </w:rPr>
                      <m:t>target</m:t>
                    </m:r>
                  </m:sub>
                </m:sSub>
                <m:r>
                  <w:rPr>
                    <w:rFonts w:ascii="Cambria Math" w:hAnsi="Cambria Math"/>
                    <w:sz w:val="22"/>
                    <w:szCs w:val="22"/>
                  </w:rPr>
                  <m:t>=GlareCredit∙</m:t>
                </m:r>
                <m:nary>
                  <m:naryPr>
                    <m:chr m:val="∑"/>
                    <m:limLoc m:val="undOvr"/>
                    <m:ctrlPr>
                      <w:rPr>
                        <w:rFonts w:ascii="Cambria Math" w:hAnsi="Cambria Math"/>
                        <w:i/>
                        <w:sz w:val="22"/>
                        <w:szCs w:val="22"/>
                      </w:rPr>
                    </m:ctrlPr>
                  </m:naryPr>
                  <m:sub>
                    <m:r>
                      <w:rPr>
                        <w:rFonts w:ascii="Cambria Math" w:hAnsi="Cambria Math"/>
                        <w:sz w:val="22"/>
                        <w:szCs w:val="22"/>
                      </w:rPr>
                      <m:t>i=1</m:t>
                    </m:r>
                  </m:sub>
                  <m:sup>
                    <m:r>
                      <w:rPr>
                        <w:rFonts w:ascii="Cambria Math" w:hAnsi="Cambria Math"/>
                        <w:sz w:val="22"/>
                        <w:szCs w:val="22"/>
                      </w:rPr>
                      <m:t>n</m:t>
                    </m:r>
                  </m:sup>
                  <m:e>
                    <m:sSub>
                      <m:sSubPr>
                        <m:ctrlPr>
                          <w:rPr>
                            <w:rFonts w:ascii="Cambria Math" w:hAnsi="Cambria Math"/>
                            <w:i/>
                            <w:sz w:val="22"/>
                            <w:szCs w:val="22"/>
                            <w:lang w:val="el-GR"/>
                          </w:rPr>
                        </m:ctrlPr>
                      </m:sSubPr>
                      <m:e>
                        <m:r>
                          <w:rPr>
                            <w:rFonts w:ascii="Cambria Math" w:hAnsi="Cambria Math"/>
                            <w:sz w:val="22"/>
                            <w:szCs w:val="22"/>
                            <w:lang w:val="el-GR"/>
                          </w:rPr>
                          <m:t>φ</m:t>
                        </m:r>
                      </m:e>
                      <m:sub>
                        <m:r>
                          <w:rPr>
                            <w:rFonts w:ascii="Cambria Math" w:hAnsi="Cambria Math"/>
                            <w:sz w:val="22"/>
                            <w:szCs w:val="22"/>
                            <w:lang w:val="el-GR"/>
                          </w:rPr>
                          <m:t>i</m:t>
                        </m:r>
                      </m:sub>
                    </m:sSub>
                  </m:e>
                </m:nary>
                <m:r>
                  <w:rPr>
                    <w:rFonts w:ascii="Cambria Math" w:hAnsi="Cambria Math"/>
                    <w:sz w:val="22"/>
                    <w:szCs w:val="22"/>
                  </w:rPr>
                  <m:t>∙</m:t>
                </m:r>
                <m:sSub>
                  <m:sSubPr>
                    <m:ctrlPr>
                      <w:rPr>
                        <w:rFonts w:ascii="Cambria Math" w:hAnsi="Cambria Math"/>
                        <w:i/>
                        <w:sz w:val="22"/>
                        <w:szCs w:val="22"/>
                      </w:rPr>
                    </m:ctrlPr>
                  </m:sSubPr>
                  <m:e>
                    <m:r>
                      <w:rPr>
                        <w:rFonts w:ascii="Cambria Math" w:hAnsi="Cambria Math"/>
                        <w:sz w:val="22"/>
                        <w:szCs w:val="22"/>
                      </w:rPr>
                      <m:t>G</m:t>
                    </m:r>
                  </m:e>
                  <m:sub>
                    <m:r>
                      <w:rPr>
                        <w:rFonts w:ascii="Cambria Math" w:hAnsi="Cambria Math"/>
                        <w:sz w:val="22"/>
                        <w:szCs w:val="22"/>
                      </w:rPr>
                      <m:t>dir,target</m:t>
                    </m:r>
                  </m:sub>
                </m:sSub>
              </m:oMath>
            </m:oMathPara>
          </w:p>
        </w:tc>
        <w:tc>
          <w:tcPr>
            <w:tcW w:w="1396" w:type="dxa"/>
          </w:tcPr>
          <w:p w14:paraId="269C40F1" w14:textId="77777777" w:rsidR="00550A2E" w:rsidRPr="00550A2E" w:rsidRDefault="00550A2E" w:rsidP="008E6602">
            <w:pPr>
              <w:rPr>
                <w:sz w:val="18"/>
                <w:szCs w:val="22"/>
              </w:rPr>
            </w:pPr>
          </w:p>
          <w:p w14:paraId="5374294D" w14:textId="77777777" w:rsidR="00307436" w:rsidRPr="00AA3D0C" w:rsidRDefault="00307436" w:rsidP="008E6602">
            <w:pPr>
              <w:rPr>
                <w:sz w:val="22"/>
                <w:szCs w:val="22"/>
              </w:rPr>
            </w:pPr>
            <w:r w:rsidRPr="00AA3D0C">
              <w:rPr>
                <w:sz w:val="22"/>
                <w:szCs w:val="22"/>
              </w:rPr>
              <w:t>[</w:t>
            </w:r>
            <w:r>
              <w:rPr>
                <w:sz w:val="22"/>
                <w:szCs w:val="22"/>
              </w:rPr>
              <w:t>-</w:t>
            </w:r>
            <w:r w:rsidRPr="00AA3D0C">
              <w:rPr>
                <w:sz w:val="22"/>
                <w:szCs w:val="22"/>
              </w:rPr>
              <w:t>]</w:t>
            </w:r>
          </w:p>
        </w:tc>
        <w:tc>
          <w:tcPr>
            <w:tcW w:w="699" w:type="dxa"/>
          </w:tcPr>
          <w:p w14:paraId="2A616151" w14:textId="77777777" w:rsidR="00550A2E" w:rsidRPr="00550A2E" w:rsidRDefault="00550A2E" w:rsidP="00550A2E">
            <w:pPr>
              <w:jc w:val="right"/>
              <w:rPr>
                <w:sz w:val="18"/>
                <w:szCs w:val="22"/>
              </w:rPr>
            </w:pPr>
          </w:p>
          <w:p w14:paraId="74DF1AF1" w14:textId="55CCF501" w:rsidR="00307436" w:rsidRPr="00AA3D0C" w:rsidRDefault="00307436" w:rsidP="00550A2E">
            <w:pPr>
              <w:jc w:val="right"/>
              <w:rPr>
                <w:sz w:val="22"/>
                <w:szCs w:val="22"/>
              </w:rPr>
            </w:pPr>
            <w:r w:rsidRPr="00AA3D0C">
              <w:rPr>
                <w:sz w:val="22"/>
                <w:szCs w:val="22"/>
              </w:rPr>
              <w:t>(</w:t>
            </w:r>
            <w:r w:rsidR="00550A2E">
              <w:rPr>
                <w:sz w:val="22"/>
                <w:szCs w:val="22"/>
              </w:rPr>
              <w:t>1</w:t>
            </w:r>
            <w:r w:rsidR="00FD2315">
              <w:rPr>
                <w:sz w:val="22"/>
                <w:szCs w:val="22"/>
              </w:rPr>
              <w:t>8</w:t>
            </w:r>
            <w:r w:rsidRPr="00AA3D0C">
              <w:rPr>
                <w:sz w:val="22"/>
                <w:szCs w:val="22"/>
              </w:rPr>
              <w:t>)</w:t>
            </w:r>
          </w:p>
        </w:tc>
      </w:tr>
    </w:tbl>
    <w:p w14:paraId="6ABC5E7F" w14:textId="76AF7BC8" w:rsidR="00C8089F" w:rsidRDefault="00C8089F" w:rsidP="008C63D2">
      <w:r>
        <w:t>Where</w:t>
      </w:r>
    </w:p>
    <w:p w14:paraId="577F8A2C" w14:textId="3D13CE60" w:rsidR="008C1D67" w:rsidRDefault="008C1D67" w:rsidP="00135D19">
      <w:pPr>
        <w:pStyle w:val="ListParagraph"/>
        <w:numPr>
          <w:ilvl w:val="0"/>
          <w:numId w:val="7"/>
        </w:numPr>
        <w:spacing w:before="240"/>
        <w:ind w:left="426"/>
        <w:jc w:val="both"/>
        <w:rPr>
          <w:rFonts w:ascii="Times New Roman" w:hAnsi="Times New Roman" w:cs="Times New Roman"/>
        </w:rPr>
      </w:pPr>
      <w:proofErr w:type="spellStart"/>
      <w:r w:rsidRPr="007D76FD">
        <w:rPr>
          <w:rFonts w:ascii="Times New Roman" w:hAnsi="Times New Roman" w:cs="Times New Roman"/>
        </w:rPr>
        <w:t>GlareC</w:t>
      </w:r>
      <w:r w:rsidRPr="00435292">
        <w:rPr>
          <w:rFonts w:ascii="Times New Roman" w:hAnsi="Times New Roman" w:cs="Times New Roman"/>
        </w:rPr>
        <w:t>redit</w:t>
      </w:r>
      <w:proofErr w:type="spellEnd"/>
      <w:r w:rsidRPr="005A13D2">
        <w:rPr>
          <w:rFonts w:ascii="Times New Roman" w:hAnsi="Times New Roman" w:cs="Times New Roman"/>
        </w:rPr>
        <w:t xml:space="preserve"> </w:t>
      </w:r>
      <w:r w:rsidRPr="005A13D2">
        <w:rPr>
          <w:rFonts w:ascii="Times New Roman" w:hAnsi="Times New Roman" w:cs="Times New Roman"/>
          <w:lang w:val="el-GR"/>
        </w:rPr>
        <w:t xml:space="preserve">= </w:t>
      </w:r>
      <w:r w:rsidRPr="005A13D2">
        <w:rPr>
          <w:rFonts w:ascii="Times New Roman" w:hAnsi="Times New Roman" w:cs="Times New Roman"/>
        </w:rPr>
        <w:t>2</w:t>
      </w:r>
      <w:r w:rsidR="000A2D7F" w:rsidRPr="005A13D2">
        <w:rPr>
          <w:rFonts w:ascii="Times New Roman" w:hAnsi="Times New Roman" w:cs="Times New Roman"/>
        </w:rPr>
        <w:t xml:space="preserve"> (</w:t>
      </w:r>
      <w:r w:rsidR="00991867">
        <w:rPr>
          <w:rFonts w:ascii="Times New Roman" w:hAnsi="Times New Roman" w:cs="Times New Roman"/>
        </w:rPr>
        <w:t>weighting factor</w:t>
      </w:r>
      <w:r w:rsidR="000A2D7F">
        <w:rPr>
          <w:rFonts w:ascii="Times New Roman" w:hAnsi="Times New Roman" w:cs="Times New Roman"/>
        </w:rPr>
        <w:t xml:space="preserve"> for </w:t>
      </w:r>
      <w:r w:rsidR="000A2D7F" w:rsidRPr="00DF09C8">
        <w:rPr>
          <w:rFonts w:ascii="Times New Roman" w:hAnsi="Times New Roman" w:cs="Times New Roman"/>
        </w:rPr>
        <w:t>perceptible glare</w:t>
      </w:r>
      <w:r w:rsidR="000A2D7F">
        <w:rPr>
          <w:rFonts w:ascii="Times New Roman" w:hAnsi="Times New Roman" w:cs="Times New Roman"/>
        </w:rPr>
        <w:t>)</w:t>
      </w:r>
      <w:r w:rsidR="00C8089F">
        <w:rPr>
          <w:rFonts w:ascii="Times New Roman" w:hAnsi="Times New Roman" w:cs="Times New Roman"/>
        </w:rPr>
        <w:t xml:space="preserve"> (</w:t>
      </w:r>
      <w:r w:rsidR="006752AA">
        <w:rPr>
          <w:rFonts w:ascii="Times New Roman" w:hAnsi="Times New Roman" w:cs="Times New Roman"/>
        </w:rPr>
        <w:t xml:space="preserve">see Table 1 and </w:t>
      </w:r>
      <w:r w:rsidR="00C8089F">
        <w:rPr>
          <w:rFonts w:ascii="Times New Roman" w:hAnsi="Times New Roman" w:cs="Times New Roman"/>
        </w:rPr>
        <w:t>Table 2)</w:t>
      </w:r>
    </w:p>
    <w:p w14:paraId="726D27DB" w14:textId="784C4423" w:rsidR="000A2D7F" w:rsidRPr="008C63D2" w:rsidRDefault="000A2D7F" w:rsidP="008C63D2">
      <w:pPr>
        <w:pStyle w:val="ListParagraph"/>
        <w:numPr>
          <w:ilvl w:val="0"/>
          <w:numId w:val="7"/>
        </w:numPr>
        <w:spacing w:before="240" w:after="0"/>
        <w:ind w:left="426"/>
        <w:jc w:val="both"/>
        <w:rPr>
          <w:rFonts w:ascii="Times New Roman" w:hAnsi="Times New Roman" w:cs="Times New Roman"/>
        </w:rPr>
      </w:pPr>
      <w:proofErr w:type="spellStart"/>
      <w:proofErr w:type="gramStart"/>
      <w:r w:rsidRPr="008C63D2">
        <w:rPr>
          <w:rFonts w:ascii="Times New Roman" w:hAnsi="Times New Roman" w:cs="Times New Roman"/>
        </w:rPr>
        <w:t>G</w:t>
      </w:r>
      <w:r w:rsidRPr="008C63D2">
        <w:rPr>
          <w:rFonts w:ascii="Times New Roman" w:hAnsi="Times New Roman" w:cs="Times New Roman"/>
          <w:vertAlign w:val="subscript"/>
        </w:rPr>
        <w:t>dir,target</w:t>
      </w:r>
      <w:proofErr w:type="spellEnd"/>
      <w:proofErr w:type="gramEnd"/>
      <w:r w:rsidRPr="008C63D2">
        <w:rPr>
          <w:rFonts w:ascii="Times New Roman" w:hAnsi="Times New Roman" w:cs="Times New Roman"/>
          <w:vertAlign w:val="subscript"/>
        </w:rPr>
        <w:t xml:space="preserve"> </w:t>
      </w:r>
      <w:r w:rsidRPr="008C63D2">
        <w:rPr>
          <w:rFonts w:ascii="Times New Roman" w:hAnsi="Times New Roman" w:cs="Times New Roman"/>
        </w:rPr>
        <w:t>= 0.35 (for DGP/DGP</w:t>
      </w:r>
      <w:r w:rsidRPr="008C63D2">
        <w:rPr>
          <w:rFonts w:ascii="Times New Roman" w:hAnsi="Times New Roman" w:cs="Times New Roman"/>
          <w:vertAlign w:val="subscript"/>
        </w:rPr>
        <w:t>s</w:t>
      </w:r>
      <w:r w:rsidRPr="008C63D2">
        <w:rPr>
          <w:rFonts w:ascii="Times New Roman" w:hAnsi="Times New Roman" w:cs="Times New Roman"/>
        </w:rPr>
        <w:t xml:space="preserve">) </w:t>
      </w:r>
      <w:r w:rsidR="00C63942">
        <w:rPr>
          <w:rFonts w:ascii="Times New Roman" w:hAnsi="Times New Roman" w:cs="Times New Roman"/>
        </w:rPr>
        <w:t>or</w:t>
      </w:r>
      <w:r w:rsidRPr="008C63D2">
        <w:rPr>
          <w:rFonts w:ascii="Times New Roman" w:hAnsi="Times New Roman" w:cs="Times New Roman"/>
        </w:rPr>
        <w:t xml:space="preserve"> </w:t>
      </w:r>
      <w:proofErr w:type="spellStart"/>
      <w:r w:rsidRPr="008C63D2">
        <w:rPr>
          <w:rFonts w:ascii="Times New Roman" w:hAnsi="Times New Roman" w:cs="Times New Roman"/>
        </w:rPr>
        <w:t>G</w:t>
      </w:r>
      <w:r w:rsidRPr="008C63D2">
        <w:rPr>
          <w:rFonts w:ascii="Times New Roman" w:hAnsi="Times New Roman" w:cs="Times New Roman"/>
          <w:vertAlign w:val="subscript"/>
        </w:rPr>
        <w:t>dir,target</w:t>
      </w:r>
      <w:proofErr w:type="spellEnd"/>
      <w:r w:rsidRPr="008C63D2">
        <w:rPr>
          <w:rFonts w:ascii="Times New Roman" w:hAnsi="Times New Roman" w:cs="Times New Roman"/>
          <w:vertAlign w:val="subscript"/>
        </w:rPr>
        <w:t xml:space="preserve"> </w:t>
      </w:r>
      <w:r w:rsidRPr="008C63D2">
        <w:rPr>
          <w:rFonts w:ascii="Times New Roman" w:hAnsi="Times New Roman" w:cs="Times New Roman"/>
        </w:rPr>
        <w:t>=18/100 =0.18 (for DGI).</w:t>
      </w:r>
    </w:p>
    <w:p w14:paraId="0FFDD4AD" w14:textId="77777777" w:rsidR="009A4D84" w:rsidRDefault="009A4D84" w:rsidP="00FD2315">
      <w:pPr>
        <w:spacing w:before="240"/>
        <w:jc w:val="both"/>
        <w:rPr>
          <w:sz w:val="22"/>
        </w:rPr>
      </w:pPr>
    </w:p>
    <w:p w14:paraId="2F7D5164" w14:textId="7DCBB157" w:rsidR="00FD2315" w:rsidRPr="00E22D27" w:rsidRDefault="00C8089F" w:rsidP="00FD2315">
      <w:pPr>
        <w:spacing w:before="240"/>
        <w:jc w:val="both"/>
        <w:rPr>
          <w:sz w:val="22"/>
        </w:rPr>
      </w:pPr>
      <w:r>
        <w:rPr>
          <w:sz w:val="22"/>
        </w:rPr>
        <w:t xml:space="preserve">Using the </w:t>
      </w:r>
      <w:proofErr w:type="gramStart"/>
      <w:r>
        <w:rPr>
          <w:sz w:val="22"/>
        </w:rPr>
        <w:t>aforementioned values</w:t>
      </w:r>
      <w:proofErr w:type="gramEnd"/>
      <w:r>
        <w:rPr>
          <w:sz w:val="22"/>
        </w:rPr>
        <w:t>, eq. 17 and eq. 18 will numerically become:</w:t>
      </w:r>
    </w:p>
    <w:tbl>
      <w:tblPr>
        <w:tblStyle w:val="TableGrid"/>
        <w:tblpPr w:leftFromText="180" w:rightFromText="180" w:vertAnchor="text" w:horzAnchor="margin" w:tblpY="154"/>
        <w:tblW w:w="808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080"/>
      </w:tblGrid>
      <w:tr w:rsidR="00FD2315" w:rsidRPr="00AA3D0C" w14:paraId="51510F5F" w14:textId="77777777" w:rsidTr="00446D50">
        <w:trPr>
          <w:trHeight w:val="317"/>
        </w:trPr>
        <w:tc>
          <w:tcPr>
            <w:tcW w:w="8080" w:type="dxa"/>
          </w:tcPr>
          <w:p w14:paraId="75A836F3" w14:textId="77777777" w:rsidR="00FD2315" w:rsidRPr="00E10866" w:rsidRDefault="00B030DD" w:rsidP="00446D50">
            <w:pPr>
              <w:jc w:val="right"/>
              <w:rPr>
                <w:sz w:val="22"/>
                <w:szCs w:val="22"/>
              </w:rPr>
            </w:pPr>
            <m:oMathPara>
              <m:oMathParaPr>
                <m:jc m:val="left"/>
              </m:oMathParaPr>
              <m:oMath>
                <m:box>
                  <m:boxPr>
                    <m:opEmu m:val="1"/>
                    <m:ctrlPr>
                      <w:rPr>
                        <w:rFonts w:ascii="Cambria Math" w:hAnsi="Cambria Math"/>
                        <w:i/>
                        <w:sz w:val="22"/>
                        <w:szCs w:val="22"/>
                      </w:rPr>
                    </m:ctrlPr>
                  </m:boxPr>
                  <m:e>
                    <m:groupChr>
                      <m:groupChrPr>
                        <m:chr m:val="⇒"/>
                        <m:vertJc m:val="bot"/>
                        <m:ctrlPr>
                          <w:rPr>
                            <w:rFonts w:ascii="Cambria Math" w:hAnsi="Cambria Math"/>
                            <w:i/>
                            <w:sz w:val="22"/>
                            <w:szCs w:val="22"/>
                          </w:rPr>
                        </m:ctrlPr>
                      </m:groupChrPr>
                      <m:e>
                        <m:r>
                          <w:rPr>
                            <w:rFonts w:ascii="Cambria Math" w:hAnsi="Cambria Math"/>
                            <w:sz w:val="22"/>
                            <w:szCs w:val="22"/>
                          </w:rPr>
                          <m:t>(17)</m:t>
                        </m:r>
                      </m:e>
                    </m:groupChr>
                  </m:e>
                </m:box>
                <m:sSub>
                  <m:sSubPr>
                    <m:ctrlPr>
                      <w:rPr>
                        <w:rFonts w:ascii="Cambria Math" w:hAnsi="Cambria Math"/>
                        <w:i/>
                        <w:sz w:val="22"/>
                        <w:szCs w:val="22"/>
                      </w:rPr>
                    </m:ctrlPr>
                  </m:sSubPr>
                  <m:e>
                    <m:r>
                      <w:rPr>
                        <w:rFonts w:ascii="Cambria Math" w:hAnsi="Cambria Math"/>
                        <w:sz w:val="22"/>
                        <w:szCs w:val="22"/>
                      </w:rPr>
                      <m:t>TPG</m:t>
                    </m:r>
                  </m:e>
                  <m:sub>
                    <m:r>
                      <w:rPr>
                        <w:rFonts w:ascii="Cambria Math" w:hAnsi="Cambria Math"/>
                        <w:sz w:val="22"/>
                        <w:szCs w:val="22"/>
                      </w:rPr>
                      <m:t>max</m:t>
                    </m:r>
                  </m:sub>
                </m:sSub>
                <m:r>
                  <w:rPr>
                    <w:rFonts w:ascii="Cambria Math" w:hAnsi="Cambria Math"/>
                    <w:sz w:val="22"/>
                    <w:szCs w:val="22"/>
                  </w:rPr>
                  <m:t>=3∙</m:t>
                </m:r>
                <m:d>
                  <m:dPr>
                    <m:ctrlPr>
                      <w:rPr>
                        <w:rFonts w:ascii="Cambria Math" w:hAnsi="Cambria Math"/>
                        <w:i/>
                        <w:sz w:val="22"/>
                        <w:szCs w:val="22"/>
                      </w:rPr>
                    </m:ctrlPr>
                  </m:dPr>
                  <m:e>
                    <m:r>
                      <w:rPr>
                        <w:rFonts w:ascii="Cambria Math" w:hAnsi="Cambria Math"/>
                        <w:sz w:val="22"/>
                        <w:szCs w:val="22"/>
                      </w:rPr>
                      <m:t>2+4+8+16+32+⋯+2</m:t>
                    </m:r>
                  </m:e>
                </m:d>
                <m:sSub>
                  <m:sSubPr>
                    <m:ctrlPr>
                      <w:rPr>
                        <w:rFonts w:ascii="Cambria Math" w:hAnsi="Cambria Math"/>
                        <w:i/>
                        <w:sz w:val="22"/>
                        <w:szCs w:val="22"/>
                      </w:rPr>
                    </m:ctrlPr>
                  </m:sSubPr>
                  <m:e>
                    <m:r>
                      <w:rPr>
                        <w:rFonts w:ascii="Cambria Math" w:hAnsi="Cambria Math"/>
                        <w:sz w:val="22"/>
                        <w:szCs w:val="22"/>
                      </w:rPr>
                      <m:t>∙G</m:t>
                    </m:r>
                  </m:e>
                  <m:sub>
                    <m:r>
                      <w:rPr>
                        <w:rFonts w:ascii="Cambria Math" w:hAnsi="Cambria Math"/>
                        <w:sz w:val="22"/>
                        <w:szCs w:val="22"/>
                      </w:rPr>
                      <m:t>dir,max</m:t>
                    </m:r>
                  </m:sub>
                </m:sSub>
                <m:r>
                  <w:rPr>
                    <w:rFonts w:ascii="Cambria Math" w:hAnsi="Cambria Math"/>
                    <w:sz w:val="22"/>
                    <w:szCs w:val="22"/>
                  </w:rPr>
                  <m:t>=3∙124</m:t>
                </m:r>
                <m:sSub>
                  <m:sSubPr>
                    <m:ctrlPr>
                      <w:rPr>
                        <w:rFonts w:ascii="Cambria Math" w:hAnsi="Cambria Math"/>
                        <w:i/>
                        <w:sz w:val="22"/>
                        <w:szCs w:val="22"/>
                      </w:rPr>
                    </m:ctrlPr>
                  </m:sSubPr>
                  <m:e>
                    <m:r>
                      <w:rPr>
                        <w:rFonts w:ascii="Cambria Math" w:hAnsi="Cambria Math"/>
                        <w:sz w:val="22"/>
                        <w:szCs w:val="22"/>
                      </w:rPr>
                      <m:t>∙G</m:t>
                    </m:r>
                  </m:e>
                  <m:sub>
                    <m:r>
                      <w:rPr>
                        <w:rFonts w:ascii="Cambria Math" w:hAnsi="Cambria Math"/>
                        <w:sz w:val="22"/>
                        <w:szCs w:val="22"/>
                      </w:rPr>
                      <m:t>dir,max</m:t>
                    </m:r>
                  </m:sub>
                </m:sSub>
                <m:r>
                  <w:rPr>
                    <w:rFonts w:ascii="Cambria Math" w:hAnsi="Cambria Math"/>
                    <w:sz w:val="22"/>
                    <w:szCs w:val="22"/>
                  </w:rPr>
                  <m:t>=</m:t>
                </m:r>
              </m:oMath>
            </m:oMathPara>
          </w:p>
        </w:tc>
      </w:tr>
      <w:tr w:rsidR="00FD2315" w:rsidRPr="00AA3D0C" w14:paraId="5DCCF242" w14:textId="77777777" w:rsidTr="00446D50">
        <w:trPr>
          <w:trHeight w:val="175"/>
        </w:trPr>
        <w:tc>
          <w:tcPr>
            <w:tcW w:w="8080" w:type="dxa"/>
          </w:tcPr>
          <w:p w14:paraId="2DC79C89" w14:textId="77777777" w:rsidR="00FD2315" w:rsidRPr="00421CF9" w:rsidRDefault="00FD2315" w:rsidP="00446D50">
            <w:pPr>
              <w:spacing w:before="240"/>
              <w:jc w:val="right"/>
              <w:rPr>
                <w:sz w:val="22"/>
                <w:szCs w:val="22"/>
              </w:rPr>
            </w:pPr>
            <m:oMathPara>
              <m:oMathParaPr>
                <m:jc m:val="left"/>
              </m:oMathParaPr>
              <m:oMath>
                <m:r>
                  <w:rPr>
                    <w:rFonts w:ascii="Cambria Math" w:hAnsi="Cambria Math"/>
                    <w:sz w:val="22"/>
                    <w:szCs w:val="22"/>
                  </w:rPr>
                  <m:t xml:space="preserve">                       =372∙</m:t>
                </m:r>
                <m:sSub>
                  <m:sSubPr>
                    <m:ctrlPr>
                      <w:rPr>
                        <w:rFonts w:ascii="Cambria Math" w:hAnsi="Cambria Math"/>
                        <w:i/>
                        <w:sz w:val="22"/>
                        <w:szCs w:val="22"/>
                      </w:rPr>
                    </m:ctrlPr>
                  </m:sSubPr>
                  <m:e>
                    <m:r>
                      <w:rPr>
                        <w:rFonts w:ascii="Cambria Math" w:hAnsi="Cambria Math"/>
                        <w:sz w:val="22"/>
                        <w:szCs w:val="22"/>
                      </w:rPr>
                      <m:t>G</m:t>
                    </m:r>
                  </m:e>
                  <m:sub>
                    <m:r>
                      <w:rPr>
                        <w:rFonts w:ascii="Cambria Math" w:hAnsi="Cambria Math"/>
                        <w:sz w:val="22"/>
                        <w:szCs w:val="22"/>
                      </w:rPr>
                      <m:t>dir,max</m:t>
                    </m:r>
                  </m:sub>
                </m:sSub>
                <m:r>
                  <w:rPr>
                    <w:rFonts w:ascii="Cambria Math" w:hAnsi="Cambria Math"/>
                    <w:sz w:val="22"/>
                    <w:szCs w:val="22"/>
                  </w:rPr>
                  <m:t>=</m:t>
                </m:r>
                <m:d>
                  <m:dPr>
                    <m:begChr m:val="{"/>
                    <m:endChr m:val=""/>
                    <m:ctrlPr>
                      <w:rPr>
                        <w:rFonts w:ascii="Cambria Math" w:hAnsi="Cambria Math"/>
                        <w:i/>
                        <w:sz w:val="22"/>
                        <w:szCs w:val="22"/>
                      </w:rPr>
                    </m:ctrlPr>
                  </m:dPr>
                  <m:e>
                    <m:eqArr>
                      <m:eqArrPr>
                        <m:ctrlPr>
                          <w:rPr>
                            <w:rFonts w:ascii="Cambria Math" w:hAnsi="Cambria Math"/>
                            <w:i/>
                            <w:sz w:val="22"/>
                            <w:szCs w:val="22"/>
                          </w:rPr>
                        </m:ctrlPr>
                      </m:eqArrPr>
                      <m:e>
                        <m:r>
                          <w:rPr>
                            <w:rFonts w:ascii="Cambria Math" w:hAnsi="Cambria Math"/>
                            <w:sz w:val="22"/>
                            <w:szCs w:val="22"/>
                          </w:rPr>
                          <m:t>372∙0.45=167.4,   for DGP or DGPs</m:t>
                        </m:r>
                      </m:e>
                      <m:e>
                        <m:r>
                          <w:rPr>
                            <w:rFonts w:ascii="Cambria Math" w:hAnsi="Cambria Math"/>
                            <w:sz w:val="22"/>
                            <w:szCs w:val="22"/>
                          </w:rPr>
                          <m:t xml:space="preserve">372∙0.31=115.32,   for DGI                 </m:t>
                        </m:r>
                      </m:e>
                    </m:eqArr>
                  </m:e>
                </m:d>
              </m:oMath>
            </m:oMathPara>
          </w:p>
        </w:tc>
      </w:tr>
    </w:tbl>
    <w:p w14:paraId="05EB5089" w14:textId="77777777" w:rsidR="00FD2315" w:rsidRPr="00297B8B" w:rsidRDefault="00FD2315" w:rsidP="00D941D6">
      <w:pPr>
        <w:spacing w:before="240"/>
        <w:jc w:val="both"/>
        <w:rPr>
          <w:sz w:val="22"/>
        </w:rPr>
      </w:pPr>
    </w:p>
    <w:tbl>
      <w:tblPr>
        <w:tblStyle w:val="TableGrid"/>
        <w:tblpPr w:leftFromText="180" w:rightFromText="180" w:vertAnchor="text" w:horzAnchor="margin" w:tblpY="154"/>
        <w:tblW w:w="850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505"/>
      </w:tblGrid>
      <w:tr w:rsidR="008C1D67" w:rsidRPr="00AA3D0C" w14:paraId="72693852" w14:textId="77777777" w:rsidTr="00550A2E">
        <w:trPr>
          <w:trHeight w:val="317"/>
        </w:trPr>
        <w:tc>
          <w:tcPr>
            <w:tcW w:w="8505" w:type="dxa"/>
          </w:tcPr>
          <w:p w14:paraId="260D9711" w14:textId="0A5F60C7" w:rsidR="008C1D67" w:rsidRPr="00E10866" w:rsidRDefault="00B030DD" w:rsidP="008E6602">
            <w:pPr>
              <w:jc w:val="right"/>
              <w:rPr>
                <w:sz w:val="22"/>
                <w:szCs w:val="22"/>
              </w:rPr>
            </w:pPr>
            <m:oMathPara>
              <m:oMathParaPr>
                <m:jc m:val="left"/>
              </m:oMathParaPr>
              <m:oMath>
                <m:box>
                  <m:boxPr>
                    <m:opEmu m:val="1"/>
                    <m:ctrlPr>
                      <w:rPr>
                        <w:rFonts w:ascii="Cambria Math" w:hAnsi="Cambria Math"/>
                        <w:i/>
                        <w:sz w:val="22"/>
                        <w:szCs w:val="22"/>
                      </w:rPr>
                    </m:ctrlPr>
                  </m:boxPr>
                  <m:e>
                    <m:groupChr>
                      <m:groupChrPr>
                        <m:chr m:val="⇒"/>
                        <m:vertJc m:val="bot"/>
                        <m:ctrlPr>
                          <w:rPr>
                            <w:rFonts w:ascii="Cambria Math" w:hAnsi="Cambria Math"/>
                            <w:i/>
                            <w:sz w:val="22"/>
                            <w:szCs w:val="22"/>
                          </w:rPr>
                        </m:ctrlPr>
                      </m:groupChrPr>
                      <m:e>
                        <m:r>
                          <w:rPr>
                            <w:rFonts w:ascii="Cambria Math" w:hAnsi="Cambria Math"/>
                            <w:sz w:val="22"/>
                            <w:szCs w:val="22"/>
                          </w:rPr>
                          <m:t>(18)</m:t>
                        </m:r>
                      </m:e>
                    </m:groupChr>
                  </m:e>
                </m:box>
                <m:sSub>
                  <m:sSubPr>
                    <m:ctrlPr>
                      <w:rPr>
                        <w:rFonts w:ascii="Cambria Math" w:hAnsi="Cambria Math"/>
                        <w:i/>
                        <w:sz w:val="22"/>
                        <w:szCs w:val="22"/>
                      </w:rPr>
                    </m:ctrlPr>
                  </m:sSubPr>
                  <m:e>
                    <m:r>
                      <w:rPr>
                        <w:rFonts w:ascii="Cambria Math" w:hAnsi="Cambria Math"/>
                        <w:sz w:val="22"/>
                        <w:szCs w:val="22"/>
                      </w:rPr>
                      <m:t>TPG</m:t>
                    </m:r>
                  </m:e>
                  <m:sub>
                    <m:r>
                      <w:rPr>
                        <w:rFonts w:ascii="Cambria Math" w:hAnsi="Cambria Math"/>
                        <w:sz w:val="22"/>
                        <w:szCs w:val="22"/>
                      </w:rPr>
                      <m:t>target</m:t>
                    </m:r>
                  </m:sub>
                </m:sSub>
                <m:r>
                  <w:rPr>
                    <w:rFonts w:ascii="Cambria Math" w:hAnsi="Cambria Math"/>
                    <w:sz w:val="22"/>
                    <w:szCs w:val="22"/>
                  </w:rPr>
                  <m:t>=2∙</m:t>
                </m:r>
                <m:d>
                  <m:dPr>
                    <m:ctrlPr>
                      <w:rPr>
                        <w:rFonts w:ascii="Cambria Math" w:hAnsi="Cambria Math"/>
                        <w:i/>
                        <w:sz w:val="22"/>
                        <w:szCs w:val="22"/>
                      </w:rPr>
                    </m:ctrlPr>
                  </m:dPr>
                  <m:e>
                    <m:r>
                      <w:rPr>
                        <w:rFonts w:ascii="Cambria Math" w:hAnsi="Cambria Math"/>
                        <w:sz w:val="22"/>
                        <w:szCs w:val="22"/>
                      </w:rPr>
                      <m:t>2+4+8+16+32+⋯+2</m:t>
                    </m:r>
                  </m:e>
                </m:d>
                <m:sSub>
                  <m:sSubPr>
                    <m:ctrlPr>
                      <w:rPr>
                        <w:rFonts w:ascii="Cambria Math" w:hAnsi="Cambria Math"/>
                        <w:i/>
                        <w:sz w:val="22"/>
                        <w:szCs w:val="22"/>
                      </w:rPr>
                    </m:ctrlPr>
                  </m:sSubPr>
                  <m:e>
                    <m:r>
                      <w:rPr>
                        <w:rFonts w:ascii="Cambria Math" w:hAnsi="Cambria Math"/>
                        <w:sz w:val="22"/>
                        <w:szCs w:val="22"/>
                      </w:rPr>
                      <m:t>∙G</m:t>
                    </m:r>
                  </m:e>
                  <m:sub>
                    <m:r>
                      <w:rPr>
                        <w:rFonts w:ascii="Cambria Math" w:hAnsi="Cambria Math"/>
                        <w:sz w:val="22"/>
                        <w:szCs w:val="22"/>
                      </w:rPr>
                      <m:t>dir,target</m:t>
                    </m:r>
                  </m:sub>
                </m:sSub>
                <m:r>
                  <w:rPr>
                    <w:rFonts w:ascii="Cambria Math" w:hAnsi="Cambria Math"/>
                    <w:sz w:val="22"/>
                    <w:szCs w:val="22"/>
                  </w:rPr>
                  <m:t>=2∙124</m:t>
                </m:r>
                <m:sSub>
                  <m:sSubPr>
                    <m:ctrlPr>
                      <w:rPr>
                        <w:rFonts w:ascii="Cambria Math" w:hAnsi="Cambria Math"/>
                        <w:i/>
                        <w:sz w:val="22"/>
                        <w:szCs w:val="22"/>
                      </w:rPr>
                    </m:ctrlPr>
                  </m:sSubPr>
                  <m:e>
                    <m:r>
                      <w:rPr>
                        <w:rFonts w:ascii="Cambria Math" w:hAnsi="Cambria Math"/>
                        <w:sz w:val="22"/>
                        <w:szCs w:val="22"/>
                      </w:rPr>
                      <m:t>∙DG</m:t>
                    </m:r>
                  </m:e>
                  <m:sub>
                    <m:r>
                      <w:rPr>
                        <w:rFonts w:ascii="Cambria Math" w:hAnsi="Cambria Math"/>
                        <w:sz w:val="22"/>
                        <w:szCs w:val="22"/>
                      </w:rPr>
                      <m:t>dir,target</m:t>
                    </m:r>
                  </m:sub>
                </m:sSub>
              </m:oMath>
            </m:oMathPara>
          </w:p>
        </w:tc>
      </w:tr>
      <w:tr w:rsidR="008C1D67" w:rsidRPr="00AA3D0C" w14:paraId="7D8C91D8" w14:textId="77777777" w:rsidTr="00550A2E">
        <w:trPr>
          <w:trHeight w:val="175"/>
        </w:trPr>
        <w:tc>
          <w:tcPr>
            <w:tcW w:w="8505" w:type="dxa"/>
          </w:tcPr>
          <w:p w14:paraId="49A29720" w14:textId="471EFD72" w:rsidR="008C1D67" w:rsidRPr="00421CF9" w:rsidRDefault="008C1D67" w:rsidP="008E6602">
            <w:pPr>
              <w:spacing w:before="240"/>
              <w:jc w:val="right"/>
              <w:rPr>
                <w:sz w:val="22"/>
                <w:szCs w:val="22"/>
              </w:rPr>
            </w:pPr>
            <m:oMathPara>
              <m:oMathParaPr>
                <m:jc m:val="left"/>
              </m:oMathParaPr>
              <m:oMath>
                <m:r>
                  <w:rPr>
                    <w:rFonts w:ascii="Cambria Math" w:hAnsi="Cambria Math"/>
                    <w:sz w:val="22"/>
                    <w:szCs w:val="22"/>
                  </w:rPr>
                  <m:t xml:space="preserve">                            =248∙</m:t>
                </m:r>
                <m:sSub>
                  <m:sSubPr>
                    <m:ctrlPr>
                      <w:rPr>
                        <w:rFonts w:ascii="Cambria Math" w:hAnsi="Cambria Math"/>
                        <w:i/>
                        <w:sz w:val="22"/>
                        <w:szCs w:val="22"/>
                      </w:rPr>
                    </m:ctrlPr>
                  </m:sSubPr>
                  <m:e>
                    <m:r>
                      <w:rPr>
                        <w:rFonts w:ascii="Cambria Math" w:hAnsi="Cambria Math"/>
                        <w:sz w:val="22"/>
                        <w:szCs w:val="22"/>
                      </w:rPr>
                      <m:t>G</m:t>
                    </m:r>
                  </m:e>
                  <m:sub>
                    <m:r>
                      <w:rPr>
                        <w:rFonts w:ascii="Cambria Math" w:hAnsi="Cambria Math"/>
                        <w:sz w:val="22"/>
                        <w:szCs w:val="22"/>
                      </w:rPr>
                      <m:t>dir,max</m:t>
                    </m:r>
                  </m:sub>
                </m:sSub>
                <m:r>
                  <w:rPr>
                    <w:rFonts w:ascii="Cambria Math" w:hAnsi="Cambria Math"/>
                    <w:sz w:val="22"/>
                    <w:szCs w:val="22"/>
                  </w:rPr>
                  <m:t>=</m:t>
                </m:r>
                <m:d>
                  <m:dPr>
                    <m:begChr m:val="{"/>
                    <m:endChr m:val=""/>
                    <m:ctrlPr>
                      <w:rPr>
                        <w:rFonts w:ascii="Cambria Math" w:hAnsi="Cambria Math"/>
                        <w:i/>
                        <w:sz w:val="22"/>
                        <w:szCs w:val="22"/>
                      </w:rPr>
                    </m:ctrlPr>
                  </m:dPr>
                  <m:e>
                    <m:eqArr>
                      <m:eqArrPr>
                        <m:ctrlPr>
                          <w:rPr>
                            <w:rFonts w:ascii="Cambria Math" w:hAnsi="Cambria Math"/>
                            <w:i/>
                            <w:sz w:val="22"/>
                            <w:szCs w:val="22"/>
                          </w:rPr>
                        </m:ctrlPr>
                      </m:eqArrPr>
                      <m:e>
                        <m:r>
                          <w:rPr>
                            <w:rFonts w:ascii="Cambria Math" w:hAnsi="Cambria Math"/>
                            <w:sz w:val="22"/>
                            <w:szCs w:val="22"/>
                          </w:rPr>
                          <m:t>248∙0.35=86.8,   for DGP or DGPs</m:t>
                        </m:r>
                      </m:e>
                      <m:e>
                        <m:r>
                          <w:rPr>
                            <w:rFonts w:ascii="Cambria Math" w:hAnsi="Cambria Math"/>
                            <w:sz w:val="22"/>
                            <w:szCs w:val="22"/>
                          </w:rPr>
                          <m:t xml:space="preserve">248∙0.18=44.6,   for DGI                 </m:t>
                        </m:r>
                      </m:e>
                    </m:eqArr>
                  </m:e>
                </m:d>
              </m:oMath>
            </m:oMathPara>
          </w:p>
        </w:tc>
      </w:tr>
    </w:tbl>
    <w:p w14:paraId="4BCD4851" w14:textId="77777777" w:rsidR="009A4D84" w:rsidRDefault="009A4D84" w:rsidP="00297B8B">
      <w:pPr>
        <w:spacing w:before="240"/>
        <w:jc w:val="both"/>
        <w:rPr>
          <w:sz w:val="22"/>
        </w:rPr>
      </w:pPr>
    </w:p>
    <w:p w14:paraId="14C408E7" w14:textId="081063AD" w:rsidR="00307436" w:rsidRPr="00F9122B" w:rsidRDefault="00297B8B" w:rsidP="00297B8B">
      <w:pPr>
        <w:spacing w:before="240"/>
        <w:jc w:val="both"/>
        <w:rPr>
          <w:sz w:val="22"/>
        </w:rPr>
      </w:pPr>
      <w:r>
        <w:rPr>
          <w:sz w:val="22"/>
        </w:rPr>
        <w:t xml:space="preserve">The following table summarizes the values for the </w:t>
      </w:r>
      <w:proofErr w:type="spellStart"/>
      <w:r w:rsidR="00053E43">
        <w:rPr>
          <w:sz w:val="22"/>
        </w:rPr>
        <w:t>TPG</w:t>
      </w:r>
      <w:r w:rsidR="00053E43" w:rsidRPr="008C63D2">
        <w:rPr>
          <w:sz w:val="22"/>
          <w:vertAlign w:val="subscript"/>
        </w:rPr>
        <w:t>max</w:t>
      </w:r>
      <w:proofErr w:type="spellEnd"/>
      <w:r w:rsidR="00053E43">
        <w:rPr>
          <w:sz w:val="22"/>
        </w:rPr>
        <w:t xml:space="preserve"> and the</w:t>
      </w:r>
      <w:r>
        <w:rPr>
          <w:sz w:val="22"/>
        </w:rPr>
        <w:t xml:space="preserve"> </w:t>
      </w:r>
      <w:proofErr w:type="spellStart"/>
      <w:r w:rsidRPr="00F9122B">
        <w:rPr>
          <w:sz w:val="22"/>
        </w:rPr>
        <w:t>TPG</w:t>
      </w:r>
      <w:r w:rsidR="00053E43" w:rsidRPr="008C63D2">
        <w:rPr>
          <w:sz w:val="22"/>
          <w:vertAlign w:val="subscript"/>
        </w:rPr>
        <w:t>target</w:t>
      </w:r>
      <w:proofErr w:type="spellEnd"/>
      <w:r w:rsidRPr="00F9122B">
        <w:rPr>
          <w:sz w:val="22"/>
        </w:rPr>
        <w:t xml:space="preserve"> (Table</w:t>
      </w:r>
      <w:r w:rsidR="00F9122B" w:rsidRPr="00F9122B">
        <w:rPr>
          <w:sz w:val="22"/>
        </w:rPr>
        <w:t xml:space="preserve"> </w:t>
      </w:r>
      <w:r w:rsidR="0059245A">
        <w:rPr>
          <w:sz w:val="22"/>
        </w:rPr>
        <w:t>3</w:t>
      </w:r>
      <w:r w:rsidRPr="00F9122B">
        <w:rPr>
          <w:sz w:val="22"/>
        </w:rPr>
        <w:t>)</w:t>
      </w:r>
      <w:r w:rsidR="00D941D6" w:rsidRPr="00F9122B">
        <w:rPr>
          <w:sz w:val="22"/>
        </w:rPr>
        <w:t>.</w:t>
      </w:r>
      <w:r w:rsidR="000E2467">
        <w:rPr>
          <w:sz w:val="22"/>
        </w:rPr>
        <w:t xml:space="preserve"> In practice, TGP is considered acceptable when lower than 50% and 40 % of the maximum possible severity for DGP/DGPs and DGI respectively. It should be noted that the target percentages in Table 3 (last column) are different since DGP/DGPs and DGI scales (from imperceptible to intolerable glare) are different.</w:t>
      </w:r>
    </w:p>
    <w:p w14:paraId="3F963C17" w14:textId="77777777" w:rsidR="00D941D6" w:rsidRPr="00F9122B" w:rsidRDefault="00D941D6" w:rsidP="00D941D6">
      <w:pPr>
        <w:jc w:val="both"/>
        <w:rPr>
          <w:i/>
          <w:sz w:val="20"/>
          <w:szCs w:val="20"/>
        </w:rPr>
      </w:pPr>
    </w:p>
    <w:p w14:paraId="018C24B6" w14:textId="4EF319CD" w:rsidR="00D941D6" w:rsidRPr="00D941D6" w:rsidRDefault="00D941D6" w:rsidP="00D941D6">
      <w:pPr>
        <w:jc w:val="both"/>
        <w:rPr>
          <w:sz w:val="22"/>
          <w:szCs w:val="22"/>
        </w:rPr>
      </w:pPr>
      <w:r w:rsidRPr="00F9122B">
        <w:rPr>
          <w:i/>
          <w:sz w:val="20"/>
          <w:szCs w:val="20"/>
        </w:rPr>
        <w:t xml:space="preserve">Table </w:t>
      </w:r>
      <w:r w:rsidR="00554004">
        <w:rPr>
          <w:i/>
          <w:sz w:val="20"/>
          <w:szCs w:val="20"/>
        </w:rPr>
        <w:t>3</w:t>
      </w:r>
      <w:r w:rsidRPr="00F9122B">
        <w:rPr>
          <w:i/>
          <w:sz w:val="20"/>
          <w:szCs w:val="20"/>
        </w:rPr>
        <w:t>: The maximum</w:t>
      </w:r>
      <w:r w:rsidRPr="00AA3D0C">
        <w:rPr>
          <w:i/>
          <w:sz w:val="20"/>
          <w:szCs w:val="20"/>
        </w:rPr>
        <w:t xml:space="preserve"> and targeted TPG thresholds used for this thesis.</w:t>
      </w:r>
    </w:p>
    <w:tbl>
      <w:tblPr>
        <w:tblStyle w:val="TableGrid"/>
        <w:tblpPr w:leftFromText="180" w:rightFromText="180" w:vertAnchor="text" w:horzAnchor="margin" w:tblpY="187"/>
        <w:tblW w:w="8222" w:type="dxa"/>
        <w:tblBorders>
          <w:left w:val="none" w:sz="0" w:space="0" w:color="auto"/>
          <w:right w:val="none" w:sz="0" w:space="0" w:color="auto"/>
          <w:insideV w:val="none" w:sz="0" w:space="0" w:color="auto"/>
        </w:tblBorders>
        <w:tblLook w:val="04A0" w:firstRow="1" w:lastRow="0" w:firstColumn="1" w:lastColumn="0" w:noHBand="0" w:noVBand="1"/>
      </w:tblPr>
      <w:tblGrid>
        <w:gridCol w:w="1560"/>
        <w:gridCol w:w="1842"/>
        <w:gridCol w:w="1418"/>
        <w:gridCol w:w="1984"/>
        <w:gridCol w:w="1418"/>
      </w:tblGrid>
      <w:tr w:rsidR="00297B8B" w:rsidRPr="003314E6" w14:paraId="0BB12B12" w14:textId="77777777" w:rsidTr="00524E1B">
        <w:tc>
          <w:tcPr>
            <w:tcW w:w="1560" w:type="dxa"/>
            <w:tcBorders>
              <w:bottom w:val="single" w:sz="4" w:space="0" w:color="auto"/>
            </w:tcBorders>
          </w:tcPr>
          <w:p w14:paraId="7869123C" w14:textId="77777777" w:rsidR="00297B8B" w:rsidRPr="003314E6" w:rsidRDefault="00297B8B" w:rsidP="008E6602">
            <w:pPr>
              <w:rPr>
                <w:b/>
                <w:sz w:val="20"/>
                <w:szCs w:val="20"/>
              </w:rPr>
            </w:pPr>
          </w:p>
        </w:tc>
        <w:tc>
          <w:tcPr>
            <w:tcW w:w="1842" w:type="dxa"/>
            <w:tcBorders>
              <w:bottom w:val="single" w:sz="4" w:space="0" w:color="auto"/>
            </w:tcBorders>
          </w:tcPr>
          <w:p w14:paraId="71ED89DF" w14:textId="77777777" w:rsidR="00297B8B" w:rsidRPr="003314E6" w:rsidRDefault="00297B8B" w:rsidP="008E6602">
            <w:pPr>
              <w:jc w:val="center"/>
              <w:rPr>
                <w:b/>
                <w:sz w:val="20"/>
                <w:szCs w:val="20"/>
              </w:rPr>
            </w:pPr>
            <w:proofErr w:type="spellStart"/>
            <w:r w:rsidRPr="003314E6">
              <w:rPr>
                <w:b/>
                <w:sz w:val="20"/>
                <w:szCs w:val="20"/>
              </w:rPr>
              <w:t>TPG</w:t>
            </w:r>
            <w:r w:rsidRPr="003314E6">
              <w:rPr>
                <w:b/>
                <w:sz w:val="20"/>
                <w:szCs w:val="20"/>
                <w:vertAlign w:val="subscript"/>
              </w:rPr>
              <w:t>max</w:t>
            </w:r>
            <w:proofErr w:type="spellEnd"/>
          </w:p>
          <w:p w14:paraId="40CF21FA" w14:textId="77777777" w:rsidR="00297B8B" w:rsidRPr="003314E6" w:rsidRDefault="00297B8B" w:rsidP="008E6602">
            <w:pPr>
              <w:jc w:val="center"/>
              <w:rPr>
                <w:b/>
                <w:sz w:val="20"/>
                <w:szCs w:val="20"/>
              </w:rPr>
            </w:pPr>
            <w:r w:rsidRPr="003314E6">
              <w:rPr>
                <w:b/>
                <w:sz w:val="20"/>
                <w:szCs w:val="20"/>
              </w:rPr>
              <w:t>/-</w:t>
            </w:r>
          </w:p>
        </w:tc>
        <w:tc>
          <w:tcPr>
            <w:tcW w:w="1418" w:type="dxa"/>
            <w:tcBorders>
              <w:bottom w:val="single" w:sz="4" w:space="0" w:color="auto"/>
            </w:tcBorders>
          </w:tcPr>
          <w:p w14:paraId="6557584C" w14:textId="77777777" w:rsidR="00297B8B" w:rsidRPr="003314E6" w:rsidRDefault="00297B8B" w:rsidP="008E6602">
            <w:pPr>
              <w:jc w:val="center"/>
              <w:rPr>
                <w:b/>
                <w:sz w:val="20"/>
                <w:szCs w:val="20"/>
              </w:rPr>
            </w:pPr>
            <w:r w:rsidRPr="003314E6">
              <w:rPr>
                <w:b/>
                <w:sz w:val="20"/>
                <w:szCs w:val="20"/>
              </w:rPr>
              <w:t>%</w:t>
            </w:r>
          </w:p>
        </w:tc>
        <w:tc>
          <w:tcPr>
            <w:tcW w:w="1984" w:type="dxa"/>
            <w:tcBorders>
              <w:bottom w:val="single" w:sz="4" w:space="0" w:color="auto"/>
            </w:tcBorders>
          </w:tcPr>
          <w:p w14:paraId="62E34BB3" w14:textId="77777777" w:rsidR="00297B8B" w:rsidRPr="003314E6" w:rsidRDefault="00297B8B" w:rsidP="008E6602">
            <w:pPr>
              <w:jc w:val="center"/>
              <w:rPr>
                <w:b/>
                <w:sz w:val="20"/>
                <w:szCs w:val="20"/>
              </w:rPr>
            </w:pPr>
            <w:proofErr w:type="spellStart"/>
            <w:r w:rsidRPr="003314E6">
              <w:rPr>
                <w:b/>
                <w:sz w:val="20"/>
                <w:szCs w:val="20"/>
              </w:rPr>
              <w:t>TPG</w:t>
            </w:r>
            <w:r w:rsidRPr="003314E6">
              <w:rPr>
                <w:b/>
                <w:sz w:val="20"/>
                <w:szCs w:val="20"/>
                <w:vertAlign w:val="subscript"/>
              </w:rPr>
              <w:t>target</w:t>
            </w:r>
            <w:proofErr w:type="spellEnd"/>
          </w:p>
          <w:p w14:paraId="44DC080A" w14:textId="77777777" w:rsidR="00297B8B" w:rsidRPr="003314E6" w:rsidRDefault="00297B8B" w:rsidP="008E6602">
            <w:pPr>
              <w:jc w:val="center"/>
              <w:rPr>
                <w:b/>
                <w:sz w:val="20"/>
                <w:szCs w:val="20"/>
              </w:rPr>
            </w:pPr>
            <w:r w:rsidRPr="003314E6">
              <w:rPr>
                <w:b/>
                <w:sz w:val="20"/>
                <w:szCs w:val="20"/>
              </w:rPr>
              <w:t>/-</w:t>
            </w:r>
          </w:p>
        </w:tc>
        <w:tc>
          <w:tcPr>
            <w:tcW w:w="1418" w:type="dxa"/>
            <w:tcBorders>
              <w:bottom w:val="single" w:sz="4" w:space="0" w:color="auto"/>
            </w:tcBorders>
          </w:tcPr>
          <w:p w14:paraId="482D44B2" w14:textId="77777777" w:rsidR="00297B8B" w:rsidRPr="003314E6" w:rsidRDefault="00297B8B" w:rsidP="008E6602">
            <w:pPr>
              <w:jc w:val="center"/>
              <w:rPr>
                <w:b/>
                <w:sz w:val="20"/>
                <w:szCs w:val="20"/>
              </w:rPr>
            </w:pPr>
            <w:r w:rsidRPr="003314E6">
              <w:rPr>
                <w:b/>
                <w:sz w:val="20"/>
                <w:szCs w:val="20"/>
              </w:rPr>
              <w:t>%</w:t>
            </w:r>
          </w:p>
        </w:tc>
      </w:tr>
      <w:tr w:rsidR="00297B8B" w:rsidRPr="003314E6" w14:paraId="75FCEF06" w14:textId="77777777" w:rsidTr="00524E1B">
        <w:tc>
          <w:tcPr>
            <w:tcW w:w="1560" w:type="dxa"/>
            <w:tcBorders>
              <w:top w:val="single" w:sz="4" w:space="0" w:color="auto"/>
              <w:bottom w:val="nil"/>
            </w:tcBorders>
          </w:tcPr>
          <w:p w14:paraId="26CE132E" w14:textId="77777777" w:rsidR="00297B8B" w:rsidRPr="003314E6" w:rsidRDefault="00297B8B" w:rsidP="00524E1B">
            <w:pPr>
              <w:spacing w:after="240"/>
              <w:jc w:val="both"/>
              <w:rPr>
                <w:sz w:val="20"/>
                <w:szCs w:val="20"/>
              </w:rPr>
            </w:pPr>
            <w:r w:rsidRPr="003314E6">
              <w:rPr>
                <w:sz w:val="20"/>
                <w:szCs w:val="20"/>
              </w:rPr>
              <w:t>DGP</w:t>
            </w:r>
            <w:r w:rsidR="00524E1B" w:rsidRPr="003314E6">
              <w:rPr>
                <w:sz w:val="20"/>
                <w:szCs w:val="20"/>
              </w:rPr>
              <w:t xml:space="preserve"> or </w:t>
            </w:r>
            <w:r w:rsidRPr="003314E6">
              <w:rPr>
                <w:sz w:val="20"/>
                <w:szCs w:val="20"/>
              </w:rPr>
              <w:t>DGPs</w:t>
            </w:r>
          </w:p>
        </w:tc>
        <w:tc>
          <w:tcPr>
            <w:tcW w:w="1842" w:type="dxa"/>
            <w:tcBorders>
              <w:top w:val="single" w:sz="4" w:space="0" w:color="auto"/>
              <w:bottom w:val="nil"/>
            </w:tcBorders>
          </w:tcPr>
          <w:p w14:paraId="4AC283AF" w14:textId="77777777" w:rsidR="00297B8B" w:rsidRPr="003314E6" w:rsidRDefault="00297B8B" w:rsidP="008E6602">
            <w:pPr>
              <w:jc w:val="center"/>
              <w:rPr>
                <w:sz w:val="20"/>
                <w:szCs w:val="20"/>
              </w:rPr>
            </w:pPr>
            <w:r w:rsidRPr="003314E6">
              <w:rPr>
                <w:sz w:val="20"/>
                <w:szCs w:val="20"/>
              </w:rPr>
              <w:t>167.4</w:t>
            </w:r>
          </w:p>
        </w:tc>
        <w:tc>
          <w:tcPr>
            <w:tcW w:w="1418" w:type="dxa"/>
            <w:tcBorders>
              <w:top w:val="single" w:sz="4" w:space="0" w:color="auto"/>
              <w:bottom w:val="nil"/>
            </w:tcBorders>
          </w:tcPr>
          <w:p w14:paraId="23429E5A" w14:textId="77777777" w:rsidR="00297B8B" w:rsidRPr="003314E6" w:rsidRDefault="00297B8B" w:rsidP="008E6602">
            <w:pPr>
              <w:jc w:val="center"/>
              <w:rPr>
                <w:b/>
                <w:sz w:val="20"/>
                <w:szCs w:val="20"/>
              </w:rPr>
            </w:pPr>
            <w:r w:rsidRPr="003314E6">
              <w:rPr>
                <w:b/>
                <w:sz w:val="20"/>
                <w:szCs w:val="20"/>
              </w:rPr>
              <w:t>100</w:t>
            </w:r>
          </w:p>
        </w:tc>
        <w:tc>
          <w:tcPr>
            <w:tcW w:w="1984" w:type="dxa"/>
            <w:tcBorders>
              <w:top w:val="single" w:sz="4" w:space="0" w:color="auto"/>
              <w:bottom w:val="nil"/>
            </w:tcBorders>
          </w:tcPr>
          <w:p w14:paraId="4DC1AB00" w14:textId="77777777" w:rsidR="00297B8B" w:rsidRPr="003314E6" w:rsidRDefault="00297B8B" w:rsidP="008E6602">
            <w:pPr>
              <w:jc w:val="center"/>
              <w:rPr>
                <w:sz w:val="20"/>
                <w:szCs w:val="20"/>
              </w:rPr>
            </w:pPr>
            <w:r w:rsidRPr="003314E6">
              <w:rPr>
                <w:sz w:val="20"/>
                <w:szCs w:val="20"/>
              </w:rPr>
              <w:t>86.8</w:t>
            </w:r>
          </w:p>
        </w:tc>
        <w:tc>
          <w:tcPr>
            <w:tcW w:w="1418" w:type="dxa"/>
            <w:tcBorders>
              <w:top w:val="single" w:sz="4" w:space="0" w:color="auto"/>
              <w:bottom w:val="nil"/>
            </w:tcBorders>
          </w:tcPr>
          <w:p w14:paraId="19CA03B5" w14:textId="77777777" w:rsidR="00297B8B" w:rsidRPr="003314E6" w:rsidRDefault="00297B8B" w:rsidP="008E6602">
            <w:pPr>
              <w:jc w:val="center"/>
              <w:rPr>
                <w:b/>
                <w:sz w:val="20"/>
                <w:szCs w:val="20"/>
              </w:rPr>
            </w:pPr>
            <w:r w:rsidRPr="003314E6">
              <w:rPr>
                <w:b/>
                <w:sz w:val="20"/>
                <w:szCs w:val="20"/>
              </w:rPr>
              <w:t>50</w:t>
            </w:r>
          </w:p>
        </w:tc>
      </w:tr>
      <w:tr w:rsidR="00297B8B" w:rsidRPr="003314E6" w14:paraId="36EE90A2" w14:textId="77777777" w:rsidTr="00524E1B">
        <w:tc>
          <w:tcPr>
            <w:tcW w:w="1560" w:type="dxa"/>
            <w:tcBorders>
              <w:bottom w:val="single" w:sz="4" w:space="0" w:color="auto"/>
            </w:tcBorders>
          </w:tcPr>
          <w:p w14:paraId="036AA2D5" w14:textId="77777777" w:rsidR="00297B8B" w:rsidRPr="003314E6" w:rsidRDefault="00297B8B" w:rsidP="008E6602">
            <w:pPr>
              <w:spacing w:after="240"/>
              <w:jc w:val="both"/>
              <w:rPr>
                <w:sz w:val="20"/>
                <w:szCs w:val="20"/>
              </w:rPr>
            </w:pPr>
            <w:r w:rsidRPr="003314E6">
              <w:rPr>
                <w:sz w:val="20"/>
                <w:szCs w:val="20"/>
              </w:rPr>
              <w:t>DGI</w:t>
            </w:r>
          </w:p>
        </w:tc>
        <w:tc>
          <w:tcPr>
            <w:tcW w:w="1842" w:type="dxa"/>
            <w:tcBorders>
              <w:bottom w:val="single" w:sz="4" w:space="0" w:color="auto"/>
            </w:tcBorders>
          </w:tcPr>
          <w:p w14:paraId="2CF57D5A" w14:textId="77777777" w:rsidR="00297B8B" w:rsidRPr="003314E6" w:rsidRDefault="00297B8B" w:rsidP="008E6602">
            <w:pPr>
              <w:spacing w:after="240"/>
              <w:jc w:val="center"/>
              <w:rPr>
                <w:sz w:val="20"/>
                <w:szCs w:val="20"/>
              </w:rPr>
            </w:pPr>
            <w:r w:rsidRPr="003314E6">
              <w:rPr>
                <w:sz w:val="20"/>
                <w:szCs w:val="20"/>
              </w:rPr>
              <w:t>115.32</w:t>
            </w:r>
          </w:p>
        </w:tc>
        <w:tc>
          <w:tcPr>
            <w:tcW w:w="1418" w:type="dxa"/>
            <w:tcBorders>
              <w:bottom w:val="single" w:sz="4" w:space="0" w:color="auto"/>
            </w:tcBorders>
          </w:tcPr>
          <w:p w14:paraId="60D6B378" w14:textId="77777777" w:rsidR="00297B8B" w:rsidRPr="003314E6" w:rsidRDefault="00297B8B" w:rsidP="008E6602">
            <w:pPr>
              <w:spacing w:after="240"/>
              <w:jc w:val="center"/>
              <w:rPr>
                <w:b/>
                <w:sz w:val="20"/>
                <w:szCs w:val="20"/>
              </w:rPr>
            </w:pPr>
            <w:r w:rsidRPr="003314E6">
              <w:rPr>
                <w:b/>
                <w:sz w:val="20"/>
                <w:szCs w:val="20"/>
              </w:rPr>
              <w:t>100</w:t>
            </w:r>
          </w:p>
        </w:tc>
        <w:tc>
          <w:tcPr>
            <w:tcW w:w="1984" w:type="dxa"/>
            <w:tcBorders>
              <w:bottom w:val="single" w:sz="4" w:space="0" w:color="auto"/>
            </w:tcBorders>
          </w:tcPr>
          <w:p w14:paraId="27AFF144" w14:textId="77777777" w:rsidR="00297B8B" w:rsidRPr="003314E6" w:rsidRDefault="00297B8B" w:rsidP="008E6602">
            <w:pPr>
              <w:spacing w:after="240"/>
              <w:jc w:val="center"/>
              <w:rPr>
                <w:sz w:val="20"/>
                <w:szCs w:val="20"/>
              </w:rPr>
            </w:pPr>
            <w:r w:rsidRPr="003314E6">
              <w:rPr>
                <w:sz w:val="20"/>
                <w:szCs w:val="20"/>
              </w:rPr>
              <w:t>44.64</w:t>
            </w:r>
          </w:p>
        </w:tc>
        <w:tc>
          <w:tcPr>
            <w:tcW w:w="1418" w:type="dxa"/>
            <w:tcBorders>
              <w:bottom w:val="single" w:sz="4" w:space="0" w:color="auto"/>
            </w:tcBorders>
          </w:tcPr>
          <w:p w14:paraId="23C77C0C" w14:textId="77777777" w:rsidR="00297B8B" w:rsidRPr="003314E6" w:rsidRDefault="00297B8B" w:rsidP="008E6602">
            <w:pPr>
              <w:spacing w:after="240"/>
              <w:jc w:val="center"/>
              <w:rPr>
                <w:b/>
                <w:sz w:val="20"/>
                <w:szCs w:val="20"/>
              </w:rPr>
            </w:pPr>
            <w:r w:rsidRPr="003314E6">
              <w:rPr>
                <w:b/>
                <w:sz w:val="20"/>
                <w:szCs w:val="20"/>
              </w:rPr>
              <w:t>40</w:t>
            </w:r>
          </w:p>
        </w:tc>
      </w:tr>
    </w:tbl>
    <w:p w14:paraId="792F5A22" w14:textId="77CC8BDB" w:rsidR="00D941D6" w:rsidRDefault="00D941D6" w:rsidP="00053E43">
      <w:pPr>
        <w:spacing w:before="240"/>
        <w:jc w:val="both"/>
        <w:rPr>
          <w:sz w:val="22"/>
          <w:szCs w:val="22"/>
        </w:rPr>
      </w:pPr>
    </w:p>
    <w:p w14:paraId="2E69FFD9" w14:textId="77777777" w:rsidR="00053E43" w:rsidRPr="00D51C0D" w:rsidRDefault="00053E43" w:rsidP="00053E43">
      <w:pPr>
        <w:pStyle w:val="Heading4"/>
        <w:rPr>
          <w:sz w:val="20"/>
          <w:szCs w:val="22"/>
        </w:rPr>
      </w:pPr>
      <w:bookmarkStart w:id="27" w:name="_Toc532751575"/>
      <w:r>
        <w:rPr>
          <w:sz w:val="24"/>
          <w:lang w:val="sv-SE"/>
        </w:rPr>
        <w:lastRenderedPageBreak/>
        <w:t>STG</w:t>
      </w:r>
      <w:bookmarkEnd w:id="27"/>
    </w:p>
    <w:p w14:paraId="28A1CEE7" w14:textId="79F9F15B" w:rsidR="002B7D6E" w:rsidRPr="00AA3D0C" w:rsidRDefault="00053E43" w:rsidP="002B7D6E">
      <w:pPr>
        <w:spacing w:before="240"/>
        <w:jc w:val="both"/>
        <w:rPr>
          <w:sz w:val="22"/>
          <w:szCs w:val="22"/>
        </w:rPr>
      </w:pPr>
      <w:r>
        <w:rPr>
          <w:sz w:val="22"/>
          <w:szCs w:val="22"/>
        </w:rPr>
        <w:t>T</w:t>
      </w:r>
      <w:r w:rsidR="002B7D6E" w:rsidRPr="00AA3D0C">
        <w:rPr>
          <w:sz w:val="22"/>
          <w:szCs w:val="22"/>
        </w:rPr>
        <w:t xml:space="preserve">he </w:t>
      </w:r>
      <w:r w:rsidR="002B7D6E" w:rsidRPr="00AA3D0C">
        <w:rPr>
          <w:i/>
          <w:sz w:val="22"/>
          <w:szCs w:val="22"/>
        </w:rPr>
        <w:t>Space-Time Glare</w:t>
      </w:r>
      <w:r w:rsidR="002B7D6E" w:rsidRPr="00AA3D0C">
        <w:rPr>
          <w:sz w:val="22"/>
          <w:szCs w:val="22"/>
        </w:rPr>
        <w:t xml:space="preserve"> (STG) equation was created </w:t>
      </w:r>
      <w:r w:rsidR="005770F4">
        <w:rPr>
          <w:sz w:val="22"/>
          <w:szCs w:val="22"/>
        </w:rPr>
        <w:t>for</w:t>
      </w:r>
      <w:r w:rsidR="005770F4" w:rsidRPr="00AA3D0C">
        <w:rPr>
          <w:sz w:val="22"/>
          <w:szCs w:val="22"/>
        </w:rPr>
        <w:t xml:space="preserve"> the </w:t>
      </w:r>
      <w:r w:rsidR="005770F4">
        <w:rPr>
          <w:sz w:val="22"/>
          <w:szCs w:val="22"/>
        </w:rPr>
        <w:t xml:space="preserve">estimation of the </w:t>
      </w:r>
      <w:r w:rsidR="005770F4" w:rsidRPr="00AA3D0C">
        <w:rPr>
          <w:sz w:val="22"/>
          <w:szCs w:val="22"/>
        </w:rPr>
        <w:t xml:space="preserve">total </w:t>
      </w:r>
      <w:r w:rsidR="005770F4">
        <w:rPr>
          <w:sz w:val="22"/>
          <w:szCs w:val="22"/>
        </w:rPr>
        <w:t xml:space="preserve">glare </w:t>
      </w:r>
      <w:r w:rsidR="005770F4" w:rsidRPr="00AA3D0C">
        <w:rPr>
          <w:sz w:val="22"/>
          <w:szCs w:val="22"/>
        </w:rPr>
        <w:t xml:space="preserve">value on a </w:t>
      </w:r>
      <w:r w:rsidR="005770F4">
        <w:rPr>
          <w:sz w:val="22"/>
          <w:szCs w:val="22"/>
        </w:rPr>
        <w:t>certain observer position</w:t>
      </w:r>
      <w:r w:rsidR="005770F4" w:rsidRPr="00AA3D0C">
        <w:rPr>
          <w:sz w:val="22"/>
          <w:szCs w:val="22"/>
        </w:rPr>
        <w:t xml:space="preserve"> during a period</w:t>
      </w:r>
      <w:r w:rsidR="005770F4">
        <w:rPr>
          <w:sz w:val="22"/>
          <w:szCs w:val="22"/>
        </w:rPr>
        <w:t>. STG followed w</w:t>
      </w:r>
      <w:r w:rsidR="002B7D6E" w:rsidRPr="00AA3D0C">
        <w:rPr>
          <w:sz w:val="22"/>
          <w:szCs w:val="22"/>
        </w:rPr>
        <w:t>as a function of TPG and the studied time</w:t>
      </w:r>
      <w:r w:rsidR="00EC768A">
        <w:rPr>
          <w:sz w:val="22"/>
          <w:szCs w:val="22"/>
        </w:rPr>
        <w:t xml:space="preserve"> </w:t>
      </w:r>
      <w:r w:rsidR="00EC768A" w:rsidRPr="00550A2E">
        <w:rPr>
          <w:sz w:val="22"/>
          <w:szCs w:val="22"/>
        </w:rPr>
        <w:t>(eq.</w:t>
      </w:r>
      <w:r w:rsidR="00550A2E" w:rsidRPr="00550A2E">
        <w:rPr>
          <w:sz w:val="22"/>
          <w:szCs w:val="22"/>
        </w:rPr>
        <w:t>1</w:t>
      </w:r>
      <w:r w:rsidR="00FD2315">
        <w:rPr>
          <w:sz w:val="22"/>
          <w:szCs w:val="22"/>
        </w:rPr>
        <w:t>9</w:t>
      </w:r>
      <w:r w:rsidR="00EC768A" w:rsidRPr="00550A2E">
        <w:rPr>
          <w:sz w:val="22"/>
          <w:szCs w:val="22"/>
        </w:rPr>
        <w:t>)</w:t>
      </w:r>
      <w:r w:rsidR="005770F4">
        <w:rPr>
          <w:sz w:val="22"/>
          <w:szCs w:val="22"/>
        </w:rPr>
        <w:t>, following the same normalization process as in TPG.</w:t>
      </w:r>
    </w:p>
    <w:tbl>
      <w:tblPr>
        <w:tblStyle w:val="TableGrid"/>
        <w:tblpPr w:leftFromText="180" w:rightFromText="180" w:vertAnchor="text" w:horzAnchor="margin" w:tblpY="154"/>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400"/>
        <w:gridCol w:w="2065"/>
        <w:gridCol w:w="689"/>
      </w:tblGrid>
      <w:tr w:rsidR="002B7D6E" w:rsidRPr="00AA3D0C" w14:paraId="6C2CB4EC" w14:textId="77777777" w:rsidTr="006F4580">
        <w:tc>
          <w:tcPr>
            <w:tcW w:w="5400" w:type="dxa"/>
          </w:tcPr>
          <w:p w14:paraId="628B33D4" w14:textId="77777777" w:rsidR="002B7D6E" w:rsidRPr="00AA3D0C" w:rsidRDefault="002B7D6E" w:rsidP="006F4580">
            <w:pPr>
              <w:jc w:val="both"/>
              <w:rPr>
                <w:sz w:val="22"/>
                <w:szCs w:val="22"/>
              </w:rPr>
            </w:pPr>
            <m:oMathPara>
              <m:oMathParaPr>
                <m:jc m:val="right"/>
              </m:oMathParaPr>
              <m:oMath>
                <m:r>
                  <m:rPr>
                    <m:sty m:val="bi"/>
                  </m:rPr>
                  <w:rPr>
                    <w:rFonts w:ascii="Cambria Math" w:hAnsi="Cambria Math"/>
                    <w:sz w:val="22"/>
                    <w:szCs w:val="22"/>
                  </w:rPr>
                  <m:t>STG</m:t>
                </m:r>
                <m:r>
                  <w:rPr>
                    <w:rFonts w:ascii="Cambria Math" w:hAnsi="Cambria Math"/>
                    <w:sz w:val="22"/>
                    <w:szCs w:val="22"/>
                  </w:rPr>
                  <m:t xml:space="preserve">= </m:t>
                </m:r>
                <m:d>
                  <m:dPr>
                    <m:ctrlPr>
                      <w:rPr>
                        <w:rFonts w:ascii="Cambria Math" w:hAnsi="Cambria Math"/>
                        <w:i/>
                        <w:sz w:val="22"/>
                        <w:szCs w:val="22"/>
                      </w:rPr>
                    </m:ctrlPr>
                  </m:dPr>
                  <m:e>
                    <m:f>
                      <m:fPr>
                        <m:ctrlPr>
                          <w:rPr>
                            <w:rFonts w:ascii="Cambria Math" w:hAnsi="Cambria Math"/>
                            <w:i/>
                            <w:sz w:val="22"/>
                            <w:szCs w:val="22"/>
                          </w:rPr>
                        </m:ctrlPr>
                      </m:fPr>
                      <m:num>
                        <m:nary>
                          <m:naryPr>
                            <m:chr m:val="∑"/>
                            <m:limLoc m:val="undOvr"/>
                            <m:grow m:val="1"/>
                            <m:ctrlPr>
                              <w:rPr>
                                <w:rFonts w:ascii="Cambria Math" w:hAnsi="Cambria Math"/>
                                <w:i/>
                                <w:sz w:val="22"/>
                                <w:szCs w:val="22"/>
                              </w:rPr>
                            </m:ctrlPr>
                          </m:naryPr>
                          <m:sub>
                            <m:r>
                              <w:rPr>
                                <w:rFonts w:ascii="Cambria Math" w:hAnsi="Cambria Math"/>
                                <w:sz w:val="22"/>
                                <w:szCs w:val="22"/>
                              </w:rPr>
                              <m:t>j=1</m:t>
                            </m:r>
                          </m:sub>
                          <m:sup>
                            <m:sSub>
                              <m:sSubPr>
                                <m:ctrlPr>
                                  <w:rPr>
                                    <w:rFonts w:ascii="Cambria Math" w:hAnsi="Cambria Math"/>
                                    <w:i/>
                                    <w:sz w:val="22"/>
                                    <w:szCs w:val="22"/>
                                  </w:rPr>
                                </m:ctrlPr>
                              </m:sSubPr>
                              <m:e>
                                <m:r>
                                  <w:rPr>
                                    <w:rFonts w:ascii="Cambria Math" w:hAnsi="Cambria Math"/>
                                    <w:sz w:val="22"/>
                                    <w:szCs w:val="22"/>
                                  </w:rPr>
                                  <m:t>ω</m:t>
                                </m:r>
                              </m:e>
                              <m:sub>
                                <m:r>
                                  <w:rPr>
                                    <w:rFonts w:ascii="Cambria Math" w:hAnsi="Cambria Math"/>
                                    <w:sz w:val="22"/>
                                    <w:szCs w:val="22"/>
                                  </w:rPr>
                                  <m:t>tot</m:t>
                                </m:r>
                              </m:sub>
                            </m:sSub>
                          </m:sup>
                          <m:e>
                            <m:r>
                              <w:rPr>
                                <w:rFonts w:ascii="Cambria Math" w:hAnsi="Cambria Math"/>
                                <w:sz w:val="22"/>
                                <w:szCs w:val="22"/>
                              </w:rPr>
                              <m:t>(</m:t>
                            </m:r>
                            <m:sSub>
                              <m:sSubPr>
                                <m:ctrlPr>
                                  <w:rPr>
                                    <w:rFonts w:ascii="Cambria Math" w:hAnsi="Cambria Math"/>
                                    <w:i/>
                                    <w:sz w:val="22"/>
                                    <w:szCs w:val="22"/>
                                  </w:rPr>
                                </m:ctrlPr>
                              </m:sSubPr>
                              <m:e>
                                <m:r>
                                  <w:rPr>
                                    <w:rFonts w:ascii="Cambria Math" w:hAnsi="Cambria Math"/>
                                    <w:sz w:val="22"/>
                                    <w:szCs w:val="22"/>
                                  </w:rPr>
                                  <m:t>TPG</m:t>
                                </m:r>
                              </m:e>
                              <m:sub>
                                <m:r>
                                  <w:rPr>
                                    <w:rFonts w:ascii="Cambria Math" w:hAnsi="Cambria Math"/>
                                    <w:sz w:val="22"/>
                                    <w:szCs w:val="22"/>
                                  </w:rPr>
                                  <m:t>y,j</m:t>
                                </m:r>
                              </m:sub>
                            </m:sSub>
                            <m:r>
                              <w:rPr>
                                <w:rFonts w:ascii="Cambria Math" w:hAnsi="Cambria Math"/>
                                <w:sz w:val="22"/>
                                <w:szCs w:val="22"/>
                              </w:rPr>
                              <m:t>)</m:t>
                            </m:r>
                          </m:e>
                        </m:nary>
                      </m:num>
                      <m:den>
                        <m:sSub>
                          <m:sSubPr>
                            <m:ctrlPr>
                              <w:rPr>
                                <w:rFonts w:ascii="Cambria Math" w:hAnsi="Cambria Math"/>
                                <w:i/>
                                <w:sz w:val="22"/>
                                <w:szCs w:val="22"/>
                              </w:rPr>
                            </m:ctrlPr>
                          </m:sSubPr>
                          <m:e>
                            <m:r>
                              <w:rPr>
                                <w:rFonts w:ascii="Cambria Math" w:hAnsi="Cambria Math"/>
                                <w:sz w:val="22"/>
                                <w:szCs w:val="22"/>
                              </w:rPr>
                              <m:t>STG</m:t>
                            </m:r>
                          </m:e>
                          <m:sub>
                            <m:r>
                              <w:rPr>
                                <w:rFonts w:ascii="Cambria Math" w:hAnsi="Cambria Math"/>
                                <w:sz w:val="22"/>
                                <w:szCs w:val="22"/>
                              </w:rPr>
                              <m:t>max</m:t>
                            </m:r>
                          </m:sub>
                        </m:sSub>
                      </m:den>
                    </m:f>
                  </m:e>
                </m:d>
                <m:r>
                  <w:rPr>
                    <w:rFonts w:ascii="Cambria Math" w:hAnsi="Cambria Math"/>
                    <w:sz w:val="22"/>
                    <w:szCs w:val="22"/>
                  </w:rPr>
                  <m:t>∙100</m:t>
                </m:r>
              </m:oMath>
            </m:oMathPara>
          </w:p>
        </w:tc>
        <w:tc>
          <w:tcPr>
            <w:tcW w:w="2065" w:type="dxa"/>
          </w:tcPr>
          <w:p w14:paraId="115049E6" w14:textId="77777777" w:rsidR="002B7D6E" w:rsidRPr="00AA3D0C" w:rsidRDefault="002B7D6E" w:rsidP="006F4580">
            <w:pPr>
              <w:rPr>
                <w:sz w:val="18"/>
                <w:szCs w:val="12"/>
              </w:rPr>
            </w:pPr>
          </w:p>
          <w:p w14:paraId="502FB606" w14:textId="77777777" w:rsidR="002B7D6E" w:rsidRPr="00AA3D0C" w:rsidRDefault="002B7D6E" w:rsidP="006F4580">
            <w:pPr>
              <w:rPr>
                <w:sz w:val="18"/>
                <w:szCs w:val="12"/>
              </w:rPr>
            </w:pPr>
          </w:p>
          <w:p w14:paraId="5166EA3B" w14:textId="77777777" w:rsidR="002B7D6E" w:rsidRPr="00AA3D0C" w:rsidRDefault="002B7D6E" w:rsidP="006F4580">
            <w:pPr>
              <w:rPr>
                <w:sz w:val="22"/>
                <w:szCs w:val="22"/>
              </w:rPr>
            </w:pPr>
            <w:r w:rsidRPr="00AA3D0C">
              <w:rPr>
                <w:sz w:val="22"/>
                <w:szCs w:val="22"/>
              </w:rPr>
              <w:t>[%]</w:t>
            </w:r>
          </w:p>
        </w:tc>
        <w:tc>
          <w:tcPr>
            <w:tcW w:w="689" w:type="dxa"/>
          </w:tcPr>
          <w:p w14:paraId="7434C268" w14:textId="77777777" w:rsidR="002B7D6E" w:rsidRPr="00AA3D0C" w:rsidRDefault="002B7D6E" w:rsidP="006F4580">
            <w:pPr>
              <w:jc w:val="both"/>
              <w:rPr>
                <w:sz w:val="18"/>
                <w:szCs w:val="12"/>
              </w:rPr>
            </w:pPr>
          </w:p>
          <w:p w14:paraId="2712FBFB" w14:textId="77777777" w:rsidR="002B7D6E" w:rsidRPr="00AA3D0C" w:rsidRDefault="002B7D6E" w:rsidP="006F4580">
            <w:pPr>
              <w:jc w:val="both"/>
              <w:rPr>
                <w:sz w:val="18"/>
                <w:szCs w:val="12"/>
              </w:rPr>
            </w:pPr>
          </w:p>
          <w:p w14:paraId="1E598AC0" w14:textId="04AD3642" w:rsidR="002B7D6E" w:rsidRPr="00AA3D0C" w:rsidRDefault="002B7D6E" w:rsidP="006F4580">
            <w:pPr>
              <w:jc w:val="right"/>
              <w:rPr>
                <w:sz w:val="22"/>
                <w:szCs w:val="22"/>
              </w:rPr>
            </w:pPr>
            <w:r w:rsidRPr="00AA3D0C">
              <w:rPr>
                <w:sz w:val="22"/>
                <w:szCs w:val="22"/>
              </w:rPr>
              <w:t>(</w:t>
            </w:r>
            <w:r w:rsidR="00550A2E">
              <w:rPr>
                <w:sz w:val="22"/>
                <w:szCs w:val="22"/>
              </w:rPr>
              <w:t>1</w:t>
            </w:r>
            <w:r w:rsidR="00FD2315">
              <w:rPr>
                <w:sz w:val="22"/>
                <w:szCs w:val="22"/>
              </w:rPr>
              <w:t>9</w:t>
            </w:r>
            <w:r w:rsidRPr="00AA3D0C">
              <w:rPr>
                <w:sz w:val="22"/>
                <w:szCs w:val="22"/>
              </w:rPr>
              <w:t>)</w:t>
            </w:r>
          </w:p>
        </w:tc>
      </w:tr>
    </w:tbl>
    <w:p w14:paraId="0A25C563" w14:textId="39B0D140" w:rsidR="008E6602" w:rsidRPr="008E6602" w:rsidRDefault="008E6602" w:rsidP="00135D19">
      <w:pPr>
        <w:pStyle w:val="ListParagraph"/>
        <w:numPr>
          <w:ilvl w:val="0"/>
          <w:numId w:val="7"/>
        </w:numPr>
        <w:spacing w:before="240"/>
        <w:ind w:left="426"/>
        <w:jc w:val="both"/>
        <w:rPr>
          <w:rFonts w:ascii="Times New Roman" w:hAnsi="Times New Roman" w:cs="Times New Roman"/>
          <w:i/>
          <w:u w:val="single"/>
        </w:rPr>
      </w:pPr>
      <w:proofErr w:type="spellStart"/>
      <w:r w:rsidRPr="008E6602">
        <w:rPr>
          <w:rFonts w:ascii="Times New Roman" w:hAnsi="Times New Roman" w:cs="Times New Roman"/>
          <w:i/>
          <w:u w:val="single"/>
        </w:rPr>
        <w:t>ω</w:t>
      </w:r>
      <w:r w:rsidRPr="008E6602">
        <w:rPr>
          <w:rFonts w:ascii="Times New Roman" w:hAnsi="Times New Roman" w:cs="Times New Roman"/>
          <w:i/>
          <w:u w:val="single"/>
          <w:vertAlign w:val="subscript"/>
        </w:rPr>
        <w:t>tot</w:t>
      </w:r>
      <w:proofErr w:type="spellEnd"/>
      <w:r w:rsidRPr="008E6602">
        <w:rPr>
          <w:rFonts w:ascii="Times New Roman" w:hAnsi="Times New Roman" w:cs="Times New Roman"/>
          <w:i/>
          <w:u w:val="single"/>
        </w:rPr>
        <w:t>:</w:t>
      </w:r>
      <w:r w:rsidRPr="008E6602">
        <w:rPr>
          <w:rFonts w:ascii="Times New Roman" w:hAnsi="Times New Roman" w:cs="Times New Roman"/>
        </w:rPr>
        <w:t xml:space="preserve"> the studied </w:t>
      </w:r>
      <w:proofErr w:type="gramStart"/>
      <w:r w:rsidRPr="008E6602">
        <w:rPr>
          <w:rFonts w:ascii="Times New Roman" w:hAnsi="Times New Roman" w:cs="Times New Roman"/>
        </w:rPr>
        <w:t>period of time</w:t>
      </w:r>
      <w:proofErr w:type="gramEnd"/>
    </w:p>
    <w:p w14:paraId="66121FFC" w14:textId="77777777" w:rsidR="008E6602" w:rsidRPr="008E6602" w:rsidRDefault="008E6602" w:rsidP="00135D19">
      <w:pPr>
        <w:pStyle w:val="ListParagraph"/>
        <w:numPr>
          <w:ilvl w:val="0"/>
          <w:numId w:val="7"/>
        </w:numPr>
        <w:spacing w:before="240"/>
        <w:ind w:left="426"/>
        <w:jc w:val="both"/>
        <w:rPr>
          <w:rFonts w:ascii="Times New Roman" w:hAnsi="Times New Roman" w:cs="Times New Roman"/>
        </w:rPr>
      </w:pPr>
      <w:r w:rsidRPr="008E6602">
        <w:rPr>
          <w:rFonts w:ascii="Times New Roman" w:hAnsi="Times New Roman" w:cs="Times New Roman"/>
          <w:i/>
          <w:u w:val="single"/>
        </w:rPr>
        <w:t>j:</w:t>
      </w:r>
      <w:r w:rsidRPr="008E6602">
        <w:rPr>
          <w:rFonts w:ascii="Times New Roman" w:hAnsi="Times New Roman" w:cs="Times New Roman"/>
        </w:rPr>
        <w:t xml:space="preserve"> the studied time step (here: per hour)</w:t>
      </w:r>
    </w:p>
    <w:p w14:paraId="6061E927" w14:textId="77777777" w:rsidR="008E6602" w:rsidRPr="008E6602" w:rsidRDefault="00D941D6" w:rsidP="00135D19">
      <w:pPr>
        <w:pStyle w:val="ListParagraph"/>
        <w:numPr>
          <w:ilvl w:val="0"/>
          <w:numId w:val="7"/>
        </w:numPr>
        <w:spacing w:before="240"/>
        <w:ind w:left="426"/>
        <w:jc w:val="both"/>
        <w:rPr>
          <w:rFonts w:ascii="Times New Roman" w:hAnsi="Times New Roman" w:cs="Times New Roman"/>
          <w:i/>
          <w:u w:val="single"/>
        </w:rPr>
      </w:pPr>
      <w:r w:rsidRPr="008E6602">
        <w:rPr>
          <w:rFonts w:ascii="Times New Roman" w:hAnsi="Times New Roman" w:cs="Times New Roman"/>
          <w:i/>
          <w:u w:val="single"/>
        </w:rPr>
        <w:t xml:space="preserve">y: </w:t>
      </w:r>
      <w:r w:rsidRPr="008E6602">
        <w:rPr>
          <w:rFonts w:ascii="Times New Roman" w:hAnsi="Times New Roman" w:cs="Times New Roman"/>
        </w:rPr>
        <w:t>the specific observer’s position in space</w:t>
      </w:r>
    </w:p>
    <w:p w14:paraId="6AC40A98" w14:textId="77777777" w:rsidR="00053E43" w:rsidRPr="008C63D2" w:rsidRDefault="008E6602" w:rsidP="00135D19">
      <w:pPr>
        <w:pStyle w:val="ListParagraph"/>
        <w:numPr>
          <w:ilvl w:val="0"/>
          <w:numId w:val="7"/>
        </w:numPr>
        <w:spacing w:before="240"/>
        <w:ind w:left="426"/>
        <w:jc w:val="both"/>
        <w:rPr>
          <w:rFonts w:ascii="Times New Roman" w:hAnsi="Times New Roman" w:cs="Times New Roman"/>
          <w:i/>
          <w:u w:val="single"/>
        </w:rPr>
      </w:pPr>
      <w:proofErr w:type="spellStart"/>
      <w:r>
        <w:rPr>
          <w:rFonts w:ascii="Times New Roman" w:hAnsi="Times New Roman" w:cs="Times New Roman"/>
          <w:i/>
          <w:u w:val="single"/>
        </w:rPr>
        <w:t>STG</w:t>
      </w:r>
      <w:r w:rsidRPr="008E6602">
        <w:rPr>
          <w:rFonts w:ascii="Times New Roman" w:hAnsi="Times New Roman" w:cs="Times New Roman"/>
          <w:i/>
          <w:u w:val="single"/>
          <w:vertAlign w:val="subscript"/>
        </w:rPr>
        <w:t>max</w:t>
      </w:r>
      <w:proofErr w:type="spellEnd"/>
      <w:r w:rsidRPr="008E6602">
        <w:rPr>
          <w:rFonts w:ascii="Times New Roman" w:hAnsi="Times New Roman" w:cs="Times New Roman"/>
          <w:u w:val="single"/>
        </w:rPr>
        <w:t>:</w:t>
      </w:r>
      <w:r w:rsidRPr="008E6602">
        <w:rPr>
          <w:rFonts w:ascii="Times New Roman" w:hAnsi="Times New Roman" w:cs="Times New Roman"/>
        </w:rPr>
        <w:t xml:space="preserve"> The maximum </w:t>
      </w:r>
      <w:r>
        <w:rPr>
          <w:rFonts w:ascii="Times New Roman" w:hAnsi="Times New Roman" w:cs="Times New Roman"/>
        </w:rPr>
        <w:t>STG</w:t>
      </w:r>
      <w:r w:rsidRPr="008E6602">
        <w:rPr>
          <w:rFonts w:ascii="Times New Roman" w:hAnsi="Times New Roman" w:cs="Times New Roman"/>
        </w:rPr>
        <w:t xml:space="preserve"> per hour </w:t>
      </w:r>
      <w:r>
        <w:rPr>
          <w:rFonts w:ascii="Times New Roman" w:hAnsi="Times New Roman" w:cs="Times New Roman"/>
        </w:rPr>
        <w:t xml:space="preserve">that was </w:t>
      </w:r>
      <w:r w:rsidRPr="008E6602">
        <w:rPr>
          <w:rFonts w:ascii="Times New Roman" w:hAnsi="Times New Roman" w:cs="Times New Roman"/>
        </w:rPr>
        <w:t>used as benchmark (100%)</w:t>
      </w:r>
      <w:r>
        <w:rPr>
          <w:rFonts w:ascii="Times New Roman" w:hAnsi="Times New Roman" w:cs="Times New Roman"/>
        </w:rPr>
        <w:t>.</w:t>
      </w:r>
    </w:p>
    <w:p w14:paraId="273A5882" w14:textId="040741BF" w:rsidR="008E6602" w:rsidRPr="00027E64" w:rsidRDefault="00053E43" w:rsidP="008C63D2">
      <w:pPr>
        <w:spacing w:before="240"/>
        <w:jc w:val="both"/>
        <w:rPr>
          <w:i/>
          <w:u w:val="single"/>
        </w:rPr>
      </w:pPr>
      <w:proofErr w:type="spellStart"/>
      <w:r w:rsidRPr="008C63D2">
        <w:rPr>
          <w:b/>
          <w:sz w:val="22"/>
          <w:szCs w:val="22"/>
        </w:rPr>
        <w:t>STG</w:t>
      </w:r>
      <w:r w:rsidRPr="008C63D2">
        <w:rPr>
          <w:b/>
          <w:sz w:val="22"/>
          <w:szCs w:val="22"/>
          <w:vertAlign w:val="subscript"/>
        </w:rPr>
        <w:t>max</w:t>
      </w:r>
      <w:proofErr w:type="spellEnd"/>
      <w:r w:rsidRPr="008C63D2">
        <w:rPr>
          <w:sz w:val="22"/>
          <w:szCs w:val="22"/>
        </w:rPr>
        <w:t xml:space="preserve"> </w:t>
      </w:r>
      <w:r w:rsidR="008E6602" w:rsidRPr="008C63D2">
        <w:rPr>
          <w:sz w:val="22"/>
          <w:szCs w:val="22"/>
        </w:rPr>
        <w:t xml:space="preserve">was assumed to occur when TPG = </w:t>
      </w:r>
      <w:proofErr w:type="spellStart"/>
      <w:r w:rsidR="008E6602" w:rsidRPr="008C63D2">
        <w:rPr>
          <w:sz w:val="22"/>
          <w:szCs w:val="22"/>
        </w:rPr>
        <w:t>TPG</w:t>
      </w:r>
      <w:r w:rsidR="008E6602" w:rsidRPr="008C63D2">
        <w:rPr>
          <w:sz w:val="22"/>
          <w:szCs w:val="22"/>
          <w:vertAlign w:val="subscript"/>
        </w:rPr>
        <w:t>max</w:t>
      </w:r>
      <w:proofErr w:type="spellEnd"/>
      <w:r w:rsidR="008E6602" w:rsidRPr="008C63D2">
        <w:rPr>
          <w:sz w:val="22"/>
          <w:szCs w:val="22"/>
        </w:rPr>
        <w:t>. In more details,</w:t>
      </w:r>
    </w:p>
    <w:tbl>
      <w:tblPr>
        <w:tblStyle w:val="TableGrid"/>
        <w:tblpPr w:leftFromText="180" w:rightFromText="180" w:vertAnchor="text" w:horzAnchor="margin" w:tblpY="154"/>
        <w:tblW w:w="827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46"/>
        <w:gridCol w:w="2616"/>
        <w:gridCol w:w="814"/>
      </w:tblGrid>
      <w:tr w:rsidR="008E6602" w:rsidRPr="00AA3D0C" w14:paraId="35C7F8B6" w14:textId="77777777" w:rsidTr="008C63D2">
        <w:trPr>
          <w:trHeight w:val="447"/>
        </w:trPr>
        <w:tc>
          <w:tcPr>
            <w:tcW w:w="4846" w:type="dxa"/>
          </w:tcPr>
          <w:p w14:paraId="046236D1" w14:textId="77777777" w:rsidR="008E6602" w:rsidRPr="00421CF9" w:rsidRDefault="00B030DD" w:rsidP="008E6602">
            <w:pPr>
              <w:jc w:val="both"/>
              <w:rPr>
                <w:rFonts w:ascii="Cambria Math" w:eastAsiaTheme="minorEastAsia" w:hAnsi="Cambria Math"/>
                <w:i/>
                <w:sz w:val="22"/>
                <w:szCs w:val="22"/>
              </w:rPr>
            </w:pPr>
            <m:oMathPara>
              <m:oMathParaPr>
                <m:jc m:val="right"/>
              </m:oMathParaPr>
              <m:oMath>
                <m:sSub>
                  <m:sSubPr>
                    <m:ctrlPr>
                      <w:rPr>
                        <w:rFonts w:ascii="Cambria Math" w:hAnsi="Cambria Math"/>
                        <w:i/>
                        <w:sz w:val="22"/>
                        <w:szCs w:val="22"/>
                      </w:rPr>
                    </m:ctrlPr>
                  </m:sSubPr>
                  <m:e>
                    <m:r>
                      <w:rPr>
                        <w:rFonts w:ascii="Cambria Math" w:hAnsi="Cambria Math"/>
                        <w:sz w:val="22"/>
                        <w:szCs w:val="22"/>
                      </w:rPr>
                      <m:t>STG</m:t>
                    </m:r>
                  </m:e>
                  <m:sub>
                    <m:r>
                      <w:rPr>
                        <w:rFonts w:ascii="Cambria Math" w:hAnsi="Cambria Math"/>
                        <w:sz w:val="22"/>
                        <w:szCs w:val="22"/>
                      </w:rPr>
                      <m:t>max</m:t>
                    </m:r>
                  </m:sub>
                </m:sSub>
                <m:r>
                  <w:rPr>
                    <w:rFonts w:ascii="Cambria Math" w:hAnsi="Cambria Math"/>
                    <w:sz w:val="22"/>
                    <w:szCs w:val="22"/>
                  </w:rPr>
                  <m:t>=</m:t>
                </m:r>
                <m:sSub>
                  <m:sSubPr>
                    <m:ctrlPr>
                      <w:rPr>
                        <w:rFonts w:ascii="Cambria Math" w:hAnsi="Cambria Math"/>
                        <w:i/>
                        <w:sz w:val="22"/>
                        <w:szCs w:val="22"/>
                      </w:rPr>
                    </m:ctrlPr>
                  </m:sSubPr>
                  <m:e>
                    <m:r>
                      <w:rPr>
                        <w:rFonts w:ascii="Cambria Math" w:hAnsi="Cambria Math"/>
                        <w:sz w:val="22"/>
                        <w:szCs w:val="22"/>
                      </w:rPr>
                      <m:t>TGP</m:t>
                    </m:r>
                  </m:e>
                  <m:sub>
                    <m:r>
                      <w:rPr>
                        <w:rFonts w:ascii="Cambria Math" w:hAnsi="Cambria Math"/>
                        <w:sz w:val="22"/>
                        <w:szCs w:val="22"/>
                      </w:rPr>
                      <m:t>max</m:t>
                    </m:r>
                  </m:sub>
                </m:sSub>
                <m:r>
                  <w:rPr>
                    <w:rFonts w:ascii="Cambria Math" w:hAnsi="Cambria Math"/>
                    <w:sz w:val="22"/>
                    <w:szCs w:val="22"/>
                  </w:rPr>
                  <m:t>∙</m:t>
                </m:r>
                <m:sSub>
                  <m:sSubPr>
                    <m:ctrlPr>
                      <w:rPr>
                        <w:rFonts w:ascii="Cambria Math" w:hAnsi="Cambria Math"/>
                        <w:i/>
                        <w:sz w:val="22"/>
                        <w:szCs w:val="22"/>
                      </w:rPr>
                    </m:ctrlPr>
                  </m:sSubPr>
                  <m:e>
                    <m:r>
                      <w:rPr>
                        <w:rFonts w:ascii="Cambria Math" w:hAnsi="Cambria Math"/>
                        <w:sz w:val="22"/>
                        <w:szCs w:val="22"/>
                      </w:rPr>
                      <m:t>ω</m:t>
                    </m:r>
                  </m:e>
                  <m:sub>
                    <m:r>
                      <w:rPr>
                        <w:rFonts w:ascii="Cambria Math" w:hAnsi="Cambria Math"/>
                        <w:sz w:val="22"/>
                        <w:szCs w:val="22"/>
                      </w:rPr>
                      <m:t>tot</m:t>
                    </m:r>
                  </m:sub>
                </m:sSub>
              </m:oMath>
            </m:oMathPara>
          </w:p>
        </w:tc>
        <w:tc>
          <w:tcPr>
            <w:tcW w:w="2616" w:type="dxa"/>
          </w:tcPr>
          <w:p w14:paraId="46DD9D42" w14:textId="77777777" w:rsidR="008E6602" w:rsidRPr="00AA3D0C" w:rsidRDefault="008E6602" w:rsidP="008E6602">
            <w:pPr>
              <w:rPr>
                <w:sz w:val="22"/>
                <w:szCs w:val="22"/>
              </w:rPr>
            </w:pPr>
            <w:r w:rsidRPr="00AA3D0C">
              <w:rPr>
                <w:sz w:val="22"/>
                <w:szCs w:val="22"/>
              </w:rPr>
              <w:t>[</w:t>
            </w:r>
            <w:r>
              <w:rPr>
                <w:sz w:val="22"/>
                <w:szCs w:val="22"/>
              </w:rPr>
              <w:t>-</w:t>
            </w:r>
            <w:r w:rsidRPr="00AA3D0C">
              <w:rPr>
                <w:sz w:val="22"/>
                <w:szCs w:val="22"/>
              </w:rPr>
              <w:t>]</w:t>
            </w:r>
          </w:p>
        </w:tc>
        <w:tc>
          <w:tcPr>
            <w:tcW w:w="814" w:type="dxa"/>
          </w:tcPr>
          <w:p w14:paraId="3EE6C2B2" w14:textId="1C9BFF06" w:rsidR="008E6602" w:rsidRPr="00AA3D0C" w:rsidRDefault="008E6602" w:rsidP="008E6602">
            <w:pPr>
              <w:jc w:val="right"/>
              <w:rPr>
                <w:sz w:val="22"/>
                <w:szCs w:val="22"/>
              </w:rPr>
            </w:pPr>
            <w:r w:rsidRPr="00AA3D0C">
              <w:rPr>
                <w:sz w:val="22"/>
                <w:szCs w:val="22"/>
              </w:rPr>
              <w:t>(</w:t>
            </w:r>
            <w:r w:rsidR="00FD2315">
              <w:rPr>
                <w:sz w:val="22"/>
                <w:szCs w:val="22"/>
              </w:rPr>
              <w:t>20</w:t>
            </w:r>
            <w:r w:rsidRPr="00AA3D0C">
              <w:rPr>
                <w:sz w:val="22"/>
                <w:szCs w:val="22"/>
              </w:rPr>
              <w:t>)</w:t>
            </w:r>
          </w:p>
        </w:tc>
      </w:tr>
    </w:tbl>
    <w:p w14:paraId="539D33FC" w14:textId="77777777" w:rsidR="002B7D6E" w:rsidRPr="008E6602" w:rsidRDefault="002B7D6E" w:rsidP="002B7D6E">
      <w:pPr>
        <w:jc w:val="both"/>
        <w:rPr>
          <w:sz w:val="22"/>
          <w:szCs w:val="22"/>
        </w:rPr>
      </w:pPr>
    </w:p>
    <w:p w14:paraId="50E02A88" w14:textId="584296EA" w:rsidR="00BE257F" w:rsidRDefault="00F7461F" w:rsidP="002B7D6E">
      <w:pPr>
        <w:jc w:val="both"/>
        <w:rPr>
          <w:sz w:val="22"/>
          <w:szCs w:val="22"/>
        </w:rPr>
      </w:pPr>
      <w:proofErr w:type="spellStart"/>
      <w:r w:rsidRPr="008C63D2">
        <w:rPr>
          <w:b/>
          <w:sz w:val="22"/>
          <w:szCs w:val="22"/>
        </w:rPr>
        <w:t>STG</w:t>
      </w:r>
      <w:r w:rsidRPr="008C63D2">
        <w:rPr>
          <w:b/>
          <w:sz w:val="22"/>
          <w:szCs w:val="22"/>
          <w:vertAlign w:val="subscript"/>
        </w:rPr>
        <w:t>target</w:t>
      </w:r>
      <w:proofErr w:type="spellEnd"/>
      <w:r w:rsidR="00BE257F">
        <w:rPr>
          <w:sz w:val="22"/>
          <w:szCs w:val="22"/>
        </w:rPr>
        <w:t xml:space="preserve"> </w:t>
      </w:r>
      <w:r w:rsidR="005770F4">
        <w:rPr>
          <w:sz w:val="22"/>
          <w:szCs w:val="22"/>
        </w:rPr>
        <w:t>was arbitrary chosen, being</w:t>
      </w:r>
      <w:r w:rsidR="00BE257F">
        <w:rPr>
          <w:sz w:val="22"/>
          <w:szCs w:val="22"/>
        </w:rPr>
        <w:t>:</w:t>
      </w:r>
    </w:p>
    <w:tbl>
      <w:tblPr>
        <w:tblStyle w:val="TableGrid"/>
        <w:tblpPr w:leftFromText="180" w:rightFromText="180" w:vertAnchor="text" w:horzAnchor="margin" w:tblpY="154"/>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197"/>
        <w:gridCol w:w="2384"/>
        <w:gridCol w:w="583"/>
      </w:tblGrid>
      <w:tr w:rsidR="00BE257F" w:rsidRPr="00AA3D0C" w14:paraId="7B5AD4C7" w14:textId="77777777" w:rsidTr="00BE257F">
        <w:tc>
          <w:tcPr>
            <w:tcW w:w="5245" w:type="dxa"/>
          </w:tcPr>
          <w:p w14:paraId="42CC7108" w14:textId="77777777" w:rsidR="00BE257F" w:rsidRPr="00421CF9" w:rsidRDefault="00B030DD" w:rsidP="00801546">
            <w:pPr>
              <w:jc w:val="both"/>
              <w:rPr>
                <w:rFonts w:ascii="Cambria Math" w:eastAsiaTheme="minorEastAsia" w:hAnsi="Cambria Math"/>
                <w:i/>
                <w:sz w:val="22"/>
                <w:szCs w:val="22"/>
              </w:rPr>
            </w:pPr>
            <m:oMathPara>
              <m:oMathParaPr>
                <m:jc m:val="right"/>
              </m:oMathParaPr>
              <m:oMath>
                <m:sSub>
                  <m:sSubPr>
                    <m:ctrlPr>
                      <w:rPr>
                        <w:rFonts w:ascii="Cambria Math" w:hAnsi="Cambria Math"/>
                        <w:i/>
                        <w:sz w:val="22"/>
                        <w:szCs w:val="22"/>
                      </w:rPr>
                    </m:ctrlPr>
                  </m:sSubPr>
                  <m:e>
                    <m:r>
                      <w:rPr>
                        <w:rFonts w:ascii="Cambria Math" w:hAnsi="Cambria Math"/>
                        <w:sz w:val="22"/>
                        <w:szCs w:val="22"/>
                      </w:rPr>
                      <m:t>STG</m:t>
                    </m:r>
                  </m:e>
                  <m:sub>
                    <m:r>
                      <w:rPr>
                        <w:rFonts w:ascii="Cambria Math" w:hAnsi="Cambria Math"/>
                        <w:sz w:val="22"/>
                        <w:szCs w:val="22"/>
                      </w:rPr>
                      <m:t>target</m:t>
                    </m:r>
                  </m:sub>
                </m:sSub>
                <m:r>
                  <w:rPr>
                    <w:rFonts w:ascii="Cambria Math" w:hAnsi="Cambria Math"/>
                    <w:sz w:val="22"/>
                    <w:szCs w:val="22"/>
                  </w:rPr>
                  <m:t>=</m:t>
                </m:r>
                <m:sSub>
                  <m:sSubPr>
                    <m:ctrlPr>
                      <w:rPr>
                        <w:rFonts w:ascii="Cambria Math" w:hAnsi="Cambria Math"/>
                        <w:i/>
                        <w:sz w:val="22"/>
                        <w:szCs w:val="22"/>
                      </w:rPr>
                    </m:ctrlPr>
                  </m:sSubPr>
                  <m:e>
                    <m:r>
                      <w:rPr>
                        <w:rFonts w:ascii="Cambria Math" w:hAnsi="Cambria Math"/>
                        <w:sz w:val="22"/>
                        <w:szCs w:val="22"/>
                      </w:rPr>
                      <m:t>TGP</m:t>
                    </m:r>
                  </m:e>
                  <m:sub>
                    <m:r>
                      <w:rPr>
                        <w:rFonts w:ascii="Cambria Math" w:hAnsi="Cambria Math"/>
                        <w:sz w:val="22"/>
                        <w:szCs w:val="22"/>
                      </w:rPr>
                      <m:t>target</m:t>
                    </m:r>
                  </m:sub>
                </m:sSub>
                <m:r>
                  <w:rPr>
                    <w:rFonts w:ascii="Cambria Math" w:hAnsi="Cambria Math"/>
                    <w:sz w:val="22"/>
                    <w:szCs w:val="22"/>
                  </w:rPr>
                  <m:t>∙</m:t>
                </m:r>
                <m:sSub>
                  <m:sSubPr>
                    <m:ctrlPr>
                      <w:rPr>
                        <w:rFonts w:ascii="Cambria Math" w:hAnsi="Cambria Math"/>
                        <w:i/>
                        <w:sz w:val="22"/>
                        <w:szCs w:val="22"/>
                      </w:rPr>
                    </m:ctrlPr>
                  </m:sSubPr>
                  <m:e>
                    <m:r>
                      <w:rPr>
                        <w:rFonts w:ascii="Cambria Math" w:hAnsi="Cambria Math"/>
                        <w:sz w:val="22"/>
                        <w:szCs w:val="22"/>
                      </w:rPr>
                      <m:t>ω</m:t>
                    </m:r>
                  </m:e>
                  <m:sub>
                    <m:r>
                      <w:rPr>
                        <w:rFonts w:ascii="Cambria Math" w:hAnsi="Cambria Math"/>
                        <w:sz w:val="22"/>
                        <w:szCs w:val="22"/>
                      </w:rPr>
                      <m:t>tot</m:t>
                    </m:r>
                  </m:sub>
                </m:sSub>
              </m:oMath>
            </m:oMathPara>
          </w:p>
        </w:tc>
        <w:tc>
          <w:tcPr>
            <w:tcW w:w="2410" w:type="dxa"/>
          </w:tcPr>
          <w:p w14:paraId="381920A4" w14:textId="77777777" w:rsidR="00BE257F" w:rsidRPr="00AA3D0C" w:rsidRDefault="00BE257F" w:rsidP="00801546">
            <w:pPr>
              <w:rPr>
                <w:sz w:val="22"/>
                <w:szCs w:val="22"/>
              </w:rPr>
            </w:pPr>
            <w:r w:rsidRPr="00AA3D0C">
              <w:rPr>
                <w:sz w:val="22"/>
                <w:szCs w:val="22"/>
              </w:rPr>
              <w:t>[</w:t>
            </w:r>
            <w:r>
              <w:rPr>
                <w:sz w:val="22"/>
                <w:szCs w:val="22"/>
              </w:rPr>
              <w:t>-</w:t>
            </w:r>
            <w:r w:rsidRPr="00AA3D0C">
              <w:rPr>
                <w:sz w:val="22"/>
                <w:szCs w:val="22"/>
              </w:rPr>
              <w:t>]</w:t>
            </w:r>
          </w:p>
        </w:tc>
        <w:tc>
          <w:tcPr>
            <w:tcW w:w="499" w:type="dxa"/>
          </w:tcPr>
          <w:p w14:paraId="3705FA29" w14:textId="0DA47E0E" w:rsidR="00BE257F" w:rsidRPr="00AA3D0C" w:rsidRDefault="00BE257F" w:rsidP="00801546">
            <w:pPr>
              <w:jc w:val="right"/>
              <w:rPr>
                <w:sz w:val="22"/>
                <w:szCs w:val="22"/>
              </w:rPr>
            </w:pPr>
            <w:r w:rsidRPr="00AA3D0C">
              <w:rPr>
                <w:sz w:val="22"/>
                <w:szCs w:val="22"/>
              </w:rPr>
              <w:t>(</w:t>
            </w:r>
            <w:r w:rsidR="00725DB0">
              <w:rPr>
                <w:sz w:val="22"/>
                <w:szCs w:val="22"/>
              </w:rPr>
              <w:t>2</w:t>
            </w:r>
            <w:r w:rsidR="00FD2315">
              <w:rPr>
                <w:sz w:val="22"/>
                <w:szCs w:val="22"/>
              </w:rPr>
              <w:t>1</w:t>
            </w:r>
            <w:r w:rsidRPr="00AA3D0C">
              <w:rPr>
                <w:sz w:val="22"/>
                <w:szCs w:val="22"/>
              </w:rPr>
              <w:t>)</w:t>
            </w:r>
          </w:p>
        </w:tc>
      </w:tr>
    </w:tbl>
    <w:p w14:paraId="66A1C6FC" w14:textId="77777777" w:rsidR="00BE257F" w:rsidRDefault="00BE257F" w:rsidP="002B7D6E">
      <w:pPr>
        <w:jc w:val="both"/>
        <w:rPr>
          <w:sz w:val="22"/>
          <w:szCs w:val="22"/>
        </w:rPr>
      </w:pPr>
    </w:p>
    <w:p w14:paraId="675B9294" w14:textId="77777777" w:rsidR="003B29E0" w:rsidRDefault="003B29E0" w:rsidP="003B29E0">
      <w:pPr>
        <w:jc w:val="both"/>
        <w:rPr>
          <w:sz w:val="22"/>
          <w:szCs w:val="22"/>
        </w:rPr>
      </w:pPr>
      <w:r w:rsidRPr="003B29E0">
        <w:rPr>
          <w:b/>
          <w:sz w:val="22"/>
          <w:szCs w:val="22"/>
        </w:rPr>
        <w:t>Example:</w:t>
      </w:r>
      <w:r>
        <w:rPr>
          <w:sz w:val="22"/>
          <w:szCs w:val="22"/>
        </w:rPr>
        <w:t xml:space="preserve"> for DGP or DGPs,</w:t>
      </w:r>
    </w:p>
    <w:tbl>
      <w:tblPr>
        <w:tblStyle w:val="TableGrid"/>
        <w:tblpPr w:leftFromText="180" w:rightFromText="180" w:vertAnchor="text" w:horzAnchor="margin" w:tblpY="154"/>
        <w:tblW w:w="818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184"/>
      </w:tblGrid>
      <w:tr w:rsidR="003B29E0" w:rsidRPr="00AA3D0C" w14:paraId="5AE1CA1B" w14:textId="77777777" w:rsidTr="008C63D2">
        <w:trPr>
          <w:trHeight w:val="359"/>
        </w:trPr>
        <w:tc>
          <w:tcPr>
            <w:tcW w:w="8184" w:type="dxa"/>
          </w:tcPr>
          <w:p w14:paraId="3F131A39" w14:textId="7A8499E7" w:rsidR="003B29E0" w:rsidRPr="00E10866" w:rsidRDefault="00B030DD" w:rsidP="00801546">
            <w:pPr>
              <w:jc w:val="right"/>
              <w:rPr>
                <w:sz w:val="22"/>
                <w:szCs w:val="22"/>
              </w:rPr>
            </w:pPr>
            <m:oMathPara>
              <m:oMathParaPr>
                <m:jc m:val="left"/>
              </m:oMathParaPr>
              <m:oMath>
                <m:box>
                  <m:boxPr>
                    <m:opEmu m:val="1"/>
                    <m:ctrlPr>
                      <w:rPr>
                        <w:rFonts w:ascii="Cambria Math" w:hAnsi="Cambria Math"/>
                        <w:i/>
                        <w:sz w:val="22"/>
                        <w:szCs w:val="22"/>
                      </w:rPr>
                    </m:ctrlPr>
                  </m:boxPr>
                  <m:e>
                    <m:groupChr>
                      <m:groupChrPr>
                        <m:chr m:val="⇒"/>
                        <m:vertJc m:val="bot"/>
                        <m:ctrlPr>
                          <w:rPr>
                            <w:rFonts w:ascii="Cambria Math" w:hAnsi="Cambria Math"/>
                            <w:i/>
                            <w:sz w:val="22"/>
                            <w:szCs w:val="22"/>
                          </w:rPr>
                        </m:ctrlPr>
                      </m:groupChrPr>
                      <m:e>
                        <m:r>
                          <w:rPr>
                            <w:rFonts w:ascii="Cambria Math" w:hAnsi="Cambria Math"/>
                            <w:sz w:val="22"/>
                            <w:szCs w:val="22"/>
                          </w:rPr>
                          <m:t>(20)</m:t>
                        </m:r>
                      </m:e>
                    </m:groupChr>
                  </m:e>
                </m:box>
                <m:sSub>
                  <m:sSubPr>
                    <m:ctrlPr>
                      <w:rPr>
                        <w:rFonts w:ascii="Cambria Math" w:hAnsi="Cambria Math"/>
                        <w:i/>
                        <w:sz w:val="22"/>
                        <w:szCs w:val="22"/>
                      </w:rPr>
                    </m:ctrlPr>
                  </m:sSubPr>
                  <m:e>
                    <m:r>
                      <w:rPr>
                        <w:rFonts w:ascii="Cambria Math" w:hAnsi="Cambria Math"/>
                        <w:sz w:val="22"/>
                        <w:szCs w:val="22"/>
                      </w:rPr>
                      <m:t>STG</m:t>
                    </m:r>
                  </m:e>
                  <m:sub>
                    <m:r>
                      <w:rPr>
                        <w:rFonts w:ascii="Cambria Math" w:hAnsi="Cambria Math"/>
                        <w:sz w:val="22"/>
                        <w:szCs w:val="22"/>
                      </w:rPr>
                      <m:t>max</m:t>
                    </m:r>
                  </m:sub>
                </m:sSub>
                <m:r>
                  <w:rPr>
                    <w:rFonts w:ascii="Cambria Math" w:hAnsi="Cambria Math"/>
                    <w:sz w:val="22"/>
                    <w:szCs w:val="22"/>
                  </w:rPr>
                  <m:t>=</m:t>
                </m:r>
                <m:d>
                  <m:dPr>
                    <m:begChr m:val="{"/>
                    <m:endChr m:val=""/>
                    <m:ctrlPr>
                      <w:rPr>
                        <w:rFonts w:ascii="Cambria Math" w:hAnsi="Cambria Math"/>
                        <w:i/>
                        <w:sz w:val="22"/>
                        <w:szCs w:val="22"/>
                      </w:rPr>
                    </m:ctrlPr>
                  </m:dPr>
                  <m:e>
                    <m:eqArr>
                      <m:eqArrPr>
                        <m:ctrlPr>
                          <w:rPr>
                            <w:rFonts w:ascii="Cambria Math" w:hAnsi="Cambria Math"/>
                            <w:i/>
                            <w:sz w:val="22"/>
                            <w:szCs w:val="22"/>
                          </w:rPr>
                        </m:ctrlPr>
                      </m:eqArrPr>
                      <m:e>
                        <m:r>
                          <w:rPr>
                            <w:rFonts w:ascii="Cambria Math" w:hAnsi="Cambria Math"/>
                            <w:sz w:val="22"/>
                            <w:szCs w:val="22"/>
                          </w:rPr>
                          <m:t xml:space="preserve">167.4∙7=1171.8,  if </m:t>
                        </m:r>
                        <m:r>
                          <w:rPr>
                            <w:rFonts w:ascii="Cambria Math" w:hAnsi="Cambria Math"/>
                            <w:sz w:val="22"/>
                            <w:szCs w:val="22"/>
                            <w:lang w:val="el-GR"/>
                          </w:rPr>
                          <m:t xml:space="preserve">ω=7                                                           </m:t>
                        </m:r>
                      </m:e>
                      <m:e>
                        <m:r>
                          <w:rPr>
                            <w:rFonts w:ascii="Cambria Math" w:hAnsi="Cambria Math"/>
                            <w:sz w:val="22"/>
                            <w:szCs w:val="22"/>
                          </w:rPr>
                          <m:t xml:space="preserve">167.4 ∙5=837,               if </m:t>
                        </m:r>
                        <m:r>
                          <w:rPr>
                            <w:rFonts w:ascii="Cambria Math" w:hAnsi="Cambria Math"/>
                            <w:sz w:val="22"/>
                            <w:szCs w:val="22"/>
                            <w:lang w:val="el-GR"/>
                          </w:rPr>
                          <m:t>ω=5</m:t>
                        </m:r>
                        <m:r>
                          <w:rPr>
                            <w:rFonts w:ascii="Cambria Math" w:hAnsi="Cambria Math"/>
                            <w:sz w:val="22"/>
                            <w:szCs w:val="22"/>
                          </w:rPr>
                          <m:t xml:space="preserve">                                                           </m:t>
                        </m:r>
                      </m:e>
                    </m:eqArr>
                  </m:e>
                </m:d>
              </m:oMath>
            </m:oMathPara>
          </w:p>
        </w:tc>
      </w:tr>
    </w:tbl>
    <w:p w14:paraId="3956B2F2" w14:textId="77777777" w:rsidR="003B29E0" w:rsidRDefault="003B29E0" w:rsidP="003B29E0">
      <w:pPr>
        <w:jc w:val="both"/>
        <w:rPr>
          <w:sz w:val="22"/>
          <w:szCs w:val="22"/>
        </w:rPr>
      </w:pPr>
      <w:r>
        <w:rPr>
          <w:sz w:val="22"/>
          <w:szCs w:val="22"/>
        </w:rPr>
        <w:t xml:space="preserve">                  and,</w:t>
      </w:r>
    </w:p>
    <w:tbl>
      <w:tblPr>
        <w:tblStyle w:val="TableGrid"/>
        <w:tblpPr w:leftFromText="180" w:rightFromText="180" w:vertAnchor="text" w:horzAnchor="margin" w:tblpY="154"/>
        <w:tblW w:w="836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364"/>
      </w:tblGrid>
      <w:tr w:rsidR="003B29E0" w:rsidRPr="00AA3D0C" w14:paraId="1B3B23BE" w14:textId="77777777" w:rsidTr="00801546">
        <w:trPr>
          <w:trHeight w:val="317"/>
        </w:trPr>
        <w:tc>
          <w:tcPr>
            <w:tcW w:w="8364" w:type="dxa"/>
          </w:tcPr>
          <w:p w14:paraId="4E1BCAAD" w14:textId="4C11234F" w:rsidR="003B29E0" w:rsidRPr="00E10866" w:rsidRDefault="00B030DD" w:rsidP="00801546">
            <w:pPr>
              <w:jc w:val="right"/>
              <w:rPr>
                <w:sz w:val="22"/>
                <w:szCs w:val="22"/>
              </w:rPr>
            </w:pPr>
            <m:oMathPara>
              <m:oMathParaPr>
                <m:jc m:val="left"/>
              </m:oMathParaPr>
              <m:oMath>
                <m:box>
                  <m:boxPr>
                    <m:opEmu m:val="1"/>
                    <m:ctrlPr>
                      <w:rPr>
                        <w:rFonts w:ascii="Cambria Math" w:hAnsi="Cambria Math"/>
                        <w:i/>
                        <w:sz w:val="22"/>
                        <w:szCs w:val="22"/>
                      </w:rPr>
                    </m:ctrlPr>
                  </m:boxPr>
                  <m:e>
                    <m:groupChr>
                      <m:groupChrPr>
                        <m:chr m:val="⇒"/>
                        <m:vertJc m:val="bot"/>
                        <m:ctrlPr>
                          <w:rPr>
                            <w:rFonts w:ascii="Cambria Math" w:hAnsi="Cambria Math"/>
                            <w:i/>
                            <w:sz w:val="22"/>
                            <w:szCs w:val="22"/>
                          </w:rPr>
                        </m:ctrlPr>
                      </m:groupChrPr>
                      <m:e>
                        <m:r>
                          <w:rPr>
                            <w:rFonts w:ascii="Cambria Math" w:hAnsi="Cambria Math"/>
                            <w:sz w:val="22"/>
                            <w:szCs w:val="22"/>
                          </w:rPr>
                          <m:t>(21)</m:t>
                        </m:r>
                      </m:e>
                    </m:groupChr>
                  </m:e>
                </m:box>
                <m:sSub>
                  <m:sSubPr>
                    <m:ctrlPr>
                      <w:rPr>
                        <w:rFonts w:ascii="Cambria Math" w:hAnsi="Cambria Math"/>
                        <w:i/>
                        <w:sz w:val="22"/>
                        <w:szCs w:val="22"/>
                      </w:rPr>
                    </m:ctrlPr>
                  </m:sSubPr>
                  <m:e>
                    <m:r>
                      <w:rPr>
                        <w:rFonts w:ascii="Cambria Math" w:hAnsi="Cambria Math"/>
                        <w:sz w:val="22"/>
                        <w:szCs w:val="22"/>
                      </w:rPr>
                      <m:t>STG</m:t>
                    </m:r>
                  </m:e>
                  <m:sub>
                    <m:r>
                      <w:rPr>
                        <w:rFonts w:ascii="Cambria Math" w:hAnsi="Cambria Math"/>
                        <w:sz w:val="22"/>
                        <w:szCs w:val="22"/>
                      </w:rPr>
                      <m:t>target</m:t>
                    </m:r>
                  </m:sub>
                </m:sSub>
                <m:r>
                  <w:rPr>
                    <w:rFonts w:ascii="Cambria Math" w:hAnsi="Cambria Math"/>
                    <w:sz w:val="22"/>
                    <w:szCs w:val="22"/>
                  </w:rPr>
                  <m:t>=</m:t>
                </m:r>
                <m:d>
                  <m:dPr>
                    <m:begChr m:val="{"/>
                    <m:endChr m:val=""/>
                    <m:ctrlPr>
                      <w:rPr>
                        <w:rFonts w:ascii="Cambria Math" w:hAnsi="Cambria Math"/>
                        <w:i/>
                        <w:sz w:val="22"/>
                        <w:szCs w:val="22"/>
                      </w:rPr>
                    </m:ctrlPr>
                  </m:dPr>
                  <m:e>
                    <m:eqArr>
                      <m:eqArrPr>
                        <m:ctrlPr>
                          <w:rPr>
                            <w:rFonts w:ascii="Cambria Math" w:hAnsi="Cambria Math"/>
                            <w:i/>
                            <w:sz w:val="22"/>
                            <w:szCs w:val="22"/>
                          </w:rPr>
                        </m:ctrlPr>
                      </m:eqArrPr>
                      <m:e>
                        <m:r>
                          <w:rPr>
                            <w:rFonts w:ascii="Cambria Math" w:hAnsi="Cambria Math"/>
                            <w:sz w:val="22"/>
                            <w:szCs w:val="22"/>
                          </w:rPr>
                          <m:t xml:space="preserve">86.8∙7=607.6,         if </m:t>
                        </m:r>
                        <m:r>
                          <w:rPr>
                            <w:rFonts w:ascii="Cambria Math" w:hAnsi="Cambria Math"/>
                            <w:sz w:val="22"/>
                            <w:szCs w:val="22"/>
                            <w:lang w:val="el-GR"/>
                          </w:rPr>
                          <m:t xml:space="preserve">ω=7                                                           </m:t>
                        </m:r>
                      </m:e>
                      <m:e>
                        <m:r>
                          <w:rPr>
                            <w:rFonts w:ascii="Cambria Math" w:hAnsi="Cambria Math"/>
                            <w:sz w:val="22"/>
                            <w:szCs w:val="22"/>
                          </w:rPr>
                          <m:t xml:space="preserve">86.8∙5=434,           if </m:t>
                        </m:r>
                        <m:r>
                          <w:rPr>
                            <w:rFonts w:ascii="Cambria Math" w:hAnsi="Cambria Math"/>
                            <w:sz w:val="22"/>
                            <w:szCs w:val="22"/>
                            <w:lang w:val="el-GR"/>
                          </w:rPr>
                          <m:t>ω=5</m:t>
                        </m:r>
                        <m:r>
                          <w:rPr>
                            <w:rFonts w:ascii="Cambria Math" w:hAnsi="Cambria Math"/>
                            <w:sz w:val="22"/>
                            <w:szCs w:val="22"/>
                          </w:rPr>
                          <m:t xml:space="preserve">                                                           </m:t>
                        </m:r>
                      </m:e>
                    </m:eqArr>
                  </m:e>
                </m:d>
              </m:oMath>
            </m:oMathPara>
          </w:p>
        </w:tc>
      </w:tr>
    </w:tbl>
    <w:p w14:paraId="417A2247" w14:textId="7E42B4EF" w:rsidR="00BE257F" w:rsidRDefault="00BE257F" w:rsidP="003B29E0">
      <w:pPr>
        <w:spacing w:before="240"/>
        <w:jc w:val="both"/>
        <w:rPr>
          <w:i/>
          <w:sz w:val="20"/>
          <w:szCs w:val="20"/>
        </w:rPr>
      </w:pPr>
      <w:r>
        <w:rPr>
          <w:sz w:val="22"/>
        </w:rPr>
        <w:t xml:space="preserve">The following table summarizes the values for the maximum and the target </w:t>
      </w:r>
      <w:r w:rsidR="00F9122B">
        <w:rPr>
          <w:sz w:val="22"/>
        </w:rPr>
        <w:t>STG</w:t>
      </w:r>
      <w:r w:rsidRPr="00F9122B">
        <w:rPr>
          <w:sz w:val="22"/>
        </w:rPr>
        <w:t xml:space="preserve"> (Table</w:t>
      </w:r>
      <w:r w:rsidR="00F9122B" w:rsidRPr="00F9122B">
        <w:rPr>
          <w:sz w:val="22"/>
        </w:rPr>
        <w:t xml:space="preserve"> </w:t>
      </w:r>
      <w:r w:rsidR="0059245A">
        <w:rPr>
          <w:sz w:val="22"/>
        </w:rPr>
        <w:t>4</w:t>
      </w:r>
      <w:r w:rsidRPr="00F9122B">
        <w:rPr>
          <w:sz w:val="22"/>
        </w:rPr>
        <w:t>)</w:t>
      </w:r>
      <w:r w:rsidRPr="00F9122B">
        <w:rPr>
          <w:rStyle w:val="FootnoteReference"/>
          <w:sz w:val="22"/>
        </w:rPr>
        <w:footnoteReference w:id="11"/>
      </w:r>
      <w:r w:rsidR="003B29E0" w:rsidRPr="00F9122B">
        <w:rPr>
          <w:sz w:val="22"/>
        </w:rPr>
        <w:t>.</w:t>
      </w:r>
    </w:p>
    <w:p w14:paraId="6187D008" w14:textId="77777777" w:rsidR="00BE257F" w:rsidRDefault="00BE257F" w:rsidP="00BE257F">
      <w:pPr>
        <w:jc w:val="both"/>
        <w:rPr>
          <w:i/>
          <w:sz w:val="20"/>
          <w:szCs w:val="20"/>
        </w:rPr>
      </w:pPr>
    </w:p>
    <w:tbl>
      <w:tblPr>
        <w:tblStyle w:val="TableGrid"/>
        <w:tblpPr w:leftFromText="180" w:rightFromText="180" w:vertAnchor="text" w:horzAnchor="margin" w:tblpY="321"/>
        <w:tblW w:w="8141" w:type="dxa"/>
        <w:tblLook w:val="04A0" w:firstRow="1" w:lastRow="0" w:firstColumn="1" w:lastColumn="0" w:noHBand="0" w:noVBand="1"/>
      </w:tblPr>
      <w:tblGrid>
        <w:gridCol w:w="1560"/>
        <w:gridCol w:w="1275"/>
        <w:gridCol w:w="1134"/>
        <w:gridCol w:w="1418"/>
        <w:gridCol w:w="1276"/>
        <w:gridCol w:w="1478"/>
      </w:tblGrid>
      <w:tr w:rsidR="0024418B" w:rsidRPr="003314E6" w14:paraId="42B0F74F" w14:textId="77777777" w:rsidTr="0024418B">
        <w:trPr>
          <w:trHeight w:val="419"/>
        </w:trPr>
        <w:tc>
          <w:tcPr>
            <w:tcW w:w="1560" w:type="dxa"/>
            <w:tcBorders>
              <w:left w:val="nil"/>
              <w:right w:val="nil"/>
            </w:tcBorders>
          </w:tcPr>
          <w:p w14:paraId="21F91264" w14:textId="77777777" w:rsidR="0024418B" w:rsidRPr="003314E6" w:rsidRDefault="0024418B" w:rsidP="0024418B">
            <w:pPr>
              <w:rPr>
                <w:b/>
                <w:sz w:val="20"/>
                <w:szCs w:val="20"/>
              </w:rPr>
            </w:pPr>
          </w:p>
        </w:tc>
        <w:tc>
          <w:tcPr>
            <w:tcW w:w="1275" w:type="dxa"/>
            <w:tcBorders>
              <w:top w:val="single" w:sz="4" w:space="0" w:color="auto"/>
              <w:left w:val="nil"/>
              <w:bottom w:val="single" w:sz="4" w:space="0" w:color="auto"/>
              <w:right w:val="nil"/>
            </w:tcBorders>
          </w:tcPr>
          <w:p w14:paraId="6B4350E1" w14:textId="77777777" w:rsidR="0024418B" w:rsidRPr="00BE257F" w:rsidRDefault="0024418B" w:rsidP="0024418B">
            <w:pPr>
              <w:jc w:val="center"/>
              <w:rPr>
                <w:b/>
                <w:sz w:val="20"/>
                <w:szCs w:val="20"/>
              </w:rPr>
            </w:pPr>
            <w:r>
              <w:rPr>
                <w:b/>
                <w:sz w:val="20"/>
                <w:szCs w:val="20"/>
                <w:lang w:val="el-GR"/>
              </w:rPr>
              <w:t>ω</w:t>
            </w:r>
            <w:r w:rsidRPr="00BE257F">
              <w:rPr>
                <w:b/>
                <w:sz w:val="20"/>
                <w:szCs w:val="20"/>
                <w:vertAlign w:val="subscript"/>
              </w:rPr>
              <w:t>tot</w:t>
            </w:r>
          </w:p>
        </w:tc>
        <w:tc>
          <w:tcPr>
            <w:tcW w:w="1134" w:type="dxa"/>
            <w:tcBorders>
              <w:top w:val="single" w:sz="4" w:space="0" w:color="auto"/>
              <w:left w:val="nil"/>
              <w:bottom w:val="single" w:sz="4" w:space="0" w:color="auto"/>
              <w:right w:val="nil"/>
            </w:tcBorders>
          </w:tcPr>
          <w:p w14:paraId="1082BDAE" w14:textId="77777777" w:rsidR="0024418B" w:rsidRPr="003314E6" w:rsidRDefault="0024418B" w:rsidP="0024418B">
            <w:pPr>
              <w:jc w:val="center"/>
              <w:rPr>
                <w:b/>
                <w:sz w:val="20"/>
                <w:szCs w:val="20"/>
              </w:rPr>
            </w:pPr>
            <w:proofErr w:type="spellStart"/>
            <w:r>
              <w:rPr>
                <w:b/>
                <w:sz w:val="20"/>
                <w:szCs w:val="20"/>
              </w:rPr>
              <w:t>STG</w:t>
            </w:r>
            <w:r w:rsidRPr="003314E6">
              <w:rPr>
                <w:b/>
                <w:sz w:val="20"/>
                <w:szCs w:val="20"/>
                <w:vertAlign w:val="subscript"/>
              </w:rPr>
              <w:t>max</w:t>
            </w:r>
            <w:proofErr w:type="spellEnd"/>
            <w:r>
              <w:rPr>
                <w:b/>
                <w:sz w:val="20"/>
                <w:szCs w:val="20"/>
                <w:vertAlign w:val="subscript"/>
              </w:rPr>
              <w:t xml:space="preserve"> </w:t>
            </w:r>
            <w:r w:rsidRPr="003314E6">
              <w:rPr>
                <w:b/>
                <w:sz w:val="20"/>
                <w:szCs w:val="20"/>
              </w:rPr>
              <w:t>/-</w:t>
            </w:r>
          </w:p>
        </w:tc>
        <w:tc>
          <w:tcPr>
            <w:tcW w:w="1418" w:type="dxa"/>
            <w:tcBorders>
              <w:top w:val="single" w:sz="4" w:space="0" w:color="auto"/>
              <w:left w:val="nil"/>
              <w:bottom w:val="single" w:sz="4" w:space="0" w:color="auto"/>
              <w:right w:val="nil"/>
            </w:tcBorders>
          </w:tcPr>
          <w:p w14:paraId="02B36C18" w14:textId="77777777" w:rsidR="0024418B" w:rsidRPr="003314E6" w:rsidRDefault="0024418B" w:rsidP="0024418B">
            <w:pPr>
              <w:jc w:val="center"/>
              <w:rPr>
                <w:b/>
                <w:sz w:val="20"/>
                <w:szCs w:val="20"/>
              </w:rPr>
            </w:pPr>
            <w:r w:rsidRPr="003314E6">
              <w:rPr>
                <w:b/>
                <w:sz w:val="20"/>
                <w:szCs w:val="20"/>
              </w:rPr>
              <w:t>(%)</w:t>
            </w:r>
          </w:p>
        </w:tc>
        <w:tc>
          <w:tcPr>
            <w:tcW w:w="1276" w:type="dxa"/>
            <w:tcBorders>
              <w:top w:val="single" w:sz="4" w:space="0" w:color="auto"/>
              <w:left w:val="nil"/>
              <w:bottom w:val="single" w:sz="4" w:space="0" w:color="auto"/>
              <w:right w:val="nil"/>
            </w:tcBorders>
          </w:tcPr>
          <w:p w14:paraId="38468AD1" w14:textId="77777777" w:rsidR="0024418B" w:rsidRPr="003314E6" w:rsidRDefault="0024418B" w:rsidP="0024418B">
            <w:pPr>
              <w:jc w:val="center"/>
              <w:rPr>
                <w:b/>
                <w:sz w:val="20"/>
                <w:szCs w:val="20"/>
              </w:rPr>
            </w:pPr>
            <w:proofErr w:type="spellStart"/>
            <w:r>
              <w:rPr>
                <w:b/>
                <w:sz w:val="20"/>
                <w:szCs w:val="20"/>
              </w:rPr>
              <w:t>STG</w:t>
            </w:r>
            <w:r w:rsidRPr="003314E6">
              <w:rPr>
                <w:b/>
                <w:sz w:val="20"/>
                <w:szCs w:val="20"/>
                <w:vertAlign w:val="subscript"/>
              </w:rPr>
              <w:t>target</w:t>
            </w:r>
            <w:proofErr w:type="spellEnd"/>
            <w:r>
              <w:rPr>
                <w:b/>
                <w:sz w:val="20"/>
                <w:szCs w:val="20"/>
                <w:vertAlign w:val="subscript"/>
              </w:rPr>
              <w:t xml:space="preserve"> </w:t>
            </w:r>
            <w:r w:rsidRPr="003314E6">
              <w:rPr>
                <w:b/>
                <w:sz w:val="20"/>
                <w:szCs w:val="20"/>
              </w:rPr>
              <w:t>/-</w:t>
            </w:r>
          </w:p>
        </w:tc>
        <w:tc>
          <w:tcPr>
            <w:tcW w:w="1478" w:type="dxa"/>
            <w:tcBorders>
              <w:top w:val="single" w:sz="4" w:space="0" w:color="auto"/>
              <w:left w:val="nil"/>
              <w:bottom w:val="single" w:sz="4" w:space="0" w:color="auto"/>
              <w:right w:val="nil"/>
            </w:tcBorders>
          </w:tcPr>
          <w:p w14:paraId="05485351" w14:textId="77777777" w:rsidR="0024418B" w:rsidRPr="003314E6" w:rsidRDefault="0024418B" w:rsidP="0024418B">
            <w:pPr>
              <w:jc w:val="center"/>
              <w:rPr>
                <w:b/>
                <w:sz w:val="20"/>
                <w:szCs w:val="20"/>
              </w:rPr>
            </w:pPr>
            <w:r w:rsidRPr="003314E6">
              <w:rPr>
                <w:b/>
                <w:sz w:val="20"/>
                <w:szCs w:val="20"/>
              </w:rPr>
              <w:t>(%)</w:t>
            </w:r>
          </w:p>
        </w:tc>
      </w:tr>
      <w:tr w:rsidR="0024418B" w:rsidRPr="003314E6" w14:paraId="4F78EA28" w14:textId="77777777" w:rsidTr="0024418B">
        <w:trPr>
          <w:trHeight w:val="744"/>
        </w:trPr>
        <w:tc>
          <w:tcPr>
            <w:tcW w:w="1560" w:type="dxa"/>
            <w:tcBorders>
              <w:left w:val="nil"/>
              <w:right w:val="nil"/>
            </w:tcBorders>
          </w:tcPr>
          <w:p w14:paraId="1A0C63F9" w14:textId="77777777" w:rsidR="0024418B" w:rsidRPr="003314E6" w:rsidRDefault="0024418B" w:rsidP="0024418B">
            <w:pPr>
              <w:spacing w:after="240"/>
              <w:jc w:val="both"/>
              <w:rPr>
                <w:sz w:val="20"/>
                <w:szCs w:val="20"/>
              </w:rPr>
            </w:pPr>
            <w:r w:rsidRPr="003314E6">
              <w:rPr>
                <w:sz w:val="20"/>
                <w:szCs w:val="20"/>
              </w:rPr>
              <w:t>DGP or DGPs</w:t>
            </w:r>
          </w:p>
        </w:tc>
        <w:tc>
          <w:tcPr>
            <w:tcW w:w="1275" w:type="dxa"/>
            <w:tcBorders>
              <w:top w:val="single" w:sz="4" w:space="0" w:color="auto"/>
              <w:left w:val="nil"/>
              <w:bottom w:val="single" w:sz="4" w:space="0" w:color="auto"/>
              <w:right w:val="nil"/>
            </w:tcBorders>
          </w:tcPr>
          <w:p w14:paraId="68640BDD" w14:textId="77777777" w:rsidR="0024418B" w:rsidRDefault="0024418B" w:rsidP="0024418B">
            <w:pPr>
              <w:spacing w:after="240"/>
              <w:jc w:val="center"/>
              <w:rPr>
                <w:sz w:val="20"/>
                <w:szCs w:val="20"/>
              </w:rPr>
            </w:pPr>
            <w:r>
              <w:rPr>
                <w:sz w:val="20"/>
                <w:szCs w:val="20"/>
              </w:rPr>
              <w:t>7</w:t>
            </w:r>
          </w:p>
          <w:p w14:paraId="61281744" w14:textId="77777777" w:rsidR="0024418B" w:rsidRPr="003314E6" w:rsidRDefault="0024418B" w:rsidP="0024418B">
            <w:pPr>
              <w:spacing w:after="240"/>
              <w:jc w:val="center"/>
              <w:rPr>
                <w:sz w:val="20"/>
                <w:szCs w:val="20"/>
              </w:rPr>
            </w:pPr>
            <w:r>
              <w:rPr>
                <w:sz w:val="20"/>
                <w:szCs w:val="20"/>
              </w:rPr>
              <w:t>5</w:t>
            </w:r>
          </w:p>
        </w:tc>
        <w:tc>
          <w:tcPr>
            <w:tcW w:w="1134" w:type="dxa"/>
            <w:tcBorders>
              <w:top w:val="single" w:sz="4" w:space="0" w:color="auto"/>
              <w:left w:val="nil"/>
              <w:bottom w:val="single" w:sz="4" w:space="0" w:color="auto"/>
              <w:right w:val="nil"/>
            </w:tcBorders>
          </w:tcPr>
          <w:p w14:paraId="5A1180D1" w14:textId="77777777" w:rsidR="0024418B" w:rsidRDefault="0024418B" w:rsidP="0024418B">
            <w:pPr>
              <w:spacing w:after="240"/>
              <w:jc w:val="center"/>
              <w:rPr>
                <w:sz w:val="20"/>
                <w:szCs w:val="20"/>
              </w:rPr>
            </w:pPr>
            <w:r>
              <w:rPr>
                <w:sz w:val="20"/>
                <w:szCs w:val="20"/>
              </w:rPr>
              <w:t>1171.8</w:t>
            </w:r>
          </w:p>
          <w:p w14:paraId="6C87A817" w14:textId="77777777" w:rsidR="0024418B" w:rsidRPr="003314E6" w:rsidRDefault="0024418B" w:rsidP="0024418B">
            <w:pPr>
              <w:spacing w:after="240"/>
              <w:jc w:val="center"/>
              <w:rPr>
                <w:sz w:val="20"/>
                <w:szCs w:val="20"/>
              </w:rPr>
            </w:pPr>
            <w:r>
              <w:rPr>
                <w:sz w:val="20"/>
                <w:szCs w:val="20"/>
              </w:rPr>
              <w:t>837</w:t>
            </w:r>
          </w:p>
        </w:tc>
        <w:tc>
          <w:tcPr>
            <w:tcW w:w="1418" w:type="dxa"/>
            <w:tcBorders>
              <w:top w:val="single" w:sz="4" w:space="0" w:color="auto"/>
              <w:left w:val="nil"/>
              <w:bottom w:val="single" w:sz="4" w:space="0" w:color="auto"/>
              <w:right w:val="nil"/>
            </w:tcBorders>
          </w:tcPr>
          <w:p w14:paraId="2B487637" w14:textId="77777777" w:rsidR="0024418B" w:rsidRDefault="0024418B" w:rsidP="0024418B">
            <w:pPr>
              <w:spacing w:after="240"/>
              <w:jc w:val="center"/>
              <w:rPr>
                <w:b/>
                <w:sz w:val="20"/>
                <w:szCs w:val="20"/>
              </w:rPr>
            </w:pPr>
            <w:r w:rsidRPr="003314E6">
              <w:rPr>
                <w:b/>
                <w:sz w:val="20"/>
                <w:szCs w:val="20"/>
              </w:rPr>
              <w:t>100</w:t>
            </w:r>
          </w:p>
          <w:p w14:paraId="15EBD933" w14:textId="77777777" w:rsidR="0024418B" w:rsidRPr="003314E6" w:rsidRDefault="0024418B" w:rsidP="0024418B">
            <w:pPr>
              <w:spacing w:after="240"/>
              <w:jc w:val="center"/>
              <w:rPr>
                <w:b/>
                <w:sz w:val="20"/>
                <w:szCs w:val="20"/>
              </w:rPr>
            </w:pPr>
            <w:r>
              <w:rPr>
                <w:b/>
                <w:sz w:val="20"/>
                <w:szCs w:val="20"/>
              </w:rPr>
              <w:t>100</w:t>
            </w:r>
          </w:p>
        </w:tc>
        <w:tc>
          <w:tcPr>
            <w:tcW w:w="1276" w:type="dxa"/>
            <w:tcBorders>
              <w:top w:val="single" w:sz="4" w:space="0" w:color="auto"/>
              <w:left w:val="nil"/>
              <w:bottom w:val="single" w:sz="4" w:space="0" w:color="auto"/>
              <w:right w:val="nil"/>
            </w:tcBorders>
          </w:tcPr>
          <w:p w14:paraId="13F83C5E" w14:textId="77777777" w:rsidR="0024418B" w:rsidRDefault="0024418B" w:rsidP="0024418B">
            <w:pPr>
              <w:spacing w:after="240"/>
              <w:jc w:val="center"/>
              <w:rPr>
                <w:sz w:val="20"/>
                <w:szCs w:val="20"/>
              </w:rPr>
            </w:pPr>
            <w:r>
              <w:rPr>
                <w:sz w:val="20"/>
                <w:szCs w:val="20"/>
              </w:rPr>
              <w:t>607.6</w:t>
            </w:r>
          </w:p>
          <w:p w14:paraId="35309686" w14:textId="77777777" w:rsidR="0024418B" w:rsidRPr="003314E6" w:rsidRDefault="0024418B" w:rsidP="0024418B">
            <w:pPr>
              <w:spacing w:after="240"/>
              <w:jc w:val="center"/>
              <w:rPr>
                <w:sz w:val="20"/>
                <w:szCs w:val="20"/>
              </w:rPr>
            </w:pPr>
            <w:r>
              <w:rPr>
                <w:sz w:val="20"/>
                <w:szCs w:val="20"/>
              </w:rPr>
              <w:t>434</w:t>
            </w:r>
          </w:p>
        </w:tc>
        <w:tc>
          <w:tcPr>
            <w:tcW w:w="1478" w:type="dxa"/>
            <w:tcBorders>
              <w:top w:val="single" w:sz="4" w:space="0" w:color="auto"/>
              <w:left w:val="nil"/>
              <w:bottom w:val="single" w:sz="4" w:space="0" w:color="auto"/>
              <w:right w:val="nil"/>
            </w:tcBorders>
          </w:tcPr>
          <w:p w14:paraId="240B6B3F" w14:textId="77777777" w:rsidR="0024418B" w:rsidRDefault="0024418B" w:rsidP="0024418B">
            <w:pPr>
              <w:spacing w:after="240"/>
              <w:jc w:val="center"/>
              <w:rPr>
                <w:b/>
                <w:sz w:val="20"/>
                <w:szCs w:val="20"/>
              </w:rPr>
            </w:pPr>
            <w:r w:rsidRPr="003314E6">
              <w:rPr>
                <w:b/>
                <w:sz w:val="20"/>
                <w:szCs w:val="20"/>
              </w:rPr>
              <w:t>50</w:t>
            </w:r>
          </w:p>
          <w:p w14:paraId="651E1E2F" w14:textId="77777777" w:rsidR="0024418B" w:rsidRPr="003314E6" w:rsidRDefault="0024418B" w:rsidP="0024418B">
            <w:pPr>
              <w:spacing w:after="240"/>
              <w:jc w:val="center"/>
              <w:rPr>
                <w:b/>
                <w:sz w:val="20"/>
                <w:szCs w:val="20"/>
              </w:rPr>
            </w:pPr>
            <w:r>
              <w:rPr>
                <w:b/>
                <w:sz w:val="20"/>
                <w:szCs w:val="20"/>
              </w:rPr>
              <w:t>50</w:t>
            </w:r>
          </w:p>
        </w:tc>
      </w:tr>
      <w:tr w:rsidR="0024418B" w:rsidRPr="003314E6" w14:paraId="464BAC58" w14:textId="77777777" w:rsidTr="0024418B">
        <w:trPr>
          <w:trHeight w:val="956"/>
        </w:trPr>
        <w:tc>
          <w:tcPr>
            <w:tcW w:w="1560" w:type="dxa"/>
            <w:tcBorders>
              <w:left w:val="nil"/>
              <w:right w:val="nil"/>
            </w:tcBorders>
          </w:tcPr>
          <w:p w14:paraId="6CBBEEC0" w14:textId="77777777" w:rsidR="0024418B" w:rsidRPr="003314E6" w:rsidRDefault="0024418B" w:rsidP="0024418B">
            <w:pPr>
              <w:spacing w:after="240"/>
              <w:jc w:val="both"/>
              <w:rPr>
                <w:sz w:val="20"/>
                <w:szCs w:val="20"/>
              </w:rPr>
            </w:pPr>
            <w:r w:rsidRPr="003314E6">
              <w:rPr>
                <w:sz w:val="20"/>
                <w:szCs w:val="20"/>
              </w:rPr>
              <w:t>DGI</w:t>
            </w:r>
          </w:p>
        </w:tc>
        <w:tc>
          <w:tcPr>
            <w:tcW w:w="1275" w:type="dxa"/>
            <w:tcBorders>
              <w:top w:val="single" w:sz="4" w:space="0" w:color="auto"/>
              <w:left w:val="nil"/>
              <w:bottom w:val="single" w:sz="4" w:space="0" w:color="auto"/>
              <w:right w:val="nil"/>
            </w:tcBorders>
          </w:tcPr>
          <w:p w14:paraId="00C31D03" w14:textId="77777777" w:rsidR="0024418B" w:rsidRDefault="0024418B" w:rsidP="0024418B">
            <w:pPr>
              <w:spacing w:after="240"/>
              <w:jc w:val="center"/>
              <w:rPr>
                <w:sz w:val="20"/>
                <w:szCs w:val="20"/>
              </w:rPr>
            </w:pPr>
            <w:r>
              <w:rPr>
                <w:sz w:val="20"/>
                <w:szCs w:val="20"/>
              </w:rPr>
              <w:t>7</w:t>
            </w:r>
          </w:p>
          <w:p w14:paraId="583CA6DF" w14:textId="77777777" w:rsidR="0024418B" w:rsidRPr="003314E6" w:rsidRDefault="0024418B" w:rsidP="0024418B">
            <w:pPr>
              <w:spacing w:after="240"/>
              <w:jc w:val="center"/>
              <w:rPr>
                <w:sz w:val="20"/>
                <w:szCs w:val="20"/>
              </w:rPr>
            </w:pPr>
            <w:r>
              <w:rPr>
                <w:sz w:val="20"/>
                <w:szCs w:val="20"/>
              </w:rPr>
              <w:t>5</w:t>
            </w:r>
          </w:p>
        </w:tc>
        <w:tc>
          <w:tcPr>
            <w:tcW w:w="1134" w:type="dxa"/>
            <w:tcBorders>
              <w:top w:val="single" w:sz="4" w:space="0" w:color="auto"/>
              <w:left w:val="nil"/>
              <w:bottom w:val="single" w:sz="4" w:space="0" w:color="auto"/>
              <w:right w:val="nil"/>
            </w:tcBorders>
          </w:tcPr>
          <w:p w14:paraId="29DAAE5A" w14:textId="77777777" w:rsidR="0024418B" w:rsidRDefault="0024418B" w:rsidP="0024418B">
            <w:pPr>
              <w:spacing w:after="240"/>
              <w:jc w:val="center"/>
              <w:rPr>
                <w:sz w:val="20"/>
                <w:szCs w:val="20"/>
              </w:rPr>
            </w:pPr>
            <w:r>
              <w:rPr>
                <w:sz w:val="20"/>
                <w:szCs w:val="20"/>
              </w:rPr>
              <w:t>807.24</w:t>
            </w:r>
          </w:p>
          <w:p w14:paraId="455F82DE" w14:textId="77777777" w:rsidR="0024418B" w:rsidRPr="003314E6" w:rsidRDefault="0024418B" w:rsidP="0024418B">
            <w:pPr>
              <w:spacing w:after="240"/>
              <w:jc w:val="center"/>
              <w:rPr>
                <w:sz w:val="20"/>
                <w:szCs w:val="20"/>
              </w:rPr>
            </w:pPr>
            <w:r>
              <w:rPr>
                <w:sz w:val="20"/>
                <w:szCs w:val="20"/>
              </w:rPr>
              <w:t>576.6</w:t>
            </w:r>
          </w:p>
        </w:tc>
        <w:tc>
          <w:tcPr>
            <w:tcW w:w="1418" w:type="dxa"/>
            <w:tcBorders>
              <w:top w:val="single" w:sz="4" w:space="0" w:color="auto"/>
              <w:left w:val="nil"/>
              <w:bottom w:val="single" w:sz="4" w:space="0" w:color="auto"/>
              <w:right w:val="nil"/>
            </w:tcBorders>
          </w:tcPr>
          <w:p w14:paraId="7C2C661F" w14:textId="77777777" w:rsidR="0024418B" w:rsidRDefault="0024418B" w:rsidP="0024418B">
            <w:pPr>
              <w:spacing w:after="240"/>
              <w:jc w:val="center"/>
              <w:rPr>
                <w:b/>
                <w:sz w:val="20"/>
                <w:szCs w:val="20"/>
              </w:rPr>
            </w:pPr>
            <w:r w:rsidRPr="003314E6">
              <w:rPr>
                <w:b/>
                <w:sz w:val="20"/>
                <w:szCs w:val="20"/>
              </w:rPr>
              <w:t>100</w:t>
            </w:r>
          </w:p>
          <w:p w14:paraId="4E56AD8B" w14:textId="77777777" w:rsidR="0024418B" w:rsidRPr="003314E6" w:rsidRDefault="0024418B" w:rsidP="0024418B">
            <w:pPr>
              <w:spacing w:after="240"/>
              <w:jc w:val="center"/>
              <w:rPr>
                <w:b/>
                <w:sz w:val="20"/>
                <w:szCs w:val="20"/>
              </w:rPr>
            </w:pPr>
            <w:r>
              <w:rPr>
                <w:b/>
                <w:sz w:val="20"/>
                <w:szCs w:val="20"/>
              </w:rPr>
              <w:t>100</w:t>
            </w:r>
          </w:p>
        </w:tc>
        <w:tc>
          <w:tcPr>
            <w:tcW w:w="1276" w:type="dxa"/>
            <w:tcBorders>
              <w:top w:val="single" w:sz="4" w:space="0" w:color="auto"/>
              <w:left w:val="nil"/>
              <w:bottom w:val="single" w:sz="4" w:space="0" w:color="auto"/>
              <w:right w:val="nil"/>
            </w:tcBorders>
          </w:tcPr>
          <w:p w14:paraId="6E4C981E" w14:textId="77777777" w:rsidR="0024418B" w:rsidRDefault="0024418B" w:rsidP="0024418B">
            <w:pPr>
              <w:spacing w:after="240"/>
              <w:jc w:val="center"/>
              <w:rPr>
                <w:sz w:val="20"/>
                <w:szCs w:val="20"/>
              </w:rPr>
            </w:pPr>
            <w:r>
              <w:rPr>
                <w:sz w:val="20"/>
                <w:szCs w:val="20"/>
              </w:rPr>
              <w:t>312.48</w:t>
            </w:r>
          </w:p>
          <w:p w14:paraId="0B74A2F3" w14:textId="77777777" w:rsidR="0024418B" w:rsidRPr="003314E6" w:rsidRDefault="0024418B" w:rsidP="0024418B">
            <w:pPr>
              <w:spacing w:after="240"/>
              <w:jc w:val="center"/>
              <w:rPr>
                <w:sz w:val="20"/>
                <w:szCs w:val="20"/>
              </w:rPr>
            </w:pPr>
            <w:r>
              <w:rPr>
                <w:sz w:val="20"/>
                <w:szCs w:val="20"/>
              </w:rPr>
              <w:t>223.2</w:t>
            </w:r>
          </w:p>
        </w:tc>
        <w:tc>
          <w:tcPr>
            <w:tcW w:w="1478" w:type="dxa"/>
            <w:tcBorders>
              <w:top w:val="single" w:sz="4" w:space="0" w:color="auto"/>
              <w:left w:val="nil"/>
              <w:bottom w:val="single" w:sz="4" w:space="0" w:color="auto"/>
              <w:right w:val="nil"/>
            </w:tcBorders>
          </w:tcPr>
          <w:p w14:paraId="149BF50F" w14:textId="77777777" w:rsidR="0024418B" w:rsidRDefault="0024418B" w:rsidP="0024418B">
            <w:pPr>
              <w:spacing w:after="240"/>
              <w:jc w:val="center"/>
              <w:rPr>
                <w:b/>
                <w:sz w:val="20"/>
                <w:szCs w:val="20"/>
              </w:rPr>
            </w:pPr>
            <w:r w:rsidRPr="003314E6">
              <w:rPr>
                <w:b/>
                <w:sz w:val="20"/>
                <w:szCs w:val="20"/>
              </w:rPr>
              <w:t>40</w:t>
            </w:r>
          </w:p>
          <w:p w14:paraId="3E14FD71" w14:textId="77777777" w:rsidR="0024418B" w:rsidRPr="003B29E0" w:rsidRDefault="0024418B" w:rsidP="0024418B">
            <w:pPr>
              <w:jc w:val="center"/>
              <w:rPr>
                <w:b/>
                <w:sz w:val="20"/>
                <w:szCs w:val="20"/>
              </w:rPr>
            </w:pPr>
            <w:r w:rsidRPr="003B29E0">
              <w:rPr>
                <w:b/>
                <w:sz w:val="20"/>
                <w:szCs w:val="20"/>
              </w:rPr>
              <w:t>40</w:t>
            </w:r>
          </w:p>
        </w:tc>
      </w:tr>
    </w:tbl>
    <w:p w14:paraId="3244A01E" w14:textId="1281707C" w:rsidR="00BE257F" w:rsidRPr="00D941D6" w:rsidRDefault="00BE257F" w:rsidP="00BE257F">
      <w:pPr>
        <w:jc w:val="both"/>
        <w:rPr>
          <w:sz w:val="22"/>
          <w:szCs w:val="22"/>
        </w:rPr>
      </w:pPr>
      <w:r w:rsidRPr="00F9122B">
        <w:rPr>
          <w:i/>
          <w:sz w:val="20"/>
          <w:szCs w:val="20"/>
        </w:rPr>
        <w:t xml:space="preserve">Table </w:t>
      </w:r>
      <w:r w:rsidR="00554004">
        <w:rPr>
          <w:i/>
          <w:sz w:val="20"/>
          <w:szCs w:val="20"/>
        </w:rPr>
        <w:t>4</w:t>
      </w:r>
      <w:r w:rsidRPr="00F9122B">
        <w:rPr>
          <w:i/>
          <w:sz w:val="20"/>
          <w:szCs w:val="20"/>
        </w:rPr>
        <w:t>: The</w:t>
      </w:r>
      <w:r w:rsidRPr="00AA3D0C">
        <w:rPr>
          <w:i/>
          <w:sz w:val="20"/>
          <w:szCs w:val="20"/>
        </w:rPr>
        <w:t xml:space="preserve"> maximum and targeted </w:t>
      </w:r>
      <w:r>
        <w:rPr>
          <w:i/>
          <w:sz w:val="20"/>
          <w:szCs w:val="20"/>
        </w:rPr>
        <w:t>STG</w:t>
      </w:r>
      <w:r w:rsidRPr="00AA3D0C">
        <w:rPr>
          <w:i/>
          <w:sz w:val="20"/>
          <w:szCs w:val="20"/>
        </w:rPr>
        <w:t xml:space="preserve"> thresholds used for this thesis.</w:t>
      </w:r>
    </w:p>
    <w:p w14:paraId="503D51D6" w14:textId="7BFC1984" w:rsidR="002B7D6E" w:rsidRDefault="003A583D" w:rsidP="005B1725">
      <w:pPr>
        <w:pStyle w:val="Rubrik2-Byfy"/>
        <w:spacing w:before="240"/>
        <w:rPr>
          <w:rFonts w:cs="Times New Roman"/>
        </w:rPr>
      </w:pPr>
      <w:bookmarkStart w:id="28" w:name="_Toc532751576"/>
      <w:r>
        <w:rPr>
          <w:rFonts w:cs="Times New Roman"/>
        </w:rPr>
        <w:lastRenderedPageBreak/>
        <w:t>Case study</w:t>
      </w:r>
      <w:bookmarkEnd w:id="28"/>
    </w:p>
    <w:p w14:paraId="0266CE2D" w14:textId="03AA4E66" w:rsidR="00835137" w:rsidRPr="0015664A" w:rsidRDefault="00835137" w:rsidP="00835137">
      <w:pPr>
        <w:spacing w:before="240" w:after="240"/>
        <w:jc w:val="both"/>
        <w:rPr>
          <w:sz w:val="22"/>
          <w:szCs w:val="22"/>
        </w:rPr>
      </w:pPr>
      <w:r w:rsidRPr="003751FB">
        <w:rPr>
          <w:sz w:val="22"/>
          <w:szCs w:val="22"/>
        </w:rPr>
        <w:t>The conceptual framework pro</w:t>
      </w:r>
      <w:r w:rsidR="00654353">
        <w:rPr>
          <w:sz w:val="22"/>
          <w:szCs w:val="22"/>
        </w:rPr>
        <w:t>po</w:t>
      </w:r>
      <w:r w:rsidRPr="003751FB">
        <w:rPr>
          <w:sz w:val="22"/>
          <w:szCs w:val="22"/>
        </w:rPr>
        <w:t xml:space="preserve">sed in the previous section was later tested in a case study example. The case study includes a single geometry tested with four different shading devices. The test was run </w:t>
      </w:r>
      <w:r w:rsidRPr="00B50FCC">
        <w:rPr>
          <w:sz w:val="22"/>
          <w:szCs w:val="22"/>
        </w:rPr>
        <w:t xml:space="preserve">for three specific days throughout the year with one-hour </w:t>
      </w:r>
      <w:r w:rsidRPr="0015664A">
        <w:rPr>
          <w:sz w:val="22"/>
          <w:szCs w:val="22"/>
        </w:rPr>
        <w:t>time step, and one orientation that occurred after the climate analysis of the base case. The occupied hours of the library were 10am to 7pm, which is typical for libraries in Sweden.</w:t>
      </w:r>
    </w:p>
    <w:p w14:paraId="3D0043B4" w14:textId="77777777" w:rsidR="00835137" w:rsidRPr="00835137" w:rsidRDefault="00835137" w:rsidP="00835137">
      <w:pPr>
        <w:spacing w:before="240" w:after="240"/>
        <w:jc w:val="both"/>
        <w:rPr>
          <w:sz w:val="22"/>
          <w:szCs w:val="22"/>
        </w:rPr>
      </w:pPr>
      <w:r w:rsidRPr="0015664A">
        <w:rPr>
          <w:sz w:val="22"/>
          <w:szCs w:val="22"/>
        </w:rPr>
        <w:t xml:space="preserve">The simulations </w:t>
      </w:r>
      <w:r w:rsidRPr="00835137">
        <w:rPr>
          <w:sz w:val="22"/>
          <w:szCs w:val="22"/>
        </w:rPr>
        <w:t>of the base case were run using two sky models</w:t>
      </w:r>
      <w:r w:rsidRPr="00835137">
        <w:rPr>
          <w:sz w:val="22"/>
          <w:szCs w:val="22"/>
          <w:lang w:val="el-GR"/>
        </w:rPr>
        <w:t xml:space="preserve"> </w:t>
      </w:r>
      <w:r w:rsidRPr="00835137">
        <w:rPr>
          <w:sz w:val="22"/>
          <w:szCs w:val="22"/>
        </w:rPr>
        <w:t>(extreme case scenarios):</w:t>
      </w:r>
    </w:p>
    <w:p w14:paraId="4E322270" w14:textId="77777777" w:rsidR="00835137" w:rsidRPr="00835137" w:rsidRDefault="00835137" w:rsidP="00135D19">
      <w:pPr>
        <w:pStyle w:val="ListParagraph"/>
        <w:numPr>
          <w:ilvl w:val="0"/>
          <w:numId w:val="5"/>
        </w:numPr>
        <w:spacing w:before="240" w:after="240"/>
        <w:jc w:val="both"/>
        <w:rPr>
          <w:rFonts w:ascii="Times New Roman" w:hAnsi="Times New Roman" w:cs="Times New Roman"/>
        </w:rPr>
      </w:pPr>
      <w:r w:rsidRPr="00835137">
        <w:rPr>
          <w:rFonts w:ascii="Times New Roman" w:hAnsi="Times New Roman" w:cs="Times New Roman"/>
        </w:rPr>
        <w:t>CIE clear sky with sun (testing mainly the influence of brightness and position of the glare source)</w:t>
      </w:r>
    </w:p>
    <w:p w14:paraId="74600F8E" w14:textId="77777777" w:rsidR="00835137" w:rsidRPr="00835137" w:rsidRDefault="00835137" w:rsidP="00135D19">
      <w:pPr>
        <w:pStyle w:val="ListParagraph"/>
        <w:numPr>
          <w:ilvl w:val="0"/>
          <w:numId w:val="5"/>
        </w:numPr>
        <w:spacing w:before="240" w:after="240"/>
        <w:jc w:val="both"/>
        <w:rPr>
          <w:rFonts w:ascii="Times New Roman" w:hAnsi="Times New Roman" w:cs="Times New Roman"/>
        </w:rPr>
      </w:pPr>
      <w:r w:rsidRPr="00835137">
        <w:rPr>
          <w:rFonts w:ascii="Times New Roman" w:hAnsi="Times New Roman" w:cs="Times New Roman"/>
        </w:rPr>
        <w:t>CIE overcast sky (testing the contrast levels between indoor surfaces and window)</w:t>
      </w:r>
    </w:p>
    <w:p w14:paraId="07FF32A6" w14:textId="77777777" w:rsidR="004F26FE" w:rsidRPr="00AA3D0C" w:rsidRDefault="004F26FE" w:rsidP="004F26FE">
      <w:pPr>
        <w:pStyle w:val="Heading3"/>
        <w:rPr>
          <w:rFonts w:ascii="Times New Roman" w:hAnsi="Times New Roman" w:cs="Times New Roman"/>
        </w:rPr>
      </w:pPr>
      <w:bookmarkStart w:id="29" w:name="_Toc532751577"/>
      <w:r w:rsidRPr="00AA3D0C">
        <w:rPr>
          <w:rFonts w:ascii="Times New Roman" w:hAnsi="Times New Roman" w:cs="Times New Roman"/>
        </w:rPr>
        <w:t>Studied geometry and material properties</w:t>
      </w:r>
      <w:bookmarkEnd w:id="29"/>
    </w:p>
    <w:p w14:paraId="14691939" w14:textId="0ABF0127" w:rsidR="00D47640" w:rsidRDefault="004F26FE" w:rsidP="004F26FE">
      <w:pPr>
        <w:jc w:val="both"/>
        <w:rPr>
          <w:sz w:val="22"/>
          <w:szCs w:val="22"/>
        </w:rPr>
      </w:pPr>
      <w:r w:rsidRPr="00AA3D0C">
        <w:rPr>
          <w:sz w:val="22"/>
          <w:szCs w:val="22"/>
        </w:rPr>
        <w:t xml:space="preserve">The model proposed in this thesis was applied to a shoebox model. The model was a library room located in Stockholm, </w:t>
      </w:r>
      <w:r>
        <w:rPr>
          <w:sz w:val="22"/>
          <w:szCs w:val="22"/>
        </w:rPr>
        <w:t>positioned</w:t>
      </w:r>
      <w:r w:rsidRPr="00AA3D0C">
        <w:rPr>
          <w:sz w:val="22"/>
          <w:szCs w:val="22"/>
        </w:rPr>
        <w:t xml:space="preserve"> three floors above the ground with an almost fully glazed façade (Figure </w:t>
      </w:r>
      <w:r w:rsidR="00865C2D">
        <w:rPr>
          <w:sz w:val="22"/>
          <w:szCs w:val="22"/>
        </w:rPr>
        <w:t>7</w:t>
      </w:r>
      <w:r w:rsidRPr="00AA3D0C">
        <w:rPr>
          <w:sz w:val="22"/>
          <w:szCs w:val="22"/>
        </w:rPr>
        <w:t>)</w:t>
      </w:r>
      <w:r>
        <w:rPr>
          <w:rStyle w:val="FootnoteReference"/>
          <w:sz w:val="22"/>
          <w:szCs w:val="22"/>
        </w:rPr>
        <w:footnoteReference w:id="12"/>
      </w:r>
      <w:r w:rsidR="003751FB">
        <w:rPr>
          <w:sz w:val="22"/>
          <w:szCs w:val="22"/>
        </w:rPr>
        <w:t>. A</w:t>
      </w:r>
      <w:r w:rsidR="003751FB" w:rsidRPr="00AA3D0C">
        <w:rPr>
          <w:sz w:val="22"/>
          <w:szCs w:val="22"/>
        </w:rPr>
        <w:t xml:space="preserve">lso, the sill of the window was </w:t>
      </w:r>
      <w:r w:rsidR="00D47640">
        <w:rPr>
          <w:sz w:val="22"/>
          <w:szCs w:val="22"/>
        </w:rPr>
        <w:t>just above the floor,</w:t>
      </w:r>
      <w:r w:rsidR="003751FB" w:rsidRPr="00AA3D0C">
        <w:rPr>
          <w:sz w:val="22"/>
          <w:szCs w:val="22"/>
        </w:rPr>
        <w:t xml:space="preserve"> includ</w:t>
      </w:r>
      <w:r w:rsidR="00D47640">
        <w:rPr>
          <w:sz w:val="22"/>
          <w:szCs w:val="22"/>
        </w:rPr>
        <w:t>ing</w:t>
      </w:r>
      <w:r w:rsidR="003751FB" w:rsidRPr="00AA3D0C">
        <w:rPr>
          <w:sz w:val="22"/>
          <w:szCs w:val="22"/>
        </w:rPr>
        <w:t xml:space="preserve"> any </w:t>
      </w:r>
      <w:proofErr w:type="spellStart"/>
      <w:r w:rsidR="003751FB" w:rsidRPr="00AA3D0C">
        <w:rPr>
          <w:sz w:val="22"/>
          <w:szCs w:val="22"/>
        </w:rPr>
        <w:t>reflectances</w:t>
      </w:r>
      <w:proofErr w:type="spellEnd"/>
      <w:r w:rsidR="003751FB" w:rsidRPr="00AA3D0C">
        <w:rPr>
          <w:sz w:val="22"/>
          <w:szCs w:val="22"/>
        </w:rPr>
        <w:t xml:space="preserve"> below the work plane</w:t>
      </w:r>
      <w:r w:rsidR="00D47640">
        <w:rPr>
          <w:sz w:val="22"/>
          <w:szCs w:val="22"/>
        </w:rPr>
        <w:t>,</w:t>
      </w:r>
      <w:r w:rsidR="003751FB">
        <w:rPr>
          <w:sz w:val="22"/>
          <w:szCs w:val="22"/>
        </w:rPr>
        <w:t xml:space="preserve"> as </w:t>
      </w:r>
      <w:r w:rsidRPr="00AA3D0C">
        <w:rPr>
          <w:sz w:val="22"/>
          <w:szCs w:val="22"/>
        </w:rPr>
        <w:t xml:space="preserve"> the glare risk caused by a source below the line of sight </w:t>
      </w:r>
      <w:r w:rsidR="003751FB">
        <w:rPr>
          <w:sz w:val="22"/>
          <w:szCs w:val="22"/>
        </w:rPr>
        <w:t xml:space="preserve">was considered risky </w:t>
      </w:r>
      <w:r w:rsidR="003751FB" w:rsidRPr="00AA3D0C">
        <w:rPr>
          <w:sz w:val="22"/>
          <w:szCs w:val="22"/>
        </w:rPr>
        <w:fldChar w:fldCharType="begin" w:fldLock="1"/>
      </w:r>
      <w:r w:rsidR="005952EA">
        <w:rPr>
          <w:sz w:val="22"/>
          <w:szCs w:val="22"/>
        </w:rPr>
        <w:instrText>ADDIN CSL_CITATION { "citationItems" : [ { "id" : "ITEM-1", "itemData" : { "DOI" : "10.1177/14771535970290030801", "ISSN" : "1477-1535", "abstract" : "To measure the difference between sensitivity to glare from a source above the line of vision and that from a source below the line of vision, two subjective experiments were conducted using the adjustment method and the constant method respectively. The sensitivity to the glare caused by a source located below the line of vision was greater than the sensitivity to glare caused by a source located above the line of vision. This tendency was seen especially in elderly subjects. For vertical displacement the difference in sensitivity between sources above and below the line of vision increased with increasing angular distance between the line of vision and glare source. \ufffd 1997, Sage Publications. All rights reserved.", "author" : [ { "dropping-particle" : "", "family" : "Iwata", "given" : "T", "non-dropping-particle" : "", "parse-names" : false, "suffix" : "" }, { "dropping-particle" : "", "family" : "Tokura", "given" : "M", "non-dropping-particle" : "", "parse-names" : false, "suffix" : "" } ], "container-title" : "Lighting Research &amp; Technology", "id" : "ITEM-1", "issue" : "3", "issued" : { "date-parts" : [ [ "1997" ] ] }, "note" : "Cited By :22", "page" : "172-178", "publisher-place" : "Affiliation: National Institute of Public Health, 4-6-1 Shirokanedai, Minata-ku, Tokyo, Japan; Affiliation: Tokyo Institute of Technology, 4529 Nagatsuda-cho Midori-ku, Yokohama-shi Kanagawa, Japan", "title" : "Position Index for a glare source located below the line of vision", "type" : "article-journal", "volume" : "29" }, "uris" : [ "http://www.mendeley.com/documents/?uuid=37cb2caa-5df8-48d8-8870-633c60085b56", "http://www.mendeley.com/documents/?uuid=d3225c6a-87d1-43c7-9b27-87c47cb030da" ] } ], "mendeley" : { "formattedCitation" : "(Iwata and Tokura, 1997)", "manualFormatting" : "(Iwata and Tokura, 1997)", "plainTextFormattedCitation" : "(Iwata and Tokura, 1997)", "previouslyFormattedCitation" : "(Iwata and Tokura, 1997)" }, "properties" : { "noteIndex" : 0 }, "schema" : "https://github.com/citation-style-language/schema/raw/master/csl-citation.json" }</w:instrText>
      </w:r>
      <w:r w:rsidR="003751FB" w:rsidRPr="00AA3D0C">
        <w:rPr>
          <w:sz w:val="22"/>
          <w:szCs w:val="22"/>
        </w:rPr>
        <w:fldChar w:fldCharType="separate"/>
      </w:r>
      <w:r w:rsidR="003751FB" w:rsidRPr="00AA3D0C">
        <w:rPr>
          <w:noProof/>
          <w:sz w:val="22"/>
          <w:szCs w:val="22"/>
        </w:rPr>
        <w:t>(</w:t>
      </w:r>
      <w:r w:rsidR="003751FB">
        <w:rPr>
          <w:noProof/>
          <w:sz w:val="22"/>
          <w:szCs w:val="22"/>
        </w:rPr>
        <w:t xml:space="preserve">Iwata and Tokura, </w:t>
      </w:r>
      <w:r w:rsidR="003751FB" w:rsidRPr="00AA3D0C">
        <w:rPr>
          <w:noProof/>
          <w:sz w:val="22"/>
          <w:szCs w:val="22"/>
        </w:rPr>
        <w:t>1997)</w:t>
      </w:r>
      <w:r w:rsidR="003751FB" w:rsidRPr="00AA3D0C">
        <w:rPr>
          <w:sz w:val="22"/>
          <w:szCs w:val="22"/>
        </w:rPr>
        <w:fldChar w:fldCharType="end"/>
      </w:r>
      <w:r w:rsidR="00D47640">
        <w:rPr>
          <w:sz w:val="22"/>
          <w:szCs w:val="22"/>
        </w:rPr>
        <w:t>.</w:t>
      </w:r>
    </w:p>
    <w:p w14:paraId="497439E8" w14:textId="1C048F83" w:rsidR="00D47640" w:rsidRDefault="00D47640" w:rsidP="004F26FE">
      <w:pPr>
        <w:rPr>
          <w:sz w:val="20"/>
          <w:szCs w:val="20"/>
        </w:rPr>
      </w:pPr>
    </w:p>
    <w:p w14:paraId="7A555762" w14:textId="26BBD22C" w:rsidR="004F26FE" w:rsidRPr="00AA3D0C" w:rsidRDefault="00865C2D" w:rsidP="004F26FE">
      <w:pPr>
        <w:rPr>
          <w:sz w:val="20"/>
          <w:szCs w:val="20"/>
        </w:rPr>
      </w:pPr>
      <w:r>
        <w:rPr>
          <w:noProof/>
          <w:sz w:val="22"/>
          <w:szCs w:val="22"/>
          <w:lang w:eastAsia="en-GB"/>
        </w:rPr>
        <w:drawing>
          <wp:inline distT="0" distB="0" distL="0" distR="0" wp14:anchorId="0E7AB0BD" wp14:editId="13DAF278">
            <wp:extent cx="5178425" cy="3402330"/>
            <wp:effectExtent l="0" t="0" r="3175" b="7620"/>
            <wp:docPr id="1530" name="Picture 15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178425" cy="3402330"/>
                    </a:xfrm>
                    <a:prstGeom prst="rect">
                      <a:avLst/>
                    </a:prstGeom>
                    <a:noFill/>
                    <a:ln>
                      <a:noFill/>
                    </a:ln>
                  </pic:spPr>
                </pic:pic>
              </a:graphicData>
            </a:graphic>
          </wp:inline>
        </w:drawing>
      </w:r>
    </w:p>
    <w:p w14:paraId="62E1B373" w14:textId="6EED2DD7" w:rsidR="004F26FE" w:rsidRPr="00AA3D0C" w:rsidRDefault="004F26FE" w:rsidP="004F26FE">
      <w:pPr>
        <w:rPr>
          <w:i/>
          <w:sz w:val="20"/>
          <w:szCs w:val="20"/>
        </w:rPr>
      </w:pPr>
      <w:r w:rsidRPr="00AA3D0C">
        <w:rPr>
          <w:i/>
          <w:sz w:val="20"/>
          <w:szCs w:val="20"/>
        </w:rPr>
        <w:t xml:space="preserve">Figure </w:t>
      </w:r>
      <w:r w:rsidR="00865C2D">
        <w:rPr>
          <w:i/>
          <w:sz w:val="20"/>
          <w:szCs w:val="20"/>
        </w:rPr>
        <w:t>7</w:t>
      </w:r>
      <w:r w:rsidRPr="00AA3D0C">
        <w:rPr>
          <w:i/>
          <w:sz w:val="20"/>
          <w:szCs w:val="20"/>
        </w:rPr>
        <w:t>: Plan, cross section and axonometric of the tested geometry.</w:t>
      </w:r>
    </w:p>
    <w:p w14:paraId="3DC3489D" w14:textId="5C9BE772" w:rsidR="004F26FE" w:rsidRPr="00AA3D0C" w:rsidRDefault="004F26FE" w:rsidP="004F26FE">
      <w:pPr>
        <w:jc w:val="both"/>
        <w:rPr>
          <w:sz w:val="22"/>
          <w:szCs w:val="22"/>
        </w:rPr>
      </w:pPr>
      <w:r w:rsidRPr="00AA3D0C">
        <w:rPr>
          <w:sz w:val="22"/>
          <w:szCs w:val="22"/>
        </w:rPr>
        <w:lastRenderedPageBreak/>
        <w:t>The surface</w:t>
      </w:r>
      <w:r w:rsidR="00982D78">
        <w:rPr>
          <w:sz w:val="22"/>
          <w:szCs w:val="22"/>
        </w:rPr>
        <w:t xml:space="preserve"> materials had properties</w:t>
      </w:r>
      <w:r w:rsidRPr="00AA3D0C">
        <w:rPr>
          <w:sz w:val="22"/>
          <w:szCs w:val="22"/>
        </w:rPr>
        <w:t xml:space="preserve"> </w:t>
      </w:r>
      <w:r w:rsidR="00982D78">
        <w:rPr>
          <w:sz w:val="22"/>
          <w:szCs w:val="22"/>
        </w:rPr>
        <w:t xml:space="preserve">as in Table </w:t>
      </w:r>
      <w:r w:rsidR="0059245A">
        <w:rPr>
          <w:sz w:val="22"/>
          <w:szCs w:val="22"/>
        </w:rPr>
        <w:t>5</w:t>
      </w:r>
      <w:r w:rsidR="00982D78">
        <w:rPr>
          <w:sz w:val="22"/>
          <w:szCs w:val="22"/>
        </w:rPr>
        <w:t>. A</w:t>
      </w:r>
      <w:r w:rsidRPr="00AA3D0C">
        <w:rPr>
          <w:sz w:val="22"/>
          <w:szCs w:val="22"/>
        </w:rPr>
        <w:t xml:space="preserve"> computer screen was</w:t>
      </w:r>
      <w:r w:rsidR="00982D78">
        <w:rPr>
          <w:sz w:val="22"/>
          <w:szCs w:val="22"/>
        </w:rPr>
        <w:t xml:space="preserve"> also</w:t>
      </w:r>
      <w:r w:rsidRPr="00AA3D0C">
        <w:rPr>
          <w:sz w:val="22"/>
          <w:szCs w:val="22"/>
        </w:rPr>
        <w:t xml:space="preserve"> </w:t>
      </w:r>
      <w:r w:rsidR="00D47640" w:rsidRPr="00AA3D0C">
        <w:rPr>
          <w:sz w:val="22"/>
          <w:szCs w:val="22"/>
        </w:rPr>
        <w:t>simulated</w:t>
      </w:r>
      <w:r w:rsidR="00D47640">
        <w:rPr>
          <w:sz w:val="22"/>
          <w:szCs w:val="22"/>
        </w:rPr>
        <w:t xml:space="preserve"> </w:t>
      </w:r>
      <w:r w:rsidRPr="00AA3D0C">
        <w:rPr>
          <w:sz w:val="22"/>
          <w:szCs w:val="22"/>
        </w:rPr>
        <w:t>ha</w:t>
      </w:r>
      <w:r w:rsidR="00D47640">
        <w:rPr>
          <w:sz w:val="22"/>
          <w:szCs w:val="22"/>
        </w:rPr>
        <w:t>ving</w:t>
      </w:r>
      <w:r w:rsidRPr="00AA3D0C">
        <w:rPr>
          <w:sz w:val="22"/>
          <w:szCs w:val="22"/>
        </w:rPr>
        <w:t xml:space="preserve"> one inner glow material (250 cd/m</w:t>
      </w:r>
      <w:r w:rsidRPr="00567E13">
        <w:rPr>
          <w:sz w:val="22"/>
          <w:szCs w:val="22"/>
          <w:vertAlign w:val="superscript"/>
        </w:rPr>
        <w:t>2</w:t>
      </w:r>
      <w:r w:rsidRPr="00AA3D0C">
        <w:rPr>
          <w:sz w:val="22"/>
          <w:szCs w:val="22"/>
        </w:rPr>
        <w:t>) and one outer glass. The rad parameters were constant throughout all the simulation process (A</w:t>
      </w:r>
      <w:r w:rsidR="00C61A75">
        <w:rPr>
          <w:sz w:val="22"/>
          <w:szCs w:val="22"/>
        </w:rPr>
        <w:t>PPENDIX</w:t>
      </w:r>
      <w:r w:rsidRPr="00AA3D0C">
        <w:rPr>
          <w:sz w:val="22"/>
          <w:szCs w:val="22"/>
        </w:rPr>
        <w:t xml:space="preserve"> A.</w:t>
      </w:r>
      <w:r w:rsidR="005A13D2">
        <w:rPr>
          <w:sz w:val="22"/>
          <w:szCs w:val="22"/>
        </w:rPr>
        <w:t>2</w:t>
      </w:r>
      <w:r w:rsidRPr="00AA3D0C">
        <w:rPr>
          <w:sz w:val="22"/>
          <w:szCs w:val="22"/>
        </w:rPr>
        <w:t>).</w:t>
      </w:r>
    </w:p>
    <w:p w14:paraId="07C586DB" w14:textId="77777777" w:rsidR="004F26FE" w:rsidRPr="00AA3D0C" w:rsidRDefault="004F26FE" w:rsidP="004F26FE">
      <w:pPr>
        <w:jc w:val="both"/>
        <w:rPr>
          <w:sz w:val="22"/>
          <w:szCs w:val="22"/>
        </w:rPr>
      </w:pPr>
    </w:p>
    <w:p w14:paraId="3FD32E8A" w14:textId="3FE3F0D8" w:rsidR="004F26FE" w:rsidRDefault="004F26FE" w:rsidP="004F26FE">
      <w:pPr>
        <w:jc w:val="both"/>
        <w:rPr>
          <w:i/>
          <w:sz w:val="20"/>
          <w:szCs w:val="20"/>
        </w:rPr>
      </w:pPr>
      <w:r w:rsidRPr="00AA3D0C">
        <w:rPr>
          <w:i/>
          <w:sz w:val="20"/>
          <w:szCs w:val="20"/>
        </w:rPr>
        <w:t xml:space="preserve">Table </w:t>
      </w:r>
      <w:r w:rsidR="00554004">
        <w:rPr>
          <w:i/>
          <w:sz w:val="20"/>
          <w:szCs w:val="20"/>
        </w:rPr>
        <w:t>5</w:t>
      </w:r>
      <w:r w:rsidRPr="00AA3D0C">
        <w:rPr>
          <w:i/>
          <w:sz w:val="20"/>
          <w:szCs w:val="20"/>
        </w:rPr>
        <w:t>: The properties of the materials used.</w:t>
      </w:r>
    </w:p>
    <w:p w14:paraId="23AD39B4" w14:textId="77777777" w:rsidR="004F26FE" w:rsidRPr="00480A7E" w:rsidRDefault="004F26FE" w:rsidP="004F26FE">
      <w:pPr>
        <w:jc w:val="both"/>
        <w:rPr>
          <w:sz w:val="16"/>
        </w:rPr>
      </w:pPr>
    </w:p>
    <w:tbl>
      <w:tblPr>
        <w:tblStyle w:val="TableGrid"/>
        <w:tblW w:w="8190" w:type="dxa"/>
        <w:tblBorders>
          <w:left w:val="none" w:sz="0" w:space="0" w:color="auto"/>
          <w:right w:val="none" w:sz="0" w:space="0" w:color="auto"/>
          <w:insideV w:val="none" w:sz="0" w:space="0" w:color="auto"/>
        </w:tblBorders>
        <w:tblLook w:val="04A0" w:firstRow="1" w:lastRow="0" w:firstColumn="1" w:lastColumn="0" w:noHBand="0" w:noVBand="1"/>
      </w:tblPr>
      <w:tblGrid>
        <w:gridCol w:w="3194"/>
        <w:gridCol w:w="1486"/>
        <w:gridCol w:w="3510"/>
      </w:tblGrid>
      <w:tr w:rsidR="004F26FE" w:rsidRPr="00AA3D0C" w14:paraId="0E8321F4" w14:textId="77777777" w:rsidTr="000036EF">
        <w:tc>
          <w:tcPr>
            <w:tcW w:w="3194" w:type="dxa"/>
          </w:tcPr>
          <w:p w14:paraId="478B7280" w14:textId="77777777" w:rsidR="004F26FE" w:rsidRPr="00AA3D0C" w:rsidRDefault="004F26FE" w:rsidP="000036EF">
            <w:pPr>
              <w:spacing w:after="240"/>
              <w:rPr>
                <w:b/>
                <w:sz w:val="20"/>
                <w:szCs w:val="20"/>
              </w:rPr>
            </w:pPr>
            <w:r w:rsidRPr="00AA3D0C">
              <w:rPr>
                <w:b/>
                <w:sz w:val="20"/>
                <w:szCs w:val="20"/>
              </w:rPr>
              <w:t>Surface</w:t>
            </w:r>
          </w:p>
        </w:tc>
        <w:tc>
          <w:tcPr>
            <w:tcW w:w="1486" w:type="dxa"/>
          </w:tcPr>
          <w:p w14:paraId="4BB4769C" w14:textId="77777777" w:rsidR="004F26FE" w:rsidRPr="00AA3D0C" w:rsidRDefault="004F26FE" w:rsidP="000036EF">
            <w:pPr>
              <w:jc w:val="center"/>
              <w:rPr>
                <w:b/>
                <w:sz w:val="20"/>
                <w:szCs w:val="20"/>
              </w:rPr>
            </w:pPr>
            <w:r w:rsidRPr="00AA3D0C">
              <w:rPr>
                <w:b/>
                <w:sz w:val="20"/>
                <w:szCs w:val="20"/>
              </w:rPr>
              <w:t>Reflectance</w:t>
            </w:r>
          </w:p>
        </w:tc>
        <w:tc>
          <w:tcPr>
            <w:tcW w:w="3510" w:type="dxa"/>
          </w:tcPr>
          <w:p w14:paraId="65371DE7" w14:textId="77777777" w:rsidR="004F26FE" w:rsidRPr="00AA3D0C" w:rsidRDefault="004F26FE" w:rsidP="000036EF">
            <w:pPr>
              <w:jc w:val="center"/>
              <w:rPr>
                <w:b/>
                <w:sz w:val="20"/>
                <w:szCs w:val="20"/>
              </w:rPr>
            </w:pPr>
            <w:r w:rsidRPr="00AA3D0C">
              <w:rPr>
                <w:b/>
                <w:sz w:val="20"/>
                <w:szCs w:val="20"/>
              </w:rPr>
              <w:t>Transmission</w:t>
            </w:r>
          </w:p>
        </w:tc>
      </w:tr>
      <w:tr w:rsidR="004F26FE" w:rsidRPr="00AA3D0C" w14:paraId="502AAB8C" w14:textId="77777777" w:rsidTr="000036EF">
        <w:tc>
          <w:tcPr>
            <w:tcW w:w="3194" w:type="dxa"/>
          </w:tcPr>
          <w:p w14:paraId="57BA4ADB" w14:textId="77777777" w:rsidR="004F26FE" w:rsidRPr="00AA3D0C" w:rsidRDefault="004F26FE" w:rsidP="000036EF">
            <w:pPr>
              <w:spacing w:after="240"/>
              <w:jc w:val="both"/>
              <w:rPr>
                <w:sz w:val="20"/>
                <w:szCs w:val="20"/>
              </w:rPr>
            </w:pPr>
            <w:r w:rsidRPr="00AA3D0C">
              <w:rPr>
                <w:sz w:val="20"/>
                <w:szCs w:val="20"/>
              </w:rPr>
              <w:t>Interior Walls</w:t>
            </w:r>
          </w:p>
        </w:tc>
        <w:tc>
          <w:tcPr>
            <w:tcW w:w="1486" w:type="dxa"/>
          </w:tcPr>
          <w:p w14:paraId="20D69CC3" w14:textId="77777777" w:rsidR="004F26FE" w:rsidRPr="00AA3D0C" w:rsidRDefault="004F26FE" w:rsidP="000036EF">
            <w:pPr>
              <w:spacing w:after="240"/>
              <w:jc w:val="center"/>
              <w:rPr>
                <w:sz w:val="20"/>
                <w:szCs w:val="20"/>
              </w:rPr>
            </w:pPr>
            <w:r w:rsidRPr="00AA3D0C">
              <w:rPr>
                <w:sz w:val="20"/>
                <w:szCs w:val="20"/>
              </w:rPr>
              <w:t>0.5</w:t>
            </w:r>
          </w:p>
        </w:tc>
        <w:tc>
          <w:tcPr>
            <w:tcW w:w="3510" w:type="dxa"/>
          </w:tcPr>
          <w:p w14:paraId="64489936" w14:textId="77777777" w:rsidR="004F26FE" w:rsidRPr="00AA3D0C" w:rsidRDefault="004F26FE" w:rsidP="000036EF">
            <w:pPr>
              <w:spacing w:after="240"/>
              <w:jc w:val="center"/>
              <w:rPr>
                <w:sz w:val="20"/>
                <w:szCs w:val="20"/>
              </w:rPr>
            </w:pPr>
          </w:p>
        </w:tc>
      </w:tr>
      <w:tr w:rsidR="004F26FE" w:rsidRPr="00AA3D0C" w14:paraId="014596E0" w14:textId="77777777" w:rsidTr="000036EF">
        <w:tc>
          <w:tcPr>
            <w:tcW w:w="3194" w:type="dxa"/>
          </w:tcPr>
          <w:p w14:paraId="1003E82A" w14:textId="77777777" w:rsidR="004F26FE" w:rsidRPr="00AA3D0C" w:rsidRDefault="004F26FE" w:rsidP="000036EF">
            <w:pPr>
              <w:spacing w:after="240"/>
              <w:jc w:val="both"/>
              <w:rPr>
                <w:sz w:val="20"/>
                <w:szCs w:val="20"/>
              </w:rPr>
            </w:pPr>
            <w:r w:rsidRPr="00AA3D0C">
              <w:rPr>
                <w:sz w:val="20"/>
                <w:szCs w:val="20"/>
              </w:rPr>
              <w:t>Ceiling</w:t>
            </w:r>
          </w:p>
        </w:tc>
        <w:tc>
          <w:tcPr>
            <w:tcW w:w="1486" w:type="dxa"/>
          </w:tcPr>
          <w:p w14:paraId="00EE3F9F" w14:textId="77777777" w:rsidR="004F26FE" w:rsidRPr="00AA3D0C" w:rsidRDefault="004F26FE" w:rsidP="000036EF">
            <w:pPr>
              <w:spacing w:after="240"/>
              <w:jc w:val="center"/>
              <w:rPr>
                <w:sz w:val="20"/>
                <w:szCs w:val="20"/>
              </w:rPr>
            </w:pPr>
            <w:r w:rsidRPr="00AA3D0C">
              <w:rPr>
                <w:sz w:val="20"/>
                <w:szCs w:val="20"/>
              </w:rPr>
              <w:t>0.8</w:t>
            </w:r>
          </w:p>
        </w:tc>
        <w:tc>
          <w:tcPr>
            <w:tcW w:w="3510" w:type="dxa"/>
          </w:tcPr>
          <w:p w14:paraId="4F0B5841" w14:textId="77777777" w:rsidR="004F26FE" w:rsidRPr="00AA3D0C" w:rsidRDefault="004F26FE" w:rsidP="000036EF">
            <w:pPr>
              <w:spacing w:after="240"/>
              <w:jc w:val="center"/>
              <w:rPr>
                <w:sz w:val="20"/>
                <w:szCs w:val="20"/>
              </w:rPr>
            </w:pPr>
          </w:p>
        </w:tc>
      </w:tr>
      <w:tr w:rsidR="004F26FE" w:rsidRPr="00AA3D0C" w14:paraId="39DD1D2B" w14:textId="77777777" w:rsidTr="000036EF">
        <w:tc>
          <w:tcPr>
            <w:tcW w:w="3194" w:type="dxa"/>
          </w:tcPr>
          <w:p w14:paraId="65B9C579" w14:textId="77777777" w:rsidR="004F26FE" w:rsidRPr="00AA3D0C" w:rsidRDefault="004F26FE" w:rsidP="000036EF">
            <w:pPr>
              <w:spacing w:after="240"/>
              <w:jc w:val="both"/>
              <w:rPr>
                <w:sz w:val="20"/>
                <w:szCs w:val="20"/>
              </w:rPr>
            </w:pPr>
            <w:r w:rsidRPr="00AA3D0C">
              <w:rPr>
                <w:sz w:val="20"/>
                <w:szCs w:val="20"/>
              </w:rPr>
              <w:t>Floor</w:t>
            </w:r>
          </w:p>
        </w:tc>
        <w:tc>
          <w:tcPr>
            <w:tcW w:w="1486" w:type="dxa"/>
          </w:tcPr>
          <w:p w14:paraId="22D99258" w14:textId="77777777" w:rsidR="004F26FE" w:rsidRPr="00AA3D0C" w:rsidRDefault="004F26FE" w:rsidP="000036EF">
            <w:pPr>
              <w:spacing w:after="240"/>
              <w:jc w:val="center"/>
              <w:rPr>
                <w:sz w:val="20"/>
                <w:szCs w:val="20"/>
              </w:rPr>
            </w:pPr>
            <w:r w:rsidRPr="00AA3D0C">
              <w:rPr>
                <w:sz w:val="20"/>
                <w:szCs w:val="20"/>
              </w:rPr>
              <w:t>0.25</w:t>
            </w:r>
          </w:p>
        </w:tc>
        <w:tc>
          <w:tcPr>
            <w:tcW w:w="3510" w:type="dxa"/>
          </w:tcPr>
          <w:p w14:paraId="0FD001AE" w14:textId="77777777" w:rsidR="004F26FE" w:rsidRPr="00AA3D0C" w:rsidRDefault="004F26FE" w:rsidP="000036EF">
            <w:pPr>
              <w:spacing w:after="240"/>
              <w:jc w:val="center"/>
              <w:rPr>
                <w:sz w:val="20"/>
                <w:szCs w:val="20"/>
              </w:rPr>
            </w:pPr>
          </w:p>
        </w:tc>
      </w:tr>
      <w:tr w:rsidR="004F26FE" w:rsidRPr="00AA3D0C" w14:paraId="6496D006" w14:textId="77777777" w:rsidTr="000036EF">
        <w:tc>
          <w:tcPr>
            <w:tcW w:w="3194" w:type="dxa"/>
          </w:tcPr>
          <w:p w14:paraId="72B4D3DC" w14:textId="77777777" w:rsidR="004F26FE" w:rsidRPr="00AA3D0C" w:rsidRDefault="004F26FE" w:rsidP="000036EF">
            <w:pPr>
              <w:spacing w:after="240"/>
              <w:jc w:val="both"/>
              <w:rPr>
                <w:sz w:val="20"/>
                <w:szCs w:val="20"/>
              </w:rPr>
            </w:pPr>
            <w:r>
              <w:rPr>
                <w:sz w:val="20"/>
                <w:szCs w:val="20"/>
              </w:rPr>
              <w:t>Sill</w:t>
            </w:r>
          </w:p>
        </w:tc>
        <w:tc>
          <w:tcPr>
            <w:tcW w:w="1486" w:type="dxa"/>
          </w:tcPr>
          <w:p w14:paraId="1E308593" w14:textId="77777777" w:rsidR="004F26FE" w:rsidRPr="00AA3D0C" w:rsidRDefault="004F26FE" w:rsidP="000036EF">
            <w:pPr>
              <w:spacing w:after="240"/>
              <w:jc w:val="center"/>
              <w:rPr>
                <w:sz w:val="20"/>
                <w:szCs w:val="20"/>
              </w:rPr>
            </w:pPr>
            <w:r w:rsidRPr="00AA3D0C">
              <w:rPr>
                <w:sz w:val="20"/>
                <w:szCs w:val="20"/>
              </w:rPr>
              <w:t>0.35</w:t>
            </w:r>
          </w:p>
        </w:tc>
        <w:tc>
          <w:tcPr>
            <w:tcW w:w="3510" w:type="dxa"/>
          </w:tcPr>
          <w:p w14:paraId="46812C8C" w14:textId="77777777" w:rsidR="004F26FE" w:rsidRPr="00AA3D0C" w:rsidRDefault="004F26FE" w:rsidP="000036EF">
            <w:pPr>
              <w:spacing w:after="240"/>
              <w:jc w:val="center"/>
              <w:rPr>
                <w:sz w:val="20"/>
                <w:szCs w:val="20"/>
              </w:rPr>
            </w:pPr>
          </w:p>
        </w:tc>
      </w:tr>
      <w:tr w:rsidR="004F26FE" w:rsidRPr="00AA3D0C" w14:paraId="69A52396" w14:textId="77777777" w:rsidTr="000036EF">
        <w:tc>
          <w:tcPr>
            <w:tcW w:w="3194" w:type="dxa"/>
            <w:tcBorders>
              <w:bottom w:val="single" w:sz="4" w:space="0" w:color="auto"/>
            </w:tcBorders>
          </w:tcPr>
          <w:p w14:paraId="08B755DE" w14:textId="77777777" w:rsidR="004F26FE" w:rsidRPr="00AA3D0C" w:rsidRDefault="004F26FE" w:rsidP="000036EF">
            <w:pPr>
              <w:spacing w:after="240"/>
              <w:jc w:val="both"/>
              <w:rPr>
                <w:sz w:val="20"/>
                <w:szCs w:val="20"/>
              </w:rPr>
            </w:pPr>
            <w:r w:rsidRPr="00AA3D0C">
              <w:rPr>
                <w:sz w:val="20"/>
                <w:szCs w:val="20"/>
              </w:rPr>
              <w:t>Window, Double Pane-Clear</w:t>
            </w:r>
          </w:p>
        </w:tc>
        <w:tc>
          <w:tcPr>
            <w:tcW w:w="1486" w:type="dxa"/>
            <w:tcBorders>
              <w:bottom w:val="single" w:sz="4" w:space="0" w:color="auto"/>
            </w:tcBorders>
          </w:tcPr>
          <w:p w14:paraId="7C65D766" w14:textId="77777777" w:rsidR="004F26FE" w:rsidRPr="00AA3D0C" w:rsidRDefault="004F26FE" w:rsidP="000036EF">
            <w:pPr>
              <w:spacing w:after="240"/>
              <w:jc w:val="center"/>
              <w:rPr>
                <w:sz w:val="20"/>
                <w:szCs w:val="20"/>
              </w:rPr>
            </w:pPr>
          </w:p>
        </w:tc>
        <w:tc>
          <w:tcPr>
            <w:tcW w:w="3510" w:type="dxa"/>
            <w:tcBorders>
              <w:bottom w:val="single" w:sz="4" w:space="0" w:color="auto"/>
            </w:tcBorders>
          </w:tcPr>
          <w:p w14:paraId="6A055545" w14:textId="77777777" w:rsidR="004F26FE" w:rsidRPr="00AA3D0C" w:rsidRDefault="004F26FE" w:rsidP="000036EF">
            <w:pPr>
              <w:spacing w:after="240"/>
              <w:jc w:val="center"/>
              <w:rPr>
                <w:sz w:val="20"/>
                <w:szCs w:val="20"/>
              </w:rPr>
            </w:pPr>
            <w:r w:rsidRPr="00AA3D0C">
              <w:rPr>
                <w:sz w:val="20"/>
                <w:szCs w:val="20"/>
              </w:rPr>
              <w:t>0.80</w:t>
            </w:r>
          </w:p>
        </w:tc>
      </w:tr>
      <w:tr w:rsidR="004F26FE" w:rsidRPr="00AA3D0C" w14:paraId="5795B00E" w14:textId="77777777" w:rsidTr="000036EF">
        <w:tc>
          <w:tcPr>
            <w:tcW w:w="3194" w:type="dxa"/>
            <w:tcBorders>
              <w:bottom w:val="single" w:sz="4" w:space="0" w:color="auto"/>
            </w:tcBorders>
          </w:tcPr>
          <w:p w14:paraId="7F53246E" w14:textId="77777777" w:rsidR="004F26FE" w:rsidRPr="00AA3D0C" w:rsidRDefault="004F26FE" w:rsidP="000036EF">
            <w:pPr>
              <w:spacing w:after="240"/>
              <w:jc w:val="both"/>
              <w:rPr>
                <w:sz w:val="20"/>
                <w:szCs w:val="20"/>
              </w:rPr>
            </w:pPr>
            <w:r w:rsidRPr="00AA3D0C">
              <w:rPr>
                <w:sz w:val="20"/>
                <w:szCs w:val="20"/>
              </w:rPr>
              <w:t>Screen glass, Single Pane</w:t>
            </w:r>
          </w:p>
        </w:tc>
        <w:tc>
          <w:tcPr>
            <w:tcW w:w="1486" w:type="dxa"/>
            <w:tcBorders>
              <w:bottom w:val="single" w:sz="4" w:space="0" w:color="auto"/>
            </w:tcBorders>
          </w:tcPr>
          <w:p w14:paraId="33A9823A" w14:textId="77777777" w:rsidR="004F26FE" w:rsidRPr="00AA3D0C" w:rsidRDefault="004F26FE" w:rsidP="000036EF">
            <w:pPr>
              <w:spacing w:after="240"/>
              <w:jc w:val="center"/>
              <w:rPr>
                <w:sz w:val="20"/>
                <w:szCs w:val="20"/>
              </w:rPr>
            </w:pPr>
          </w:p>
        </w:tc>
        <w:tc>
          <w:tcPr>
            <w:tcW w:w="3510" w:type="dxa"/>
            <w:tcBorders>
              <w:bottom w:val="single" w:sz="4" w:space="0" w:color="auto"/>
            </w:tcBorders>
          </w:tcPr>
          <w:p w14:paraId="08F5C510" w14:textId="77777777" w:rsidR="004F26FE" w:rsidRPr="00AA3D0C" w:rsidRDefault="004F26FE" w:rsidP="000036EF">
            <w:pPr>
              <w:spacing w:after="240"/>
              <w:jc w:val="center"/>
              <w:rPr>
                <w:sz w:val="20"/>
                <w:szCs w:val="20"/>
              </w:rPr>
            </w:pPr>
            <w:r w:rsidRPr="00AA3D0C">
              <w:rPr>
                <w:sz w:val="20"/>
                <w:szCs w:val="20"/>
              </w:rPr>
              <w:t>0.88</w:t>
            </w:r>
          </w:p>
        </w:tc>
      </w:tr>
    </w:tbl>
    <w:p w14:paraId="1B31440C" w14:textId="48361D31" w:rsidR="00987BD3" w:rsidRPr="00AA3D0C" w:rsidRDefault="00982D78" w:rsidP="00987BD3">
      <w:pPr>
        <w:spacing w:before="240" w:after="240"/>
        <w:jc w:val="both"/>
        <w:rPr>
          <w:sz w:val="22"/>
          <w:szCs w:val="22"/>
        </w:rPr>
      </w:pPr>
      <w:r>
        <w:rPr>
          <w:sz w:val="22"/>
          <w:szCs w:val="22"/>
        </w:rPr>
        <w:t>Four</w:t>
      </w:r>
      <w:r w:rsidR="002B7D6E" w:rsidRPr="00AA3D0C">
        <w:rPr>
          <w:sz w:val="22"/>
          <w:szCs w:val="22"/>
        </w:rPr>
        <w:t xml:space="preserve"> different shading systems were examined:</w:t>
      </w:r>
      <w:r>
        <w:rPr>
          <w:sz w:val="22"/>
          <w:szCs w:val="22"/>
        </w:rPr>
        <w:t xml:space="preserve"> two types of</w:t>
      </w:r>
      <w:r w:rsidR="002B7D6E" w:rsidRPr="00AA3D0C">
        <w:rPr>
          <w:sz w:val="22"/>
          <w:szCs w:val="22"/>
        </w:rPr>
        <w:t xml:space="preserve"> venetian blinds and</w:t>
      </w:r>
      <w:r>
        <w:rPr>
          <w:sz w:val="22"/>
          <w:szCs w:val="22"/>
        </w:rPr>
        <w:t xml:space="preserve"> two types of</w:t>
      </w:r>
      <w:r w:rsidR="002B7D6E" w:rsidRPr="00AA3D0C">
        <w:rPr>
          <w:sz w:val="22"/>
          <w:szCs w:val="22"/>
        </w:rPr>
        <w:t xml:space="preserve"> roller shade fabrics. </w:t>
      </w:r>
      <w:r w:rsidR="00C226AD">
        <w:rPr>
          <w:sz w:val="22"/>
          <w:szCs w:val="22"/>
        </w:rPr>
        <w:t xml:space="preserve">All the </w:t>
      </w:r>
      <w:r w:rsidR="002B7D6E" w:rsidRPr="00AA3D0C">
        <w:rPr>
          <w:sz w:val="22"/>
          <w:szCs w:val="22"/>
        </w:rPr>
        <w:t xml:space="preserve">shading systems would </w:t>
      </w:r>
      <w:r w:rsidR="004C4E78">
        <w:rPr>
          <w:sz w:val="22"/>
          <w:szCs w:val="22"/>
        </w:rPr>
        <w:t>operate</w:t>
      </w:r>
      <w:r w:rsidR="00C226AD">
        <w:rPr>
          <w:sz w:val="22"/>
          <w:szCs w:val="22"/>
        </w:rPr>
        <w:t xml:space="preserve"> manual</w:t>
      </w:r>
      <w:r w:rsidR="004C4E78">
        <w:rPr>
          <w:sz w:val="22"/>
          <w:szCs w:val="22"/>
        </w:rPr>
        <w:t xml:space="preserve">ly, having an </w:t>
      </w:r>
      <w:proofErr w:type="gramStart"/>
      <w:r w:rsidR="004C4E78">
        <w:rPr>
          <w:sz w:val="22"/>
          <w:szCs w:val="22"/>
        </w:rPr>
        <w:t>On</w:t>
      </w:r>
      <w:proofErr w:type="gramEnd"/>
      <w:r w:rsidR="004C4E78">
        <w:rPr>
          <w:sz w:val="22"/>
          <w:szCs w:val="22"/>
        </w:rPr>
        <w:t xml:space="preserve"> (window coverage</w:t>
      </w:r>
      <w:r w:rsidR="007267D6">
        <w:rPr>
          <w:sz w:val="22"/>
          <w:szCs w:val="22"/>
        </w:rPr>
        <w:t>: 3/4</w:t>
      </w:r>
      <w:r w:rsidR="004C4E78">
        <w:rPr>
          <w:sz w:val="22"/>
          <w:szCs w:val="22"/>
        </w:rPr>
        <w:t xml:space="preserve">) and Off position. The venetian blinds would have a fixed slat angle </w:t>
      </w:r>
      <w:r w:rsidR="007267D6">
        <w:rPr>
          <w:sz w:val="22"/>
          <w:szCs w:val="22"/>
        </w:rPr>
        <w:t>of 40</w:t>
      </w:r>
      <w:r w:rsidR="00FE49D4">
        <w:rPr>
          <w:sz w:val="22"/>
          <w:szCs w:val="22"/>
        </w:rPr>
        <w:t xml:space="preserve">º </w:t>
      </w:r>
      <w:r w:rsidR="004C4E78">
        <w:rPr>
          <w:sz w:val="22"/>
          <w:szCs w:val="22"/>
        </w:rPr>
        <w:t>as an effort to reduce the noise and enhance the focus conditions in the library.</w:t>
      </w:r>
      <w:r w:rsidR="00987BD3">
        <w:rPr>
          <w:sz w:val="22"/>
          <w:szCs w:val="22"/>
        </w:rPr>
        <w:t xml:space="preserve"> Their fixed slat angle </w:t>
      </w:r>
      <w:r w:rsidR="00987BD3" w:rsidRPr="00AA3D0C">
        <w:rPr>
          <w:sz w:val="22"/>
          <w:szCs w:val="22"/>
        </w:rPr>
        <w:t xml:space="preserve">and </w:t>
      </w:r>
      <w:r w:rsidR="00987BD3">
        <w:rPr>
          <w:sz w:val="22"/>
          <w:szCs w:val="22"/>
        </w:rPr>
        <w:t xml:space="preserve">operating </w:t>
      </w:r>
      <w:r w:rsidR="00987BD3" w:rsidRPr="00AA3D0C">
        <w:rPr>
          <w:sz w:val="22"/>
          <w:szCs w:val="22"/>
        </w:rPr>
        <w:t xml:space="preserve">position was selected </w:t>
      </w:r>
      <w:r w:rsidR="00987BD3">
        <w:rPr>
          <w:sz w:val="22"/>
          <w:szCs w:val="22"/>
        </w:rPr>
        <w:t xml:space="preserve">in a way so, that </w:t>
      </w:r>
      <w:r w:rsidR="00987BD3" w:rsidRPr="00AA3D0C">
        <w:rPr>
          <w:sz w:val="22"/>
          <w:szCs w:val="22"/>
        </w:rPr>
        <w:t xml:space="preserve">the percentage of the specular </w:t>
      </w:r>
      <w:proofErr w:type="spellStart"/>
      <w:r w:rsidR="00987BD3" w:rsidRPr="00AA3D0C">
        <w:rPr>
          <w:sz w:val="22"/>
          <w:szCs w:val="22"/>
        </w:rPr>
        <w:t>reflectances</w:t>
      </w:r>
      <w:proofErr w:type="spellEnd"/>
      <w:r w:rsidR="00987BD3" w:rsidRPr="00AA3D0C">
        <w:rPr>
          <w:sz w:val="22"/>
          <w:szCs w:val="22"/>
        </w:rPr>
        <w:t xml:space="preserve"> in the eye level to be as </w:t>
      </w:r>
      <w:r w:rsidR="00987BD3">
        <w:rPr>
          <w:sz w:val="22"/>
          <w:szCs w:val="22"/>
        </w:rPr>
        <w:t>low</w:t>
      </w:r>
      <w:r w:rsidR="00987BD3" w:rsidRPr="00AA3D0C">
        <w:rPr>
          <w:sz w:val="22"/>
          <w:szCs w:val="22"/>
        </w:rPr>
        <w:t xml:space="preserve"> as possible</w:t>
      </w:r>
      <w:r w:rsidR="00987BD3">
        <w:rPr>
          <w:sz w:val="22"/>
          <w:szCs w:val="22"/>
        </w:rPr>
        <w:t xml:space="preserve">, while </w:t>
      </w:r>
      <w:r w:rsidR="00987BD3" w:rsidRPr="00AA3D0C">
        <w:rPr>
          <w:sz w:val="22"/>
          <w:szCs w:val="22"/>
        </w:rPr>
        <w:t xml:space="preserve">the illuminances </w:t>
      </w:r>
      <w:r w:rsidR="00987BD3">
        <w:rPr>
          <w:sz w:val="22"/>
          <w:szCs w:val="22"/>
        </w:rPr>
        <w:t>in the rest area to</w:t>
      </w:r>
      <w:r w:rsidR="00987BD3" w:rsidRPr="00AA3D0C">
        <w:rPr>
          <w:sz w:val="22"/>
          <w:szCs w:val="22"/>
        </w:rPr>
        <w:t xml:space="preserve"> fluctuate between 300lx and 3000lx according to LEED </w:t>
      </w:r>
      <w:r w:rsidR="00987BD3" w:rsidRPr="00AA3D0C">
        <w:rPr>
          <w:sz w:val="22"/>
          <w:szCs w:val="22"/>
        </w:rPr>
        <w:fldChar w:fldCharType="begin" w:fldLock="1"/>
      </w:r>
      <w:r w:rsidR="00987BD3">
        <w:rPr>
          <w:sz w:val="22"/>
          <w:szCs w:val="22"/>
        </w:rPr>
        <w:instrText>ADDIN CSL_CITATION { "citationItems" : [ { "id" : "ITEM-1", "itemData" : { "author" : [ { "dropping-particle" : "", "family" : "LEED", "given" : "", "non-dropping-particle" : "", "parse-names" : false, "suffix" : "" } ], "id" : "ITEM-1", "issued" : { "date-parts" : [ [ "2018" ] ] }, "page" : "132-134", "publisher" : "USGBC", "publisher-place" : "s.l.", "title" : "Building Design and Construction Agenda", "type" : "article-journal", "volume" : "4" }, "uris" : [ "http://www.mendeley.com/documents/?uuid=23007e8d-36b1-426a-9d78-b7628d98f564", "http://www.mendeley.com/documents/?uuid=02dbc384-85a6-4b65-b279-250b6af91ab6" ] } ], "mendeley" : { "formattedCitation" : "(LEED, 2018)", "manualFormatting" : "(2018)", "plainTextFormattedCitation" : "(LEED, 2018)", "previouslyFormattedCitation" : "(LEED, 2018)" }, "properties" : { "noteIndex" : 0 }, "schema" : "https://github.com/citation-style-language/schema/raw/master/csl-citation.json" }</w:instrText>
      </w:r>
      <w:r w:rsidR="00987BD3" w:rsidRPr="00AA3D0C">
        <w:rPr>
          <w:sz w:val="22"/>
          <w:szCs w:val="22"/>
        </w:rPr>
        <w:fldChar w:fldCharType="separate"/>
      </w:r>
      <w:r w:rsidR="00987BD3" w:rsidRPr="00AA3D0C">
        <w:rPr>
          <w:noProof/>
          <w:sz w:val="22"/>
          <w:szCs w:val="22"/>
        </w:rPr>
        <w:t>(2018)</w:t>
      </w:r>
      <w:r w:rsidR="00987BD3" w:rsidRPr="00AA3D0C">
        <w:rPr>
          <w:sz w:val="22"/>
          <w:szCs w:val="22"/>
        </w:rPr>
        <w:fldChar w:fldCharType="end"/>
      </w:r>
      <w:r w:rsidR="00987BD3" w:rsidRPr="00AA3D0C">
        <w:rPr>
          <w:sz w:val="22"/>
          <w:szCs w:val="22"/>
        </w:rPr>
        <w:t xml:space="preserve"> (Figure </w:t>
      </w:r>
      <w:r w:rsidR="00865C2D">
        <w:rPr>
          <w:sz w:val="22"/>
          <w:szCs w:val="22"/>
        </w:rPr>
        <w:t>8</w:t>
      </w:r>
      <w:r w:rsidR="00987BD3" w:rsidRPr="00AA3D0C">
        <w:rPr>
          <w:sz w:val="22"/>
          <w:szCs w:val="22"/>
        </w:rPr>
        <w:t>).</w:t>
      </w:r>
    </w:p>
    <w:p w14:paraId="1C3C2DA9" w14:textId="77777777" w:rsidR="006B56D3" w:rsidRDefault="00865C2D" w:rsidP="00865C2D">
      <w:pPr>
        <w:jc w:val="both"/>
        <w:rPr>
          <w:i/>
          <w:sz w:val="20"/>
          <w:szCs w:val="20"/>
        </w:rPr>
      </w:pPr>
      <w:r>
        <w:rPr>
          <w:i/>
          <w:noProof/>
          <w:sz w:val="20"/>
          <w:szCs w:val="20"/>
          <w:lang w:eastAsia="en-GB"/>
        </w:rPr>
        <w:drawing>
          <wp:inline distT="0" distB="0" distL="0" distR="0" wp14:anchorId="359C4675" wp14:editId="4747C2C8">
            <wp:extent cx="5178425" cy="1635125"/>
            <wp:effectExtent l="0" t="0" r="3175" b="3175"/>
            <wp:docPr id="1531" name="Picture 15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178425" cy="1635125"/>
                    </a:xfrm>
                    <a:prstGeom prst="rect">
                      <a:avLst/>
                    </a:prstGeom>
                    <a:noFill/>
                    <a:ln>
                      <a:noFill/>
                    </a:ln>
                  </pic:spPr>
                </pic:pic>
              </a:graphicData>
            </a:graphic>
          </wp:inline>
        </w:drawing>
      </w:r>
    </w:p>
    <w:p w14:paraId="4B6B7C61" w14:textId="77777777" w:rsidR="006B56D3" w:rsidRDefault="006B56D3" w:rsidP="00865C2D">
      <w:pPr>
        <w:jc w:val="both"/>
        <w:rPr>
          <w:i/>
          <w:sz w:val="20"/>
          <w:szCs w:val="20"/>
        </w:rPr>
      </w:pPr>
    </w:p>
    <w:p w14:paraId="1EB4690B" w14:textId="4BB07453" w:rsidR="007267D6" w:rsidRPr="00865C2D" w:rsidRDefault="007267D6" w:rsidP="00865C2D">
      <w:pPr>
        <w:jc w:val="both"/>
        <w:rPr>
          <w:sz w:val="22"/>
          <w:szCs w:val="22"/>
        </w:rPr>
      </w:pPr>
      <w:r w:rsidRPr="00AA3D0C">
        <w:rPr>
          <w:i/>
          <w:sz w:val="20"/>
          <w:szCs w:val="20"/>
        </w:rPr>
        <w:t xml:space="preserve">Figure </w:t>
      </w:r>
      <w:r w:rsidR="00865C2D">
        <w:rPr>
          <w:i/>
          <w:sz w:val="20"/>
          <w:szCs w:val="20"/>
        </w:rPr>
        <w:t>8</w:t>
      </w:r>
      <w:r w:rsidRPr="00AA3D0C">
        <w:rPr>
          <w:i/>
          <w:sz w:val="20"/>
          <w:szCs w:val="20"/>
        </w:rPr>
        <w:t xml:space="preserve">: The tested </w:t>
      </w:r>
      <w:r>
        <w:rPr>
          <w:i/>
          <w:sz w:val="20"/>
          <w:szCs w:val="20"/>
        </w:rPr>
        <w:t>window coverage</w:t>
      </w:r>
      <w:r w:rsidRPr="00AA3D0C">
        <w:rPr>
          <w:i/>
          <w:sz w:val="20"/>
          <w:szCs w:val="20"/>
        </w:rPr>
        <w:t xml:space="preserve"> and angles of the venetian blinds, as well as, the 3 areas investigated with forward raytracing.</w:t>
      </w:r>
    </w:p>
    <w:p w14:paraId="18B3DA50" w14:textId="77777777" w:rsidR="006B56D3" w:rsidRDefault="006B56D3" w:rsidP="007267D6">
      <w:pPr>
        <w:jc w:val="both"/>
        <w:rPr>
          <w:sz w:val="22"/>
          <w:szCs w:val="22"/>
        </w:rPr>
      </w:pPr>
    </w:p>
    <w:p w14:paraId="730B668A" w14:textId="46CAF891" w:rsidR="007267D6" w:rsidRDefault="007267D6" w:rsidP="007267D6">
      <w:pPr>
        <w:jc w:val="both"/>
        <w:rPr>
          <w:sz w:val="22"/>
          <w:szCs w:val="22"/>
        </w:rPr>
      </w:pPr>
      <w:r w:rsidRPr="00AA3D0C">
        <w:rPr>
          <w:sz w:val="22"/>
          <w:szCs w:val="22"/>
        </w:rPr>
        <w:t xml:space="preserve">Different properties of the implemented materials were tested, in order to evaluate their performance regarding daylight glare control throughout the reference zone (Table </w:t>
      </w:r>
      <w:r>
        <w:rPr>
          <w:sz w:val="22"/>
          <w:szCs w:val="22"/>
        </w:rPr>
        <w:t>6</w:t>
      </w:r>
      <w:r w:rsidRPr="00AA3D0C">
        <w:rPr>
          <w:sz w:val="22"/>
          <w:szCs w:val="22"/>
        </w:rPr>
        <w:t xml:space="preserve">). The </w:t>
      </w:r>
      <w:r>
        <w:rPr>
          <w:sz w:val="22"/>
          <w:szCs w:val="22"/>
        </w:rPr>
        <w:t xml:space="preserve">venetian blinds were varying in their slat reflectivity, while the </w:t>
      </w:r>
      <w:r w:rsidRPr="00AA3D0C">
        <w:rPr>
          <w:sz w:val="22"/>
          <w:szCs w:val="22"/>
        </w:rPr>
        <w:t>fabric of the roller shade</w:t>
      </w:r>
      <w:r>
        <w:rPr>
          <w:sz w:val="22"/>
          <w:szCs w:val="22"/>
        </w:rPr>
        <w:t xml:space="preserve">s was varying </w:t>
      </w:r>
      <w:r w:rsidRPr="00AA3D0C">
        <w:rPr>
          <w:sz w:val="22"/>
          <w:szCs w:val="22"/>
        </w:rPr>
        <w:t xml:space="preserve">in </w:t>
      </w:r>
      <w:r>
        <w:rPr>
          <w:sz w:val="22"/>
          <w:szCs w:val="22"/>
        </w:rPr>
        <w:t>o</w:t>
      </w:r>
      <w:r w:rsidRPr="00AA3D0C">
        <w:rPr>
          <w:sz w:val="22"/>
          <w:szCs w:val="22"/>
        </w:rPr>
        <w:t xml:space="preserve">penness </w:t>
      </w:r>
      <w:r>
        <w:rPr>
          <w:sz w:val="22"/>
          <w:szCs w:val="22"/>
        </w:rPr>
        <w:t>f</w:t>
      </w:r>
      <w:r w:rsidRPr="00AA3D0C">
        <w:rPr>
          <w:sz w:val="22"/>
          <w:szCs w:val="22"/>
        </w:rPr>
        <w:t>actor (O</w:t>
      </w:r>
      <w:r>
        <w:rPr>
          <w:sz w:val="22"/>
          <w:szCs w:val="22"/>
        </w:rPr>
        <w:t>F</w:t>
      </w:r>
      <w:r w:rsidRPr="00AA3D0C">
        <w:rPr>
          <w:sz w:val="22"/>
          <w:szCs w:val="22"/>
        </w:rPr>
        <w:t>) and visual transmittance (</w:t>
      </w:r>
      <w:proofErr w:type="spellStart"/>
      <w:r w:rsidRPr="00AA3D0C">
        <w:rPr>
          <w:sz w:val="22"/>
          <w:szCs w:val="22"/>
        </w:rPr>
        <w:t>T</w:t>
      </w:r>
      <w:r w:rsidRPr="00AA3D0C">
        <w:rPr>
          <w:sz w:val="22"/>
          <w:szCs w:val="22"/>
          <w:vertAlign w:val="subscript"/>
        </w:rPr>
        <w:t>vis</w:t>
      </w:r>
      <w:proofErr w:type="spellEnd"/>
      <w:r>
        <w:rPr>
          <w:sz w:val="22"/>
          <w:szCs w:val="22"/>
        </w:rPr>
        <w:t>)</w:t>
      </w:r>
      <w:r w:rsidRPr="00AA3D0C">
        <w:rPr>
          <w:sz w:val="22"/>
          <w:szCs w:val="22"/>
        </w:rPr>
        <w:t xml:space="preserve">. The selection of the roller shades fabric was based on the research presented by Chan </w:t>
      </w:r>
      <w:r w:rsidRPr="00AA3D0C">
        <w:rPr>
          <w:i/>
          <w:sz w:val="22"/>
          <w:szCs w:val="22"/>
        </w:rPr>
        <w:t>et al.</w:t>
      </w:r>
      <w:r w:rsidRPr="00AA3D0C">
        <w:rPr>
          <w:sz w:val="22"/>
          <w:szCs w:val="22"/>
        </w:rPr>
        <w:t xml:space="preserve"> </w:t>
      </w:r>
      <w:r w:rsidRPr="00AA3D0C">
        <w:rPr>
          <w:sz w:val="22"/>
          <w:szCs w:val="22"/>
        </w:rPr>
        <w:fldChar w:fldCharType="begin" w:fldLock="1"/>
      </w:r>
      <w:r w:rsidR="005952EA">
        <w:rPr>
          <w:sz w:val="22"/>
          <w:szCs w:val="22"/>
        </w:rPr>
        <w:instrText>ADDIN CSL_CITATION { "citationItems" : [ { "id" : "ITEM-1", "itemData" : { "DOI" : "10.1016/j.enbuild.2015.01.057", "ISSN" : "0378-7788", "abstract" : "Currently, there is no methodical procedure for selecting solar-optical properties of roller shades, which affect the energy and indoor environmental performance of perimeter building zones. This paper presents a new systematic methodology for identifying the range of shading properties (openness factor and visible transmittance) that can significantly reduce the risk of glare. A model that calculates angular beam-beam and beam-diffuse shading optical properties using minimum inputs is used within a hybrid ray-tracing and radiosity daylighting model, validated with full-scale experiments. The temporal variation of beam and total vertical illuminance is used to define the annual visual discomfort frequency and establish a process for selecting the range of acceptable shading properties for each set of external parameters (location, orientation, glazing visible transmittance, and buffer zone). The combined impact of visible transmittance and openness factor on discomfort frequency and daylight metrics is non-linear and complex. Recommendations for openness factors and visible transmittance values are made for different scenarios. Selecting the upper limits of suggested ranges can provide more daylight into the space and reduce the probability of high contrast. These guidelines may be used for selection of shading products, followed by considerations about energy savings and provision of outside view. \ufffd 2015 Elsevier B.V.", "author" : [ { "dropping-particle" : "", "family" : "Chan", "given" : "Y -C", "non-dropping-particle" : "", "parse-names" : false, "suffix" : "" }, { "dropping-particle" : "", "family" : "Tzempelikos", "given" : "A", "non-dropping-particle" : "", "parse-names" : false, "suffix" : "" }, { "dropping-particle" : "", "family" : "Konstantzos", "given" : "I", "non-dropping-particle" : "", "parse-names" : false, "suffix" : "" } ], "container-title" : "Energy and Buildings", "id" : "ITEM-1", "issued" : { "date-parts" : [ [ "2015" ] ] }, "note" : "Cited By :18", "page" : "81-94", "publisher" : "Elsevier Ltd", "publisher-place" : "Affiliation: School of Civil Engineering, Purdue University, 550 Stadium Mall Dr., West Lafayette, IN, United States; Affiliation: Ray W. Herrick Laboratories, School of Mechanical Engineering, Purdue University, 140 S. Martin Jischke Dr., West Lafayette,", "title" : "A systematic method for selecting roller shade properties for glare protection", "type" : "article-journal", "volume" : "92" }, "uris" : [ "http://www.mendeley.com/documents/?uuid=dbd559ff-36db-4139-8e72-ce12767e3058", "http://www.mendeley.com/documents/?uuid=718f6d49-8cb9-4d9a-a7a5-bb17a12c7dc9" ] } ], "mendeley" : { "formattedCitation" : "(Chan, Tzempelikos and Konstantzos, 2015)", "manualFormatting" : "(2015)", "plainTextFormattedCitation" : "(Chan, Tzempelikos and Konstantzos, 2015)", "previouslyFormattedCitation" : "(Chan, Tzempelikos and Konstantzos, 2015)" }, "properties" : { "noteIndex" : 0 }, "schema" : "https://github.com/citation-style-language/schema/raw/master/csl-citation.json" }</w:instrText>
      </w:r>
      <w:r w:rsidRPr="00AA3D0C">
        <w:rPr>
          <w:sz w:val="22"/>
          <w:szCs w:val="22"/>
        </w:rPr>
        <w:fldChar w:fldCharType="separate"/>
      </w:r>
      <w:r w:rsidRPr="00AA3D0C">
        <w:rPr>
          <w:noProof/>
          <w:sz w:val="22"/>
          <w:szCs w:val="22"/>
        </w:rPr>
        <w:t>(2015)</w:t>
      </w:r>
      <w:r w:rsidRPr="00AA3D0C">
        <w:rPr>
          <w:sz w:val="22"/>
          <w:szCs w:val="22"/>
        </w:rPr>
        <w:fldChar w:fldCharType="end"/>
      </w:r>
      <w:r>
        <w:rPr>
          <w:sz w:val="22"/>
          <w:szCs w:val="22"/>
        </w:rPr>
        <w:t xml:space="preserve">, where several fabric </w:t>
      </w:r>
      <w:r>
        <w:rPr>
          <w:sz w:val="22"/>
          <w:szCs w:val="22"/>
        </w:rPr>
        <w:lastRenderedPageBreak/>
        <w:t>properties were recommended based on the window orientation, the glazing visual transmittance and the building location</w:t>
      </w:r>
      <w:r w:rsidRPr="00AA3D0C">
        <w:rPr>
          <w:sz w:val="22"/>
          <w:szCs w:val="22"/>
        </w:rPr>
        <w:t>.</w:t>
      </w:r>
    </w:p>
    <w:p w14:paraId="73AEB3C8" w14:textId="77777777" w:rsidR="006B56D3" w:rsidRPr="00AA3D0C" w:rsidRDefault="006B56D3" w:rsidP="007267D6">
      <w:pPr>
        <w:jc w:val="both"/>
        <w:rPr>
          <w:sz w:val="22"/>
          <w:szCs w:val="22"/>
        </w:rPr>
      </w:pPr>
    </w:p>
    <w:p w14:paraId="1FDCBE35" w14:textId="77777777" w:rsidR="007267D6" w:rsidRDefault="007267D6" w:rsidP="007267D6">
      <w:pPr>
        <w:spacing w:after="240"/>
        <w:jc w:val="both"/>
        <w:rPr>
          <w:i/>
          <w:sz w:val="20"/>
          <w:szCs w:val="20"/>
        </w:rPr>
      </w:pPr>
      <w:r w:rsidRPr="00AA3D0C">
        <w:rPr>
          <w:i/>
          <w:sz w:val="20"/>
          <w:szCs w:val="20"/>
        </w:rPr>
        <w:t xml:space="preserve">Table </w:t>
      </w:r>
      <w:r>
        <w:rPr>
          <w:i/>
          <w:sz w:val="20"/>
          <w:szCs w:val="20"/>
        </w:rPr>
        <w:t>6</w:t>
      </w:r>
      <w:r w:rsidRPr="00AA3D0C">
        <w:rPr>
          <w:i/>
          <w:sz w:val="20"/>
          <w:szCs w:val="20"/>
        </w:rPr>
        <w:t>: The properties of the tested materials.</w:t>
      </w:r>
    </w:p>
    <w:tbl>
      <w:tblPr>
        <w:tblStyle w:val="TableGrid"/>
        <w:tblW w:w="0" w:type="auto"/>
        <w:tblBorders>
          <w:left w:val="none" w:sz="0" w:space="0" w:color="auto"/>
          <w:right w:val="none" w:sz="0" w:space="0" w:color="auto"/>
          <w:insideV w:val="none" w:sz="0" w:space="0" w:color="auto"/>
        </w:tblBorders>
        <w:tblLook w:val="04A0" w:firstRow="1" w:lastRow="0" w:firstColumn="1" w:lastColumn="0" w:noHBand="0" w:noVBand="1"/>
      </w:tblPr>
      <w:tblGrid>
        <w:gridCol w:w="1692"/>
        <w:gridCol w:w="1229"/>
        <w:gridCol w:w="1139"/>
        <w:gridCol w:w="1194"/>
        <w:gridCol w:w="911"/>
        <w:gridCol w:w="875"/>
        <w:gridCol w:w="1124"/>
      </w:tblGrid>
      <w:tr w:rsidR="00341CB3" w:rsidRPr="00AA3D0C" w14:paraId="6FF6CBFA" w14:textId="77777777" w:rsidTr="00987BD3">
        <w:tc>
          <w:tcPr>
            <w:tcW w:w="1692" w:type="dxa"/>
          </w:tcPr>
          <w:p w14:paraId="10467CD1" w14:textId="77777777" w:rsidR="00341CB3" w:rsidRDefault="00341CB3" w:rsidP="003139E5">
            <w:pPr>
              <w:rPr>
                <w:b/>
                <w:sz w:val="20"/>
                <w:szCs w:val="20"/>
              </w:rPr>
            </w:pPr>
            <w:r w:rsidRPr="00AA3D0C">
              <w:rPr>
                <w:b/>
                <w:sz w:val="20"/>
                <w:szCs w:val="20"/>
              </w:rPr>
              <w:t>Shading Systems</w:t>
            </w:r>
          </w:p>
          <w:p w14:paraId="7C0CEF85" w14:textId="668826D4" w:rsidR="00415488" w:rsidRPr="00AA3D0C" w:rsidRDefault="00415488" w:rsidP="003139E5">
            <w:pPr>
              <w:rPr>
                <w:b/>
                <w:sz w:val="20"/>
                <w:szCs w:val="20"/>
              </w:rPr>
            </w:pPr>
          </w:p>
        </w:tc>
        <w:tc>
          <w:tcPr>
            <w:tcW w:w="1229" w:type="dxa"/>
          </w:tcPr>
          <w:p w14:paraId="174DC831" w14:textId="77777777" w:rsidR="00341CB3" w:rsidRPr="00AA3D0C" w:rsidRDefault="00341CB3" w:rsidP="003139E5">
            <w:pPr>
              <w:jc w:val="center"/>
              <w:rPr>
                <w:b/>
                <w:sz w:val="20"/>
                <w:szCs w:val="20"/>
              </w:rPr>
            </w:pPr>
            <w:r w:rsidRPr="00AA3D0C">
              <w:rPr>
                <w:b/>
                <w:sz w:val="20"/>
                <w:szCs w:val="20"/>
              </w:rPr>
              <w:t>Reflectance</w:t>
            </w:r>
          </w:p>
        </w:tc>
        <w:tc>
          <w:tcPr>
            <w:tcW w:w="1139" w:type="dxa"/>
          </w:tcPr>
          <w:p w14:paraId="1E05B17B" w14:textId="77777777" w:rsidR="00341CB3" w:rsidRPr="00AA3D0C" w:rsidRDefault="00341CB3" w:rsidP="003139E5">
            <w:pPr>
              <w:jc w:val="center"/>
              <w:rPr>
                <w:b/>
                <w:sz w:val="20"/>
                <w:szCs w:val="20"/>
              </w:rPr>
            </w:pPr>
            <w:r w:rsidRPr="00AA3D0C">
              <w:rPr>
                <w:b/>
                <w:sz w:val="20"/>
                <w:szCs w:val="20"/>
              </w:rPr>
              <w:t>Roughness</w:t>
            </w:r>
          </w:p>
        </w:tc>
        <w:tc>
          <w:tcPr>
            <w:tcW w:w="1194" w:type="dxa"/>
          </w:tcPr>
          <w:p w14:paraId="5B767F91" w14:textId="77777777" w:rsidR="00341CB3" w:rsidRPr="00AA3D0C" w:rsidRDefault="00341CB3" w:rsidP="003139E5">
            <w:pPr>
              <w:jc w:val="center"/>
              <w:rPr>
                <w:b/>
                <w:sz w:val="20"/>
                <w:szCs w:val="20"/>
              </w:rPr>
            </w:pPr>
            <w:proofErr w:type="spellStart"/>
            <w:r w:rsidRPr="00AA3D0C">
              <w:rPr>
                <w:b/>
                <w:sz w:val="20"/>
                <w:szCs w:val="20"/>
              </w:rPr>
              <w:t>Specularity</w:t>
            </w:r>
            <w:proofErr w:type="spellEnd"/>
          </w:p>
        </w:tc>
        <w:tc>
          <w:tcPr>
            <w:tcW w:w="911" w:type="dxa"/>
          </w:tcPr>
          <w:p w14:paraId="6C08CD3E" w14:textId="77777777" w:rsidR="00341CB3" w:rsidRPr="00AA3D0C" w:rsidRDefault="00341CB3" w:rsidP="003139E5">
            <w:pPr>
              <w:jc w:val="center"/>
              <w:rPr>
                <w:b/>
                <w:sz w:val="20"/>
                <w:szCs w:val="20"/>
              </w:rPr>
            </w:pPr>
            <w:r w:rsidRPr="00AA3D0C">
              <w:rPr>
                <w:b/>
                <w:sz w:val="20"/>
                <w:szCs w:val="20"/>
              </w:rPr>
              <w:t>OF</w:t>
            </w:r>
          </w:p>
        </w:tc>
        <w:tc>
          <w:tcPr>
            <w:tcW w:w="875" w:type="dxa"/>
          </w:tcPr>
          <w:p w14:paraId="28B6AF1F" w14:textId="77777777" w:rsidR="00341CB3" w:rsidRPr="00AA3D0C" w:rsidRDefault="00341CB3" w:rsidP="003139E5">
            <w:pPr>
              <w:jc w:val="center"/>
              <w:rPr>
                <w:b/>
                <w:sz w:val="20"/>
                <w:szCs w:val="20"/>
              </w:rPr>
            </w:pPr>
            <w:proofErr w:type="spellStart"/>
            <w:r w:rsidRPr="00AA3D0C">
              <w:rPr>
                <w:b/>
                <w:sz w:val="20"/>
                <w:szCs w:val="20"/>
              </w:rPr>
              <w:t>T</w:t>
            </w:r>
            <w:r w:rsidRPr="00AA3D0C">
              <w:rPr>
                <w:b/>
                <w:sz w:val="20"/>
                <w:szCs w:val="20"/>
                <w:vertAlign w:val="subscript"/>
              </w:rPr>
              <w:t>vis</w:t>
            </w:r>
            <w:proofErr w:type="spellEnd"/>
          </w:p>
        </w:tc>
        <w:tc>
          <w:tcPr>
            <w:tcW w:w="1124" w:type="dxa"/>
          </w:tcPr>
          <w:p w14:paraId="03690BD0" w14:textId="77777777" w:rsidR="00341CB3" w:rsidRPr="00AA3D0C" w:rsidRDefault="00341CB3" w:rsidP="003139E5">
            <w:pPr>
              <w:jc w:val="center"/>
              <w:rPr>
                <w:b/>
                <w:sz w:val="20"/>
                <w:szCs w:val="20"/>
              </w:rPr>
            </w:pPr>
            <w:proofErr w:type="spellStart"/>
            <w:r w:rsidRPr="00AA3D0C">
              <w:rPr>
                <w:b/>
                <w:sz w:val="20"/>
                <w:szCs w:val="20"/>
              </w:rPr>
              <w:t>Color</w:t>
            </w:r>
            <w:proofErr w:type="spellEnd"/>
          </w:p>
        </w:tc>
      </w:tr>
      <w:tr w:rsidR="00341CB3" w:rsidRPr="00AA3D0C" w14:paraId="16BF4398" w14:textId="77777777" w:rsidTr="00987BD3">
        <w:tc>
          <w:tcPr>
            <w:tcW w:w="1692" w:type="dxa"/>
          </w:tcPr>
          <w:p w14:paraId="69FC3678" w14:textId="77777777" w:rsidR="00341CB3" w:rsidRPr="00AA3D0C" w:rsidRDefault="00341CB3" w:rsidP="006F4580">
            <w:pPr>
              <w:spacing w:after="240"/>
              <w:jc w:val="both"/>
              <w:rPr>
                <w:sz w:val="20"/>
                <w:szCs w:val="20"/>
              </w:rPr>
            </w:pPr>
            <w:r w:rsidRPr="00AA3D0C">
              <w:rPr>
                <w:sz w:val="20"/>
                <w:szCs w:val="20"/>
              </w:rPr>
              <w:t>1. Venetian Blinds</w:t>
            </w:r>
          </w:p>
        </w:tc>
        <w:tc>
          <w:tcPr>
            <w:tcW w:w="1229" w:type="dxa"/>
          </w:tcPr>
          <w:p w14:paraId="0BC29527" w14:textId="77777777" w:rsidR="00341CB3" w:rsidRPr="00AA3D0C" w:rsidRDefault="00341CB3" w:rsidP="006F4580">
            <w:pPr>
              <w:spacing w:after="240"/>
              <w:jc w:val="center"/>
              <w:rPr>
                <w:sz w:val="20"/>
                <w:szCs w:val="20"/>
              </w:rPr>
            </w:pPr>
            <w:r w:rsidRPr="00AA3D0C">
              <w:rPr>
                <w:sz w:val="20"/>
                <w:szCs w:val="20"/>
              </w:rPr>
              <w:t>0.70</w:t>
            </w:r>
          </w:p>
        </w:tc>
        <w:tc>
          <w:tcPr>
            <w:tcW w:w="1139" w:type="dxa"/>
          </w:tcPr>
          <w:p w14:paraId="42E0C0CD" w14:textId="77777777" w:rsidR="00341CB3" w:rsidRPr="00AA3D0C" w:rsidRDefault="00341CB3" w:rsidP="006F4580">
            <w:pPr>
              <w:spacing w:after="240"/>
              <w:jc w:val="center"/>
              <w:rPr>
                <w:sz w:val="20"/>
                <w:szCs w:val="20"/>
              </w:rPr>
            </w:pPr>
            <w:r w:rsidRPr="00AA3D0C">
              <w:rPr>
                <w:sz w:val="20"/>
                <w:szCs w:val="20"/>
              </w:rPr>
              <w:t>0.05</w:t>
            </w:r>
          </w:p>
        </w:tc>
        <w:tc>
          <w:tcPr>
            <w:tcW w:w="1194" w:type="dxa"/>
          </w:tcPr>
          <w:p w14:paraId="435144D3" w14:textId="77777777" w:rsidR="00341CB3" w:rsidRPr="00AA3D0C" w:rsidRDefault="00341CB3" w:rsidP="006F4580">
            <w:pPr>
              <w:spacing w:after="240"/>
              <w:jc w:val="center"/>
              <w:rPr>
                <w:sz w:val="20"/>
                <w:szCs w:val="20"/>
              </w:rPr>
            </w:pPr>
            <w:r w:rsidRPr="00AA3D0C">
              <w:rPr>
                <w:sz w:val="20"/>
                <w:szCs w:val="20"/>
              </w:rPr>
              <w:t>0</w:t>
            </w:r>
            <w:r w:rsidR="00E12907" w:rsidRPr="00AA3D0C">
              <w:rPr>
                <w:sz w:val="20"/>
                <w:szCs w:val="20"/>
              </w:rPr>
              <w:t>.01</w:t>
            </w:r>
          </w:p>
        </w:tc>
        <w:tc>
          <w:tcPr>
            <w:tcW w:w="911" w:type="dxa"/>
          </w:tcPr>
          <w:p w14:paraId="1FCA3004" w14:textId="77777777" w:rsidR="00341CB3" w:rsidRPr="00AA3D0C" w:rsidRDefault="00341CB3" w:rsidP="006F4580">
            <w:pPr>
              <w:spacing w:after="240"/>
              <w:jc w:val="center"/>
              <w:rPr>
                <w:sz w:val="20"/>
                <w:szCs w:val="20"/>
              </w:rPr>
            </w:pPr>
          </w:p>
        </w:tc>
        <w:tc>
          <w:tcPr>
            <w:tcW w:w="875" w:type="dxa"/>
          </w:tcPr>
          <w:p w14:paraId="2AA0C95E" w14:textId="77777777" w:rsidR="00341CB3" w:rsidRPr="00AA3D0C" w:rsidRDefault="00341CB3" w:rsidP="006F4580">
            <w:pPr>
              <w:spacing w:after="240"/>
              <w:jc w:val="center"/>
              <w:rPr>
                <w:sz w:val="20"/>
                <w:szCs w:val="20"/>
              </w:rPr>
            </w:pPr>
          </w:p>
        </w:tc>
        <w:tc>
          <w:tcPr>
            <w:tcW w:w="1124" w:type="dxa"/>
          </w:tcPr>
          <w:p w14:paraId="7559F2A9" w14:textId="77777777" w:rsidR="00341CB3" w:rsidRPr="00AA3D0C" w:rsidRDefault="00341CB3" w:rsidP="006F4580">
            <w:pPr>
              <w:spacing w:after="240"/>
              <w:jc w:val="center"/>
              <w:rPr>
                <w:sz w:val="20"/>
                <w:szCs w:val="20"/>
              </w:rPr>
            </w:pPr>
            <w:r w:rsidRPr="00AA3D0C">
              <w:rPr>
                <w:sz w:val="20"/>
                <w:szCs w:val="20"/>
              </w:rPr>
              <w:t>Grey</w:t>
            </w:r>
          </w:p>
        </w:tc>
      </w:tr>
      <w:tr w:rsidR="00341CB3" w:rsidRPr="00AA3D0C" w14:paraId="71921678" w14:textId="77777777" w:rsidTr="00987BD3">
        <w:tc>
          <w:tcPr>
            <w:tcW w:w="1692" w:type="dxa"/>
          </w:tcPr>
          <w:p w14:paraId="4290DDFC" w14:textId="77777777" w:rsidR="00341CB3" w:rsidRPr="00AA3D0C" w:rsidRDefault="00341CB3" w:rsidP="006F4580">
            <w:pPr>
              <w:spacing w:after="240"/>
              <w:jc w:val="both"/>
              <w:rPr>
                <w:sz w:val="20"/>
                <w:szCs w:val="20"/>
              </w:rPr>
            </w:pPr>
            <w:r w:rsidRPr="00AA3D0C">
              <w:rPr>
                <w:sz w:val="20"/>
                <w:szCs w:val="20"/>
              </w:rPr>
              <w:t>2. Venetian Blinds</w:t>
            </w:r>
          </w:p>
        </w:tc>
        <w:tc>
          <w:tcPr>
            <w:tcW w:w="1229" w:type="dxa"/>
          </w:tcPr>
          <w:p w14:paraId="4AA0D620" w14:textId="77777777" w:rsidR="00341CB3" w:rsidRPr="00AA3D0C" w:rsidRDefault="00341CB3" w:rsidP="006F4580">
            <w:pPr>
              <w:spacing w:after="240"/>
              <w:jc w:val="center"/>
              <w:rPr>
                <w:sz w:val="20"/>
                <w:szCs w:val="20"/>
              </w:rPr>
            </w:pPr>
            <w:r w:rsidRPr="00AA3D0C">
              <w:rPr>
                <w:sz w:val="20"/>
                <w:szCs w:val="20"/>
              </w:rPr>
              <w:t>0.50</w:t>
            </w:r>
          </w:p>
        </w:tc>
        <w:tc>
          <w:tcPr>
            <w:tcW w:w="1139" w:type="dxa"/>
          </w:tcPr>
          <w:p w14:paraId="174371B4" w14:textId="77777777" w:rsidR="00341CB3" w:rsidRPr="00AA3D0C" w:rsidRDefault="00341CB3" w:rsidP="006F4580">
            <w:pPr>
              <w:spacing w:after="240"/>
              <w:jc w:val="center"/>
              <w:rPr>
                <w:sz w:val="20"/>
                <w:szCs w:val="20"/>
              </w:rPr>
            </w:pPr>
            <w:r w:rsidRPr="00AA3D0C">
              <w:rPr>
                <w:sz w:val="20"/>
                <w:szCs w:val="20"/>
              </w:rPr>
              <w:t>0.05</w:t>
            </w:r>
          </w:p>
        </w:tc>
        <w:tc>
          <w:tcPr>
            <w:tcW w:w="1194" w:type="dxa"/>
          </w:tcPr>
          <w:p w14:paraId="116DC555" w14:textId="77777777" w:rsidR="00341CB3" w:rsidRPr="00AA3D0C" w:rsidRDefault="00341CB3" w:rsidP="006F4580">
            <w:pPr>
              <w:spacing w:after="240"/>
              <w:jc w:val="center"/>
              <w:rPr>
                <w:sz w:val="20"/>
                <w:szCs w:val="20"/>
              </w:rPr>
            </w:pPr>
            <w:r w:rsidRPr="00AA3D0C">
              <w:rPr>
                <w:sz w:val="20"/>
                <w:szCs w:val="20"/>
              </w:rPr>
              <w:t>0</w:t>
            </w:r>
            <w:r w:rsidR="00E12907" w:rsidRPr="00AA3D0C">
              <w:rPr>
                <w:sz w:val="20"/>
                <w:szCs w:val="20"/>
              </w:rPr>
              <w:t>.01</w:t>
            </w:r>
          </w:p>
        </w:tc>
        <w:tc>
          <w:tcPr>
            <w:tcW w:w="911" w:type="dxa"/>
          </w:tcPr>
          <w:p w14:paraId="3B381789" w14:textId="77777777" w:rsidR="00341CB3" w:rsidRPr="00AA3D0C" w:rsidRDefault="00341CB3" w:rsidP="006F4580">
            <w:pPr>
              <w:spacing w:after="240"/>
              <w:jc w:val="center"/>
              <w:rPr>
                <w:sz w:val="20"/>
                <w:szCs w:val="20"/>
              </w:rPr>
            </w:pPr>
          </w:p>
        </w:tc>
        <w:tc>
          <w:tcPr>
            <w:tcW w:w="875" w:type="dxa"/>
          </w:tcPr>
          <w:p w14:paraId="71EBAB72" w14:textId="77777777" w:rsidR="00341CB3" w:rsidRPr="00AA3D0C" w:rsidRDefault="00341CB3" w:rsidP="006F4580">
            <w:pPr>
              <w:spacing w:after="240"/>
              <w:jc w:val="center"/>
              <w:rPr>
                <w:sz w:val="20"/>
                <w:szCs w:val="20"/>
              </w:rPr>
            </w:pPr>
          </w:p>
        </w:tc>
        <w:tc>
          <w:tcPr>
            <w:tcW w:w="1124" w:type="dxa"/>
          </w:tcPr>
          <w:p w14:paraId="791D3BF5" w14:textId="77777777" w:rsidR="00341CB3" w:rsidRPr="00AA3D0C" w:rsidRDefault="00341CB3" w:rsidP="006F4580">
            <w:pPr>
              <w:spacing w:after="240"/>
              <w:jc w:val="center"/>
              <w:rPr>
                <w:sz w:val="20"/>
                <w:szCs w:val="20"/>
              </w:rPr>
            </w:pPr>
            <w:r w:rsidRPr="00AA3D0C">
              <w:rPr>
                <w:sz w:val="20"/>
                <w:szCs w:val="20"/>
              </w:rPr>
              <w:t>Grey</w:t>
            </w:r>
          </w:p>
        </w:tc>
      </w:tr>
      <w:tr w:rsidR="00341CB3" w:rsidRPr="00AA3D0C" w14:paraId="2D928BDB" w14:textId="77777777" w:rsidTr="00987BD3">
        <w:tc>
          <w:tcPr>
            <w:tcW w:w="1692" w:type="dxa"/>
          </w:tcPr>
          <w:p w14:paraId="0C74EC2A" w14:textId="77777777" w:rsidR="00341CB3" w:rsidRPr="00AA3D0C" w:rsidRDefault="00341CB3" w:rsidP="006F4580">
            <w:pPr>
              <w:spacing w:after="240"/>
              <w:jc w:val="both"/>
              <w:rPr>
                <w:sz w:val="20"/>
                <w:szCs w:val="20"/>
              </w:rPr>
            </w:pPr>
            <w:r w:rsidRPr="00AA3D0C">
              <w:rPr>
                <w:sz w:val="20"/>
                <w:szCs w:val="20"/>
              </w:rPr>
              <w:t>3. Roller Shades</w:t>
            </w:r>
            <w:r w:rsidR="0079527B" w:rsidRPr="00AA3D0C">
              <w:rPr>
                <w:rStyle w:val="FootnoteReference"/>
                <w:sz w:val="20"/>
                <w:szCs w:val="20"/>
              </w:rPr>
              <w:footnoteReference w:id="13"/>
            </w:r>
          </w:p>
        </w:tc>
        <w:tc>
          <w:tcPr>
            <w:tcW w:w="1229" w:type="dxa"/>
          </w:tcPr>
          <w:p w14:paraId="7C94B064" w14:textId="77777777" w:rsidR="00341CB3" w:rsidRPr="00AA3D0C" w:rsidRDefault="00341CB3" w:rsidP="006F4580">
            <w:pPr>
              <w:spacing w:after="240"/>
              <w:jc w:val="center"/>
              <w:rPr>
                <w:sz w:val="20"/>
                <w:szCs w:val="20"/>
              </w:rPr>
            </w:pPr>
          </w:p>
        </w:tc>
        <w:tc>
          <w:tcPr>
            <w:tcW w:w="1139" w:type="dxa"/>
          </w:tcPr>
          <w:p w14:paraId="6F3FE1D0" w14:textId="77777777" w:rsidR="00341CB3" w:rsidRPr="00AA3D0C" w:rsidRDefault="00341CB3" w:rsidP="006F4580">
            <w:pPr>
              <w:spacing w:after="240"/>
              <w:jc w:val="center"/>
              <w:rPr>
                <w:sz w:val="20"/>
                <w:szCs w:val="20"/>
              </w:rPr>
            </w:pPr>
          </w:p>
        </w:tc>
        <w:tc>
          <w:tcPr>
            <w:tcW w:w="1194" w:type="dxa"/>
          </w:tcPr>
          <w:p w14:paraId="00C6E193" w14:textId="77777777" w:rsidR="00341CB3" w:rsidRPr="00AA3D0C" w:rsidRDefault="00341CB3" w:rsidP="006F4580">
            <w:pPr>
              <w:spacing w:after="240"/>
              <w:jc w:val="center"/>
              <w:rPr>
                <w:sz w:val="20"/>
                <w:szCs w:val="20"/>
              </w:rPr>
            </w:pPr>
          </w:p>
        </w:tc>
        <w:tc>
          <w:tcPr>
            <w:tcW w:w="911" w:type="dxa"/>
          </w:tcPr>
          <w:p w14:paraId="68C8855D" w14:textId="77777777" w:rsidR="00341CB3" w:rsidRPr="00AA3D0C" w:rsidRDefault="00341CB3" w:rsidP="006F4580">
            <w:pPr>
              <w:spacing w:after="240"/>
              <w:jc w:val="center"/>
              <w:rPr>
                <w:sz w:val="20"/>
                <w:szCs w:val="20"/>
              </w:rPr>
            </w:pPr>
            <w:r w:rsidRPr="00AA3D0C">
              <w:rPr>
                <w:sz w:val="20"/>
                <w:szCs w:val="20"/>
              </w:rPr>
              <w:t>0.30</w:t>
            </w:r>
          </w:p>
        </w:tc>
        <w:tc>
          <w:tcPr>
            <w:tcW w:w="875" w:type="dxa"/>
          </w:tcPr>
          <w:p w14:paraId="6FB12D21" w14:textId="77777777" w:rsidR="00341CB3" w:rsidRPr="00AA3D0C" w:rsidRDefault="00341CB3" w:rsidP="006F4580">
            <w:pPr>
              <w:spacing w:after="240"/>
              <w:jc w:val="center"/>
              <w:rPr>
                <w:sz w:val="20"/>
                <w:szCs w:val="20"/>
              </w:rPr>
            </w:pPr>
            <w:r w:rsidRPr="00AA3D0C">
              <w:rPr>
                <w:sz w:val="20"/>
                <w:szCs w:val="20"/>
              </w:rPr>
              <w:t>10</w:t>
            </w:r>
          </w:p>
        </w:tc>
        <w:tc>
          <w:tcPr>
            <w:tcW w:w="1124" w:type="dxa"/>
          </w:tcPr>
          <w:p w14:paraId="7B1D4950" w14:textId="77777777" w:rsidR="00341CB3" w:rsidRPr="00AA3D0C" w:rsidRDefault="00341CB3" w:rsidP="006F4580">
            <w:pPr>
              <w:spacing w:after="240"/>
              <w:jc w:val="center"/>
              <w:rPr>
                <w:sz w:val="20"/>
                <w:szCs w:val="20"/>
              </w:rPr>
            </w:pPr>
            <w:r w:rsidRPr="00AA3D0C">
              <w:rPr>
                <w:sz w:val="20"/>
                <w:szCs w:val="20"/>
              </w:rPr>
              <w:t>White</w:t>
            </w:r>
          </w:p>
        </w:tc>
      </w:tr>
      <w:tr w:rsidR="00341CB3" w:rsidRPr="00AA3D0C" w14:paraId="3ADF7B9B" w14:textId="77777777" w:rsidTr="00987BD3">
        <w:tc>
          <w:tcPr>
            <w:tcW w:w="1692" w:type="dxa"/>
          </w:tcPr>
          <w:p w14:paraId="6A0C2BE5" w14:textId="77777777" w:rsidR="00341CB3" w:rsidRPr="00AA3D0C" w:rsidRDefault="00341CB3" w:rsidP="006F4580">
            <w:pPr>
              <w:spacing w:after="240"/>
              <w:jc w:val="both"/>
              <w:rPr>
                <w:sz w:val="20"/>
                <w:szCs w:val="20"/>
              </w:rPr>
            </w:pPr>
            <w:r w:rsidRPr="00AA3D0C">
              <w:rPr>
                <w:sz w:val="20"/>
                <w:szCs w:val="20"/>
              </w:rPr>
              <w:t>4. Roller Shades</w:t>
            </w:r>
          </w:p>
        </w:tc>
        <w:tc>
          <w:tcPr>
            <w:tcW w:w="1229" w:type="dxa"/>
          </w:tcPr>
          <w:p w14:paraId="6FFCDA23" w14:textId="77777777" w:rsidR="00341CB3" w:rsidRPr="00AA3D0C" w:rsidRDefault="00341CB3" w:rsidP="006F4580">
            <w:pPr>
              <w:spacing w:after="240"/>
              <w:jc w:val="center"/>
              <w:rPr>
                <w:sz w:val="20"/>
                <w:szCs w:val="20"/>
              </w:rPr>
            </w:pPr>
          </w:p>
        </w:tc>
        <w:tc>
          <w:tcPr>
            <w:tcW w:w="1139" w:type="dxa"/>
          </w:tcPr>
          <w:p w14:paraId="52496AC6" w14:textId="77777777" w:rsidR="00341CB3" w:rsidRPr="00AA3D0C" w:rsidRDefault="00341CB3" w:rsidP="006F4580">
            <w:pPr>
              <w:spacing w:after="240"/>
              <w:jc w:val="center"/>
              <w:rPr>
                <w:sz w:val="20"/>
                <w:szCs w:val="20"/>
              </w:rPr>
            </w:pPr>
          </w:p>
        </w:tc>
        <w:tc>
          <w:tcPr>
            <w:tcW w:w="1194" w:type="dxa"/>
          </w:tcPr>
          <w:p w14:paraId="659203B8" w14:textId="77777777" w:rsidR="00341CB3" w:rsidRPr="00AA3D0C" w:rsidRDefault="00341CB3" w:rsidP="006F4580">
            <w:pPr>
              <w:spacing w:after="240"/>
              <w:jc w:val="center"/>
              <w:rPr>
                <w:sz w:val="20"/>
                <w:szCs w:val="20"/>
              </w:rPr>
            </w:pPr>
          </w:p>
        </w:tc>
        <w:tc>
          <w:tcPr>
            <w:tcW w:w="911" w:type="dxa"/>
          </w:tcPr>
          <w:p w14:paraId="2DA5A939" w14:textId="77777777" w:rsidR="00341CB3" w:rsidRPr="00AA3D0C" w:rsidRDefault="00341CB3" w:rsidP="006F4580">
            <w:pPr>
              <w:spacing w:after="240"/>
              <w:jc w:val="center"/>
              <w:rPr>
                <w:sz w:val="20"/>
                <w:szCs w:val="20"/>
              </w:rPr>
            </w:pPr>
            <w:r w:rsidRPr="00AA3D0C">
              <w:rPr>
                <w:sz w:val="20"/>
                <w:szCs w:val="20"/>
              </w:rPr>
              <w:t>0.50</w:t>
            </w:r>
          </w:p>
        </w:tc>
        <w:tc>
          <w:tcPr>
            <w:tcW w:w="875" w:type="dxa"/>
          </w:tcPr>
          <w:p w14:paraId="4759C174" w14:textId="77777777" w:rsidR="00341CB3" w:rsidRPr="00AA3D0C" w:rsidRDefault="00341CB3" w:rsidP="006F4580">
            <w:pPr>
              <w:spacing w:after="240"/>
              <w:jc w:val="center"/>
              <w:rPr>
                <w:sz w:val="20"/>
                <w:szCs w:val="20"/>
              </w:rPr>
            </w:pPr>
            <w:r w:rsidRPr="00AA3D0C">
              <w:rPr>
                <w:sz w:val="20"/>
                <w:szCs w:val="20"/>
              </w:rPr>
              <w:t>6</w:t>
            </w:r>
          </w:p>
        </w:tc>
        <w:tc>
          <w:tcPr>
            <w:tcW w:w="1124" w:type="dxa"/>
          </w:tcPr>
          <w:p w14:paraId="595F5F7F" w14:textId="77777777" w:rsidR="00341CB3" w:rsidRPr="00AA3D0C" w:rsidRDefault="00341CB3" w:rsidP="006F4580">
            <w:pPr>
              <w:spacing w:after="240"/>
              <w:jc w:val="center"/>
              <w:rPr>
                <w:sz w:val="20"/>
                <w:szCs w:val="20"/>
              </w:rPr>
            </w:pPr>
            <w:r w:rsidRPr="00AA3D0C">
              <w:rPr>
                <w:sz w:val="20"/>
                <w:szCs w:val="20"/>
              </w:rPr>
              <w:t>Charcoal</w:t>
            </w:r>
          </w:p>
        </w:tc>
      </w:tr>
    </w:tbl>
    <w:p w14:paraId="0CC8E742" w14:textId="77777777" w:rsidR="00FE49D4" w:rsidRDefault="00FE49D4" w:rsidP="00987BD3">
      <w:pPr>
        <w:jc w:val="both"/>
        <w:rPr>
          <w:sz w:val="22"/>
          <w:szCs w:val="22"/>
        </w:rPr>
      </w:pPr>
    </w:p>
    <w:p w14:paraId="4C5E5225" w14:textId="1CEA1E60" w:rsidR="002B7D6E" w:rsidRPr="00AA3D0C" w:rsidRDefault="002B7D6E" w:rsidP="002B7D6E">
      <w:pPr>
        <w:spacing w:before="240"/>
        <w:jc w:val="both"/>
        <w:rPr>
          <w:color w:val="FF0000"/>
          <w:sz w:val="22"/>
          <w:szCs w:val="22"/>
        </w:rPr>
      </w:pPr>
    </w:p>
    <w:p w14:paraId="08F6B437" w14:textId="77777777" w:rsidR="002B7D6E" w:rsidRPr="00AA3D0C" w:rsidRDefault="002B7D6E" w:rsidP="002B7D6E">
      <w:pPr>
        <w:pStyle w:val="Rubrik2-Byfy"/>
        <w:rPr>
          <w:rFonts w:cs="Times New Roman"/>
        </w:rPr>
      </w:pPr>
      <w:bookmarkStart w:id="30" w:name="_Toc532751578"/>
      <w:r w:rsidRPr="00AA3D0C">
        <w:rPr>
          <w:rFonts w:cs="Times New Roman"/>
        </w:rPr>
        <w:t>Software</w:t>
      </w:r>
      <w:bookmarkEnd w:id="30"/>
    </w:p>
    <w:p w14:paraId="7B6C536E" w14:textId="2343525A" w:rsidR="002B7D6E" w:rsidRPr="00AA3D0C" w:rsidRDefault="002B7D6E" w:rsidP="002B7D6E">
      <w:pPr>
        <w:jc w:val="both"/>
        <w:rPr>
          <w:sz w:val="22"/>
          <w:szCs w:val="22"/>
        </w:rPr>
      </w:pPr>
      <w:r w:rsidRPr="00AA3D0C">
        <w:rPr>
          <w:sz w:val="22"/>
          <w:szCs w:val="22"/>
        </w:rPr>
        <w:t xml:space="preserve">During the simulation process, several programs were utilized. Initially, the model was created in Rhino3D and internalized in Grasshopper environment </w:t>
      </w:r>
      <w:r w:rsidRPr="00AA3D0C">
        <w:rPr>
          <w:sz w:val="22"/>
          <w:szCs w:val="22"/>
        </w:rPr>
        <w:fldChar w:fldCharType="begin" w:fldLock="1"/>
      </w:r>
      <w:r w:rsidR="004F26FE">
        <w:rPr>
          <w:sz w:val="22"/>
          <w:szCs w:val="22"/>
        </w:rPr>
        <w:instrText>ADDIN CSL_CITATION { "citationItems" : [ { "id" : "ITEM-1", "itemData" : { "id" : "ITEM-1", "issued" : { "date-parts" : [ [ "2018" ] ] }, "number" : "6.0", "publisher" : "Robert McNeel and Associates", "title" : "Rhinoceros 3D", "type" : "article" }, "uris" : [ "http://www.mendeley.com/documents/?uuid=81e91daa-071c-4d3f-baf2-3c56918daf98", "http://www.mendeley.com/documents/?uuid=9aa78181-351a-4065-b3c5-33b3cf056c3b" ] }, { "id" : "ITEM-2", "itemData" : { "id" : "ITEM-2", "issued" : { "date-parts" : [ [ "2018" ] ] }, "publisher" : "Robert McNeel and Associates", "title" : "Grasshopper 3D", "type" : "article" }, "uris" : [ "http://www.mendeley.com/documents/?uuid=a0e2f07a-ad25-433c-b789-8ddc7a33c2cc", "http://www.mendeley.com/documents/?uuid=9bc215a5-e3a9-4594-9622-cdae8c8d0b1c" ] } ], "mendeley" : { "formattedCitation" : "(\u2018Rhinoceros 3D\u2019, 2018; \u2018Grasshopper 3D\u2019, 2018)", "plainTextFormattedCitation" : "(\u2018Rhinoceros 3D\u2019, 2018; \u2018Grasshopper 3D\u2019, 2018)", "previouslyFormattedCitation" : "(\u2018Rhinoceros 3D\u2019, 2018; \u2018Grasshopper 3D\u2019, 2018)" }, "properties" : { "noteIndex" : 0 }, "schema" : "https://github.com/citation-style-language/schema/raw/master/csl-citation.json" }</w:instrText>
      </w:r>
      <w:r w:rsidRPr="00AA3D0C">
        <w:rPr>
          <w:sz w:val="22"/>
          <w:szCs w:val="22"/>
        </w:rPr>
        <w:fldChar w:fldCharType="separate"/>
      </w:r>
      <w:r w:rsidRPr="00AA3D0C">
        <w:rPr>
          <w:noProof/>
          <w:sz w:val="22"/>
          <w:szCs w:val="22"/>
        </w:rPr>
        <w:t>(‘Rhinoceros 3D’, 2018; ‘Grasshopper 3D’, 2018)</w:t>
      </w:r>
      <w:r w:rsidRPr="00AA3D0C">
        <w:rPr>
          <w:sz w:val="22"/>
          <w:szCs w:val="22"/>
        </w:rPr>
        <w:fldChar w:fldCharType="end"/>
      </w:r>
      <w:r w:rsidRPr="00AA3D0C">
        <w:rPr>
          <w:sz w:val="22"/>
          <w:szCs w:val="22"/>
        </w:rPr>
        <w:t xml:space="preserve">. A script was created with the use of Ladybug and Honeybee components, for the initial sun path investigation, the venetian blinds geometry examination and the final daylight analysis </w:t>
      </w:r>
      <w:r w:rsidRPr="00AA3D0C">
        <w:rPr>
          <w:sz w:val="22"/>
          <w:szCs w:val="22"/>
        </w:rPr>
        <w:fldChar w:fldCharType="begin" w:fldLock="1"/>
      </w:r>
      <w:r w:rsidR="004F26FE">
        <w:rPr>
          <w:sz w:val="22"/>
          <w:szCs w:val="22"/>
        </w:rPr>
        <w:instrText>ADDIN CSL_CITATION { "citationItems" : [ { "id" : "ITEM-1", "itemData" : { "author" : [ { "dropping-particle" : "", "family" : "Sadeghipour Roudsari", "given" : "Mostapha", "non-dropping-particle" : "", "parse-names" : false, "suffix" : "" }, { "dropping-particle" : "", "family" : "Pak", "given" : "Michelle", "non-dropping-particle" : "", "parse-names" : false, "suffix" : "" } ], "container-title" : "13th Conference of International Building Performance Simulation Association", "id" : "ITEM-1", "issued" : { "date-parts" : [ [ "2013" ] ] }, "page" : "3128-3135", "title" : "Ladybug: A parametric environmental plugin for Grasshopper to help designers create an environmentally-conscious design", "type" : "paper-conference" }, "uris" : [ "http://www.mendeley.com/documents/?uuid=0a46f9b1-906d-4dfc-a1a7-f60f65026a98", "http://www.mendeley.com/documents/?uuid=ed46a46e-0d55-4df4-86eb-a774f8aa4ab6" ] } ], "mendeley" : { "formattedCitation" : "(Sadeghipour Roudsari and Pak, 2013)", "plainTextFormattedCitation" : "(Sadeghipour Roudsari and Pak, 2013)", "previouslyFormattedCitation" : "(Sadeghipour Roudsari and Pak, 2013)" }, "properties" : { "noteIndex" : 0 }, "schema" : "https://github.com/citation-style-language/schema/raw/master/csl-citation.json" }</w:instrText>
      </w:r>
      <w:r w:rsidRPr="00AA3D0C">
        <w:rPr>
          <w:sz w:val="22"/>
          <w:szCs w:val="22"/>
        </w:rPr>
        <w:fldChar w:fldCharType="separate"/>
      </w:r>
      <w:r w:rsidRPr="00AA3D0C">
        <w:rPr>
          <w:noProof/>
          <w:sz w:val="22"/>
          <w:szCs w:val="22"/>
        </w:rPr>
        <w:t>(Sadeghipour Roudsari and Pak, 2013)</w:t>
      </w:r>
      <w:r w:rsidRPr="00AA3D0C">
        <w:rPr>
          <w:sz w:val="22"/>
          <w:szCs w:val="22"/>
        </w:rPr>
        <w:fldChar w:fldCharType="end"/>
      </w:r>
      <w:r w:rsidRPr="00AA3D0C">
        <w:rPr>
          <w:sz w:val="22"/>
          <w:szCs w:val="22"/>
        </w:rPr>
        <w:t xml:space="preserve">. Separately, an investigation upon the roller shades properties was conducted in WINDOW software database. Later, the specific BSDF files, obtained by WINDOW, were evaluated in </w:t>
      </w:r>
      <w:proofErr w:type="spellStart"/>
      <w:r w:rsidRPr="00AA3D0C">
        <w:rPr>
          <w:sz w:val="22"/>
          <w:szCs w:val="22"/>
        </w:rPr>
        <w:t>BSDFviewer</w:t>
      </w:r>
      <w:proofErr w:type="spellEnd"/>
      <w:r w:rsidRPr="00AA3D0C">
        <w:rPr>
          <w:sz w:val="22"/>
          <w:szCs w:val="22"/>
        </w:rPr>
        <w:t xml:space="preserve"> and inserted in the script </w:t>
      </w:r>
      <w:r w:rsidRPr="00AA3D0C">
        <w:rPr>
          <w:sz w:val="22"/>
          <w:szCs w:val="22"/>
        </w:rPr>
        <w:fldChar w:fldCharType="begin" w:fldLock="1"/>
      </w:r>
      <w:r w:rsidR="005952EA">
        <w:rPr>
          <w:sz w:val="22"/>
          <w:szCs w:val="22"/>
        </w:rPr>
        <w:instrText>ADDIN CSL_CITATION { "citationItems" : [ { "id" : "ITEM-1", "itemData" : { "URL" : "https://www.radiance-online.org/download-install/third-party-utilities/bsdf-viewer", "accessed" : { "date-parts" : [ [ "2018", "4", "3" ] ] }, "author" : [ { "dropping-particle" : "", "family" : "McNeil", "given" : "Andrew", "non-dropping-particle" : "", "parse-names" : false, "suffix" : "" } ], "container-title" : "Lawrence Berkeley National Laboratory (LBNL)", "id" : "ITEM-1", "issued" : { "date-parts" : [ [ "2016" ] ] }, "title" : "BSDFviewer", "type" : "webpage" }, "uris" : [ "http://www.mendeley.com/documents/?uuid=9c12e1ad-362f-45ff-a8f4-1c8fe6ec7e19", "http://www.mendeley.com/documents/?uuid=36264442-e15d-4e6d-9904-b9bd4363d05b" ] }, { "id" : "ITEM-2", "itemData" : { "author" : [ { "dropping-particle" : "", "family" : "Mitchell", "given" : "Robin", "non-dropping-particle" : "", "parse-names" : false, "suffix" : "" }, { "dropping-particle" : "", "family" : "Kohler", "given" : "Christian", "non-dropping-particle" : "", "parse-names" : false, "suffix" : "" }, { "dropping-particle" : "", "family" : "Curcija", "given" : "Dragan", "non-dropping-particle" : "", "parse-names" : false, "suffix" : "" }, { "dropping-particle" : "", "family" : "Zhu", "given" : "Ling", "non-dropping-particle" : "", "parse-names" : false, "suffix" : "" }, { "dropping-particle" : "", "family" : "Vidanovic", "given" : "Simon", "non-dropping-particle" : "", "parse-names" : false, "suffix" : "" }, { "dropping-particle" : "", "family" : "Czarnecki", "given" : "Stephen", "non-dropping-particle" : "", "parse-names" : false, "suffix" : "" }, { "dropping-particle" : "", "family" : "Arasteh", "given" : "Dariush", "non-dropping-particle" : "", "parse-names" : false, "suffix" : "" } ], "id" : "ITEM-2", "issued" : { "date-parts" : [ [ "2013" ] ] }, "number" : "7.6", "publisher" : "Lawrence Berkeley National Laboratory (LBNL)", "title" : "THERM 6.3 / WINDOW 6.3 NFRC Simulation Manual", "type" : "book" }, "uris" : [ "http://www.mendeley.com/documents/?uuid=9c460f1b-0389-45fc-b5cd-83bf9efa0292", "http://www.mendeley.com/documents/?uuid=9d253b7d-da5a-47b1-82b4-97a83cf6ea8c" ] } ], "mendeley" : { "formattedCitation" : "(Mitchell &lt;i&gt;et al.&lt;/i&gt;, 2013; McNeil, 2016)", "plainTextFormattedCitation" : "(Mitchell et al., 2013; McNeil, 2016)", "previouslyFormattedCitation" : "(Mitchell &lt;i&gt;et al.&lt;/i&gt;, 2013; McNeil, 2016)" }, "properties" : { "noteIndex" : 0 }, "schema" : "https://github.com/citation-style-language/schema/raw/master/csl-citation.json" }</w:instrText>
      </w:r>
      <w:r w:rsidRPr="00AA3D0C">
        <w:rPr>
          <w:sz w:val="22"/>
          <w:szCs w:val="22"/>
        </w:rPr>
        <w:fldChar w:fldCharType="separate"/>
      </w:r>
      <w:r w:rsidRPr="00AA3D0C">
        <w:rPr>
          <w:noProof/>
          <w:sz w:val="22"/>
          <w:szCs w:val="22"/>
        </w:rPr>
        <w:t xml:space="preserve">(Mitchell </w:t>
      </w:r>
      <w:r w:rsidRPr="00AA3D0C">
        <w:rPr>
          <w:i/>
          <w:noProof/>
          <w:sz w:val="22"/>
          <w:szCs w:val="22"/>
        </w:rPr>
        <w:t>et al.</w:t>
      </w:r>
      <w:r w:rsidRPr="00AA3D0C">
        <w:rPr>
          <w:noProof/>
          <w:sz w:val="22"/>
          <w:szCs w:val="22"/>
        </w:rPr>
        <w:t>, 2013; McNeil, 2016)</w:t>
      </w:r>
      <w:r w:rsidRPr="00AA3D0C">
        <w:rPr>
          <w:sz w:val="22"/>
          <w:szCs w:val="22"/>
        </w:rPr>
        <w:fldChar w:fldCharType="end"/>
      </w:r>
      <w:r w:rsidRPr="00AA3D0C">
        <w:rPr>
          <w:sz w:val="22"/>
          <w:szCs w:val="22"/>
        </w:rPr>
        <w:t>.</w:t>
      </w:r>
    </w:p>
    <w:p w14:paraId="05C99EAC" w14:textId="77777777" w:rsidR="002B7D6E" w:rsidRPr="00AA3D0C" w:rsidRDefault="002B7D6E" w:rsidP="002B7D6E">
      <w:pPr>
        <w:jc w:val="both"/>
        <w:rPr>
          <w:sz w:val="22"/>
          <w:szCs w:val="22"/>
        </w:rPr>
      </w:pPr>
    </w:p>
    <w:p w14:paraId="22D8DBC4" w14:textId="0EB4692D" w:rsidR="002B7D6E" w:rsidRDefault="002B7D6E" w:rsidP="002B7D6E">
      <w:pPr>
        <w:spacing w:after="240"/>
        <w:jc w:val="both"/>
        <w:rPr>
          <w:sz w:val="22"/>
          <w:szCs w:val="22"/>
        </w:rPr>
      </w:pPr>
      <w:r w:rsidRPr="00AA3D0C">
        <w:rPr>
          <w:sz w:val="22"/>
          <w:szCs w:val="22"/>
        </w:rPr>
        <w:t xml:space="preserve">Radiance engine was incorporated in Honeybee for the dynamic visual comfort analysis, as well as the daylight autonomy </w:t>
      </w:r>
      <w:r w:rsidRPr="00AA3D0C">
        <w:rPr>
          <w:sz w:val="22"/>
          <w:szCs w:val="22"/>
        </w:rPr>
        <w:fldChar w:fldCharType="begin" w:fldLock="1"/>
      </w:r>
      <w:r w:rsidR="005952EA">
        <w:rPr>
          <w:sz w:val="22"/>
          <w:szCs w:val="22"/>
        </w:rPr>
        <w:instrText>ADDIN CSL_CITATION { "citationItems" : [ { "id" : "ITEM-1", "itemData" : { "URL" : "https://www.radiance-online.org/about", "accessed" : { "date-parts" : [ [ "2018", "4", "3" ] ] }, "author" : [ { "dropping-particle" : "", "family" : "Fritz", "given" : "R", "non-dropping-particle" : "", "parse-names" : false, "suffix" : "" }, { "dropping-particle" : "", "family" : "Mcneil", "given" : "A", "non-dropping-particle" : "", "parse-names" : false, "suffix" : "" } ], "container-title" : "Lawrence Berkeley National Laboratory (LBNL)", "id" : "ITEM-1", "issued" : { "date-parts" : [ [ "2018" ] ] }, "title" : "Radiance", "type" : "webpage" }, "uris" : [ "http://www.mendeley.com/documents/?uuid=40524f26-9824-43ed-b790-fd34fe4cd533", "http://www.mendeley.com/documents/?uuid=3b46c4d8-78c3-40fc-aee6-881c47247de1" ] } ], "mendeley" : { "formattedCitation" : "(Fritz and Mcneil, 2018)", "plainTextFormattedCitation" : "(Fritz and Mcneil, 2018)", "previouslyFormattedCitation" : "(Fritz and Mcneil, 2018)" }, "properties" : { "noteIndex" : 0 }, "schema" : "https://github.com/citation-style-language/schema/raw/master/csl-citation.json" }</w:instrText>
      </w:r>
      <w:r w:rsidRPr="00AA3D0C">
        <w:rPr>
          <w:sz w:val="22"/>
          <w:szCs w:val="22"/>
        </w:rPr>
        <w:fldChar w:fldCharType="separate"/>
      </w:r>
      <w:r w:rsidRPr="00AA3D0C">
        <w:rPr>
          <w:noProof/>
          <w:sz w:val="22"/>
          <w:szCs w:val="22"/>
        </w:rPr>
        <w:t>(Fritz and Mcneil, 2018)</w:t>
      </w:r>
      <w:r w:rsidRPr="00AA3D0C">
        <w:rPr>
          <w:sz w:val="22"/>
          <w:szCs w:val="22"/>
        </w:rPr>
        <w:fldChar w:fldCharType="end"/>
      </w:r>
      <w:r w:rsidRPr="00AA3D0C">
        <w:rPr>
          <w:sz w:val="22"/>
          <w:szCs w:val="22"/>
        </w:rPr>
        <w:t>. As Honeybee plug in would provide information only for DGP and DGI, a special component</w:t>
      </w:r>
      <w:r w:rsidR="00B50FCC">
        <w:rPr>
          <w:sz w:val="22"/>
          <w:szCs w:val="22"/>
        </w:rPr>
        <w:t xml:space="preserve"> for DGPs</w:t>
      </w:r>
      <w:r w:rsidRPr="00AA3D0C">
        <w:rPr>
          <w:sz w:val="22"/>
          <w:szCs w:val="22"/>
        </w:rPr>
        <w:t xml:space="preserve"> was created inside the Grasshopper environment, with the use of Python scripting </w:t>
      </w:r>
      <w:r w:rsidRPr="00AA3D0C">
        <w:rPr>
          <w:sz w:val="22"/>
          <w:szCs w:val="22"/>
        </w:rPr>
        <w:fldChar w:fldCharType="begin" w:fldLock="1"/>
      </w:r>
      <w:r w:rsidR="005952EA">
        <w:rPr>
          <w:sz w:val="22"/>
          <w:szCs w:val="22"/>
        </w:rPr>
        <w:instrText>ADDIN CSL_CITATION { "citationItems" : [ { "id" : "ITEM-1", "itemData" : { "URL" : "http://www.food4rhino.com/app/ghpython", "accessed" : { "date-parts" : [ [ "2018", "4", "3" ] ] }, "author" : [ { "dropping-particle" : "", "family" : "Piacentino", "given" : "Giulio", "non-dropping-particle" : "", "parse-names" : false, "suffix" : "" } ], "container-title" : "Robert McNeel and Associates", "id" : "ITEM-1", "issued" : { "date-parts" : [ [ "2013" ] ] }, "title" : "GHPython", "type" : "webpage" }, "uris" : [ "http://www.mendeley.com/documents/?uuid=0caded0f-72e1-4907-89d9-06fa354e05cd", "http://www.mendeley.com/documents/?uuid=4f0c7230-9c7c-4c51-ba18-aacb30af6388" ] } ], "mendeley" : { "formattedCitation" : "(Piacentino, 2013)", "plainTextFormattedCitation" : "(Piacentino, 2013)", "previouslyFormattedCitation" : "(Piacentino, 2013)" }, "properties" : { "noteIndex" : 0 }, "schema" : "https://github.com/citation-style-language/schema/raw/master/csl-citation.json" }</w:instrText>
      </w:r>
      <w:r w:rsidRPr="00AA3D0C">
        <w:rPr>
          <w:sz w:val="22"/>
          <w:szCs w:val="22"/>
        </w:rPr>
        <w:fldChar w:fldCharType="separate"/>
      </w:r>
      <w:r w:rsidRPr="00AA3D0C">
        <w:rPr>
          <w:noProof/>
          <w:sz w:val="22"/>
          <w:szCs w:val="22"/>
        </w:rPr>
        <w:t>(Piacentino, 2013)</w:t>
      </w:r>
      <w:r w:rsidRPr="00AA3D0C">
        <w:rPr>
          <w:sz w:val="22"/>
          <w:szCs w:val="22"/>
        </w:rPr>
        <w:fldChar w:fldCharType="end"/>
      </w:r>
      <w:r w:rsidRPr="00AA3D0C">
        <w:rPr>
          <w:sz w:val="22"/>
          <w:szCs w:val="22"/>
        </w:rPr>
        <w:t>. This component would provide the DGPs needed results</w:t>
      </w:r>
      <w:r w:rsidR="007A3EBE">
        <w:rPr>
          <w:sz w:val="22"/>
          <w:szCs w:val="22"/>
        </w:rPr>
        <w:t xml:space="preserve">, </w:t>
      </w:r>
      <w:r w:rsidRPr="00AA3D0C">
        <w:rPr>
          <w:sz w:val="22"/>
          <w:szCs w:val="22"/>
        </w:rPr>
        <w:t>the vertical illuminance (</w:t>
      </w:r>
      <w:proofErr w:type="spellStart"/>
      <w:r w:rsidRPr="00AA3D0C">
        <w:rPr>
          <w:sz w:val="22"/>
          <w:szCs w:val="22"/>
        </w:rPr>
        <w:t>E</w:t>
      </w:r>
      <w:r w:rsidRPr="00AA3D0C">
        <w:rPr>
          <w:sz w:val="22"/>
          <w:szCs w:val="22"/>
          <w:vertAlign w:val="subscript"/>
        </w:rPr>
        <w:t>v</w:t>
      </w:r>
      <w:proofErr w:type="spellEnd"/>
      <w:r w:rsidRPr="00AA3D0C">
        <w:rPr>
          <w:sz w:val="22"/>
          <w:szCs w:val="22"/>
        </w:rPr>
        <w:t>) and</w:t>
      </w:r>
      <w:r w:rsidR="007A3EBE">
        <w:rPr>
          <w:sz w:val="22"/>
          <w:szCs w:val="22"/>
        </w:rPr>
        <w:t xml:space="preserve"> the</w:t>
      </w:r>
      <w:r w:rsidRPr="00AA3D0C">
        <w:rPr>
          <w:sz w:val="22"/>
          <w:szCs w:val="22"/>
        </w:rPr>
        <w:t xml:space="preserve"> direct vertical illuminance (</w:t>
      </w:r>
      <w:proofErr w:type="spellStart"/>
      <w:r w:rsidRPr="00AA3D0C">
        <w:rPr>
          <w:sz w:val="22"/>
          <w:szCs w:val="22"/>
        </w:rPr>
        <w:t>E</w:t>
      </w:r>
      <w:r w:rsidRPr="00AA3D0C">
        <w:rPr>
          <w:sz w:val="22"/>
          <w:szCs w:val="22"/>
          <w:vertAlign w:val="subscript"/>
        </w:rPr>
        <w:t>v,dir</w:t>
      </w:r>
      <w:proofErr w:type="spellEnd"/>
      <w:r w:rsidRPr="00AA3D0C">
        <w:rPr>
          <w:sz w:val="22"/>
          <w:szCs w:val="22"/>
        </w:rPr>
        <w:t>)</w:t>
      </w:r>
      <w:r w:rsidR="007A3EBE">
        <w:rPr>
          <w:sz w:val="22"/>
          <w:szCs w:val="22"/>
        </w:rPr>
        <w:t>, by</w:t>
      </w:r>
      <w:r w:rsidRPr="00AA3D0C">
        <w:rPr>
          <w:sz w:val="22"/>
          <w:szCs w:val="22"/>
        </w:rPr>
        <w:t xml:space="preserve"> </w:t>
      </w:r>
      <w:r w:rsidR="005D7766" w:rsidRPr="00AA3D0C">
        <w:rPr>
          <w:sz w:val="22"/>
          <w:szCs w:val="22"/>
        </w:rPr>
        <w:t>analys</w:t>
      </w:r>
      <w:r w:rsidR="005D7766">
        <w:rPr>
          <w:sz w:val="22"/>
          <w:szCs w:val="22"/>
        </w:rPr>
        <w:t>ing</w:t>
      </w:r>
      <w:r w:rsidRPr="00AA3D0C">
        <w:rPr>
          <w:sz w:val="22"/>
          <w:szCs w:val="22"/>
        </w:rPr>
        <w:t xml:space="preserve"> an HDRI image through </w:t>
      </w:r>
      <w:proofErr w:type="spellStart"/>
      <w:r w:rsidRPr="00AA3D0C">
        <w:rPr>
          <w:sz w:val="22"/>
          <w:szCs w:val="22"/>
        </w:rPr>
        <w:t>Evalglare</w:t>
      </w:r>
      <w:proofErr w:type="spellEnd"/>
      <w:r w:rsidRPr="00AA3D0C">
        <w:rPr>
          <w:sz w:val="22"/>
          <w:szCs w:val="22"/>
        </w:rPr>
        <w:t xml:space="preserve"> script in Radiance </w:t>
      </w:r>
      <w:r w:rsidRPr="00AA3D0C">
        <w:rPr>
          <w:sz w:val="22"/>
          <w:szCs w:val="22"/>
        </w:rPr>
        <w:fldChar w:fldCharType="begin" w:fldLock="1"/>
      </w:r>
      <w:r w:rsidR="00BD11AD">
        <w:rPr>
          <w:sz w:val="22"/>
          <w:szCs w:val="22"/>
        </w:rPr>
        <w:instrText>ADDIN CSL_CITATION { "citationItems" : [ { "id" : "ITEM-1", "itemData" : { "URL" : "https://www.radiance-online.org/learning/documentation/manual-pages/pdfs/evalglare.pdf/view", "accessed" : { "date-parts" : [ [ "2018", "4", "3" ] ] }, "author" : [ { "dropping-particle" : "", "family" : "McNeil", "given" : "Andrew", "non-dropping-particle" : "", "parse-names" : false, "suffix" : "" } ], "container-title" : "Lawrence Berkeley National Laboratory (LBNL)", "id" : "ITEM-1", "issued" : { "date-parts" : [ [ "2017" ] ] }, "title" : "Evalglare", "type" : "webpage" }, "uris" : [ "http://www.mendeley.com/documents/?uuid=69ea7c09-8718-4360-b993-e9174352d250", "http://www.mendeley.com/documents/?uuid=caaaed35-5886-4e2d-9bf0-602259c61184" ] } ], "mendeley" : { "formattedCitation" : "(McNeil, 2017)", "plainTextFormattedCitation" : "(McNeil, 2017)", "previouslyFormattedCitation" : "(McNeil, 2017)" }, "properties" : { "noteIndex" : 0 }, "schema" : "https://github.com/citation-style-language/schema/raw/master/csl-citation.json" }</w:instrText>
      </w:r>
      <w:r w:rsidRPr="00AA3D0C">
        <w:rPr>
          <w:sz w:val="22"/>
          <w:szCs w:val="22"/>
        </w:rPr>
        <w:fldChar w:fldCharType="separate"/>
      </w:r>
      <w:r w:rsidR="005952EA" w:rsidRPr="005952EA">
        <w:rPr>
          <w:noProof/>
          <w:sz w:val="22"/>
          <w:szCs w:val="22"/>
        </w:rPr>
        <w:t>(McNeil, 2017)</w:t>
      </w:r>
      <w:r w:rsidRPr="00AA3D0C">
        <w:rPr>
          <w:sz w:val="22"/>
          <w:szCs w:val="22"/>
        </w:rPr>
        <w:fldChar w:fldCharType="end"/>
      </w:r>
      <w:r w:rsidRPr="00AA3D0C">
        <w:rPr>
          <w:sz w:val="22"/>
          <w:szCs w:val="22"/>
        </w:rPr>
        <w:t>. Finally, the resulted data were processed and visualized through Ladybug</w:t>
      </w:r>
      <w:r w:rsidR="005767FC">
        <w:rPr>
          <w:sz w:val="22"/>
          <w:szCs w:val="22"/>
        </w:rPr>
        <w:t>,</w:t>
      </w:r>
      <w:r w:rsidRPr="00AA3D0C">
        <w:rPr>
          <w:sz w:val="22"/>
          <w:szCs w:val="22"/>
        </w:rPr>
        <w:t xml:space="preserve"> and</w:t>
      </w:r>
      <w:r w:rsidR="005767FC">
        <w:rPr>
          <w:sz w:val="22"/>
          <w:szCs w:val="22"/>
        </w:rPr>
        <w:t xml:space="preserve"> </w:t>
      </w:r>
      <w:r w:rsidR="005767FC" w:rsidRPr="00AA3D0C">
        <w:rPr>
          <w:sz w:val="22"/>
          <w:szCs w:val="22"/>
        </w:rPr>
        <w:t xml:space="preserve">transferred through TT Toolbox </w:t>
      </w:r>
      <w:r w:rsidR="005767FC" w:rsidRPr="00AA3D0C">
        <w:rPr>
          <w:sz w:val="22"/>
          <w:szCs w:val="22"/>
        </w:rPr>
        <w:fldChar w:fldCharType="begin" w:fldLock="1"/>
      </w:r>
      <w:r w:rsidR="005952EA">
        <w:rPr>
          <w:sz w:val="22"/>
          <w:szCs w:val="22"/>
        </w:rPr>
        <w:instrText>ADDIN CSL_CITATION { "citationItems" : [ { "id" : "ITEM-1", "itemData" : { "URL" : "http://www.food4rhino.com/app/tt-toolbox", "accessed" : { "date-parts" : [ [ "2018", "4", "3" ] ] }, "author" : [ { "dropping-particle" : "", "family" : "Core Studio", "given" : "", "non-dropping-particle" : "", "parse-names" : false, "suffix" : "" } ], "container-title" : "Robert McNeel and Associates", "id" : "ITEM-1", "issued" : { "date-parts" : [ [ "2018" ] ] }, "title" : "TT Toolbox", "type" : "webpage" }, "uris" : [ "http://www.mendeley.com/documents/?uuid=2debce03-f291-49e3-bb71-89f2d7119a2a", "http://www.mendeley.com/documents/?uuid=9bf2df4d-e538-40b7-961e-04312792d5fb" ] } ], "mendeley" : { "formattedCitation" : "(Core Studio, 2018)", "plainTextFormattedCitation" : "(Core Studio, 2018)", "previouslyFormattedCitation" : "(Core Studio, 2018)" }, "properties" : { "noteIndex" : 0 }, "schema" : "https://github.com/citation-style-language/schema/raw/master/csl-citation.json" }</w:instrText>
      </w:r>
      <w:r w:rsidR="005767FC" w:rsidRPr="00AA3D0C">
        <w:rPr>
          <w:sz w:val="22"/>
          <w:szCs w:val="22"/>
        </w:rPr>
        <w:fldChar w:fldCharType="separate"/>
      </w:r>
      <w:r w:rsidR="005767FC" w:rsidRPr="00AA3D0C">
        <w:rPr>
          <w:noProof/>
          <w:sz w:val="22"/>
          <w:szCs w:val="22"/>
        </w:rPr>
        <w:t>(Core Studio, 2018)</w:t>
      </w:r>
      <w:r w:rsidR="005767FC" w:rsidRPr="00AA3D0C">
        <w:rPr>
          <w:sz w:val="22"/>
          <w:szCs w:val="22"/>
        </w:rPr>
        <w:fldChar w:fldCharType="end"/>
      </w:r>
      <w:r w:rsidR="005767FC">
        <w:rPr>
          <w:sz w:val="22"/>
          <w:szCs w:val="22"/>
        </w:rPr>
        <w:t xml:space="preserve"> to</w:t>
      </w:r>
      <w:r w:rsidRPr="00AA3D0C">
        <w:rPr>
          <w:sz w:val="22"/>
          <w:szCs w:val="22"/>
        </w:rPr>
        <w:t xml:space="preserve"> Excel. The </w:t>
      </w:r>
      <w:r w:rsidR="005767FC">
        <w:rPr>
          <w:sz w:val="22"/>
          <w:szCs w:val="22"/>
        </w:rPr>
        <w:t>overall workflow is</w:t>
      </w:r>
      <w:r w:rsidRPr="00AA3D0C">
        <w:rPr>
          <w:sz w:val="22"/>
          <w:szCs w:val="22"/>
        </w:rPr>
        <w:t xml:space="preserve"> presented below (Fig</w:t>
      </w:r>
      <w:r w:rsidR="0079527B" w:rsidRPr="00AA3D0C">
        <w:rPr>
          <w:sz w:val="22"/>
          <w:szCs w:val="22"/>
        </w:rPr>
        <w:t xml:space="preserve">ure </w:t>
      </w:r>
      <w:r w:rsidR="0079706A">
        <w:rPr>
          <w:sz w:val="22"/>
          <w:szCs w:val="22"/>
        </w:rPr>
        <w:t>9</w:t>
      </w:r>
      <w:r w:rsidRPr="00AA3D0C">
        <w:rPr>
          <w:sz w:val="22"/>
          <w:szCs w:val="22"/>
        </w:rPr>
        <w:t>).</w:t>
      </w:r>
    </w:p>
    <w:p w14:paraId="6A06E235" w14:textId="4614EA0B" w:rsidR="002B7D6E" w:rsidRPr="0079706A" w:rsidRDefault="00865C2D" w:rsidP="00865C2D">
      <w:pPr>
        <w:spacing w:after="240"/>
        <w:jc w:val="both"/>
        <w:rPr>
          <w:sz w:val="22"/>
          <w:szCs w:val="22"/>
        </w:rPr>
      </w:pPr>
      <w:r>
        <w:rPr>
          <w:noProof/>
          <w:sz w:val="22"/>
          <w:szCs w:val="22"/>
          <w:lang w:eastAsia="en-GB"/>
        </w:rPr>
        <w:lastRenderedPageBreak/>
        <w:drawing>
          <wp:inline distT="0" distB="0" distL="0" distR="0" wp14:anchorId="482D7D6C" wp14:editId="143165A3">
            <wp:extent cx="5178425" cy="4220210"/>
            <wp:effectExtent l="0" t="0" r="3175" b="8890"/>
            <wp:docPr id="1532" name="Picture 15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178425" cy="4220210"/>
                    </a:xfrm>
                    <a:prstGeom prst="rect">
                      <a:avLst/>
                    </a:prstGeom>
                    <a:noFill/>
                    <a:ln>
                      <a:noFill/>
                    </a:ln>
                  </pic:spPr>
                </pic:pic>
              </a:graphicData>
            </a:graphic>
          </wp:inline>
        </w:drawing>
      </w:r>
      <w:r w:rsidR="002B7D6E" w:rsidRPr="0079706A">
        <w:rPr>
          <w:i/>
          <w:sz w:val="20"/>
          <w:szCs w:val="20"/>
        </w:rPr>
        <w:t xml:space="preserve">Figure </w:t>
      </w:r>
      <w:r w:rsidRPr="0079706A">
        <w:rPr>
          <w:i/>
          <w:sz w:val="20"/>
          <w:szCs w:val="20"/>
        </w:rPr>
        <w:t>9</w:t>
      </w:r>
      <w:r w:rsidR="002B7D6E" w:rsidRPr="0079706A">
        <w:rPr>
          <w:i/>
          <w:sz w:val="20"/>
          <w:szCs w:val="20"/>
        </w:rPr>
        <w:t>: Diagram presenting the workflow.</w:t>
      </w:r>
    </w:p>
    <w:p w14:paraId="0E0D096B" w14:textId="77777777" w:rsidR="00865C2D" w:rsidRDefault="00865C2D" w:rsidP="002B7D6E">
      <w:pPr>
        <w:jc w:val="both"/>
        <w:rPr>
          <w:sz w:val="22"/>
          <w:szCs w:val="22"/>
        </w:rPr>
      </w:pPr>
    </w:p>
    <w:p w14:paraId="2520FE92" w14:textId="532A04F5" w:rsidR="002B7D6E" w:rsidRDefault="002B7D6E" w:rsidP="002B7D6E">
      <w:pPr>
        <w:jc w:val="both"/>
        <w:rPr>
          <w:sz w:val="22"/>
          <w:szCs w:val="22"/>
        </w:rPr>
      </w:pPr>
      <w:r w:rsidRPr="00AA3D0C">
        <w:rPr>
          <w:sz w:val="22"/>
          <w:szCs w:val="22"/>
        </w:rPr>
        <w:t>In</w:t>
      </w:r>
      <w:r w:rsidR="005767FC">
        <w:rPr>
          <w:sz w:val="22"/>
          <w:szCs w:val="22"/>
        </w:rPr>
        <w:t>itially, in</w:t>
      </w:r>
      <w:r w:rsidRPr="00AA3D0C">
        <w:rPr>
          <w:sz w:val="22"/>
          <w:szCs w:val="22"/>
        </w:rPr>
        <w:t xml:space="preserve"> order </w:t>
      </w:r>
      <w:r w:rsidR="005767FC">
        <w:rPr>
          <w:sz w:val="22"/>
          <w:szCs w:val="22"/>
        </w:rPr>
        <w:t>to reduce</w:t>
      </w:r>
      <w:r w:rsidRPr="00AA3D0C">
        <w:rPr>
          <w:sz w:val="22"/>
          <w:szCs w:val="22"/>
        </w:rPr>
        <w:t xml:space="preserve"> the computational time,</w:t>
      </w:r>
      <w:r w:rsidR="005767FC">
        <w:rPr>
          <w:sz w:val="22"/>
          <w:szCs w:val="22"/>
        </w:rPr>
        <w:t xml:space="preserve"> </w:t>
      </w:r>
      <w:r w:rsidR="005767FC" w:rsidRPr="00AA3D0C">
        <w:rPr>
          <w:sz w:val="22"/>
          <w:szCs w:val="22"/>
        </w:rPr>
        <w:t>a new lighting analysis engine</w:t>
      </w:r>
      <w:r w:rsidR="005767FC">
        <w:rPr>
          <w:sz w:val="22"/>
          <w:szCs w:val="22"/>
        </w:rPr>
        <w:t xml:space="preserve"> called </w:t>
      </w:r>
      <w:proofErr w:type="spellStart"/>
      <w:r w:rsidRPr="00AA3D0C">
        <w:rPr>
          <w:sz w:val="22"/>
          <w:szCs w:val="22"/>
        </w:rPr>
        <w:t>Accelerad</w:t>
      </w:r>
      <w:proofErr w:type="spellEnd"/>
      <w:r w:rsidR="005767FC">
        <w:rPr>
          <w:sz w:val="22"/>
          <w:szCs w:val="22"/>
        </w:rPr>
        <w:t xml:space="preserve"> </w:t>
      </w:r>
      <w:r w:rsidR="005767FC" w:rsidRPr="00AA3D0C">
        <w:rPr>
          <w:sz w:val="22"/>
          <w:szCs w:val="22"/>
        </w:rPr>
        <w:fldChar w:fldCharType="begin" w:fldLock="1"/>
      </w:r>
      <w:r w:rsidR="005952EA">
        <w:rPr>
          <w:sz w:val="22"/>
          <w:szCs w:val="22"/>
        </w:rPr>
        <w:instrText>ADDIN CSL_CITATION { "citationItems" : [ { "id" : "ITEM-1", "itemData" : { "URL" : "https://nljones.github.io/Accelerad/index.html", "accessed" : { "date-parts" : [ [ "2018", "4", "3" ] ] }, "author" : [ { "dropping-particle" : "", "family" : "Jones", "given" : "Nathaniel Louis", "non-dropping-particle" : "", "parse-names" : false, "suffix" : "" } ], "container-title" : "Lawrence Berkeley National Laboratory (LBNL)", "id" : "ITEM-1", "issued" : { "date-parts" : [ [ "2017" ] ] }, "title" : "Accelerad", "type" : "webpage" }, "uris" : [ "http://www.mendeley.com/documents/?uuid=c1fdcced-65f4-4c6b-9675-63c5d948f1b0", "http://www.mendeley.com/documents/?uuid=a9b94fb0-2612-4b6a-b4bc-6134be16c5c7" ] } ], "mendeley" : { "formattedCitation" : "(Jones, 2017a)", "plainTextFormattedCitation" : "(Jones, 2017a)", "previouslyFormattedCitation" : "(Jones, 2017a)" }, "properties" : { "noteIndex" : 0 }, "schema" : "https://github.com/citation-style-language/schema/raw/master/csl-citation.json" }</w:instrText>
      </w:r>
      <w:r w:rsidR="005767FC" w:rsidRPr="00AA3D0C">
        <w:rPr>
          <w:sz w:val="22"/>
          <w:szCs w:val="22"/>
        </w:rPr>
        <w:fldChar w:fldCharType="separate"/>
      </w:r>
      <w:r w:rsidR="005767FC" w:rsidRPr="00AA3D0C">
        <w:rPr>
          <w:noProof/>
          <w:sz w:val="22"/>
          <w:szCs w:val="22"/>
        </w:rPr>
        <w:t>(Jones, 2017a)</w:t>
      </w:r>
      <w:r w:rsidR="005767FC" w:rsidRPr="00AA3D0C">
        <w:rPr>
          <w:sz w:val="22"/>
          <w:szCs w:val="22"/>
        </w:rPr>
        <w:fldChar w:fldCharType="end"/>
      </w:r>
      <w:r w:rsidR="005767FC">
        <w:rPr>
          <w:sz w:val="22"/>
          <w:szCs w:val="22"/>
        </w:rPr>
        <w:t xml:space="preserve"> was used and </w:t>
      </w:r>
      <w:r w:rsidRPr="00AA3D0C">
        <w:rPr>
          <w:sz w:val="22"/>
          <w:szCs w:val="22"/>
        </w:rPr>
        <w:t xml:space="preserve">compared to Radiance. It was found that both engines would provide the same results when the base case was studied, but </w:t>
      </w:r>
      <w:proofErr w:type="spellStart"/>
      <w:r w:rsidRPr="00AA3D0C">
        <w:rPr>
          <w:sz w:val="22"/>
          <w:szCs w:val="22"/>
        </w:rPr>
        <w:t>Accelerad</w:t>
      </w:r>
      <w:proofErr w:type="spellEnd"/>
      <w:r w:rsidRPr="00AA3D0C">
        <w:rPr>
          <w:sz w:val="22"/>
          <w:szCs w:val="22"/>
        </w:rPr>
        <w:t xml:space="preserve"> would significantly reduce the computational time by </w:t>
      </w:r>
      <w:r w:rsidR="005A62FA">
        <w:rPr>
          <w:sz w:val="22"/>
          <w:szCs w:val="22"/>
        </w:rPr>
        <w:t>a third</w:t>
      </w:r>
      <w:r w:rsidRPr="00AA3D0C">
        <w:rPr>
          <w:sz w:val="22"/>
          <w:szCs w:val="22"/>
        </w:rPr>
        <w:t xml:space="preserve">. This, mainly, occurred as GPU replaced the CPU, previously used for Radiance </w:t>
      </w:r>
      <w:r w:rsidRPr="00AA3D0C">
        <w:rPr>
          <w:sz w:val="22"/>
          <w:szCs w:val="22"/>
        </w:rPr>
        <w:fldChar w:fldCharType="begin" w:fldLock="1"/>
      </w:r>
      <w:r w:rsidR="004F26FE">
        <w:rPr>
          <w:sz w:val="22"/>
          <w:szCs w:val="22"/>
        </w:rPr>
        <w:instrText>ADDIN CSL_CITATION { "citationItems" : [ { "id" : "ITEM-1", "itemData" : { "author" : [ { "dropping-particle" : "", "family" : "Jones", "given" : "Nathaniel Louis", "non-dropping-particle" : "", "parse-names" : false, "suffix" : "" } ], "id" : "ITEM-1", "issued" : { "date-parts" : [ [ "2017" ] ] }, "number-of-pages" : "154", "publisher" : "Massachusetts Institute of Technology", "title" : "Validated Interactive Daylighting Analysis for Architectural Design", "type" : "thesis" }, "uris" : [ "http://www.mendeley.com/documents/?uuid=1d79ac56-a328-4d40-9749-bfe659d2a241", "http://www.mendeley.com/documents/?uuid=0796e49f-43e9-4812-ae53-7dde14bfa93d" ] } ], "mendeley" : { "formattedCitation" : "(Jones, 2017b)", "plainTextFormattedCitation" : "(Jones, 2017b)", "previouslyFormattedCitation" : "(Jones, 2017b)" }, "properties" : { "noteIndex" : 0 }, "schema" : "https://github.com/citation-style-language/schema/raw/master/csl-citation.json" }</w:instrText>
      </w:r>
      <w:r w:rsidRPr="00AA3D0C">
        <w:rPr>
          <w:sz w:val="22"/>
          <w:szCs w:val="22"/>
        </w:rPr>
        <w:fldChar w:fldCharType="separate"/>
      </w:r>
      <w:r w:rsidRPr="00AA3D0C">
        <w:rPr>
          <w:noProof/>
          <w:sz w:val="22"/>
          <w:szCs w:val="22"/>
        </w:rPr>
        <w:t>(Jones, 2017b)</w:t>
      </w:r>
      <w:r w:rsidRPr="00AA3D0C">
        <w:rPr>
          <w:sz w:val="22"/>
          <w:szCs w:val="22"/>
        </w:rPr>
        <w:fldChar w:fldCharType="end"/>
      </w:r>
      <w:r w:rsidRPr="00AA3D0C">
        <w:rPr>
          <w:sz w:val="22"/>
          <w:szCs w:val="22"/>
        </w:rPr>
        <w:t xml:space="preserve">. Unfortunately, </w:t>
      </w:r>
      <w:r w:rsidR="005767FC">
        <w:rPr>
          <w:sz w:val="22"/>
          <w:szCs w:val="22"/>
        </w:rPr>
        <w:t>some</w:t>
      </w:r>
      <w:r w:rsidRPr="00AA3D0C">
        <w:rPr>
          <w:sz w:val="22"/>
          <w:szCs w:val="22"/>
        </w:rPr>
        <w:t xml:space="preserve"> connectivity</w:t>
      </w:r>
      <w:r w:rsidR="005767FC">
        <w:rPr>
          <w:sz w:val="22"/>
          <w:szCs w:val="22"/>
        </w:rPr>
        <w:t xml:space="preserve"> issues</w:t>
      </w:r>
      <w:r w:rsidRPr="00AA3D0C">
        <w:rPr>
          <w:sz w:val="22"/>
          <w:szCs w:val="22"/>
        </w:rPr>
        <w:t xml:space="preserve"> between </w:t>
      </w:r>
      <w:proofErr w:type="spellStart"/>
      <w:r w:rsidRPr="00AA3D0C">
        <w:rPr>
          <w:sz w:val="22"/>
          <w:szCs w:val="22"/>
        </w:rPr>
        <w:t>Accelerad</w:t>
      </w:r>
      <w:proofErr w:type="spellEnd"/>
      <w:r w:rsidR="005767FC">
        <w:rPr>
          <w:sz w:val="22"/>
          <w:szCs w:val="22"/>
        </w:rPr>
        <w:t>,</w:t>
      </w:r>
      <w:r w:rsidRPr="00AA3D0C">
        <w:rPr>
          <w:sz w:val="22"/>
          <w:szCs w:val="22"/>
        </w:rPr>
        <w:t xml:space="preserve"> which is currently in Beta mode, and Honeybee </w:t>
      </w:r>
      <w:r w:rsidR="005767FC">
        <w:rPr>
          <w:sz w:val="22"/>
          <w:szCs w:val="22"/>
        </w:rPr>
        <w:t>emerged</w:t>
      </w:r>
      <w:r w:rsidRPr="00AA3D0C">
        <w:rPr>
          <w:sz w:val="22"/>
          <w:szCs w:val="22"/>
        </w:rPr>
        <w:t xml:space="preserve">. </w:t>
      </w:r>
      <w:r w:rsidR="005767FC">
        <w:rPr>
          <w:sz w:val="22"/>
          <w:szCs w:val="22"/>
        </w:rPr>
        <w:t xml:space="preserve">In addition, the current version of </w:t>
      </w:r>
      <w:proofErr w:type="spellStart"/>
      <w:r w:rsidR="005767FC">
        <w:rPr>
          <w:sz w:val="22"/>
          <w:szCs w:val="22"/>
        </w:rPr>
        <w:t>Accelerad</w:t>
      </w:r>
      <w:proofErr w:type="spellEnd"/>
      <w:r w:rsidR="005767FC">
        <w:rPr>
          <w:sz w:val="22"/>
          <w:szCs w:val="22"/>
        </w:rPr>
        <w:t xml:space="preserve"> do</w:t>
      </w:r>
      <w:r w:rsidR="007A3EBE">
        <w:rPr>
          <w:sz w:val="22"/>
          <w:szCs w:val="22"/>
        </w:rPr>
        <w:t>es</w:t>
      </w:r>
      <w:r w:rsidR="005767FC">
        <w:rPr>
          <w:sz w:val="22"/>
          <w:szCs w:val="22"/>
        </w:rPr>
        <w:t xml:space="preserve"> not support</w:t>
      </w:r>
      <w:r w:rsidRPr="00AA3D0C">
        <w:rPr>
          <w:sz w:val="22"/>
          <w:szCs w:val="22"/>
        </w:rPr>
        <w:t xml:space="preserve"> BSDF files</w:t>
      </w:r>
      <w:r w:rsidR="005767FC">
        <w:rPr>
          <w:sz w:val="22"/>
          <w:szCs w:val="22"/>
        </w:rPr>
        <w:t>, which were an important part of the case study</w:t>
      </w:r>
      <w:r w:rsidRPr="00AA3D0C">
        <w:rPr>
          <w:sz w:val="22"/>
          <w:szCs w:val="22"/>
        </w:rPr>
        <w:t xml:space="preserve">. Thus, Radiance was preferred, eventually, over </w:t>
      </w:r>
      <w:proofErr w:type="spellStart"/>
      <w:r w:rsidRPr="00AA3D0C">
        <w:rPr>
          <w:sz w:val="22"/>
          <w:szCs w:val="22"/>
        </w:rPr>
        <w:t>Accelerad</w:t>
      </w:r>
      <w:proofErr w:type="spellEnd"/>
      <w:r w:rsidRPr="00AA3D0C">
        <w:rPr>
          <w:sz w:val="22"/>
          <w:szCs w:val="22"/>
        </w:rPr>
        <w:t>.</w:t>
      </w:r>
    </w:p>
    <w:p w14:paraId="742623CD" w14:textId="7C08635A" w:rsidR="002E2F19" w:rsidRDefault="002E2F19" w:rsidP="002B7D6E">
      <w:pPr>
        <w:jc w:val="both"/>
        <w:rPr>
          <w:sz w:val="22"/>
          <w:szCs w:val="22"/>
        </w:rPr>
      </w:pPr>
    </w:p>
    <w:p w14:paraId="68D86A9B" w14:textId="517EA056" w:rsidR="002E2F19" w:rsidRDefault="002E2F19" w:rsidP="002B7D6E">
      <w:pPr>
        <w:jc w:val="both"/>
        <w:rPr>
          <w:sz w:val="22"/>
          <w:szCs w:val="22"/>
        </w:rPr>
      </w:pPr>
    </w:p>
    <w:p w14:paraId="01D9EFE4" w14:textId="7FFEC0F9" w:rsidR="002E2F19" w:rsidRDefault="002E2F19" w:rsidP="002B7D6E">
      <w:pPr>
        <w:jc w:val="both"/>
        <w:rPr>
          <w:sz w:val="22"/>
          <w:szCs w:val="22"/>
        </w:rPr>
      </w:pPr>
    </w:p>
    <w:p w14:paraId="6B3E190D" w14:textId="77777777" w:rsidR="009563A0" w:rsidRDefault="009563A0" w:rsidP="002B7D6E">
      <w:pPr>
        <w:jc w:val="both"/>
        <w:rPr>
          <w:sz w:val="22"/>
          <w:szCs w:val="22"/>
        </w:rPr>
      </w:pPr>
    </w:p>
    <w:p w14:paraId="1CD075EC" w14:textId="0448AEE9" w:rsidR="002E2F19" w:rsidRDefault="002E2F19" w:rsidP="002B7D6E">
      <w:pPr>
        <w:jc w:val="both"/>
        <w:rPr>
          <w:sz w:val="22"/>
          <w:szCs w:val="22"/>
        </w:rPr>
      </w:pPr>
    </w:p>
    <w:p w14:paraId="736AE1C1" w14:textId="6663A365" w:rsidR="002E2F19" w:rsidRDefault="002E2F19" w:rsidP="002B7D6E">
      <w:pPr>
        <w:jc w:val="both"/>
        <w:rPr>
          <w:sz w:val="22"/>
          <w:szCs w:val="22"/>
        </w:rPr>
      </w:pPr>
    </w:p>
    <w:p w14:paraId="17804451" w14:textId="2EC99D1C" w:rsidR="002E2F19" w:rsidRDefault="002E2F19" w:rsidP="002B7D6E">
      <w:pPr>
        <w:jc w:val="both"/>
        <w:rPr>
          <w:sz w:val="22"/>
          <w:szCs w:val="22"/>
        </w:rPr>
      </w:pPr>
    </w:p>
    <w:p w14:paraId="079D122B" w14:textId="77777777" w:rsidR="002E2F19" w:rsidRDefault="002E2F19" w:rsidP="002B7D6E">
      <w:pPr>
        <w:jc w:val="both"/>
        <w:rPr>
          <w:sz w:val="22"/>
          <w:szCs w:val="22"/>
        </w:rPr>
      </w:pPr>
    </w:p>
    <w:p w14:paraId="7DD2EF6B" w14:textId="77777777" w:rsidR="00550A2E" w:rsidRPr="00550A2E" w:rsidRDefault="00550A2E" w:rsidP="002B7D6E">
      <w:pPr>
        <w:jc w:val="both"/>
        <w:rPr>
          <w:sz w:val="22"/>
          <w:szCs w:val="22"/>
        </w:rPr>
      </w:pPr>
    </w:p>
    <w:p w14:paraId="04F27EF5" w14:textId="77777777" w:rsidR="002B7D6E" w:rsidRDefault="002B7D6E" w:rsidP="002B7D6E">
      <w:pPr>
        <w:pStyle w:val="Rubrik1-Byfy"/>
        <w:rPr>
          <w:rFonts w:cs="Times New Roman"/>
        </w:rPr>
      </w:pPr>
      <w:bookmarkStart w:id="31" w:name="_Toc532751579"/>
      <w:r w:rsidRPr="00AA3D0C">
        <w:rPr>
          <w:rFonts w:cs="Times New Roman"/>
        </w:rPr>
        <w:lastRenderedPageBreak/>
        <w:t>Results</w:t>
      </w:r>
      <w:bookmarkEnd w:id="31"/>
    </w:p>
    <w:p w14:paraId="65FD2C5B" w14:textId="4673229B" w:rsidR="000007E9" w:rsidRPr="000007E9" w:rsidRDefault="001C337A" w:rsidP="000007E9">
      <w:pPr>
        <w:spacing w:after="240"/>
        <w:jc w:val="both"/>
        <w:rPr>
          <w:sz w:val="22"/>
          <w:szCs w:val="22"/>
        </w:rPr>
      </w:pPr>
      <w:r w:rsidRPr="000007E9">
        <w:rPr>
          <w:sz w:val="22"/>
          <w:szCs w:val="22"/>
        </w:rPr>
        <w:t>This chapter consisted by three sub-sections, with the last one being the most crucial of the thesis.</w:t>
      </w:r>
    </w:p>
    <w:p w14:paraId="3C9B9778" w14:textId="77777777" w:rsidR="000007E9" w:rsidRPr="009921A7" w:rsidRDefault="000007E9" w:rsidP="00135D19">
      <w:pPr>
        <w:pStyle w:val="ListParagraph"/>
        <w:numPr>
          <w:ilvl w:val="0"/>
          <w:numId w:val="9"/>
        </w:numPr>
        <w:spacing w:after="240"/>
        <w:jc w:val="both"/>
        <w:rPr>
          <w:rFonts w:ascii="Times New Roman" w:hAnsi="Times New Roman" w:cs="Times New Roman"/>
          <w:i/>
        </w:rPr>
      </w:pPr>
      <w:r w:rsidRPr="009921A7">
        <w:rPr>
          <w:rFonts w:ascii="Times New Roman" w:hAnsi="Times New Roman" w:cs="Times New Roman"/>
          <w:i/>
        </w:rPr>
        <w:t>Base case analysis</w:t>
      </w:r>
    </w:p>
    <w:p w14:paraId="380EAC76" w14:textId="77777777" w:rsidR="000007E9" w:rsidRPr="009921A7" w:rsidRDefault="000007E9" w:rsidP="00135D19">
      <w:pPr>
        <w:pStyle w:val="ListParagraph"/>
        <w:numPr>
          <w:ilvl w:val="0"/>
          <w:numId w:val="9"/>
        </w:numPr>
        <w:spacing w:after="240"/>
        <w:jc w:val="both"/>
        <w:rPr>
          <w:rFonts w:ascii="Times New Roman" w:hAnsi="Times New Roman" w:cs="Times New Roman"/>
          <w:i/>
        </w:rPr>
      </w:pPr>
      <w:r w:rsidRPr="009921A7">
        <w:rPr>
          <w:rFonts w:ascii="Times New Roman" w:hAnsi="Times New Roman" w:cs="Times New Roman"/>
          <w:i/>
        </w:rPr>
        <w:t>Shading systems</w:t>
      </w:r>
    </w:p>
    <w:p w14:paraId="25FB0ADA" w14:textId="77777777" w:rsidR="000007E9" w:rsidRPr="009921A7" w:rsidRDefault="000007E9" w:rsidP="00135D19">
      <w:pPr>
        <w:pStyle w:val="ListParagraph"/>
        <w:numPr>
          <w:ilvl w:val="0"/>
          <w:numId w:val="9"/>
        </w:numPr>
        <w:spacing w:after="240"/>
        <w:jc w:val="both"/>
        <w:rPr>
          <w:rFonts w:ascii="Times New Roman" w:hAnsi="Times New Roman" w:cs="Times New Roman"/>
          <w:i/>
        </w:rPr>
      </w:pPr>
      <w:r w:rsidRPr="009921A7">
        <w:rPr>
          <w:rFonts w:ascii="Times New Roman" w:hAnsi="Times New Roman" w:cs="Times New Roman"/>
          <w:i/>
        </w:rPr>
        <w:t>Dynamic daylight glare evaluation</w:t>
      </w:r>
    </w:p>
    <w:p w14:paraId="03AB612D" w14:textId="52B2DB38" w:rsidR="005E487D" w:rsidRDefault="001C337A" w:rsidP="009563A0">
      <w:pPr>
        <w:spacing w:after="240"/>
        <w:jc w:val="both"/>
        <w:rPr>
          <w:sz w:val="22"/>
          <w:szCs w:val="22"/>
        </w:rPr>
      </w:pPr>
      <w:r w:rsidRPr="000007E9">
        <w:rPr>
          <w:sz w:val="22"/>
          <w:szCs w:val="22"/>
        </w:rPr>
        <w:t>The first and the second sections comprised the initial analysis, being done during the first steps of the thesis</w:t>
      </w:r>
      <w:r w:rsidR="009563A0">
        <w:rPr>
          <w:rStyle w:val="FootnoteReference"/>
          <w:sz w:val="22"/>
          <w:szCs w:val="22"/>
        </w:rPr>
        <w:footnoteReference w:id="14"/>
      </w:r>
      <w:r w:rsidR="000007E9" w:rsidRPr="000007E9">
        <w:rPr>
          <w:sz w:val="22"/>
          <w:szCs w:val="22"/>
        </w:rPr>
        <w:t>, in order to prepare</w:t>
      </w:r>
      <w:r w:rsidR="000007E9" w:rsidRPr="000007E9">
        <w:rPr>
          <w:sz w:val="22"/>
          <w:szCs w:val="22"/>
          <w:lang w:val="sv-SE"/>
        </w:rPr>
        <w:t xml:space="preserve"> the tested cases for the third section</w:t>
      </w:r>
      <w:r w:rsidRPr="000007E9">
        <w:rPr>
          <w:sz w:val="22"/>
          <w:szCs w:val="22"/>
        </w:rPr>
        <w:t>. Th</w:t>
      </w:r>
      <w:r w:rsidR="000007E9" w:rsidRPr="000007E9">
        <w:rPr>
          <w:sz w:val="22"/>
          <w:szCs w:val="22"/>
        </w:rPr>
        <w:t>is</w:t>
      </w:r>
      <w:r w:rsidRPr="000007E9">
        <w:rPr>
          <w:sz w:val="22"/>
          <w:szCs w:val="22"/>
        </w:rPr>
        <w:t xml:space="preserve"> last section referred to the main topic of this thesis, i.e. the investigation of a method towards the dynamic daylight glare evaluation.</w:t>
      </w:r>
    </w:p>
    <w:p w14:paraId="60BBA754" w14:textId="77777777" w:rsidR="002B7D6E" w:rsidRPr="00AA3D0C" w:rsidRDefault="002B7D6E" w:rsidP="002B7D6E">
      <w:pPr>
        <w:pStyle w:val="Rubrik2-Byfy"/>
        <w:rPr>
          <w:rFonts w:cs="Times New Roman"/>
        </w:rPr>
      </w:pPr>
      <w:bookmarkStart w:id="32" w:name="_Toc532751580"/>
      <w:r w:rsidRPr="00AA3D0C">
        <w:rPr>
          <w:rFonts w:cs="Times New Roman"/>
        </w:rPr>
        <w:t>Dynamic Daylight Glare Evaluation</w:t>
      </w:r>
      <w:bookmarkEnd w:id="32"/>
    </w:p>
    <w:p w14:paraId="1A0F3342" w14:textId="516A612F" w:rsidR="002B7D6E" w:rsidRDefault="000007E9" w:rsidP="002B7D6E">
      <w:pPr>
        <w:jc w:val="both"/>
        <w:rPr>
          <w:sz w:val="22"/>
          <w:szCs w:val="22"/>
        </w:rPr>
      </w:pPr>
      <w:r w:rsidRPr="000378E6">
        <w:rPr>
          <w:sz w:val="22"/>
          <w:szCs w:val="22"/>
        </w:rPr>
        <w:t xml:space="preserve">The following section was the most crucial of the thesis. </w:t>
      </w:r>
      <w:r w:rsidR="002B7D6E" w:rsidRPr="000378E6">
        <w:rPr>
          <w:sz w:val="22"/>
          <w:szCs w:val="22"/>
        </w:rPr>
        <w:t xml:space="preserve">The implementation of the </w:t>
      </w:r>
      <w:r w:rsidR="002B7D6E" w:rsidRPr="000378E6">
        <w:rPr>
          <w:i/>
          <w:sz w:val="22"/>
          <w:szCs w:val="22"/>
        </w:rPr>
        <w:t>TPG</w:t>
      </w:r>
      <w:r w:rsidR="002B7D6E" w:rsidRPr="000378E6">
        <w:rPr>
          <w:sz w:val="22"/>
          <w:szCs w:val="22"/>
        </w:rPr>
        <w:t xml:space="preserve"> and </w:t>
      </w:r>
      <w:r w:rsidR="002B7D6E" w:rsidRPr="000378E6">
        <w:rPr>
          <w:i/>
          <w:sz w:val="22"/>
          <w:szCs w:val="22"/>
        </w:rPr>
        <w:t>STG</w:t>
      </w:r>
      <w:r w:rsidR="002B7D6E" w:rsidRPr="000378E6">
        <w:rPr>
          <w:sz w:val="22"/>
          <w:szCs w:val="22"/>
        </w:rPr>
        <w:t xml:space="preserve"> in the method, as well as, their corresponding results were presented below.</w:t>
      </w:r>
    </w:p>
    <w:p w14:paraId="791F1B9E" w14:textId="77777777" w:rsidR="009563A0" w:rsidRPr="000378E6" w:rsidRDefault="009563A0" w:rsidP="002B7D6E">
      <w:pPr>
        <w:jc w:val="both"/>
        <w:rPr>
          <w:sz w:val="22"/>
          <w:szCs w:val="22"/>
        </w:rPr>
      </w:pPr>
    </w:p>
    <w:p w14:paraId="542E3A79" w14:textId="77777777" w:rsidR="002B7D6E" w:rsidRPr="00AA3D0C" w:rsidRDefault="002B7D6E" w:rsidP="002B7D6E">
      <w:pPr>
        <w:pStyle w:val="Heading3"/>
        <w:rPr>
          <w:rFonts w:ascii="Times New Roman" w:hAnsi="Times New Roman" w:cs="Times New Roman"/>
        </w:rPr>
      </w:pPr>
      <w:bookmarkStart w:id="33" w:name="_Toc532751581"/>
      <w:r w:rsidRPr="00AA3D0C">
        <w:rPr>
          <w:rFonts w:ascii="Times New Roman" w:hAnsi="Times New Roman" w:cs="Times New Roman"/>
        </w:rPr>
        <w:t>TPG</w:t>
      </w:r>
      <w:bookmarkEnd w:id="33"/>
    </w:p>
    <w:p w14:paraId="0C862973" w14:textId="4B0D7A19" w:rsidR="00D47927" w:rsidRDefault="002B7D6E" w:rsidP="002B7D6E">
      <w:pPr>
        <w:jc w:val="both"/>
        <w:rPr>
          <w:sz w:val="22"/>
          <w:szCs w:val="22"/>
        </w:rPr>
      </w:pPr>
      <w:r w:rsidRPr="00AA3D0C">
        <w:rPr>
          <w:sz w:val="22"/>
          <w:szCs w:val="22"/>
        </w:rPr>
        <w:t>The glare risk distribution in space per hour was examined with the use of TPG. The studied period was that of 21/12, which was taken as a worst-case scenario</w:t>
      </w:r>
      <w:r w:rsidR="00C61A75">
        <w:rPr>
          <w:sz w:val="22"/>
          <w:szCs w:val="22"/>
        </w:rPr>
        <w:t xml:space="preserve">. </w:t>
      </w:r>
      <w:r w:rsidRPr="00AA3D0C">
        <w:rPr>
          <w:sz w:val="22"/>
          <w:szCs w:val="22"/>
        </w:rPr>
        <w:t>The results of the TPG were presented as a space-temporal map, with the data being projected as a grid on the floor plan.</w:t>
      </w:r>
      <w:r w:rsidR="000378E6">
        <w:rPr>
          <w:sz w:val="22"/>
          <w:szCs w:val="22"/>
        </w:rPr>
        <w:t xml:space="preserve"> More specifically, this space-temporal map was comprised by </w:t>
      </w:r>
      <w:r w:rsidR="000378E6">
        <w:rPr>
          <w:sz w:val="22"/>
          <w:szCs w:val="22"/>
          <w:lang w:val="sv-SE"/>
        </w:rPr>
        <w:t>repeated rectangles (plan form</w:t>
      </w:r>
      <w:r w:rsidR="000378E6">
        <w:rPr>
          <w:sz w:val="22"/>
          <w:szCs w:val="22"/>
        </w:rPr>
        <w:t xml:space="preserve">) showing the different TPG values for each tested hour. </w:t>
      </w:r>
      <w:r w:rsidR="00911A4E">
        <w:rPr>
          <w:sz w:val="22"/>
          <w:szCs w:val="22"/>
        </w:rPr>
        <w:t>T</w:t>
      </w:r>
      <w:r w:rsidR="005A12BB">
        <w:rPr>
          <w:sz w:val="22"/>
          <w:szCs w:val="22"/>
        </w:rPr>
        <w:t xml:space="preserve">he values of the three different glare metrics were presented in three columns, while the four tested shading systems were presented in four rows. </w:t>
      </w:r>
      <w:r w:rsidR="000378E6">
        <w:rPr>
          <w:sz w:val="22"/>
          <w:szCs w:val="22"/>
        </w:rPr>
        <w:t xml:space="preserve">Figure </w:t>
      </w:r>
      <w:r w:rsidR="004046FE">
        <w:rPr>
          <w:sz w:val="22"/>
          <w:szCs w:val="22"/>
        </w:rPr>
        <w:t>10</w:t>
      </w:r>
      <w:r w:rsidR="00983028">
        <w:rPr>
          <w:sz w:val="22"/>
          <w:szCs w:val="22"/>
        </w:rPr>
        <w:t>a</w:t>
      </w:r>
      <w:r w:rsidR="005A12BB">
        <w:rPr>
          <w:sz w:val="22"/>
          <w:szCs w:val="22"/>
        </w:rPr>
        <w:t xml:space="preserve"> and </w:t>
      </w:r>
      <w:r w:rsidR="004046FE">
        <w:rPr>
          <w:sz w:val="22"/>
          <w:szCs w:val="22"/>
        </w:rPr>
        <w:t>10</w:t>
      </w:r>
      <w:r w:rsidR="00983028">
        <w:rPr>
          <w:sz w:val="22"/>
          <w:szCs w:val="22"/>
        </w:rPr>
        <w:t>b</w:t>
      </w:r>
      <w:r w:rsidR="005A12BB">
        <w:rPr>
          <w:sz w:val="22"/>
          <w:szCs w:val="22"/>
        </w:rPr>
        <w:t xml:space="preserve"> were used as explanatory diagram</w:t>
      </w:r>
      <w:r w:rsidR="00983028">
        <w:rPr>
          <w:sz w:val="22"/>
          <w:szCs w:val="22"/>
        </w:rPr>
        <w:t>s</w:t>
      </w:r>
      <w:r w:rsidR="005A12BB">
        <w:rPr>
          <w:sz w:val="22"/>
          <w:szCs w:val="22"/>
        </w:rPr>
        <w:t xml:space="preserve"> for the space-temporal map illustration. </w:t>
      </w:r>
    </w:p>
    <w:p w14:paraId="68BC2EF9" w14:textId="2683A213" w:rsidR="009563A0" w:rsidRDefault="009563A0" w:rsidP="002B7D6E">
      <w:pPr>
        <w:jc w:val="both"/>
        <w:rPr>
          <w:sz w:val="22"/>
          <w:szCs w:val="22"/>
        </w:rPr>
      </w:pPr>
    </w:p>
    <w:p w14:paraId="22ED68B4" w14:textId="766C2404" w:rsidR="00E771FC" w:rsidRDefault="0079706A" w:rsidP="002B7D6E">
      <w:pPr>
        <w:jc w:val="both"/>
        <w:rPr>
          <w:sz w:val="22"/>
          <w:szCs w:val="22"/>
        </w:rPr>
      </w:pPr>
      <w:r>
        <w:rPr>
          <w:noProof/>
          <w:sz w:val="22"/>
          <w:szCs w:val="22"/>
          <w:lang w:eastAsia="en-GB"/>
        </w:rPr>
        <w:lastRenderedPageBreak/>
        <w:drawing>
          <wp:inline distT="0" distB="0" distL="0" distR="0" wp14:anchorId="2ADE410F" wp14:editId="0F958717">
            <wp:extent cx="5181600" cy="7339965"/>
            <wp:effectExtent l="0" t="0" r="0" b="0"/>
            <wp:docPr id="1534" name="Picture 15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5181600" cy="7339965"/>
                    </a:xfrm>
                    <a:prstGeom prst="rect">
                      <a:avLst/>
                    </a:prstGeom>
                    <a:noFill/>
                    <a:ln>
                      <a:noFill/>
                    </a:ln>
                  </pic:spPr>
                </pic:pic>
              </a:graphicData>
            </a:graphic>
          </wp:inline>
        </w:drawing>
      </w:r>
    </w:p>
    <w:p w14:paraId="4A8143D7" w14:textId="12694AC4" w:rsidR="002B7D6E" w:rsidRDefault="002B7D6E" w:rsidP="00755A79">
      <w:pPr>
        <w:spacing w:before="240"/>
        <w:jc w:val="both"/>
        <w:rPr>
          <w:i/>
          <w:sz w:val="20"/>
          <w:szCs w:val="20"/>
        </w:rPr>
      </w:pPr>
      <w:r w:rsidRPr="00AA3D0C">
        <w:rPr>
          <w:i/>
          <w:sz w:val="20"/>
          <w:szCs w:val="20"/>
        </w:rPr>
        <w:t xml:space="preserve">Figure </w:t>
      </w:r>
      <w:r w:rsidR="004046FE">
        <w:rPr>
          <w:i/>
          <w:sz w:val="20"/>
          <w:szCs w:val="20"/>
        </w:rPr>
        <w:t>10</w:t>
      </w:r>
      <w:r w:rsidR="00983028">
        <w:rPr>
          <w:i/>
          <w:sz w:val="20"/>
          <w:szCs w:val="20"/>
        </w:rPr>
        <w:t>a</w:t>
      </w:r>
      <w:r w:rsidRPr="00AA3D0C">
        <w:rPr>
          <w:i/>
          <w:sz w:val="20"/>
          <w:szCs w:val="20"/>
        </w:rPr>
        <w:t xml:space="preserve">: </w:t>
      </w:r>
      <w:r w:rsidR="00A5455C">
        <w:rPr>
          <w:i/>
          <w:sz w:val="20"/>
          <w:szCs w:val="20"/>
        </w:rPr>
        <w:t>Explanatory diagram of the s</w:t>
      </w:r>
      <w:r w:rsidRPr="00AA3D0C">
        <w:rPr>
          <w:i/>
          <w:sz w:val="20"/>
          <w:szCs w:val="20"/>
        </w:rPr>
        <w:t>pace-time temporal ma</w:t>
      </w:r>
      <w:r w:rsidR="00A5455C">
        <w:rPr>
          <w:i/>
          <w:sz w:val="20"/>
          <w:szCs w:val="20"/>
        </w:rPr>
        <w:t>p, used for the TPG illustration</w:t>
      </w:r>
      <w:r w:rsidRPr="00AA3D0C">
        <w:rPr>
          <w:i/>
          <w:sz w:val="20"/>
          <w:szCs w:val="20"/>
        </w:rPr>
        <w:t>.</w:t>
      </w:r>
    </w:p>
    <w:p w14:paraId="5C147070" w14:textId="2866D280" w:rsidR="00983028" w:rsidRDefault="00983028" w:rsidP="00755A79">
      <w:pPr>
        <w:spacing w:before="240"/>
        <w:jc w:val="both"/>
        <w:rPr>
          <w:sz w:val="22"/>
          <w:szCs w:val="22"/>
        </w:rPr>
      </w:pPr>
      <w:r>
        <w:rPr>
          <w:sz w:val="22"/>
          <w:szCs w:val="22"/>
        </w:rPr>
        <w:lastRenderedPageBreak/>
        <w:t>The values of the three different glare metrics (DGP, DGI, DGPs) were presented in three columns, while the four tested shading systems were shown in four rows (I: VB 70%, II: VB 50%, II: RS 7%, IV: RS 5%) (Figure</w:t>
      </w:r>
      <w:r w:rsidR="004046FE">
        <w:rPr>
          <w:sz w:val="22"/>
          <w:szCs w:val="22"/>
        </w:rPr>
        <w:t>10</w:t>
      </w:r>
      <w:r>
        <w:rPr>
          <w:sz w:val="22"/>
          <w:szCs w:val="22"/>
        </w:rPr>
        <w:t>b).</w:t>
      </w:r>
    </w:p>
    <w:p w14:paraId="172A50A8" w14:textId="73F727D1" w:rsidR="001311BB" w:rsidRDefault="004046FE" w:rsidP="004046FE">
      <w:pPr>
        <w:spacing w:before="240"/>
        <w:jc w:val="center"/>
        <w:rPr>
          <w:sz w:val="22"/>
          <w:szCs w:val="22"/>
        </w:rPr>
      </w:pPr>
      <w:r>
        <w:rPr>
          <w:noProof/>
          <w:sz w:val="22"/>
          <w:szCs w:val="22"/>
          <w:lang w:eastAsia="en-GB"/>
        </w:rPr>
        <w:drawing>
          <wp:inline distT="0" distB="0" distL="0" distR="0" wp14:anchorId="3C58E2B3" wp14:editId="3A98DB56">
            <wp:extent cx="5065986" cy="5296048"/>
            <wp:effectExtent l="0" t="0" r="1905" b="0"/>
            <wp:docPr id="192" name="Picture 1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5069967" cy="5300210"/>
                    </a:xfrm>
                    <a:prstGeom prst="rect">
                      <a:avLst/>
                    </a:prstGeom>
                    <a:noFill/>
                    <a:ln>
                      <a:noFill/>
                    </a:ln>
                  </pic:spPr>
                </pic:pic>
              </a:graphicData>
            </a:graphic>
          </wp:inline>
        </w:drawing>
      </w:r>
    </w:p>
    <w:p w14:paraId="5388DE39" w14:textId="321C77BA" w:rsidR="002C62DC" w:rsidRDefault="00983028" w:rsidP="00755A79">
      <w:pPr>
        <w:spacing w:before="240"/>
        <w:jc w:val="both"/>
        <w:rPr>
          <w:sz w:val="22"/>
          <w:szCs w:val="22"/>
        </w:rPr>
      </w:pPr>
      <w:r w:rsidRPr="00AA3D0C">
        <w:rPr>
          <w:i/>
          <w:sz w:val="20"/>
          <w:szCs w:val="20"/>
        </w:rPr>
        <w:t xml:space="preserve">Figure </w:t>
      </w:r>
      <w:r w:rsidR="004046FE">
        <w:rPr>
          <w:i/>
          <w:sz w:val="20"/>
          <w:szCs w:val="20"/>
        </w:rPr>
        <w:t>10</w:t>
      </w:r>
      <w:r>
        <w:rPr>
          <w:i/>
          <w:sz w:val="20"/>
          <w:szCs w:val="20"/>
        </w:rPr>
        <w:t>b</w:t>
      </w:r>
      <w:r w:rsidRPr="00AA3D0C">
        <w:rPr>
          <w:i/>
          <w:sz w:val="20"/>
          <w:szCs w:val="20"/>
        </w:rPr>
        <w:t xml:space="preserve">: </w:t>
      </w:r>
      <w:r>
        <w:rPr>
          <w:i/>
          <w:sz w:val="20"/>
          <w:szCs w:val="20"/>
        </w:rPr>
        <w:t>Explanatory diagram of the s</w:t>
      </w:r>
      <w:r w:rsidRPr="00AA3D0C">
        <w:rPr>
          <w:i/>
          <w:sz w:val="20"/>
          <w:szCs w:val="20"/>
        </w:rPr>
        <w:t>pace-time temporal ma</w:t>
      </w:r>
      <w:r>
        <w:rPr>
          <w:i/>
          <w:sz w:val="20"/>
          <w:szCs w:val="20"/>
        </w:rPr>
        <w:t>p, used for the TPG illustration</w:t>
      </w:r>
      <w:r w:rsidRPr="00AA3D0C">
        <w:rPr>
          <w:i/>
          <w:sz w:val="20"/>
          <w:szCs w:val="20"/>
        </w:rPr>
        <w:t>.</w:t>
      </w:r>
    </w:p>
    <w:p w14:paraId="395F8E50" w14:textId="77777777" w:rsidR="00E771FC" w:rsidRDefault="00E771FC" w:rsidP="00755A79">
      <w:pPr>
        <w:spacing w:before="240"/>
        <w:jc w:val="both"/>
        <w:rPr>
          <w:sz w:val="22"/>
          <w:szCs w:val="22"/>
        </w:rPr>
      </w:pPr>
    </w:p>
    <w:p w14:paraId="44C21449" w14:textId="62336A1E" w:rsidR="002C62DC" w:rsidRDefault="00A95CB4" w:rsidP="00755A79">
      <w:pPr>
        <w:spacing w:before="240"/>
        <w:jc w:val="both"/>
        <w:rPr>
          <w:sz w:val="22"/>
          <w:szCs w:val="22"/>
        </w:rPr>
      </w:pPr>
      <w:r>
        <w:rPr>
          <w:sz w:val="22"/>
          <w:szCs w:val="22"/>
        </w:rPr>
        <w:t>A</w:t>
      </w:r>
      <w:r w:rsidR="00983028">
        <w:rPr>
          <w:sz w:val="22"/>
          <w:szCs w:val="22"/>
        </w:rPr>
        <w:t xml:space="preserve">ccording to the previous explanatory diagrams, Figure </w:t>
      </w:r>
      <w:r w:rsidR="004046FE">
        <w:rPr>
          <w:sz w:val="22"/>
          <w:szCs w:val="22"/>
        </w:rPr>
        <w:t>11</w:t>
      </w:r>
      <w:r w:rsidR="00983028">
        <w:rPr>
          <w:sz w:val="22"/>
          <w:szCs w:val="22"/>
        </w:rPr>
        <w:t xml:space="preserve"> presented the results of the TPG per hour, tested metric and shading system for every observer’s position.</w:t>
      </w:r>
    </w:p>
    <w:p w14:paraId="697ADCC2" w14:textId="77777777" w:rsidR="004046FE" w:rsidRDefault="004046FE" w:rsidP="00755A79">
      <w:pPr>
        <w:spacing w:before="240"/>
        <w:jc w:val="both"/>
        <w:rPr>
          <w:sz w:val="22"/>
          <w:szCs w:val="22"/>
        </w:rPr>
      </w:pPr>
    </w:p>
    <w:p w14:paraId="2BE15696" w14:textId="7EC37089" w:rsidR="00E771FC" w:rsidRDefault="00E771FC" w:rsidP="00755A79">
      <w:pPr>
        <w:spacing w:before="240"/>
        <w:jc w:val="both"/>
        <w:rPr>
          <w:sz w:val="22"/>
          <w:szCs w:val="22"/>
        </w:rPr>
      </w:pPr>
    </w:p>
    <w:p w14:paraId="62F213AE" w14:textId="7B91076F" w:rsidR="00E771FC" w:rsidRDefault="004046FE" w:rsidP="002B7D6E">
      <w:pPr>
        <w:jc w:val="both"/>
      </w:pPr>
      <w:r>
        <w:rPr>
          <w:noProof/>
          <w:lang w:eastAsia="en-GB"/>
        </w:rPr>
        <w:lastRenderedPageBreak/>
        <w:drawing>
          <wp:inline distT="0" distB="0" distL="0" distR="0" wp14:anchorId="6D5F09D4" wp14:editId="28D7C9BA">
            <wp:extent cx="5214058" cy="4624552"/>
            <wp:effectExtent l="0" t="0" r="5715" b="5080"/>
            <wp:docPr id="193" name="Picture 1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5223638" cy="4633049"/>
                    </a:xfrm>
                    <a:prstGeom prst="rect">
                      <a:avLst/>
                    </a:prstGeom>
                    <a:noFill/>
                    <a:ln>
                      <a:noFill/>
                    </a:ln>
                  </pic:spPr>
                </pic:pic>
              </a:graphicData>
            </a:graphic>
          </wp:inline>
        </w:drawing>
      </w:r>
    </w:p>
    <w:p w14:paraId="472E5ABE" w14:textId="7D5D6CD5" w:rsidR="000268E3" w:rsidRDefault="002B7D6E" w:rsidP="00755A79">
      <w:pPr>
        <w:spacing w:before="240" w:after="240"/>
        <w:jc w:val="both"/>
        <w:rPr>
          <w:i/>
          <w:sz w:val="20"/>
          <w:szCs w:val="20"/>
        </w:rPr>
      </w:pPr>
      <w:r w:rsidRPr="00AA3D0C">
        <w:rPr>
          <w:i/>
          <w:sz w:val="20"/>
          <w:szCs w:val="20"/>
        </w:rPr>
        <w:t xml:space="preserve">Figure </w:t>
      </w:r>
      <w:r w:rsidR="004046FE">
        <w:rPr>
          <w:i/>
          <w:sz w:val="20"/>
          <w:szCs w:val="20"/>
        </w:rPr>
        <w:t>11</w:t>
      </w:r>
      <w:r w:rsidRPr="00AA3D0C">
        <w:rPr>
          <w:i/>
          <w:sz w:val="20"/>
          <w:szCs w:val="20"/>
        </w:rPr>
        <w:t>:</w:t>
      </w:r>
      <w:r w:rsidR="00A46BAD" w:rsidRPr="00A46BAD">
        <w:rPr>
          <w:rFonts w:cs="Arial"/>
          <w:b/>
          <w:bCs/>
          <w:kern w:val="32"/>
        </w:rPr>
        <w:t xml:space="preserve"> </w:t>
      </w:r>
      <w:r w:rsidR="003D3207">
        <w:rPr>
          <w:i/>
          <w:sz w:val="20"/>
          <w:szCs w:val="20"/>
        </w:rPr>
        <w:t>TPG</w:t>
      </w:r>
      <w:r w:rsidRPr="00AA3D0C">
        <w:rPr>
          <w:i/>
          <w:sz w:val="20"/>
          <w:szCs w:val="20"/>
        </w:rPr>
        <w:t xml:space="preserve"> map, consisted of the base case plan form</w:t>
      </w:r>
      <w:r w:rsidR="00B74AB2">
        <w:rPr>
          <w:rStyle w:val="FootnoteReference"/>
          <w:i/>
          <w:sz w:val="20"/>
          <w:szCs w:val="20"/>
        </w:rPr>
        <w:footnoteReference w:id="15"/>
      </w:r>
      <w:r w:rsidRPr="00AA3D0C">
        <w:rPr>
          <w:i/>
          <w:sz w:val="20"/>
          <w:szCs w:val="20"/>
        </w:rPr>
        <w:t>, presenting the changed TPG per tested observer’s position and the effect of the shading systems on glare control.</w:t>
      </w:r>
    </w:p>
    <w:p w14:paraId="328193FC" w14:textId="77777777" w:rsidR="006B56D3" w:rsidRDefault="006B56D3" w:rsidP="00755A79">
      <w:pPr>
        <w:spacing w:before="240" w:after="240"/>
        <w:jc w:val="both"/>
        <w:rPr>
          <w:i/>
          <w:sz w:val="20"/>
          <w:szCs w:val="20"/>
        </w:rPr>
      </w:pPr>
    </w:p>
    <w:p w14:paraId="5F330CEF" w14:textId="2ECE3DA3" w:rsidR="00983028" w:rsidRPr="00983028" w:rsidRDefault="00983028" w:rsidP="00983028">
      <w:pPr>
        <w:spacing w:before="240"/>
        <w:jc w:val="both"/>
        <w:rPr>
          <w:sz w:val="22"/>
          <w:szCs w:val="22"/>
        </w:rPr>
      </w:pPr>
      <w:r w:rsidRPr="00AA3D0C">
        <w:rPr>
          <w:sz w:val="22"/>
          <w:szCs w:val="22"/>
        </w:rPr>
        <w:t xml:space="preserve">The DGP metric generally reported a higher risk for glare when compared to DGI and DGPs (Figure </w:t>
      </w:r>
      <w:r w:rsidR="004046FE">
        <w:rPr>
          <w:sz w:val="22"/>
          <w:szCs w:val="22"/>
        </w:rPr>
        <w:t>11</w:t>
      </w:r>
      <w:r w:rsidRPr="00AA3D0C">
        <w:rPr>
          <w:sz w:val="22"/>
          <w:szCs w:val="22"/>
        </w:rPr>
        <w:t xml:space="preserve">). The shading system of roller shades with 5% </w:t>
      </w:r>
      <w:r>
        <w:rPr>
          <w:sz w:val="22"/>
          <w:szCs w:val="22"/>
        </w:rPr>
        <w:t>Openness Factor (</w:t>
      </w:r>
      <w:r w:rsidRPr="00AA3D0C">
        <w:rPr>
          <w:sz w:val="22"/>
          <w:szCs w:val="22"/>
        </w:rPr>
        <w:t>OF</w:t>
      </w:r>
      <w:r>
        <w:rPr>
          <w:sz w:val="22"/>
          <w:szCs w:val="22"/>
        </w:rPr>
        <w:t>)</w:t>
      </w:r>
      <w:r w:rsidRPr="00AA3D0C">
        <w:rPr>
          <w:sz w:val="22"/>
          <w:szCs w:val="22"/>
        </w:rPr>
        <w:t xml:space="preserve"> seemed to perform better that the rest, having glare risk mainly towards the sunset and in the 50% of the space close to window. The DGP and DGI results, though, indicated a similar pattern.</w:t>
      </w:r>
    </w:p>
    <w:p w14:paraId="48AAF726" w14:textId="107A85E8" w:rsidR="00CD0E97" w:rsidRDefault="00CD0E97" w:rsidP="00CD0E97">
      <w:pPr>
        <w:spacing w:before="240"/>
        <w:jc w:val="both"/>
        <w:rPr>
          <w:sz w:val="22"/>
          <w:szCs w:val="22"/>
        </w:rPr>
      </w:pPr>
      <w:r w:rsidRPr="000F310C">
        <w:rPr>
          <w:sz w:val="22"/>
          <w:szCs w:val="22"/>
        </w:rPr>
        <w:t xml:space="preserve">Figure </w:t>
      </w:r>
      <w:r w:rsidR="000F310C" w:rsidRPr="000F310C">
        <w:rPr>
          <w:sz w:val="22"/>
          <w:szCs w:val="22"/>
        </w:rPr>
        <w:t>1</w:t>
      </w:r>
      <w:r w:rsidR="004046FE">
        <w:rPr>
          <w:sz w:val="22"/>
          <w:szCs w:val="22"/>
        </w:rPr>
        <w:t>2</w:t>
      </w:r>
      <w:r w:rsidRPr="000F310C">
        <w:rPr>
          <w:sz w:val="22"/>
          <w:szCs w:val="22"/>
        </w:rPr>
        <w:t xml:space="preserve"> and </w:t>
      </w:r>
      <w:r w:rsidR="000F310C" w:rsidRPr="000F310C">
        <w:rPr>
          <w:sz w:val="22"/>
          <w:szCs w:val="22"/>
        </w:rPr>
        <w:t>1</w:t>
      </w:r>
      <w:r w:rsidR="004046FE">
        <w:rPr>
          <w:sz w:val="22"/>
          <w:szCs w:val="22"/>
        </w:rPr>
        <w:t>3</w:t>
      </w:r>
      <w:r w:rsidRPr="000F310C">
        <w:rPr>
          <w:sz w:val="22"/>
          <w:szCs w:val="22"/>
        </w:rPr>
        <w:t xml:space="preserve"> presented</w:t>
      </w:r>
      <w:r>
        <w:rPr>
          <w:sz w:val="22"/>
          <w:szCs w:val="22"/>
        </w:rPr>
        <w:t xml:space="preserve"> the space-time temporal maps for the rest tested days of 5/3 and 21/6 respectively.</w:t>
      </w:r>
    </w:p>
    <w:p w14:paraId="59CB4B18" w14:textId="77777777" w:rsidR="00E771FC" w:rsidRDefault="00E771FC" w:rsidP="00CD0E97">
      <w:pPr>
        <w:spacing w:before="240"/>
        <w:jc w:val="both"/>
        <w:rPr>
          <w:sz w:val="22"/>
          <w:szCs w:val="22"/>
        </w:rPr>
      </w:pPr>
    </w:p>
    <w:p w14:paraId="2498254E" w14:textId="264F65BD" w:rsidR="009D63F8" w:rsidRPr="004046FE" w:rsidRDefault="004046FE" w:rsidP="009D63F8">
      <w:pPr>
        <w:spacing w:after="200" w:line="276" w:lineRule="auto"/>
        <w:rPr>
          <w:rFonts w:cs="Arial"/>
          <w:b/>
          <w:bCs/>
          <w:kern w:val="32"/>
        </w:rPr>
      </w:pPr>
      <w:r>
        <w:rPr>
          <w:rFonts w:cs="Arial"/>
          <w:b/>
          <w:bCs/>
          <w:noProof/>
          <w:kern w:val="32"/>
          <w:lang w:eastAsia="en-GB"/>
        </w:rPr>
        <w:lastRenderedPageBreak/>
        <w:drawing>
          <wp:inline distT="0" distB="0" distL="0" distR="0" wp14:anchorId="70AB6138" wp14:editId="5FA4B33D">
            <wp:extent cx="5118538" cy="3587464"/>
            <wp:effectExtent l="0" t="0" r="6350" b="0"/>
            <wp:docPr id="194" name="Picture 1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5135220" cy="3599156"/>
                    </a:xfrm>
                    <a:prstGeom prst="rect">
                      <a:avLst/>
                    </a:prstGeom>
                    <a:noFill/>
                    <a:ln>
                      <a:noFill/>
                    </a:ln>
                  </pic:spPr>
                </pic:pic>
              </a:graphicData>
            </a:graphic>
          </wp:inline>
        </w:drawing>
      </w:r>
      <w:r w:rsidR="009D63F8" w:rsidRPr="00AA3D0C">
        <w:rPr>
          <w:i/>
          <w:sz w:val="20"/>
          <w:szCs w:val="20"/>
        </w:rPr>
        <w:t xml:space="preserve">Figure </w:t>
      </w:r>
      <w:r w:rsidR="000F310C">
        <w:rPr>
          <w:i/>
          <w:sz w:val="20"/>
          <w:szCs w:val="20"/>
        </w:rPr>
        <w:t>1</w:t>
      </w:r>
      <w:r>
        <w:rPr>
          <w:i/>
          <w:sz w:val="20"/>
          <w:szCs w:val="20"/>
        </w:rPr>
        <w:t>2</w:t>
      </w:r>
      <w:r w:rsidR="009D63F8" w:rsidRPr="00AA3D0C">
        <w:rPr>
          <w:i/>
          <w:sz w:val="20"/>
          <w:szCs w:val="20"/>
        </w:rPr>
        <w:t xml:space="preserve">: </w:t>
      </w:r>
      <w:r w:rsidR="003D3207">
        <w:rPr>
          <w:i/>
          <w:sz w:val="20"/>
          <w:szCs w:val="20"/>
        </w:rPr>
        <w:t xml:space="preserve">TPG </w:t>
      </w:r>
      <w:r w:rsidR="009D63F8" w:rsidRPr="00AA3D0C">
        <w:rPr>
          <w:i/>
          <w:sz w:val="20"/>
          <w:szCs w:val="20"/>
        </w:rPr>
        <w:t xml:space="preserve">map presenting the changed TPG </w:t>
      </w:r>
      <w:r w:rsidR="009D63F8">
        <w:rPr>
          <w:i/>
          <w:sz w:val="20"/>
          <w:szCs w:val="20"/>
        </w:rPr>
        <w:t xml:space="preserve">during </w:t>
      </w:r>
      <w:r w:rsidR="009D63F8" w:rsidRPr="00AA3D0C">
        <w:rPr>
          <w:i/>
          <w:sz w:val="20"/>
          <w:szCs w:val="20"/>
        </w:rPr>
        <w:t>the 5th of March.</w:t>
      </w:r>
    </w:p>
    <w:p w14:paraId="7810A238" w14:textId="538D2AEB" w:rsidR="009D63F8" w:rsidRPr="00AA3D0C" w:rsidRDefault="004046FE" w:rsidP="006B56D3">
      <w:pPr>
        <w:spacing w:line="276" w:lineRule="auto"/>
        <w:rPr>
          <w:rFonts w:cs="Arial"/>
          <w:b/>
          <w:bCs/>
          <w:kern w:val="32"/>
        </w:rPr>
      </w:pPr>
      <w:r>
        <w:rPr>
          <w:rFonts w:cs="Arial"/>
          <w:b/>
          <w:bCs/>
          <w:noProof/>
          <w:kern w:val="32"/>
          <w:lang w:eastAsia="en-GB"/>
        </w:rPr>
        <w:drawing>
          <wp:inline distT="0" distB="0" distL="0" distR="0" wp14:anchorId="42D71DAC" wp14:editId="73A87EB6">
            <wp:extent cx="5118100" cy="3578951"/>
            <wp:effectExtent l="0" t="0" r="6350" b="2540"/>
            <wp:docPr id="197" name="Picture 1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5127694" cy="3585660"/>
                    </a:xfrm>
                    <a:prstGeom prst="rect">
                      <a:avLst/>
                    </a:prstGeom>
                    <a:noFill/>
                    <a:ln>
                      <a:noFill/>
                    </a:ln>
                  </pic:spPr>
                </pic:pic>
              </a:graphicData>
            </a:graphic>
          </wp:inline>
        </w:drawing>
      </w:r>
    </w:p>
    <w:p w14:paraId="03F30B0D" w14:textId="013D4367" w:rsidR="009D63F8" w:rsidRPr="00AA3D0C" w:rsidRDefault="009D63F8" w:rsidP="00193296">
      <w:pPr>
        <w:spacing w:line="276" w:lineRule="auto"/>
        <w:rPr>
          <w:i/>
          <w:sz w:val="20"/>
          <w:szCs w:val="20"/>
        </w:rPr>
      </w:pPr>
      <w:r w:rsidRPr="00AA3D0C">
        <w:rPr>
          <w:i/>
          <w:sz w:val="20"/>
          <w:szCs w:val="20"/>
        </w:rPr>
        <w:t xml:space="preserve">Figure </w:t>
      </w:r>
      <w:r w:rsidR="000F310C">
        <w:rPr>
          <w:i/>
          <w:sz w:val="20"/>
          <w:szCs w:val="20"/>
        </w:rPr>
        <w:t>1</w:t>
      </w:r>
      <w:r w:rsidR="004046FE">
        <w:rPr>
          <w:i/>
          <w:sz w:val="20"/>
          <w:szCs w:val="20"/>
        </w:rPr>
        <w:t>3</w:t>
      </w:r>
      <w:r w:rsidRPr="00AA3D0C">
        <w:rPr>
          <w:i/>
          <w:sz w:val="20"/>
          <w:szCs w:val="20"/>
        </w:rPr>
        <w:t xml:space="preserve">: </w:t>
      </w:r>
      <w:r w:rsidR="003D3207">
        <w:rPr>
          <w:i/>
          <w:sz w:val="20"/>
          <w:szCs w:val="20"/>
        </w:rPr>
        <w:t>TPG</w:t>
      </w:r>
      <w:r w:rsidRPr="00AA3D0C">
        <w:rPr>
          <w:i/>
          <w:sz w:val="20"/>
          <w:szCs w:val="20"/>
        </w:rPr>
        <w:t xml:space="preserve"> map presenting the changed TPG during the 21</w:t>
      </w:r>
      <w:r w:rsidRPr="00AA3D0C">
        <w:rPr>
          <w:i/>
          <w:sz w:val="20"/>
          <w:szCs w:val="20"/>
          <w:vertAlign w:val="superscript"/>
        </w:rPr>
        <w:t>st</w:t>
      </w:r>
      <w:r w:rsidRPr="00AA3D0C">
        <w:rPr>
          <w:i/>
          <w:sz w:val="20"/>
          <w:szCs w:val="20"/>
        </w:rPr>
        <w:t xml:space="preserve"> of June.</w:t>
      </w:r>
    </w:p>
    <w:p w14:paraId="1CFCC003" w14:textId="77777777" w:rsidR="002B7D6E" w:rsidRPr="00AA3D0C" w:rsidRDefault="002B7D6E" w:rsidP="002B7D6E">
      <w:pPr>
        <w:pStyle w:val="Heading3"/>
        <w:rPr>
          <w:rFonts w:ascii="Times New Roman" w:hAnsi="Times New Roman" w:cs="Times New Roman"/>
        </w:rPr>
      </w:pPr>
      <w:bookmarkStart w:id="34" w:name="_Toc532751582"/>
      <w:r w:rsidRPr="00AA3D0C">
        <w:rPr>
          <w:rFonts w:ascii="Times New Roman" w:hAnsi="Times New Roman" w:cs="Times New Roman"/>
        </w:rPr>
        <w:lastRenderedPageBreak/>
        <w:t>STG</w:t>
      </w:r>
      <w:bookmarkEnd w:id="34"/>
    </w:p>
    <w:p w14:paraId="783D51F5" w14:textId="27BE9658" w:rsidR="00C51946" w:rsidRPr="00D47E6B" w:rsidRDefault="002B7D6E" w:rsidP="002B7D6E">
      <w:pPr>
        <w:jc w:val="both"/>
        <w:rPr>
          <w:sz w:val="22"/>
          <w:szCs w:val="22"/>
        </w:rPr>
      </w:pPr>
      <w:r w:rsidRPr="00AA3D0C">
        <w:rPr>
          <w:sz w:val="22"/>
          <w:szCs w:val="22"/>
        </w:rPr>
        <w:t xml:space="preserve">For an analysis that would involve, also, the time parameter, the STG was investigated. </w:t>
      </w:r>
      <w:r w:rsidR="00D47E6B">
        <w:rPr>
          <w:sz w:val="22"/>
          <w:szCs w:val="22"/>
        </w:rPr>
        <w:t xml:space="preserve"> </w:t>
      </w:r>
      <w:r w:rsidR="00C51946">
        <w:rPr>
          <w:sz w:val="22"/>
          <w:szCs w:val="22"/>
        </w:rPr>
        <w:t xml:space="preserve">Figure </w:t>
      </w:r>
      <w:r w:rsidR="003D3207">
        <w:rPr>
          <w:sz w:val="22"/>
          <w:szCs w:val="22"/>
        </w:rPr>
        <w:t>14</w:t>
      </w:r>
      <w:r w:rsidR="00C51946">
        <w:rPr>
          <w:sz w:val="22"/>
          <w:szCs w:val="22"/>
        </w:rPr>
        <w:t xml:space="preserve"> present</w:t>
      </w:r>
      <w:r w:rsidR="00D47E6B">
        <w:rPr>
          <w:sz w:val="22"/>
          <w:szCs w:val="22"/>
        </w:rPr>
        <w:t>s</w:t>
      </w:r>
      <w:r w:rsidR="00C51946">
        <w:rPr>
          <w:sz w:val="22"/>
          <w:szCs w:val="22"/>
        </w:rPr>
        <w:t xml:space="preserve"> </w:t>
      </w:r>
      <w:r w:rsidR="00D47E6B">
        <w:rPr>
          <w:sz w:val="22"/>
          <w:szCs w:val="22"/>
        </w:rPr>
        <w:t>the</w:t>
      </w:r>
      <w:r w:rsidR="00D47E6B">
        <w:rPr>
          <w:sz w:val="22"/>
          <w:szCs w:val="22"/>
          <w:lang w:val="en-US"/>
        </w:rPr>
        <w:t xml:space="preserve"> STG range of fluctuation for all the tested shading systems during 21/12 and 5/3.</w:t>
      </w:r>
      <w:r w:rsidR="00D47E6B" w:rsidRPr="00D47E6B">
        <w:rPr>
          <w:sz w:val="22"/>
          <w:szCs w:val="22"/>
        </w:rPr>
        <w:t xml:space="preserve"> </w:t>
      </w:r>
      <w:r w:rsidR="00D47E6B">
        <w:rPr>
          <w:sz w:val="22"/>
          <w:szCs w:val="22"/>
        </w:rPr>
        <w:t>The</w:t>
      </w:r>
      <w:r w:rsidR="00D47E6B" w:rsidRPr="00AA3D0C">
        <w:rPr>
          <w:sz w:val="22"/>
          <w:szCs w:val="22"/>
        </w:rPr>
        <w:t xml:space="preserve"> performance of the studied shading systems regarding space-time glare was aiming for the STG to be below 50% (DGP-DGPs) and 40% (DGI).</w:t>
      </w:r>
    </w:p>
    <w:p w14:paraId="47D8FCAF" w14:textId="00821699" w:rsidR="002B7D6E" w:rsidRDefault="004046FE" w:rsidP="002B7D6E">
      <w:pPr>
        <w:spacing w:before="240"/>
        <w:rPr>
          <w:color w:val="FF0000"/>
          <w:sz w:val="20"/>
          <w:szCs w:val="20"/>
        </w:rPr>
      </w:pPr>
      <w:r>
        <w:rPr>
          <w:noProof/>
          <w:color w:val="FF0000"/>
          <w:sz w:val="20"/>
          <w:szCs w:val="20"/>
          <w:lang w:eastAsia="en-GB"/>
        </w:rPr>
        <w:drawing>
          <wp:inline distT="0" distB="0" distL="0" distR="0" wp14:anchorId="5D6A0829" wp14:editId="4846A8BD">
            <wp:extent cx="5150069" cy="5173299"/>
            <wp:effectExtent l="0" t="0" r="0" b="8890"/>
            <wp:docPr id="198" name="Picture 1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5155261" cy="5178515"/>
                    </a:xfrm>
                    <a:prstGeom prst="rect">
                      <a:avLst/>
                    </a:prstGeom>
                    <a:noFill/>
                    <a:ln>
                      <a:noFill/>
                    </a:ln>
                  </pic:spPr>
                </pic:pic>
              </a:graphicData>
            </a:graphic>
          </wp:inline>
        </w:drawing>
      </w:r>
    </w:p>
    <w:p w14:paraId="6A62AC4C" w14:textId="516B0D79" w:rsidR="002B7D6E" w:rsidRDefault="002B7D6E" w:rsidP="00755A79">
      <w:pPr>
        <w:jc w:val="both"/>
        <w:rPr>
          <w:i/>
          <w:sz w:val="20"/>
          <w:szCs w:val="20"/>
        </w:rPr>
      </w:pPr>
      <w:r w:rsidRPr="00AA3D0C">
        <w:rPr>
          <w:i/>
          <w:sz w:val="20"/>
          <w:szCs w:val="20"/>
        </w:rPr>
        <w:t>Figure 1</w:t>
      </w:r>
      <w:r w:rsidR="004046FE">
        <w:rPr>
          <w:i/>
          <w:sz w:val="20"/>
          <w:szCs w:val="20"/>
        </w:rPr>
        <w:t>4</w:t>
      </w:r>
      <w:r w:rsidRPr="00AA3D0C">
        <w:rPr>
          <w:i/>
          <w:sz w:val="20"/>
          <w:szCs w:val="20"/>
        </w:rPr>
        <w:t>: Graph presenting the STG during the investigated period for the four different fenestration systems.</w:t>
      </w:r>
    </w:p>
    <w:p w14:paraId="60E2D0B4" w14:textId="77777777" w:rsidR="00D47E6B" w:rsidRDefault="00D47E6B" w:rsidP="00755A79">
      <w:pPr>
        <w:jc w:val="both"/>
        <w:rPr>
          <w:sz w:val="22"/>
          <w:szCs w:val="22"/>
        </w:rPr>
      </w:pPr>
    </w:p>
    <w:p w14:paraId="3FD64F18" w14:textId="23C5E5CE" w:rsidR="002470DE" w:rsidRPr="00D47E6B" w:rsidRDefault="00D47E6B" w:rsidP="00755A79">
      <w:pPr>
        <w:jc w:val="both"/>
        <w:rPr>
          <w:sz w:val="22"/>
          <w:szCs w:val="22"/>
        </w:rPr>
      </w:pPr>
      <w:r w:rsidRPr="00AA3D0C">
        <w:rPr>
          <w:sz w:val="22"/>
          <w:szCs w:val="22"/>
        </w:rPr>
        <w:t xml:space="preserve">This time the venetian blinds of 50% reflectance and the roller shades with 5% </w:t>
      </w:r>
      <w:r>
        <w:rPr>
          <w:sz w:val="22"/>
          <w:szCs w:val="22"/>
        </w:rPr>
        <w:t>openness factor</w:t>
      </w:r>
      <w:r w:rsidRPr="00AA3D0C">
        <w:rPr>
          <w:sz w:val="22"/>
          <w:szCs w:val="22"/>
        </w:rPr>
        <w:t xml:space="preserve"> presented a rather good </w:t>
      </w:r>
      <w:r w:rsidR="00654353">
        <w:rPr>
          <w:sz w:val="22"/>
          <w:szCs w:val="22"/>
        </w:rPr>
        <w:t>performance</w:t>
      </w:r>
      <w:r w:rsidRPr="00AA3D0C">
        <w:rPr>
          <w:sz w:val="22"/>
          <w:szCs w:val="22"/>
        </w:rPr>
        <w:t>.</w:t>
      </w:r>
      <w:r>
        <w:rPr>
          <w:sz w:val="22"/>
          <w:szCs w:val="22"/>
        </w:rPr>
        <w:t xml:space="preserve"> The </w:t>
      </w:r>
      <w:r w:rsidRPr="00AA3D0C">
        <w:rPr>
          <w:sz w:val="22"/>
          <w:szCs w:val="22"/>
        </w:rPr>
        <w:t>distribution of the STG in the space was investigated for th</w:t>
      </w:r>
      <w:r>
        <w:rPr>
          <w:sz w:val="22"/>
          <w:szCs w:val="22"/>
        </w:rPr>
        <w:t xml:space="preserve">ose </w:t>
      </w:r>
      <w:r w:rsidRPr="00AA3D0C">
        <w:rPr>
          <w:sz w:val="22"/>
          <w:szCs w:val="22"/>
        </w:rPr>
        <w:t xml:space="preserve">two advantageous systems. </w:t>
      </w:r>
      <w:r>
        <w:rPr>
          <w:sz w:val="22"/>
          <w:szCs w:val="22"/>
        </w:rPr>
        <w:t xml:space="preserve">Figure </w:t>
      </w:r>
      <w:r w:rsidR="000F310C">
        <w:rPr>
          <w:sz w:val="22"/>
          <w:szCs w:val="22"/>
        </w:rPr>
        <w:t>1</w:t>
      </w:r>
      <w:r w:rsidR="004046FE">
        <w:rPr>
          <w:sz w:val="22"/>
          <w:szCs w:val="22"/>
        </w:rPr>
        <w:t>5</w:t>
      </w:r>
      <w:r>
        <w:rPr>
          <w:sz w:val="22"/>
          <w:szCs w:val="22"/>
        </w:rPr>
        <w:t xml:space="preserve"> presents the distribution of the STG in the area of the case study during the critical 21/12</w:t>
      </w:r>
      <w:r w:rsidR="002470DE">
        <w:rPr>
          <w:sz w:val="22"/>
          <w:szCs w:val="22"/>
        </w:rPr>
        <w:t xml:space="preserve"> when the different shading systems were implemented.</w:t>
      </w:r>
    </w:p>
    <w:p w14:paraId="465A1E4B" w14:textId="77777777" w:rsidR="00271A7C" w:rsidRPr="00AA3D0C" w:rsidRDefault="00271A7C" w:rsidP="00755A79">
      <w:pPr>
        <w:jc w:val="both"/>
        <w:rPr>
          <w:i/>
          <w:sz w:val="20"/>
          <w:szCs w:val="20"/>
        </w:rPr>
      </w:pPr>
    </w:p>
    <w:p w14:paraId="4173D3EA" w14:textId="3A33AB94" w:rsidR="0059331F" w:rsidRDefault="00B00B30" w:rsidP="004046FE">
      <w:pPr>
        <w:jc w:val="center"/>
      </w:pPr>
      <w:r>
        <w:rPr>
          <w:noProof/>
          <w:lang w:eastAsia="en-GB"/>
        </w:rPr>
        <w:lastRenderedPageBreak/>
        <w:drawing>
          <wp:inline distT="0" distB="0" distL="0" distR="0" wp14:anchorId="5D34BD7A" wp14:editId="2571CF67">
            <wp:extent cx="4592548" cy="6524408"/>
            <wp:effectExtent l="0" t="0" r="0" b="0"/>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4631336" cy="6579513"/>
                    </a:xfrm>
                    <a:prstGeom prst="rect">
                      <a:avLst/>
                    </a:prstGeom>
                    <a:noFill/>
                    <a:ln>
                      <a:noFill/>
                    </a:ln>
                  </pic:spPr>
                </pic:pic>
              </a:graphicData>
            </a:graphic>
          </wp:inline>
        </w:drawing>
      </w:r>
    </w:p>
    <w:p w14:paraId="6E7E872E" w14:textId="478B2F8F" w:rsidR="0059331F" w:rsidRDefault="0059331F" w:rsidP="002B7D6E"/>
    <w:p w14:paraId="34D94C9B" w14:textId="436C0A05" w:rsidR="0059331F" w:rsidRDefault="0059331F" w:rsidP="002B7D6E">
      <w:pPr>
        <w:rPr>
          <w:i/>
          <w:sz w:val="20"/>
          <w:szCs w:val="20"/>
        </w:rPr>
      </w:pPr>
      <w:r w:rsidRPr="00AA3D0C">
        <w:rPr>
          <w:i/>
          <w:sz w:val="20"/>
          <w:szCs w:val="20"/>
        </w:rPr>
        <w:t xml:space="preserve">Figure </w:t>
      </w:r>
      <w:r w:rsidR="000F310C">
        <w:rPr>
          <w:i/>
          <w:sz w:val="20"/>
          <w:szCs w:val="20"/>
        </w:rPr>
        <w:t>1</w:t>
      </w:r>
      <w:r w:rsidR="004046FE">
        <w:rPr>
          <w:i/>
          <w:sz w:val="20"/>
          <w:szCs w:val="20"/>
        </w:rPr>
        <w:t>5</w:t>
      </w:r>
      <w:r w:rsidRPr="00AA3D0C">
        <w:rPr>
          <w:i/>
          <w:sz w:val="20"/>
          <w:szCs w:val="20"/>
        </w:rPr>
        <w:t xml:space="preserve">: </w:t>
      </w:r>
      <w:r>
        <w:rPr>
          <w:i/>
          <w:sz w:val="20"/>
          <w:szCs w:val="20"/>
        </w:rPr>
        <w:t>STG distribution in the tested area dur</w:t>
      </w:r>
      <w:r w:rsidRPr="00AA3D0C">
        <w:rPr>
          <w:i/>
          <w:sz w:val="20"/>
          <w:szCs w:val="20"/>
        </w:rPr>
        <w:t>ing the 21</w:t>
      </w:r>
      <w:r w:rsidRPr="00AA3D0C">
        <w:rPr>
          <w:i/>
          <w:sz w:val="20"/>
          <w:szCs w:val="20"/>
          <w:vertAlign w:val="superscript"/>
        </w:rPr>
        <w:t>st</w:t>
      </w:r>
      <w:r w:rsidRPr="00AA3D0C">
        <w:rPr>
          <w:i/>
          <w:sz w:val="20"/>
          <w:szCs w:val="20"/>
        </w:rPr>
        <w:t xml:space="preserve"> of </w:t>
      </w:r>
      <w:r>
        <w:rPr>
          <w:i/>
          <w:sz w:val="20"/>
          <w:szCs w:val="20"/>
        </w:rPr>
        <w:t>December</w:t>
      </w:r>
      <w:r w:rsidR="00AC2CA5">
        <w:rPr>
          <w:rStyle w:val="FootnoteReference"/>
          <w:i/>
          <w:sz w:val="20"/>
          <w:szCs w:val="20"/>
        </w:rPr>
        <w:footnoteReference w:id="16"/>
      </w:r>
      <w:r w:rsidRPr="00AA3D0C">
        <w:rPr>
          <w:i/>
          <w:sz w:val="20"/>
          <w:szCs w:val="20"/>
        </w:rPr>
        <w:t>.</w:t>
      </w:r>
    </w:p>
    <w:p w14:paraId="512EE24F" w14:textId="697459E9" w:rsidR="004046FE" w:rsidRDefault="004046FE" w:rsidP="002B7D6E">
      <w:pPr>
        <w:rPr>
          <w:sz w:val="22"/>
          <w:szCs w:val="22"/>
        </w:rPr>
      </w:pPr>
    </w:p>
    <w:p w14:paraId="2FAA2865" w14:textId="2DDC81FC" w:rsidR="004046FE" w:rsidRDefault="004046FE" w:rsidP="002B7D6E">
      <w:pPr>
        <w:rPr>
          <w:sz w:val="22"/>
          <w:szCs w:val="22"/>
        </w:rPr>
      </w:pPr>
    </w:p>
    <w:p w14:paraId="7F736B79" w14:textId="77777777" w:rsidR="004046FE" w:rsidRDefault="004046FE" w:rsidP="002B7D6E">
      <w:pPr>
        <w:rPr>
          <w:sz w:val="22"/>
          <w:szCs w:val="22"/>
        </w:rPr>
      </w:pPr>
    </w:p>
    <w:p w14:paraId="720C7168" w14:textId="2EFB6B70" w:rsidR="0059331F" w:rsidRDefault="00D47E6B" w:rsidP="002B7D6E">
      <w:r w:rsidRPr="00AA3D0C">
        <w:rPr>
          <w:sz w:val="22"/>
          <w:szCs w:val="22"/>
        </w:rPr>
        <w:lastRenderedPageBreak/>
        <w:t>It was found that, in both cases the glare risk could be expanded in the 50% of the area, though, the roller shades had a slightly decreased glare possibility</w:t>
      </w:r>
      <w:r>
        <w:rPr>
          <w:sz w:val="22"/>
          <w:szCs w:val="22"/>
        </w:rPr>
        <w:t xml:space="preserve">. Figure </w:t>
      </w:r>
      <w:r w:rsidR="000F310C">
        <w:rPr>
          <w:sz w:val="22"/>
          <w:szCs w:val="22"/>
        </w:rPr>
        <w:t>1</w:t>
      </w:r>
      <w:r w:rsidR="004046FE">
        <w:rPr>
          <w:sz w:val="22"/>
          <w:szCs w:val="22"/>
        </w:rPr>
        <w:t>6</w:t>
      </w:r>
      <w:r>
        <w:rPr>
          <w:sz w:val="22"/>
          <w:szCs w:val="22"/>
        </w:rPr>
        <w:t xml:space="preserve"> </w:t>
      </w:r>
      <w:r w:rsidR="002470DE">
        <w:rPr>
          <w:sz w:val="22"/>
          <w:szCs w:val="22"/>
        </w:rPr>
        <w:t>presents the STG distribution of the roller shades with 5% OF during the 21/12 and 5/3.</w:t>
      </w:r>
    </w:p>
    <w:p w14:paraId="0A490B8D" w14:textId="373D448E" w:rsidR="002B7D6E" w:rsidRPr="00AA3D0C" w:rsidRDefault="002B7D6E" w:rsidP="002B7D6E"/>
    <w:p w14:paraId="6995150B" w14:textId="60345F26" w:rsidR="002B7D6E" w:rsidRPr="00AA3D0C" w:rsidRDefault="004046FE" w:rsidP="002B7D6E">
      <w:r>
        <w:rPr>
          <w:noProof/>
          <w:lang w:eastAsia="en-GB"/>
        </w:rPr>
        <w:drawing>
          <wp:inline distT="0" distB="0" distL="0" distR="0" wp14:anchorId="038170B5" wp14:editId="5BD6F2FB">
            <wp:extent cx="5181600" cy="1912620"/>
            <wp:effectExtent l="0" t="0" r="0" b="0"/>
            <wp:docPr id="200" name="Picture 2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5181600" cy="1912620"/>
                    </a:xfrm>
                    <a:prstGeom prst="rect">
                      <a:avLst/>
                    </a:prstGeom>
                    <a:noFill/>
                    <a:ln>
                      <a:noFill/>
                    </a:ln>
                  </pic:spPr>
                </pic:pic>
              </a:graphicData>
            </a:graphic>
          </wp:inline>
        </w:drawing>
      </w:r>
    </w:p>
    <w:p w14:paraId="17554627" w14:textId="61AA0531" w:rsidR="002B7D6E" w:rsidRPr="00AA3D0C" w:rsidRDefault="002B7D6E" w:rsidP="008C7A0F">
      <w:pPr>
        <w:spacing w:before="240"/>
        <w:jc w:val="both"/>
        <w:rPr>
          <w:i/>
          <w:sz w:val="20"/>
          <w:szCs w:val="20"/>
        </w:rPr>
      </w:pPr>
      <w:r w:rsidRPr="00AA3D0C">
        <w:rPr>
          <w:i/>
          <w:sz w:val="20"/>
          <w:szCs w:val="20"/>
        </w:rPr>
        <w:t>Figure 1</w:t>
      </w:r>
      <w:r w:rsidR="004046FE">
        <w:rPr>
          <w:i/>
          <w:sz w:val="20"/>
          <w:szCs w:val="20"/>
        </w:rPr>
        <w:t>6</w:t>
      </w:r>
      <w:r w:rsidRPr="00AA3D0C">
        <w:rPr>
          <w:i/>
          <w:sz w:val="20"/>
          <w:szCs w:val="20"/>
        </w:rPr>
        <w:t>: STG detail showing the glare distribution in space during the 21</w:t>
      </w:r>
      <w:r w:rsidR="0051218A" w:rsidRPr="00AA3D0C">
        <w:rPr>
          <w:i/>
          <w:sz w:val="20"/>
          <w:szCs w:val="20"/>
        </w:rPr>
        <w:t>/12</w:t>
      </w:r>
      <w:r w:rsidRPr="00AA3D0C">
        <w:rPr>
          <w:i/>
          <w:sz w:val="20"/>
          <w:szCs w:val="20"/>
        </w:rPr>
        <w:t xml:space="preserve"> and 5</w:t>
      </w:r>
      <w:r w:rsidR="0051218A" w:rsidRPr="00AA3D0C">
        <w:rPr>
          <w:i/>
          <w:sz w:val="20"/>
          <w:szCs w:val="20"/>
        </w:rPr>
        <w:t>/3</w:t>
      </w:r>
      <w:r w:rsidR="00B00B30">
        <w:rPr>
          <w:i/>
          <w:sz w:val="20"/>
          <w:szCs w:val="20"/>
        </w:rPr>
        <w:t xml:space="preserve"> (DGP values)</w:t>
      </w:r>
      <w:r w:rsidRPr="00AA3D0C">
        <w:rPr>
          <w:i/>
          <w:sz w:val="20"/>
          <w:szCs w:val="20"/>
        </w:rPr>
        <w:t>.</w:t>
      </w:r>
    </w:p>
    <w:p w14:paraId="150722DE" w14:textId="41F509C3" w:rsidR="004046FE" w:rsidRDefault="0059331F" w:rsidP="0059331F">
      <w:pPr>
        <w:spacing w:before="240"/>
        <w:jc w:val="both"/>
        <w:rPr>
          <w:sz w:val="22"/>
          <w:szCs w:val="22"/>
        </w:rPr>
      </w:pPr>
      <w:r w:rsidRPr="00AA3D0C">
        <w:rPr>
          <w:sz w:val="22"/>
          <w:szCs w:val="22"/>
        </w:rPr>
        <w:t xml:space="preserve">The two </w:t>
      </w:r>
      <w:proofErr w:type="gramStart"/>
      <w:r w:rsidRPr="00AA3D0C">
        <w:rPr>
          <w:sz w:val="22"/>
          <w:szCs w:val="22"/>
        </w:rPr>
        <w:t>aforementioned shading</w:t>
      </w:r>
      <w:proofErr w:type="gramEnd"/>
      <w:r w:rsidRPr="00AA3D0C">
        <w:rPr>
          <w:sz w:val="22"/>
          <w:szCs w:val="22"/>
        </w:rPr>
        <w:t xml:space="preserve"> systems</w:t>
      </w:r>
      <w:r w:rsidR="0036034E">
        <w:rPr>
          <w:sz w:val="22"/>
          <w:szCs w:val="22"/>
        </w:rPr>
        <w:t>,</w:t>
      </w:r>
      <w:r w:rsidRPr="00AA3D0C">
        <w:rPr>
          <w:sz w:val="22"/>
          <w:szCs w:val="22"/>
        </w:rPr>
        <w:t xml:space="preserve"> that showed the lowest values of glare risk, were compared in terms of illuminance levels and the possible area availability without glare problems (Figure 1</w:t>
      </w:r>
      <w:r w:rsidR="004046FE">
        <w:rPr>
          <w:sz w:val="22"/>
          <w:szCs w:val="22"/>
        </w:rPr>
        <w:t>7</w:t>
      </w:r>
      <w:r w:rsidRPr="00AA3D0C">
        <w:rPr>
          <w:sz w:val="22"/>
          <w:szCs w:val="22"/>
        </w:rPr>
        <w:t xml:space="preserve">a). Based on the analysis, the roller shades provided illuminance levels below the limit of 300lx in the whole space. The venetian blinds, on the other hand, resulted in low illuminance levels only </w:t>
      </w:r>
      <w:r w:rsidR="00E4179F">
        <w:rPr>
          <w:sz w:val="22"/>
          <w:szCs w:val="22"/>
        </w:rPr>
        <w:t>in</w:t>
      </w:r>
      <w:r w:rsidRPr="00AA3D0C">
        <w:rPr>
          <w:sz w:val="22"/>
          <w:szCs w:val="22"/>
        </w:rPr>
        <w:t xml:space="preserve"> 43% of the space. By searching in more </w:t>
      </w:r>
      <w:proofErr w:type="gramStart"/>
      <w:r w:rsidRPr="00AA3D0C">
        <w:rPr>
          <w:sz w:val="22"/>
          <w:szCs w:val="22"/>
        </w:rPr>
        <w:t>detail</w:t>
      </w:r>
      <w:proofErr w:type="gramEnd"/>
      <w:r w:rsidRPr="00AA3D0C">
        <w:rPr>
          <w:sz w:val="22"/>
          <w:szCs w:val="22"/>
        </w:rPr>
        <w:t xml:space="preserve"> the space availability, it was found that the roller shades had a sharp change in the possible glare safe area during the studied time, in contrast to the venetian blinds, as s</w:t>
      </w:r>
      <w:r w:rsidR="00E4179F">
        <w:rPr>
          <w:sz w:val="22"/>
          <w:szCs w:val="22"/>
        </w:rPr>
        <w:t>hown in</w:t>
      </w:r>
      <w:r w:rsidRPr="00AA3D0C">
        <w:rPr>
          <w:sz w:val="22"/>
          <w:szCs w:val="22"/>
        </w:rPr>
        <w:t xml:space="preserve"> Figure 1</w:t>
      </w:r>
      <w:r w:rsidR="004046FE">
        <w:rPr>
          <w:sz w:val="22"/>
          <w:szCs w:val="22"/>
        </w:rPr>
        <w:t>7</w:t>
      </w:r>
      <w:r w:rsidRPr="00AA3D0C">
        <w:rPr>
          <w:sz w:val="22"/>
          <w:szCs w:val="22"/>
        </w:rPr>
        <w:t>b, fluctuating between 100% and 30%.</w:t>
      </w:r>
    </w:p>
    <w:p w14:paraId="2CD4395F" w14:textId="77777777" w:rsidR="004046FE" w:rsidRPr="00AA3D0C" w:rsidRDefault="004046FE" w:rsidP="0059331F">
      <w:pPr>
        <w:spacing w:before="240"/>
        <w:jc w:val="both"/>
        <w:rPr>
          <w:sz w:val="22"/>
          <w:szCs w:val="22"/>
        </w:rPr>
      </w:pPr>
    </w:p>
    <w:p w14:paraId="0A92A379" w14:textId="7342F3F5" w:rsidR="0059331F" w:rsidRPr="00AA3D0C" w:rsidRDefault="004046FE" w:rsidP="004046FE">
      <w:r>
        <w:rPr>
          <w:noProof/>
          <w:lang w:eastAsia="en-GB"/>
        </w:rPr>
        <w:drawing>
          <wp:inline distT="0" distB="0" distL="0" distR="0" wp14:anchorId="34DC6841" wp14:editId="7F802CC8">
            <wp:extent cx="5181600" cy="2543810"/>
            <wp:effectExtent l="0" t="0" r="0" b="8890"/>
            <wp:docPr id="201" name="Picture 2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5181600" cy="2543810"/>
                    </a:xfrm>
                    <a:prstGeom prst="rect">
                      <a:avLst/>
                    </a:prstGeom>
                    <a:noFill/>
                    <a:ln>
                      <a:noFill/>
                    </a:ln>
                  </pic:spPr>
                </pic:pic>
              </a:graphicData>
            </a:graphic>
          </wp:inline>
        </w:drawing>
      </w:r>
    </w:p>
    <w:p w14:paraId="3495F970" w14:textId="12C5811E" w:rsidR="0059331F" w:rsidRPr="00AA3D0C" w:rsidRDefault="0059331F" w:rsidP="0059331F">
      <w:pPr>
        <w:spacing w:before="240"/>
        <w:jc w:val="both"/>
      </w:pPr>
      <w:r w:rsidRPr="00AA3D0C">
        <w:rPr>
          <w:i/>
          <w:sz w:val="20"/>
          <w:szCs w:val="20"/>
        </w:rPr>
        <w:t>Figure 1</w:t>
      </w:r>
      <w:r w:rsidR="004046FE">
        <w:rPr>
          <w:i/>
          <w:sz w:val="20"/>
          <w:szCs w:val="20"/>
        </w:rPr>
        <w:t>7</w:t>
      </w:r>
      <w:r w:rsidRPr="00AA3D0C">
        <w:rPr>
          <w:i/>
          <w:sz w:val="20"/>
          <w:szCs w:val="20"/>
        </w:rPr>
        <w:t>a: Section of the studied geometry presenting the average illuminance levels during the 21/12 with different shading systems. Figure 1</w:t>
      </w:r>
      <w:r w:rsidR="004046FE">
        <w:rPr>
          <w:i/>
          <w:sz w:val="20"/>
          <w:szCs w:val="20"/>
        </w:rPr>
        <w:t>7</w:t>
      </w:r>
      <w:r w:rsidRPr="00AA3D0C">
        <w:rPr>
          <w:i/>
          <w:sz w:val="20"/>
          <w:szCs w:val="20"/>
        </w:rPr>
        <w:t>b: Graph showing the average area (according to DGP-DGI) where TPG ≤ 50% (or 40% for DGI), with different shading systems during 21/12.</w:t>
      </w:r>
    </w:p>
    <w:p w14:paraId="0B4215FF" w14:textId="6A67D40F" w:rsidR="002B7D6E" w:rsidRDefault="002B7D6E" w:rsidP="002B7D6E">
      <w:pPr>
        <w:pStyle w:val="Rubrik1-Byfy"/>
      </w:pPr>
      <w:bookmarkStart w:id="35" w:name="_Toc532751583"/>
      <w:r w:rsidRPr="00AA3D0C">
        <w:lastRenderedPageBreak/>
        <w:t>Discussion</w:t>
      </w:r>
      <w:bookmarkEnd w:id="35"/>
    </w:p>
    <w:p w14:paraId="79CF4CF9" w14:textId="4A490CC6" w:rsidR="007B2A5E" w:rsidRPr="00AA3D0C" w:rsidRDefault="007B2A5E" w:rsidP="008C63D2">
      <w:pPr>
        <w:pStyle w:val="Heading2"/>
      </w:pPr>
      <w:bookmarkStart w:id="36" w:name="_Toc532751584"/>
      <w:r>
        <w:t>The conceptual framework</w:t>
      </w:r>
      <w:bookmarkEnd w:id="36"/>
    </w:p>
    <w:p w14:paraId="01528F3D" w14:textId="27BA38C2" w:rsidR="001D31D5" w:rsidRPr="00027E64" w:rsidRDefault="001D31D5" w:rsidP="008C63D2">
      <w:pPr>
        <w:pStyle w:val="Heading3"/>
        <w:rPr>
          <w:rFonts w:cs="Times New Roman"/>
        </w:rPr>
      </w:pPr>
      <w:bookmarkStart w:id="37" w:name="_Toc532751585"/>
      <w:r w:rsidRPr="008C63D2">
        <w:rPr>
          <w:rFonts w:ascii="Times New Roman" w:hAnsi="Times New Roman" w:cs="Times New Roman"/>
        </w:rPr>
        <w:t>Adaptation possibility</w:t>
      </w:r>
      <w:bookmarkEnd w:id="37"/>
    </w:p>
    <w:p w14:paraId="574DC218" w14:textId="64A267A0" w:rsidR="002B7D6E" w:rsidRPr="005D7766" w:rsidRDefault="002B7D6E" w:rsidP="002B7D6E">
      <w:pPr>
        <w:pStyle w:val="Normal-Byfy"/>
        <w:jc w:val="both"/>
      </w:pPr>
      <w:proofErr w:type="spellStart"/>
      <w:r w:rsidRPr="007D76FD">
        <w:t>G</w:t>
      </w:r>
      <w:r w:rsidRPr="00435292">
        <w:rPr>
          <w:vertAlign w:val="subscript"/>
        </w:rPr>
        <w:t>dir</w:t>
      </w:r>
      <w:proofErr w:type="spellEnd"/>
      <w:r w:rsidRPr="00435292">
        <w:t xml:space="preserve"> was multiplied according to the proximity to the window</w:t>
      </w:r>
      <w:r w:rsidR="00675AE8" w:rsidRPr="005A13D2">
        <w:t>,</w:t>
      </w:r>
      <w:r w:rsidR="00675AE8" w:rsidRPr="005D7766">
        <w:t xml:space="preserve"> in order to introduce to the weighting system</w:t>
      </w:r>
      <w:r w:rsidR="009762B9" w:rsidRPr="005D7766">
        <w:t>,</w:t>
      </w:r>
      <w:r w:rsidRPr="005D7766">
        <w:t xml:space="preserve"> the</w:t>
      </w:r>
      <w:r w:rsidR="00675AE8" w:rsidRPr="005D7766">
        <w:t xml:space="preserve"> parameter of the</w:t>
      </w:r>
      <w:r w:rsidRPr="005D7766">
        <w:t xml:space="preserve"> increased </w:t>
      </w:r>
      <w:r w:rsidR="00675AE8" w:rsidRPr="005D7766">
        <w:t xml:space="preserve">glare risk </w:t>
      </w:r>
      <w:r w:rsidRPr="005D7766">
        <w:t xml:space="preserve">severity when approaching closer the non-uniform glare source. However, this space weighting system derived after </w:t>
      </w:r>
      <w:r w:rsidR="008153BB" w:rsidRPr="005D7766">
        <w:t xml:space="preserve">hypothesis </w:t>
      </w:r>
      <w:r w:rsidRPr="005D7766">
        <w:t xml:space="preserve">during the current thesis. A possible empirical study upon this dependence </w:t>
      </w:r>
      <w:r w:rsidR="0084026A" w:rsidRPr="005D7766">
        <w:t>will certainly</w:t>
      </w:r>
      <w:r w:rsidRPr="005D7766">
        <w:t xml:space="preserve"> reveal another weighting system, which </w:t>
      </w:r>
      <w:r w:rsidR="00E4179F">
        <w:t>is</w:t>
      </w:r>
      <w:r w:rsidRPr="005D7766">
        <w:t xml:space="preserve"> considered important for the future research </w:t>
      </w:r>
      <w:r w:rsidR="00E4179F">
        <w:t>i</w:t>
      </w:r>
      <w:r w:rsidRPr="005D7766">
        <w:t>n this field.</w:t>
      </w:r>
    </w:p>
    <w:p w14:paraId="5D1BEFA1" w14:textId="39FB5C71" w:rsidR="002B7D6E" w:rsidRPr="005D7766" w:rsidRDefault="002B7D6E" w:rsidP="002B7D6E">
      <w:pPr>
        <w:jc w:val="both"/>
        <w:rPr>
          <w:sz w:val="22"/>
          <w:szCs w:val="22"/>
        </w:rPr>
      </w:pPr>
      <w:r w:rsidRPr="005D7766">
        <w:rPr>
          <w:sz w:val="22"/>
          <w:szCs w:val="22"/>
        </w:rPr>
        <w:t xml:space="preserve">A recent study, presented by </w:t>
      </w:r>
      <w:proofErr w:type="spellStart"/>
      <w:r w:rsidRPr="005D7766">
        <w:rPr>
          <w:sz w:val="22"/>
          <w:szCs w:val="22"/>
        </w:rPr>
        <w:t>Bian</w:t>
      </w:r>
      <w:proofErr w:type="spellEnd"/>
      <w:r w:rsidRPr="005D7766">
        <w:rPr>
          <w:sz w:val="22"/>
          <w:szCs w:val="22"/>
        </w:rPr>
        <w:t xml:space="preserve"> and Ma </w:t>
      </w:r>
      <w:r w:rsidRPr="00435292">
        <w:rPr>
          <w:sz w:val="22"/>
          <w:szCs w:val="22"/>
        </w:rPr>
        <w:fldChar w:fldCharType="begin" w:fldLock="1"/>
      </w:r>
      <w:r w:rsidR="004F26FE" w:rsidRPr="005D7766">
        <w:rPr>
          <w:sz w:val="22"/>
          <w:szCs w:val="22"/>
        </w:rPr>
        <w:instrText>ADDIN CSL_CITATION { "citationItems" : [ { "id" : "ITEM-1", "itemData" : { "DOI" : "10.1016/j.buildenv.2018.01.007", "ISSN" : "0360-1323", "abstract" : "Based on the fundamental of instantaneous assessment of visual comfort evaluations, the novelty of this research is the idea to go beyond the instantaneous assess approach and to consider the duration time in predicting visual comfort issues, aims to explore the relationship between human discomfort perceptions and glare integral in time. Subjective survey and 6-min time interval glare metric simulations were taken place in four east-facing test rooms in Guangzhou, China. 16 volunteers participated in this survey from July 6th to Sep 3rd, 2017, all participants ranked the visual discomfort condition three times a day in morning/midday/afternoon. The metric calculation method used in this research was validated in the test room in Guangzhou. The results of this survey illustrated that enhanced simplified DGP (eDGPs) is capable to replace full-rendered DGP in predicting time-based visual comfort issues, and eDGPs has the advantage of being able to be rapid calculated in long-term survey or analysis. Moreover, there existed a strong correlation between the duration time above certain visual comfort thresholds with reported time-based visual comfort. The trigger duration time of 0.45 &gt; eDGPs = 0.40 is 12 min that occupant could evaluate the space visual intolerable and the corresponding median duration time is no less than 24 min. Meanwhile, the median duration time of 0.40 &gt; eDGPs = 0.35 is 6 min that a subject could rank the office space visual disturbing. The trigger duration time of 0.35 &gt; eDGPs = 0.30 is 6 min and the median value is 18 min that subject could probably evaluate the room space as glare perceptible. \ufffd 2018 Elsevier Ltd", "author" : [ { "dropping-particle" : "", "family" : "Bian", "given" : "Y", "non-dropping-particle" : "", "parse-names" : false, "suffix" : "" }, { "dropping-particle" : "", "family" : "Ma", "given" : "Y", "non-dropping-particle" : "", "parse-names" : false, "suffix" : "" } ], "container-title" : "Building and Environment", "id" : "ITEM-1", "issued" : { "date-parts" : [ [ "2018" ] ] }, "page" : "63-73", "publisher" : "Elsevier Ltd", "publisher-place" : "Affiliation: School of Architecture, State Key Laboratory of Subtropical Building Science, South China University of Technology, Guangzhou, Guangdong, China; Affiliation: Low-Carbon Ecological Urban &amp; Rural Research Center, College of Architecture &amp; Urban", "title" : "Subjective survey &amp; simulation analysis of time-based visual comfort in daylit spaces", "type" : "article-journal", "volume" : "131" }, "uris" : [ "http://www.mendeley.com/documents/?uuid=4c0ef467-b2fe-4dc6-95ea-069dad0dab69", "http://www.mendeley.com/documents/?uuid=5d24c61a-9bb2-4211-a725-843fe502aaa2" ] } ], "mendeley" : { "formattedCitation" : "(Bian and Ma, 2018)", "manualFormatting" : "(2018)", "plainTextFormattedCitation" : "(Bian and Ma, 2018)", "previouslyFormattedCitation" : "(Bian and Ma, 2018)" }, "properties" : { "noteIndex" : 0 }, "schema" : "https://github.com/citation-style-language/schema/raw/master/csl-citation.json" }</w:instrText>
      </w:r>
      <w:r w:rsidRPr="00435292">
        <w:rPr>
          <w:sz w:val="22"/>
          <w:szCs w:val="22"/>
        </w:rPr>
        <w:fldChar w:fldCharType="separate"/>
      </w:r>
      <w:r w:rsidRPr="00435292">
        <w:rPr>
          <w:noProof/>
          <w:sz w:val="22"/>
          <w:szCs w:val="22"/>
        </w:rPr>
        <w:t>(2018)</w:t>
      </w:r>
      <w:r w:rsidRPr="00435292">
        <w:rPr>
          <w:sz w:val="22"/>
          <w:szCs w:val="22"/>
        </w:rPr>
        <w:fldChar w:fldCharType="end"/>
      </w:r>
      <w:r w:rsidRPr="007D76FD">
        <w:rPr>
          <w:sz w:val="22"/>
          <w:szCs w:val="22"/>
        </w:rPr>
        <w:t>, indicated the possibility for a more specific time-based glare</w:t>
      </w:r>
      <w:r w:rsidR="0032201F" w:rsidRPr="00435292">
        <w:rPr>
          <w:sz w:val="22"/>
          <w:szCs w:val="22"/>
        </w:rPr>
        <w:t xml:space="preserve"> </w:t>
      </w:r>
      <w:r w:rsidRPr="00435292">
        <w:rPr>
          <w:sz w:val="22"/>
          <w:szCs w:val="22"/>
        </w:rPr>
        <w:t>analysis</w:t>
      </w:r>
      <w:r w:rsidR="00E57480" w:rsidRPr="005A13D2">
        <w:rPr>
          <w:sz w:val="22"/>
          <w:szCs w:val="22"/>
        </w:rPr>
        <w:t xml:space="preserve"> that could influence the time parameter of the tested weighting system</w:t>
      </w:r>
      <w:r w:rsidRPr="005D7766">
        <w:rPr>
          <w:sz w:val="22"/>
          <w:szCs w:val="22"/>
        </w:rPr>
        <w:t xml:space="preserve">. According to this research, there is, in fact, an interrelation between the glare tolerance and the time duration. Since, the time step of their analysis was less than an hour, their rating was not implemented in the weighting system of this thesis. However, in the future, such detailed but also long-term time acceptability of glare conditions could contribute significantly to the glare evaluation. </w:t>
      </w:r>
    </w:p>
    <w:p w14:paraId="13C4E1C9" w14:textId="77777777" w:rsidR="002B7D6E" w:rsidRPr="005D7766" w:rsidRDefault="002B7D6E" w:rsidP="002B7D6E">
      <w:pPr>
        <w:jc w:val="both"/>
        <w:rPr>
          <w:sz w:val="22"/>
          <w:szCs w:val="22"/>
        </w:rPr>
      </w:pPr>
    </w:p>
    <w:p w14:paraId="03169DE3" w14:textId="4674A13A" w:rsidR="00E57480" w:rsidRPr="005D7766" w:rsidRDefault="00911A4E" w:rsidP="002B7D6E">
      <w:pPr>
        <w:pStyle w:val="Normal-Byfy"/>
        <w:jc w:val="both"/>
      </w:pPr>
      <w:r w:rsidRPr="005D7766">
        <w:t>I</w:t>
      </w:r>
      <w:r w:rsidR="002B7D6E" w:rsidRPr="005D7766">
        <w:t xml:space="preserve">t was a fact that testing multiple observer positions and gaze directions demanded an increased computational time. </w:t>
      </w:r>
      <w:r w:rsidR="0032201F" w:rsidRPr="005D7766">
        <w:t>The rendering of all those necessary pictures</w:t>
      </w:r>
      <w:r w:rsidR="007F7012" w:rsidRPr="005D7766">
        <w:rPr>
          <w:lang w:val="el-GR"/>
        </w:rPr>
        <w:t xml:space="preserve"> </w:t>
      </w:r>
      <w:r w:rsidR="007F7012" w:rsidRPr="005D7766">
        <w:t xml:space="preserve">was </w:t>
      </w:r>
      <w:r w:rsidR="00504449" w:rsidRPr="005D7766">
        <w:t xml:space="preserve">more </w:t>
      </w:r>
      <w:r w:rsidR="007F7012" w:rsidRPr="005D7766">
        <w:t xml:space="preserve">time-consuming </w:t>
      </w:r>
      <w:r w:rsidR="00504449" w:rsidRPr="005D7766">
        <w:t>compared to</w:t>
      </w:r>
      <w:r w:rsidR="007F7012" w:rsidRPr="005D7766">
        <w:t xml:space="preserve"> the calculations regarding the adaptation possibility. </w:t>
      </w:r>
      <w:r w:rsidR="002B7D6E" w:rsidRPr="005D7766">
        <w:t xml:space="preserve">However, even though </w:t>
      </w:r>
      <w:proofErr w:type="spellStart"/>
      <w:r w:rsidR="002B7D6E" w:rsidRPr="005D7766">
        <w:t>Accelerad</w:t>
      </w:r>
      <w:proofErr w:type="spellEnd"/>
      <w:r w:rsidR="002B7D6E" w:rsidRPr="005D7766">
        <w:t xml:space="preserve"> was not, eventually, preferred over Radiance, could be suggested for future implementation on the method for a further reduction of the computational time.</w:t>
      </w:r>
    </w:p>
    <w:p w14:paraId="15B3B3FB" w14:textId="71C7C74D" w:rsidR="001D31D5" w:rsidRPr="00027E64" w:rsidRDefault="001D31D5" w:rsidP="008C63D2">
      <w:pPr>
        <w:pStyle w:val="Heading3"/>
        <w:rPr>
          <w:rFonts w:cs="Times New Roman"/>
        </w:rPr>
      </w:pPr>
      <w:bookmarkStart w:id="38" w:name="_Toc532751586"/>
      <w:r w:rsidRPr="008C63D2">
        <w:rPr>
          <w:rFonts w:ascii="Times New Roman" w:hAnsi="Times New Roman" w:cs="Times New Roman"/>
        </w:rPr>
        <w:t>TPG and STG</w:t>
      </w:r>
      <w:bookmarkEnd w:id="38"/>
    </w:p>
    <w:p w14:paraId="2A0C659A" w14:textId="77421247" w:rsidR="002B7D6E" w:rsidRPr="002B0EF3" w:rsidRDefault="00BC2EC7" w:rsidP="002B7D6E">
      <w:pPr>
        <w:spacing w:before="240"/>
        <w:jc w:val="both"/>
        <w:rPr>
          <w:sz w:val="22"/>
          <w:szCs w:val="22"/>
        </w:rPr>
      </w:pPr>
      <w:r w:rsidRPr="002B0EF3">
        <w:rPr>
          <w:sz w:val="22"/>
          <w:szCs w:val="22"/>
        </w:rPr>
        <w:t>Independently from the weighting system, the TPG concept introduces areas at</w:t>
      </w:r>
      <w:r w:rsidR="002B7D6E" w:rsidRPr="002B0EF3">
        <w:rPr>
          <w:sz w:val="22"/>
          <w:szCs w:val="22"/>
        </w:rPr>
        <w:t xml:space="preserve"> lower risk for glare </w:t>
      </w:r>
      <w:r w:rsidRPr="002B0EF3">
        <w:rPr>
          <w:sz w:val="22"/>
          <w:szCs w:val="22"/>
        </w:rPr>
        <w:t>and,</w:t>
      </w:r>
      <w:r w:rsidR="002B7D6E" w:rsidRPr="002B0EF3">
        <w:rPr>
          <w:sz w:val="22"/>
          <w:szCs w:val="22"/>
        </w:rPr>
        <w:t xml:space="preserve"> thus</w:t>
      </w:r>
      <w:r w:rsidRPr="002B0EF3">
        <w:rPr>
          <w:sz w:val="22"/>
          <w:szCs w:val="22"/>
        </w:rPr>
        <w:t>,</w:t>
      </w:r>
      <w:r w:rsidR="002B7D6E" w:rsidRPr="002B0EF3">
        <w:rPr>
          <w:sz w:val="22"/>
          <w:szCs w:val="22"/>
        </w:rPr>
        <w:t xml:space="preserve"> more suitable for furniture positioning. </w:t>
      </w:r>
      <w:r w:rsidR="008B1626" w:rsidRPr="002B0EF3">
        <w:rPr>
          <w:sz w:val="22"/>
          <w:szCs w:val="22"/>
        </w:rPr>
        <w:t>For the exemplary cases in this thesis, for instance, approximately</w:t>
      </w:r>
      <w:r w:rsidR="002B7D6E" w:rsidRPr="002B0EF3">
        <w:rPr>
          <w:sz w:val="22"/>
          <w:szCs w:val="22"/>
        </w:rPr>
        <w:t xml:space="preserve"> 50% of the space</w:t>
      </w:r>
      <w:r w:rsidR="002B0EF3" w:rsidRPr="002B0EF3">
        <w:rPr>
          <w:sz w:val="22"/>
          <w:szCs w:val="22"/>
        </w:rPr>
        <w:t xml:space="preserve"> </w:t>
      </w:r>
      <w:r w:rsidR="002B7D6E" w:rsidRPr="002B0EF3">
        <w:rPr>
          <w:sz w:val="22"/>
          <w:szCs w:val="22"/>
        </w:rPr>
        <w:t>was indicated as having less variations in space availability under all the shading systems</w:t>
      </w:r>
      <w:r w:rsidR="00B67786" w:rsidRPr="002B0EF3">
        <w:rPr>
          <w:sz w:val="22"/>
          <w:szCs w:val="22"/>
        </w:rPr>
        <w:t>, during the 21</w:t>
      </w:r>
      <w:r w:rsidR="00B67786" w:rsidRPr="002B0EF3">
        <w:rPr>
          <w:sz w:val="22"/>
          <w:szCs w:val="22"/>
          <w:vertAlign w:val="superscript"/>
        </w:rPr>
        <w:t>st</w:t>
      </w:r>
      <w:r w:rsidR="00B67786" w:rsidRPr="002B0EF3">
        <w:rPr>
          <w:sz w:val="22"/>
          <w:szCs w:val="22"/>
        </w:rPr>
        <w:t xml:space="preserve"> of December</w:t>
      </w:r>
      <w:r w:rsidR="002B7D6E" w:rsidRPr="002B0EF3">
        <w:rPr>
          <w:sz w:val="22"/>
          <w:szCs w:val="22"/>
        </w:rPr>
        <w:t xml:space="preserve">. </w:t>
      </w:r>
      <w:r w:rsidR="002B0EF3" w:rsidRPr="002B0EF3">
        <w:rPr>
          <w:sz w:val="22"/>
          <w:szCs w:val="22"/>
        </w:rPr>
        <w:t xml:space="preserve">This 50% was located 4m away from the window. </w:t>
      </w:r>
      <w:r w:rsidR="002B7D6E" w:rsidRPr="002B0EF3">
        <w:rPr>
          <w:sz w:val="22"/>
          <w:szCs w:val="22"/>
        </w:rPr>
        <w:t xml:space="preserve">Based on the TPG method and the resulted space distribution of glare per hour, the critical area for the performing of a demanding task would be approximately until 1.5m away from the window. </w:t>
      </w:r>
      <w:r w:rsidR="00911A4E">
        <w:rPr>
          <w:sz w:val="22"/>
          <w:szCs w:val="22"/>
        </w:rPr>
        <w:t>D</w:t>
      </w:r>
      <w:r w:rsidR="002B7D6E" w:rsidRPr="002B0EF3">
        <w:rPr>
          <w:sz w:val="22"/>
          <w:szCs w:val="22"/>
        </w:rPr>
        <w:t xml:space="preserve">uring sunrise, DGP indicated low glare risk in 100% of the space under roller shades with 5% OF, while almost 100% problematic area under the venetian blinds. </w:t>
      </w:r>
    </w:p>
    <w:p w14:paraId="38A27F04" w14:textId="77777777" w:rsidR="002A20CE" w:rsidRPr="002B0EF3" w:rsidRDefault="002B7D6E" w:rsidP="002B7D6E">
      <w:pPr>
        <w:spacing w:before="240"/>
        <w:jc w:val="both"/>
        <w:rPr>
          <w:sz w:val="22"/>
          <w:szCs w:val="22"/>
        </w:rPr>
      </w:pPr>
      <w:r w:rsidRPr="002B0EF3">
        <w:rPr>
          <w:sz w:val="22"/>
          <w:szCs w:val="22"/>
        </w:rPr>
        <w:t xml:space="preserve">Focusing only on the space availability provided by the roller shades throughout the day, it was notable that </w:t>
      </w:r>
      <w:r w:rsidR="002A20CE" w:rsidRPr="002B0EF3">
        <w:rPr>
          <w:sz w:val="22"/>
          <w:szCs w:val="22"/>
        </w:rPr>
        <w:t xml:space="preserve">the glare free space reached 100% during a small </w:t>
      </w:r>
      <w:proofErr w:type="gramStart"/>
      <w:r w:rsidR="002A20CE" w:rsidRPr="002B0EF3">
        <w:rPr>
          <w:sz w:val="22"/>
          <w:szCs w:val="22"/>
        </w:rPr>
        <w:t>period of time</w:t>
      </w:r>
      <w:proofErr w:type="gramEnd"/>
      <w:r w:rsidR="002A20CE" w:rsidRPr="002B0EF3">
        <w:rPr>
          <w:sz w:val="22"/>
          <w:szCs w:val="22"/>
        </w:rPr>
        <w:t xml:space="preserve">. However, </w:t>
      </w:r>
      <w:r w:rsidRPr="002B0EF3">
        <w:rPr>
          <w:sz w:val="22"/>
          <w:szCs w:val="22"/>
        </w:rPr>
        <w:t xml:space="preserve">the values fluctuated a lot between extremes. Such rapid variations in the percentage of the </w:t>
      </w:r>
      <w:r w:rsidR="00D16484" w:rsidRPr="002B0EF3">
        <w:rPr>
          <w:sz w:val="22"/>
          <w:szCs w:val="22"/>
        </w:rPr>
        <w:t xml:space="preserve">glare free </w:t>
      </w:r>
      <w:r w:rsidRPr="002B0EF3">
        <w:rPr>
          <w:sz w:val="22"/>
          <w:szCs w:val="22"/>
        </w:rPr>
        <w:t xml:space="preserve">area could </w:t>
      </w:r>
      <w:r w:rsidR="00D16484" w:rsidRPr="002B0EF3">
        <w:rPr>
          <w:sz w:val="22"/>
          <w:szCs w:val="22"/>
        </w:rPr>
        <w:t xml:space="preserve">have a </w:t>
      </w:r>
      <w:r w:rsidRPr="002B0EF3">
        <w:rPr>
          <w:sz w:val="22"/>
          <w:szCs w:val="22"/>
        </w:rPr>
        <w:t xml:space="preserve">negative </w:t>
      </w:r>
      <w:r w:rsidR="00D16484" w:rsidRPr="002B0EF3">
        <w:rPr>
          <w:sz w:val="22"/>
          <w:szCs w:val="22"/>
        </w:rPr>
        <w:t>impact</w:t>
      </w:r>
      <w:r w:rsidRPr="002B0EF3">
        <w:rPr>
          <w:sz w:val="22"/>
          <w:szCs w:val="22"/>
        </w:rPr>
        <w:t xml:space="preserve"> on visual comfort. </w:t>
      </w:r>
      <w:r w:rsidR="002A20CE" w:rsidRPr="002B0EF3">
        <w:rPr>
          <w:sz w:val="22"/>
          <w:szCs w:val="22"/>
        </w:rPr>
        <w:t>On the contrary, the venetian blinds seemed to have a more stable performance. In details, even though the values in this case did not reach 100% glare free area, they seemed to have a marginal fluctuation.</w:t>
      </w:r>
    </w:p>
    <w:p w14:paraId="4CEF8D86" w14:textId="77777777" w:rsidR="002B7D6E" w:rsidRPr="002B0EF3" w:rsidRDefault="002B7D6E" w:rsidP="002A20CE">
      <w:pPr>
        <w:pStyle w:val="Normal-Byfy"/>
        <w:spacing w:before="240"/>
        <w:jc w:val="both"/>
      </w:pPr>
      <w:r w:rsidRPr="002B0EF3">
        <w:t xml:space="preserve">Since the trend in all cases changed per hour, the evaluation of the shading devices could not be </w:t>
      </w:r>
      <w:r w:rsidR="00903E34" w:rsidRPr="002B0EF3">
        <w:t>carried</w:t>
      </w:r>
      <w:r w:rsidRPr="002B0EF3">
        <w:t xml:space="preserve"> out without the STG methodology. The fact that, the venetian blinds of 50% </w:t>
      </w:r>
      <w:r w:rsidRPr="002B0EF3">
        <w:lastRenderedPageBreak/>
        <w:t xml:space="preserve">reflectivity and the roller shades of 5% </w:t>
      </w:r>
      <w:r w:rsidR="002B149C" w:rsidRPr="002B0EF3">
        <w:t xml:space="preserve">openness factor </w:t>
      </w:r>
      <w:r w:rsidRPr="002B0EF3">
        <w:t xml:space="preserve">presented the best performance, could be interpreted as the effect of intermediate material properties. In case of roller shades, a very low </w:t>
      </w:r>
      <w:r w:rsidR="002B149C" w:rsidRPr="002B0EF3">
        <w:t>openness factor</w:t>
      </w:r>
      <w:r w:rsidRPr="002B0EF3">
        <w:t xml:space="preserve">, such as 3%, highlighted their ability to provide a homogenous dimming of light in space. The corresponding characteristic of the venetian blinds was the ability to regulate the light re-direction (70% reflectivity). In both shading systems, the implementation of materials with properties that moderate extreme </w:t>
      </w:r>
      <w:r w:rsidR="00B55DC5" w:rsidRPr="002B0EF3">
        <w:t>behaviours</w:t>
      </w:r>
      <w:r w:rsidRPr="002B0EF3">
        <w:t>, such as the use of increased OF</w:t>
      </w:r>
      <w:r w:rsidRPr="002B0EF3">
        <w:rPr>
          <w:rStyle w:val="FootnoteReference"/>
        </w:rPr>
        <w:footnoteReference w:id="17"/>
      </w:r>
      <w:r w:rsidRPr="002B0EF3">
        <w:t xml:space="preserve"> or decreased Reflectivity that </w:t>
      </w:r>
      <w:proofErr w:type="gramStart"/>
      <w:r w:rsidRPr="002B0EF3">
        <w:t>actually reduces</w:t>
      </w:r>
      <w:proofErr w:type="gramEnd"/>
      <w:r w:rsidRPr="002B0EF3">
        <w:t xml:space="preserve"> the patches, seemed to perform better.</w:t>
      </w:r>
    </w:p>
    <w:p w14:paraId="3CF42079" w14:textId="10EEEF65" w:rsidR="001866B1" w:rsidRDefault="002B7D6E" w:rsidP="002B7D6E">
      <w:pPr>
        <w:pStyle w:val="Normal-Byfy"/>
        <w:jc w:val="both"/>
      </w:pPr>
      <w:r w:rsidRPr="002B0EF3">
        <w:t xml:space="preserve">The proposed method of TPG and STG could function as the base methodology to a future zonal glare analysis. Specifically, TPG already comprehended a weighting system based on the horizontal gaze direction and adaptation possibility in time. However, </w:t>
      </w:r>
      <w:r w:rsidR="007B2A5E">
        <w:t>a proper evidence-based</w:t>
      </w:r>
      <w:r w:rsidR="007B2A5E" w:rsidRPr="002B0EF3">
        <w:t xml:space="preserve"> </w:t>
      </w:r>
      <w:r w:rsidRPr="002B0EF3">
        <w:t>weighting system could be applied to this methodology.</w:t>
      </w:r>
    </w:p>
    <w:p w14:paraId="7C709DE3" w14:textId="77777777" w:rsidR="001866B1" w:rsidRPr="002B0EF3" w:rsidRDefault="001866B1" w:rsidP="002B7D6E">
      <w:pPr>
        <w:pStyle w:val="Normal-Byfy"/>
        <w:jc w:val="both"/>
      </w:pPr>
    </w:p>
    <w:p w14:paraId="2A2825FA" w14:textId="5849C28D" w:rsidR="007B2A5E" w:rsidRPr="00093CA7" w:rsidRDefault="007B2A5E" w:rsidP="001D31D5">
      <w:pPr>
        <w:pStyle w:val="Rubrik2-Byfy"/>
        <w:rPr>
          <w:rFonts w:cs="Times New Roman"/>
        </w:rPr>
      </w:pPr>
      <w:bookmarkStart w:id="39" w:name="_Toc532751587"/>
      <w:r>
        <w:t>Case study application</w:t>
      </w:r>
      <w:bookmarkEnd w:id="39"/>
    </w:p>
    <w:p w14:paraId="52AD878D" w14:textId="10DAAEFF" w:rsidR="001D31D5" w:rsidRPr="00027E64" w:rsidRDefault="007B2A5E" w:rsidP="008C63D2">
      <w:pPr>
        <w:pStyle w:val="Heading3"/>
        <w:rPr>
          <w:rFonts w:cs="Times New Roman"/>
        </w:rPr>
      </w:pPr>
      <w:bookmarkStart w:id="40" w:name="_Toc532751588"/>
      <w:r w:rsidRPr="008C63D2">
        <w:rPr>
          <w:rFonts w:ascii="Times New Roman" w:hAnsi="Times New Roman" w:cs="Times New Roman"/>
        </w:rPr>
        <w:t>Glare metrics</w:t>
      </w:r>
      <w:bookmarkEnd w:id="40"/>
    </w:p>
    <w:p w14:paraId="66361B57" w14:textId="607AA420" w:rsidR="002B7D6E" w:rsidRPr="00AA3D0C" w:rsidRDefault="002B7D6E" w:rsidP="002B7D6E">
      <w:pPr>
        <w:pStyle w:val="Normal-Byfy"/>
        <w:jc w:val="both"/>
      </w:pPr>
      <w:r w:rsidRPr="00AA3D0C">
        <w:t xml:space="preserve">Regarding the investigated glare metrics, it was interesting that, DGI and DGP-DGPs presented a reverse </w:t>
      </w:r>
      <w:r w:rsidR="00556F49" w:rsidRPr="00AA3D0C">
        <w:t>behaviour</w:t>
      </w:r>
      <w:r w:rsidRPr="00AA3D0C">
        <w:t xml:space="preserve"> regarding the glare estimation when approaching the sunset without any shading system. Even though, only the correlation of space and lighting (contrast) provided a reasonable glare estimation, in a more elaborate index, taking all parameters into account (DGP), it was visible that the results differed. Additionally, DGP was adaptive to the shading system and the glare source, while DGI evaluated more generally the space. In case of the DGPs, by considering only the glare sources, the lighting conditions could not be evaluated in details and the results </w:t>
      </w:r>
      <w:r w:rsidR="00E4179F">
        <w:t>exhibited large</w:t>
      </w:r>
      <w:r w:rsidRPr="00AA3D0C">
        <w:t xml:space="preserve"> differences with those of DGP and DGI. </w:t>
      </w:r>
    </w:p>
    <w:p w14:paraId="44C3C0C1" w14:textId="5B06E10A" w:rsidR="002B7D6E" w:rsidRDefault="00A95CB4" w:rsidP="002B7D6E">
      <w:pPr>
        <w:pStyle w:val="Normal-Byfy"/>
        <w:jc w:val="both"/>
      </w:pPr>
      <w:r>
        <w:t>D</w:t>
      </w:r>
      <w:r w:rsidR="002B7D6E" w:rsidRPr="00AA3D0C">
        <w:t>ifferent metrics could indeed lead to different interpretation of the results, indicating the importance to implement specific metrics under the corresponding circumstances. A possible list, providing the correlation between the space circumstances and the indicators, or even the emerging of a specific criterion for the selection of the proper index, could be important.</w:t>
      </w:r>
    </w:p>
    <w:p w14:paraId="24C69863" w14:textId="6B218625" w:rsidR="001D31D5" w:rsidRPr="00027E64" w:rsidRDefault="001D31D5" w:rsidP="008C63D2">
      <w:pPr>
        <w:pStyle w:val="Heading3"/>
        <w:rPr>
          <w:rFonts w:cs="Times New Roman"/>
        </w:rPr>
      </w:pPr>
      <w:bookmarkStart w:id="41" w:name="_Toc532751589"/>
      <w:r w:rsidRPr="008C63D2">
        <w:rPr>
          <w:rFonts w:ascii="Times New Roman" w:hAnsi="Times New Roman" w:cs="Times New Roman"/>
        </w:rPr>
        <w:t>Shading systems</w:t>
      </w:r>
      <w:bookmarkEnd w:id="41"/>
    </w:p>
    <w:p w14:paraId="71D0D37F" w14:textId="53F2C4B5" w:rsidR="002B7D6E" w:rsidRPr="00AA3D0C" w:rsidRDefault="002B7D6E" w:rsidP="002B7D6E">
      <w:pPr>
        <w:pStyle w:val="Normal-Byfy"/>
        <w:jc w:val="both"/>
      </w:pPr>
      <w:r w:rsidRPr="00AA3D0C">
        <w:t>Different shading systems could provide different amount of choices for the glare assessment. For this thesis a stati</w:t>
      </w:r>
      <w:r w:rsidR="00E4179F">
        <w:t>c</w:t>
      </w:r>
      <w:r w:rsidRPr="00AA3D0C">
        <w:t xml:space="preserve"> shading system was examined, based upon preliminary analysis. The selection of the geometry and properties of the shading materials highly affected the light qualities in space. For instance, the venetian blinds could partially shade the glare source and, also, regulate the contrast, while the roller shades limited the possibilities of adaptation at each case.</w:t>
      </w:r>
    </w:p>
    <w:p w14:paraId="734E9E8D" w14:textId="77777777" w:rsidR="002B7D6E" w:rsidRDefault="002B7D6E" w:rsidP="002B7D6E">
      <w:pPr>
        <w:pStyle w:val="Normal-Byfy"/>
      </w:pPr>
    </w:p>
    <w:p w14:paraId="33EABCA4" w14:textId="773F8F3A" w:rsidR="002B7D6E" w:rsidRPr="00AA3D0C" w:rsidRDefault="002B7D6E" w:rsidP="002B7D6E">
      <w:pPr>
        <w:pStyle w:val="Rubrik1-Byfy"/>
      </w:pPr>
      <w:bookmarkStart w:id="42" w:name="_Toc525320567"/>
      <w:bookmarkStart w:id="43" w:name="_Toc525320568"/>
      <w:bookmarkStart w:id="44" w:name="_Toc532751590"/>
      <w:bookmarkEnd w:id="42"/>
      <w:bookmarkEnd w:id="43"/>
      <w:r w:rsidRPr="00AA3D0C">
        <w:lastRenderedPageBreak/>
        <w:t>Conclusion</w:t>
      </w:r>
      <w:bookmarkEnd w:id="44"/>
    </w:p>
    <w:p w14:paraId="4F53BD50" w14:textId="51034D49" w:rsidR="00EF7F9C" w:rsidRDefault="00BA0945" w:rsidP="00EF7F9C">
      <w:pPr>
        <w:pStyle w:val="Normal-Byfy"/>
        <w:jc w:val="both"/>
      </w:pPr>
      <w:r>
        <w:t>This thesis proposed a conceptual framework to evaluate gl</w:t>
      </w:r>
      <w:r w:rsidR="00196EBB">
        <w:t xml:space="preserve">are in a zonal and dynamic way by using existing glare indexes. </w:t>
      </w:r>
      <w:r>
        <w:t xml:space="preserve">The conceptual framework was applied on a case study. The </w:t>
      </w:r>
      <w:r w:rsidR="00C4323D">
        <w:t xml:space="preserve">proposed </w:t>
      </w:r>
      <w:r>
        <w:t xml:space="preserve">methodology </w:t>
      </w:r>
      <w:r w:rsidR="00C4323D">
        <w:t>in this thesis</w:t>
      </w:r>
      <w:r>
        <w:t xml:space="preserve"> currently relies on arbitrary weighting systems </w:t>
      </w:r>
      <w:r w:rsidR="00196EBB">
        <w:t>and assumptions</w:t>
      </w:r>
      <w:r w:rsidR="00E4179F">
        <w:t xml:space="preserve"> taking into consideration the adaptation possibility due head movement and time aspect.</w:t>
      </w:r>
    </w:p>
    <w:p w14:paraId="659DFD83" w14:textId="46671C3C" w:rsidR="00196EBB" w:rsidRDefault="00196EBB" w:rsidP="008C63D2">
      <w:pPr>
        <w:pStyle w:val="Normal-Byfy"/>
        <w:jc w:val="both"/>
      </w:pPr>
      <w:r>
        <w:t xml:space="preserve">The conceptual framework may potentially </w:t>
      </w:r>
      <w:r w:rsidR="00EF7F9C">
        <w:t xml:space="preserve">simplify </w:t>
      </w:r>
      <w:r w:rsidR="002B7D6E" w:rsidRPr="00AA3D0C">
        <w:t xml:space="preserve">the </w:t>
      </w:r>
      <w:r>
        <w:t xml:space="preserve">early </w:t>
      </w:r>
      <w:r w:rsidR="002B7D6E" w:rsidRPr="00AA3D0C">
        <w:t xml:space="preserve">design of space. The method </w:t>
      </w:r>
      <w:r>
        <w:t xml:space="preserve">should </w:t>
      </w:r>
      <w:r w:rsidR="002B7D6E" w:rsidRPr="00AA3D0C">
        <w:t>allow to place the furniture/partition at an early design stage</w:t>
      </w:r>
      <w:r>
        <w:t xml:space="preserve"> by handing in to the architect a simple chart as</w:t>
      </w:r>
      <w:r w:rsidR="00606717">
        <w:t>, for example,</w:t>
      </w:r>
      <w:r>
        <w:t xml:space="preserve"> in Figure 15. However, the thesis shows that the conceptual framework is </w:t>
      </w:r>
      <w:r w:rsidR="002B7D6E" w:rsidRPr="00AA3D0C">
        <w:t>expensive in terms of computational time</w:t>
      </w:r>
      <w:r>
        <w:t>, even for glare analysis with hourly step</w:t>
      </w:r>
      <w:r w:rsidR="002B7D6E" w:rsidRPr="00AA3D0C">
        <w:t>.</w:t>
      </w:r>
      <w:r>
        <w:t xml:space="preserve"> The main issue is that a high number of image-based simulations need to be run. This issue may be solved in the future, when supercomputers w</w:t>
      </w:r>
      <w:r w:rsidR="00606717">
        <w:t xml:space="preserve">ill be available to the general </w:t>
      </w:r>
      <w:r>
        <w:t xml:space="preserve">public and lighting simulation may rely on </w:t>
      </w:r>
      <w:r w:rsidR="00606717">
        <w:t xml:space="preserve">more </w:t>
      </w:r>
      <w:r>
        <w:t xml:space="preserve">efficient engines, like the </w:t>
      </w:r>
      <w:proofErr w:type="gramStart"/>
      <w:r>
        <w:t xml:space="preserve">aforementioned </w:t>
      </w:r>
      <w:proofErr w:type="spellStart"/>
      <w:r>
        <w:t>Accelerad</w:t>
      </w:r>
      <w:proofErr w:type="spellEnd"/>
      <w:proofErr w:type="gramEnd"/>
      <w:r>
        <w:t>.</w:t>
      </w:r>
    </w:p>
    <w:p w14:paraId="3088C833" w14:textId="7B783187" w:rsidR="002B7D6E" w:rsidRPr="00AA3D0C" w:rsidRDefault="00196EBB" w:rsidP="002B7D6E">
      <w:pPr>
        <w:pStyle w:val="Normal-Byfy"/>
      </w:pPr>
      <w:r>
        <w:t>In the meanwhile, efforts can be directed in proposing an evidence-based weighting system for the directional and temporal acceptability of glare, which is the most critical part of this work.</w:t>
      </w:r>
    </w:p>
    <w:p w14:paraId="0A751BBB" w14:textId="77777777" w:rsidR="002B7D6E" w:rsidRPr="00AA3D0C" w:rsidRDefault="002B7D6E" w:rsidP="002B7D6E">
      <w:pPr>
        <w:pStyle w:val="Normal-Byfy"/>
      </w:pPr>
    </w:p>
    <w:p w14:paraId="49B5882F" w14:textId="77777777" w:rsidR="002B7D6E" w:rsidRPr="00AA3D0C" w:rsidRDefault="002B7D6E" w:rsidP="002B7D6E">
      <w:pPr>
        <w:pStyle w:val="Normal-Byfy"/>
      </w:pPr>
    </w:p>
    <w:p w14:paraId="54365634" w14:textId="77777777" w:rsidR="002B7D6E" w:rsidRPr="00AA3D0C" w:rsidRDefault="002B7D6E" w:rsidP="002B7D6E">
      <w:pPr>
        <w:pStyle w:val="Normal-Byfy"/>
      </w:pPr>
    </w:p>
    <w:p w14:paraId="4395EEA5" w14:textId="77777777" w:rsidR="002B7D6E" w:rsidRPr="00AA3D0C" w:rsidRDefault="002B7D6E" w:rsidP="002B7D6E">
      <w:pPr>
        <w:pStyle w:val="Normal-Byfy"/>
      </w:pPr>
    </w:p>
    <w:p w14:paraId="69F0FD0A" w14:textId="77777777" w:rsidR="002B7D6E" w:rsidRPr="00AA3D0C" w:rsidRDefault="002B7D6E" w:rsidP="002B7D6E">
      <w:pPr>
        <w:pStyle w:val="Normal-Byfy"/>
      </w:pPr>
    </w:p>
    <w:p w14:paraId="5D286550" w14:textId="77777777" w:rsidR="002B7D6E" w:rsidRPr="00AA3D0C" w:rsidRDefault="002B7D6E" w:rsidP="002B7D6E">
      <w:pPr>
        <w:pStyle w:val="Normal-Byfy"/>
      </w:pPr>
    </w:p>
    <w:p w14:paraId="71C3917D" w14:textId="77777777" w:rsidR="002B7D6E" w:rsidRDefault="002B7D6E" w:rsidP="002B7D6E">
      <w:pPr>
        <w:pStyle w:val="Normal-Byfy"/>
      </w:pPr>
    </w:p>
    <w:p w14:paraId="76B16A08" w14:textId="77777777" w:rsidR="006F42F7" w:rsidRDefault="006F42F7" w:rsidP="002B7D6E">
      <w:pPr>
        <w:pStyle w:val="Normal-Byfy"/>
      </w:pPr>
    </w:p>
    <w:p w14:paraId="0F3DBE67" w14:textId="559AB28B" w:rsidR="006F42F7" w:rsidRDefault="006F42F7" w:rsidP="002B7D6E">
      <w:pPr>
        <w:pStyle w:val="Normal-Byfy"/>
      </w:pPr>
    </w:p>
    <w:p w14:paraId="2AC06AD8" w14:textId="7675875C" w:rsidR="001866B1" w:rsidRDefault="001866B1" w:rsidP="002B7D6E">
      <w:pPr>
        <w:pStyle w:val="Normal-Byfy"/>
      </w:pPr>
    </w:p>
    <w:p w14:paraId="43B0FAB9" w14:textId="778F52C3" w:rsidR="001866B1" w:rsidRDefault="001866B1" w:rsidP="002B7D6E">
      <w:pPr>
        <w:pStyle w:val="Normal-Byfy"/>
      </w:pPr>
    </w:p>
    <w:p w14:paraId="5066EE96" w14:textId="77777777" w:rsidR="001866B1" w:rsidRDefault="001866B1" w:rsidP="002B7D6E">
      <w:pPr>
        <w:pStyle w:val="Normal-Byfy"/>
      </w:pPr>
    </w:p>
    <w:p w14:paraId="4EBE34E2" w14:textId="77777777" w:rsidR="006F42F7" w:rsidRDefault="006F42F7" w:rsidP="002B7D6E">
      <w:pPr>
        <w:pStyle w:val="Normal-Byfy"/>
      </w:pPr>
    </w:p>
    <w:p w14:paraId="71FF962B" w14:textId="77777777" w:rsidR="006F42F7" w:rsidRPr="00886D69" w:rsidRDefault="006F42F7" w:rsidP="006F42F7">
      <w:pPr>
        <w:pStyle w:val="Rubrik1-Byfy"/>
        <w:numPr>
          <w:ilvl w:val="0"/>
          <w:numId w:val="0"/>
        </w:numPr>
        <w:rPr>
          <w:szCs w:val="28"/>
        </w:rPr>
      </w:pPr>
      <w:bookmarkStart w:id="45" w:name="_Toc532751591"/>
      <w:r w:rsidRPr="00886D69">
        <w:rPr>
          <w:szCs w:val="28"/>
        </w:rPr>
        <w:lastRenderedPageBreak/>
        <w:t>Summary</w:t>
      </w:r>
      <w:bookmarkEnd w:id="45"/>
    </w:p>
    <w:p w14:paraId="7530E82E" w14:textId="77777777" w:rsidR="006F42F7" w:rsidRDefault="0077040A" w:rsidP="00E60C59">
      <w:pPr>
        <w:pStyle w:val="Normal-Byfy"/>
        <w:jc w:val="both"/>
      </w:pPr>
      <w:r>
        <w:t xml:space="preserve">A method </w:t>
      </w:r>
      <w:r w:rsidR="00CB5F69">
        <w:t>towards a d</w:t>
      </w:r>
      <w:r>
        <w:t xml:space="preserve">ynamic daylight glare evaluation </w:t>
      </w:r>
      <w:r w:rsidR="00A73BE1">
        <w:t xml:space="preserve">in the early stage of design </w:t>
      </w:r>
      <w:r w:rsidR="00CB5F69">
        <w:t xml:space="preserve">was developed in this thesis, using existing glare metrics under multiple observer positions and gazes. The results pointed out that it is possible for a zonal characterization regarding glare sensation to be achieved with the combination of multiple existing metrics and a weighting system, named the </w:t>
      </w:r>
      <w:r w:rsidR="00CB5F69" w:rsidRPr="00361E4F">
        <w:rPr>
          <w:i/>
        </w:rPr>
        <w:t>adaptation possibility</w:t>
      </w:r>
      <w:r w:rsidR="00CB5F69">
        <w:t>.</w:t>
      </w:r>
    </w:p>
    <w:p w14:paraId="3D661C9B" w14:textId="45678497" w:rsidR="00D00FF3" w:rsidRDefault="00CB5F69" w:rsidP="00E60C59">
      <w:pPr>
        <w:pStyle w:val="Normal-Byfy"/>
        <w:jc w:val="both"/>
      </w:pPr>
      <w:r>
        <w:t xml:space="preserve">Initially, a literature review was conducted in order to specify the limitations of the existing glare metrics and the different practices </w:t>
      </w:r>
      <w:r w:rsidR="00872A6F">
        <w:t xml:space="preserve">used </w:t>
      </w:r>
      <w:r>
        <w:t xml:space="preserve">for glare evaluation. </w:t>
      </w:r>
      <w:r w:rsidR="00B35ED1">
        <w:t xml:space="preserve">Then the </w:t>
      </w:r>
      <w:r w:rsidR="00D00FF3">
        <w:t xml:space="preserve">thesis </w:t>
      </w:r>
      <w:r w:rsidR="00B35ED1">
        <w:t xml:space="preserve">continued in the definition of the proposed methodology and the </w:t>
      </w:r>
      <w:r w:rsidR="00D00FF3">
        <w:t xml:space="preserve">case study on which the method would be tested. </w:t>
      </w:r>
    </w:p>
    <w:p w14:paraId="4F6DB2EC" w14:textId="4FDEE3AB" w:rsidR="00D00FF3" w:rsidRDefault="00D00FF3" w:rsidP="00E60C59">
      <w:pPr>
        <w:pStyle w:val="Normal-Byfy"/>
        <w:jc w:val="both"/>
      </w:pPr>
      <w:r>
        <w:t>The proposed methodology for a dynamic and zonal glare evaluation would account for different gaze directions and observer positions, as well as, the adaptation possibility in terms of head rotation and glare duration.</w:t>
      </w:r>
      <w:r w:rsidR="001171EE">
        <w:t xml:space="preserve"> </w:t>
      </w:r>
      <w:r>
        <w:t>Multiple glare metrics were used in the method as the literature review indicated that</w:t>
      </w:r>
      <w:r w:rsidR="001171EE">
        <w:t>,</w:t>
      </w:r>
      <w:r>
        <w:t xml:space="preserve"> there is a need either for an enhanced glare metric that would meet the current limitations or for a combination of the existing ones</w:t>
      </w:r>
      <w:r w:rsidR="001171EE">
        <w:t xml:space="preserve">. Thus, the existing glare metrics of DGP, DGPs and DGI were implemented in the method. </w:t>
      </w:r>
      <w:r>
        <w:t xml:space="preserve">For the extraction of one glare value per position, two indicators were created named the </w:t>
      </w:r>
      <w:r w:rsidRPr="00361E4F">
        <w:rPr>
          <w:i/>
        </w:rPr>
        <w:t>Total Point Glare</w:t>
      </w:r>
      <w:r>
        <w:t xml:space="preserve"> (TPG) and the </w:t>
      </w:r>
      <w:r w:rsidRPr="00361E4F">
        <w:rPr>
          <w:i/>
        </w:rPr>
        <w:t>Space-Time Glare</w:t>
      </w:r>
      <w:r>
        <w:t xml:space="preserve"> (STG) based on a point-in-time analysis and </w:t>
      </w:r>
      <w:proofErr w:type="gramStart"/>
      <w:r>
        <w:t>a period of time</w:t>
      </w:r>
      <w:proofErr w:type="gramEnd"/>
      <w:r>
        <w:t xml:space="preserve"> respectively.</w:t>
      </w:r>
      <w:r w:rsidRPr="00D00FF3">
        <w:t xml:space="preserve"> </w:t>
      </w:r>
      <w:r w:rsidR="001171EE">
        <w:t>It is important to note that, the</w:t>
      </w:r>
      <w:r>
        <w:t xml:space="preserve"> method included arbitrary assumptions which </w:t>
      </w:r>
      <w:r w:rsidRPr="00991BCA">
        <w:t>needed to be validated ‘in situ’</w:t>
      </w:r>
      <w:r w:rsidRPr="00991BCA">
        <w:rPr>
          <w:lang w:val="el-GR"/>
        </w:rPr>
        <w:t>.</w:t>
      </w:r>
    </w:p>
    <w:p w14:paraId="17B14FA4" w14:textId="3F62DD90" w:rsidR="00AC66D7" w:rsidRPr="00D00FF3" w:rsidRDefault="001171EE" w:rsidP="00E60C59">
      <w:pPr>
        <w:pStyle w:val="Normal-Byfy"/>
        <w:jc w:val="both"/>
      </w:pPr>
      <w:r>
        <w:t>The case study was that of a hypothetical</w:t>
      </w:r>
      <w:r w:rsidR="00566A54" w:rsidRPr="00D00FF3">
        <w:t xml:space="preserve"> library room in Stockholm with one fully glazed façade facing South. Additionally, the performance of different shading systems, such as venetian blinds and roller shades, w</w:t>
      </w:r>
      <w:r>
        <w:t>ere</w:t>
      </w:r>
      <w:r w:rsidR="00566A54" w:rsidRPr="00D00FF3">
        <w:t xml:space="preserve"> tested. After a direct sun analysis </w:t>
      </w:r>
      <w:r w:rsidR="00E4179F">
        <w:t>at</w:t>
      </w:r>
      <w:r w:rsidR="00566A54" w:rsidRPr="00D00FF3">
        <w:t xml:space="preserve"> eye level, a specific grid was formed indicat</w:t>
      </w:r>
      <w:r w:rsidR="00E4179F">
        <w:t>ing</w:t>
      </w:r>
      <w:r w:rsidR="00566A54" w:rsidRPr="00D00FF3">
        <w:t xml:space="preserve"> the different possible positions of the observer in the space. The observer would be able to rotate his head in each position and, thus, the study would account for multiple gazes with a fixed visual centr</w:t>
      </w:r>
      <w:r w:rsidR="00E4179F">
        <w:t>e</w:t>
      </w:r>
      <w:r w:rsidR="00566A54" w:rsidRPr="00D00FF3">
        <w:t xml:space="preserve"> directed towards a computer screen. The time step of the analysis was that of 1 hour.</w:t>
      </w:r>
    </w:p>
    <w:p w14:paraId="6032FC51" w14:textId="77777777" w:rsidR="00C4323D" w:rsidRPr="00DC084A" w:rsidRDefault="00361E4F" w:rsidP="00C4323D">
      <w:pPr>
        <w:pStyle w:val="Normal-Byfy"/>
        <w:jc w:val="both"/>
      </w:pPr>
      <w:r w:rsidRPr="00D00FF3">
        <w:t xml:space="preserve">The results of the study indicate that </w:t>
      </w:r>
      <w:r w:rsidR="00C4323D" w:rsidRPr="00DC084A">
        <w:t xml:space="preserve">provided glare free area under roller shades reached 100% during a small </w:t>
      </w:r>
      <w:proofErr w:type="gramStart"/>
      <w:r w:rsidR="00C4323D" w:rsidRPr="00DC084A">
        <w:t>period of time</w:t>
      </w:r>
      <w:proofErr w:type="gramEnd"/>
      <w:r w:rsidR="00C4323D" w:rsidRPr="00DC084A">
        <w:t>. However, the glare free area coverage fluctuated a lot between extremes (from 100% to only 20% of the total space). Such rapid variations could potentially have a negative impact on visual comfort counteracting any temporary glare protection. On the contrary, the performance of the venetian blinds seemed to be more stable, even though the glare free area coverage did not reach 100% of the space.</w:t>
      </w:r>
    </w:p>
    <w:p w14:paraId="21B5C1F2" w14:textId="3FB672C7" w:rsidR="00C4323D" w:rsidRDefault="003527C8" w:rsidP="00C4323D">
      <w:pPr>
        <w:pStyle w:val="Normal-Byfy"/>
        <w:jc w:val="both"/>
      </w:pPr>
      <w:r>
        <w:t>I</w:t>
      </w:r>
      <w:r w:rsidR="00C4323D" w:rsidRPr="00DC084A">
        <w:t xml:space="preserve">t was found that, even though the method allows the placement of the furniture/partition at an early design stage, it is still quite expensive in terms of computational time. </w:t>
      </w:r>
      <w:r w:rsidR="00C4323D">
        <w:t xml:space="preserve">This issue could be solved in the future </w:t>
      </w:r>
      <w:r>
        <w:t>when</w:t>
      </w:r>
      <w:r w:rsidR="00C4323D" w:rsidRPr="00C4323D">
        <w:t xml:space="preserve"> </w:t>
      </w:r>
      <w:r w:rsidR="00C4323D">
        <w:t>supercomputers will be available to the general public and lighting simulation may rely on more efficient engines.</w:t>
      </w:r>
    </w:p>
    <w:p w14:paraId="1F06891E" w14:textId="7692E791" w:rsidR="00C4323D" w:rsidRPr="00DC084A" w:rsidRDefault="003527C8" w:rsidP="00C4323D">
      <w:pPr>
        <w:pStyle w:val="Normal-Byfy"/>
        <w:jc w:val="both"/>
      </w:pPr>
      <w:r>
        <w:t>S</w:t>
      </w:r>
      <w:r w:rsidR="00C4323D" w:rsidRPr="00DC084A">
        <w:t xml:space="preserve">ince the method derived from researched rules of thumb and </w:t>
      </w:r>
      <w:proofErr w:type="spellStart"/>
      <w:r w:rsidR="00C4323D" w:rsidRPr="00DC084A">
        <w:t>reasone</w:t>
      </w:r>
      <w:r w:rsidR="00965FBB">
        <w:t>able</w:t>
      </w:r>
      <w:proofErr w:type="spellEnd"/>
      <w:r w:rsidR="00C4323D" w:rsidRPr="00DC084A">
        <w:t xml:space="preserve"> hypothesis implemented in a virtual model, should be further investigated and validated with </w:t>
      </w:r>
      <w:r w:rsidR="00965FBB">
        <w:t>empirical studies with human subjects</w:t>
      </w:r>
      <w:r w:rsidR="00C4323D" w:rsidRPr="00DC084A">
        <w:t>.</w:t>
      </w:r>
    </w:p>
    <w:p w14:paraId="6523BEA6" w14:textId="38765A95" w:rsidR="00A73BE1" w:rsidRPr="00CC07DB" w:rsidRDefault="003527C8" w:rsidP="008C63D2">
      <w:pPr>
        <w:spacing w:before="240" w:after="240"/>
        <w:jc w:val="both"/>
      </w:pPr>
      <w:r>
        <w:rPr>
          <w:sz w:val="22"/>
          <w:szCs w:val="22"/>
        </w:rPr>
        <w:lastRenderedPageBreak/>
        <w:t xml:space="preserve">Regarding the case study, it was found that, </w:t>
      </w:r>
      <w:r w:rsidR="00361E4F" w:rsidRPr="008C63D2">
        <w:rPr>
          <w:sz w:val="22"/>
          <w:szCs w:val="22"/>
        </w:rPr>
        <w:t xml:space="preserve">different metrics could evaluate the space differently according to the </w:t>
      </w:r>
      <w:r w:rsidR="00E60C59" w:rsidRPr="008C63D2">
        <w:rPr>
          <w:sz w:val="22"/>
          <w:szCs w:val="22"/>
        </w:rPr>
        <w:t xml:space="preserve">parameter that they are based on (e.g. Contrast, beam illuminance, dim space conditions), </w:t>
      </w:r>
      <w:r w:rsidR="00361E4F" w:rsidRPr="008C63D2">
        <w:rPr>
          <w:sz w:val="22"/>
          <w:szCs w:val="22"/>
        </w:rPr>
        <w:t xml:space="preserve">indicating the importance to implement specific metrics under the corresponding circumstances. </w:t>
      </w:r>
      <w:r>
        <w:rPr>
          <w:sz w:val="22"/>
          <w:szCs w:val="22"/>
        </w:rPr>
        <w:t>Different</w:t>
      </w:r>
      <w:r w:rsidR="00E60C59" w:rsidRPr="008C63D2">
        <w:rPr>
          <w:sz w:val="22"/>
          <w:szCs w:val="22"/>
        </w:rPr>
        <w:t xml:space="preserve"> shading systems could provide different choices for the glare assessment. The examined statistic shading systems indicated that the venetian blinds could partially shade the glare source and regulate the contrast, while the roller shades limited the possibilities of adaptation at each case. It was </w:t>
      </w:r>
      <w:r w:rsidR="00A73BE1" w:rsidRPr="008C63D2">
        <w:rPr>
          <w:sz w:val="22"/>
          <w:szCs w:val="22"/>
        </w:rPr>
        <w:t>interesting</w:t>
      </w:r>
      <w:r w:rsidR="00E60C59" w:rsidRPr="008C63D2">
        <w:rPr>
          <w:sz w:val="22"/>
          <w:szCs w:val="22"/>
        </w:rPr>
        <w:t xml:space="preserve"> </w:t>
      </w:r>
      <w:r w:rsidR="00965FBB">
        <w:rPr>
          <w:sz w:val="22"/>
          <w:szCs w:val="22"/>
        </w:rPr>
        <w:t>to observe that the</w:t>
      </w:r>
      <w:r w:rsidR="00E60C59" w:rsidRPr="008C63D2">
        <w:rPr>
          <w:sz w:val="22"/>
          <w:szCs w:val="22"/>
        </w:rPr>
        <w:t xml:space="preserve"> </w:t>
      </w:r>
      <w:r w:rsidR="00E60C59" w:rsidRPr="00D00FF3">
        <w:rPr>
          <w:sz w:val="22"/>
          <w:szCs w:val="22"/>
        </w:rPr>
        <w:t>DGP indicated low glare risk in 100% of the space under roller shades, while almost 100% problematic area under the venetian blinds.</w:t>
      </w:r>
    </w:p>
    <w:p w14:paraId="2755CAEF" w14:textId="77777777" w:rsidR="00AC66D7" w:rsidRDefault="00AC66D7" w:rsidP="002B7D6E">
      <w:pPr>
        <w:pStyle w:val="Normal-Byfy"/>
      </w:pPr>
    </w:p>
    <w:p w14:paraId="21570A7E" w14:textId="77777777" w:rsidR="00AC66D7" w:rsidRDefault="00AC66D7" w:rsidP="002B7D6E">
      <w:pPr>
        <w:pStyle w:val="Normal-Byfy"/>
      </w:pPr>
    </w:p>
    <w:p w14:paraId="233A4B2F" w14:textId="77777777" w:rsidR="00AC66D7" w:rsidRDefault="00AC66D7" w:rsidP="002B7D6E">
      <w:pPr>
        <w:pStyle w:val="Normal-Byfy"/>
      </w:pPr>
    </w:p>
    <w:p w14:paraId="0E630186" w14:textId="77777777" w:rsidR="00AC66D7" w:rsidRDefault="00AC66D7" w:rsidP="002B7D6E">
      <w:pPr>
        <w:pStyle w:val="Normal-Byfy"/>
      </w:pPr>
    </w:p>
    <w:p w14:paraId="073E350B" w14:textId="77777777" w:rsidR="00AC66D7" w:rsidRDefault="00AC66D7" w:rsidP="002B7D6E">
      <w:pPr>
        <w:pStyle w:val="Normal-Byfy"/>
      </w:pPr>
    </w:p>
    <w:p w14:paraId="7885A5C8" w14:textId="77777777" w:rsidR="00AC66D7" w:rsidRDefault="00AC66D7" w:rsidP="002B7D6E">
      <w:pPr>
        <w:pStyle w:val="Normal-Byfy"/>
      </w:pPr>
    </w:p>
    <w:p w14:paraId="3A35F21A" w14:textId="77777777" w:rsidR="00AC66D7" w:rsidRDefault="00AC66D7" w:rsidP="002B7D6E">
      <w:pPr>
        <w:pStyle w:val="Normal-Byfy"/>
      </w:pPr>
    </w:p>
    <w:p w14:paraId="4295A071" w14:textId="77777777" w:rsidR="00AC66D7" w:rsidRDefault="00AC66D7" w:rsidP="002B7D6E">
      <w:pPr>
        <w:pStyle w:val="Normal-Byfy"/>
      </w:pPr>
    </w:p>
    <w:p w14:paraId="0138F675" w14:textId="77777777" w:rsidR="00AC66D7" w:rsidRDefault="00AC66D7" w:rsidP="002B7D6E">
      <w:pPr>
        <w:pStyle w:val="Normal-Byfy"/>
      </w:pPr>
    </w:p>
    <w:p w14:paraId="01538D19" w14:textId="77777777" w:rsidR="00AC66D7" w:rsidRDefault="00AC66D7" w:rsidP="002B7D6E">
      <w:pPr>
        <w:pStyle w:val="Normal-Byfy"/>
      </w:pPr>
    </w:p>
    <w:p w14:paraId="7D589A19" w14:textId="77777777" w:rsidR="00AC66D7" w:rsidRDefault="00AC66D7" w:rsidP="002B7D6E">
      <w:pPr>
        <w:pStyle w:val="Normal-Byfy"/>
      </w:pPr>
    </w:p>
    <w:p w14:paraId="4B1CA841" w14:textId="77777777" w:rsidR="00AC66D7" w:rsidRDefault="00AC66D7" w:rsidP="002B7D6E">
      <w:pPr>
        <w:pStyle w:val="Normal-Byfy"/>
      </w:pPr>
    </w:p>
    <w:p w14:paraId="256F97D0" w14:textId="77777777" w:rsidR="00AC66D7" w:rsidRDefault="00AC66D7" w:rsidP="002B7D6E">
      <w:pPr>
        <w:pStyle w:val="Normal-Byfy"/>
      </w:pPr>
    </w:p>
    <w:p w14:paraId="451FC401" w14:textId="77777777" w:rsidR="00AC66D7" w:rsidRDefault="00AC66D7" w:rsidP="002B7D6E">
      <w:pPr>
        <w:pStyle w:val="Normal-Byfy"/>
      </w:pPr>
    </w:p>
    <w:p w14:paraId="6EAF321A" w14:textId="77777777" w:rsidR="00F01332" w:rsidRDefault="00F01332" w:rsidP="002B7D6E">
      <w:pPr>
        <w:pStyle w:val="Normal-Byfy"/>
      </w:pPr>
    </w:p>
    <w:p w14:paraId="5222042F" w14:textId="77777777" w:rsidR="00F01332" w:rsidRDefault="00F01332" w:rsidP="002B7D6E">
      <w:pPr>
        <w:pStyle w:val="Normal-Byfy"/>
      </w:pPr>
    </w:p>
    <w:p w14:paraId="7E0758E9" w14:textId="77777777" w:rsidR="00F01332" w:rsidRDefault="00F01332" w:rsidP="002B7D6E">
      <w:pPr>
        <w:pStyle w:val="Normal-Byfy"/>
      </w:pPr>
    </w:p>
    <w:p w14:paraId="7AEADAAD" w14:textId="77777777" w:rsidR="00AC66D7" w:rsidRDefault="00AC66D7" w:rsidP="002B7D6E">
      <w:pPr>
        <w:pStyle w:val="Normal-Byfy"/>
      </w:pPr>
    </w:p>
    <w:p w14:paraId="1ED41EC1" w14:textId="77777777" w:rsidR="00AC66D7" w:rsidRDefault="00AC66D7" w:rsidP="002B7D6E">
      <w:pPr>
        <w:pStyle w:val="Normal-Byfy"/>
      </w:pPr>
    </w:p>
    <w:p w14:paraId="4AAC87FD" w14:textId="77777777" w:rsidR="00AC66D7" w:rsidRDefault="00AC66D7" w:rsidP="002B7D6E">
      <w:pPr>
        <w:pStyle w:val="Normal-Byfy"/>
      </w:pPr>
    </w:p>
    <w:p w14:paraId="57E9BF63" w14:textId="77777777" w:rsidR="00BC7912" w:rsidRPr="002837E7" w:rsidRDefault="006355B4" w:rsidP="002837E7">
      <w:pPr>
        <w:pStyle w:val="Rubrik1-Byfy"/>
        <w:numPr>
          <w:ilvl w:val="0"/>
          <w:numId w:val="0"/>
        </w:numPr>
        <w:rPr>
          <w:szCs w:val="28"/>
        </w:rPr>
      </w:pPr>
      <w:bookmarkStart w:id="46" w:name="_Toc532751592"/>
      <w:r>
        <w:rPr>
          <w:szCs w:val="28"/>
        </w:rPr>
        <w:lastRenderedPageBreak/>
        <w:t>Popular Science Summary</w:t>
      </w:r>
      <w:bookmarkEnd w:id="46"/>
    </w:p>
    <w:p w14:paraId="3D6027EF" w14:textId="50BFFEAA" w:rsidR="000D5C0D" w:rsidRDefault="0001465B" w:rsidP="002837E7">
      <w:pPr>
        <w:pStyle w:val="Normal-Byfy"/>
        <w:spacing w:after="0"/>
        <w:jc w:val="center"/>
        <w:rPr>
          <w:sz w:val="36"/>
        </w:rPr>
      </w:pPr>
      <w:r>
        <w:rPr>
          <w:sz w:val="36"/>
        </w:rPr>
        <w:t>A concept to evaluate dynamic day</w:t>
      </w:r>
      <w:r w:rsidR="00273DF4">
        <w:rPr>
          <w:sz w:val="36"/>
        </w:rPr>
        <w:t>light glare</w:t>
      </w:r>
    </w:p>
    <w:p w14:paraId="2CE8D60A" w14:textId="77777777" w:rsidR="002837E7" w:rsidRDefault="002837E7" w:rsidP="002837E7">
      <w:pPr>
        <w:pStyle w:val="Normal-Byfy"/>
        <w:pBdr>
          <w:bottom w:val="single" w:sz="6" w:space="1" w:color="auto"/>
          <w:between w:val="single" w:sz="6" w:space="1" w:color="auto"/>
        </w:pBdr>
        <w:spacing w:after="0"/>
        <w:jc w:val="both"/>
      </w:pPr>
    </w:p>
    <w:p w14:paraId="7B680BC8" w14:textId="77777777" w:rsidR="002837E7" w:rsidRPr="002837E7" w:rsidRDefault="002837E7" w:rsidP="002837E7">
      <w:pPr>
        <w:pStyle w:val="Normal-Byfy"/>
        <w:pBdr>
          <w:bottom w:val="single" w:sz="6" w:space="1" w:color="auto"/>
        </w:pBdr>
        <w:spacing w:after="0"/>
        <w:jc w:val="both"/>
        <w:rPr>
          <w:sz w:val="16"/>
        </w:rPr>
      </w:pPr>
    </w:p>
    <w:p w14:paraId="6198E2CD" w14:textId="20D6A54B" w:rsidR="002837E7" w:rsidRDefault="00273DF4" w:rsidP="002837E7">
      <w:pPr>
        <w:pStyle w:val="Normal-Byfy"/>
        <w:pBdr>
          <w:bottom w:val="single" w:sz="6" w:space="1" w:color="auto"/>
        </w:pBdr>
        <w:spacing w:after="0"/>
        <w:jc w:val="both"/>
      </w:pPr>
      <w:r w:rsidRPr="00AA3D0C">
        <w:t>Glare is a physiological phenomenon influencing visual comfort. While disability glare is easier to assess, discomfort glare has been rather difficult to be estimated.</w:t>
      </w:r>
      <w:r w:rsidR="00F01336" w:rsidRPr="00F01336">
        <w:t xml:space="preserve"> </w:t>
      </w:r>
      <w:r w:rsidR="00F01336" w:rsidRPr="00AA3D0C">
        <w:t>Most of the metrics found in literature are, to some extent, reliable predictors of glare. However, they refer to specific condition</w:t>
      </w:r>
      <w:r w:rsidR="00F01336">
        <w:t>s</w:t>
      </w:r>
      <w:r w:rsidR="00F01336" w:rsidRPr="00AA3D0C">
        <w:t xml:space="preserve"> for </w:t>
      </w:r>
      <w:r w:rsidR="00F01336" w:rsidRPr="00AA3D0C">
        <w:rPr>
          <w:i/>
        </w:rPr>
        <w:t>a point in time</w:t>
      </w:r>
      <w:r w:rsidR="00F01336" w:rsidRPr="00AA3D0C">
        <w:t xml:space="preserve"> and </w:t>
      </w:r>
      <w:r w:rsidR="00F01336" w:rsidRPr="00AA3D0C">
        <w:rPr>
          <w:i/>
        </w:rPr>
        <w:t xml:space="preserve">a point in space with a </w:t>
      </w:r>
      <w:r w:rsidR="001F6C5B">
        <w:rPr>
          <w:i/>
        </w:rPr>
        <w:t xml:space="preserve">certain </w:t>
      </w:r>
      <w:r w:rsidR="00F01336" w:rsidRPr="00AA3D0C">
        <w:rPr>
          <w:i/>
        </w:rPr>
        <w:t xml:space="preserve">direction of </w:t>
      </w:r>
      <w:r w:rsidR="00965FBB">
        <w:rPr>
          <w:i/>
        </w:rPr>
        <w:t>gaze</w:t>
      </w:r>
      <w:r w:rsidR="00F01336" w:rsidRPr="00AA3D0C">
        <w:t>. This implies that they are mostly useful</w:t>
      </w:r>
      <w:r w:rsidR="00F01336">
        <w:t xml:space="preserve"> </w:t>
      </w:r>
      <w:r w:rsidR="00F01336" w:rsidRPr="00AA3D0C">
        <w:t>during an advanced design stage.</w:t>
      </w:r>
      <w:r w:rsidR="00F01336">
        <w:t xml:space="preserve"> But how </w:t>
      </w:r>
      <w:r w:rsidR="001F50C7">
        <w:t>reliable</w:t>
      </w:r>
      <w:r w:rsidR="00F01336">
        <w:t xml:space="preserve"> would be a daylight glare evaluation of a whole space, based only on one view and a point-in-time analysis?</w:t>
      </w:r>
      <w:r w:rsidR="001F50C7">
        <w:t xml:space="preserve"> More and more daylight researchers conclude that current glare estimation practices form a base for development. </w:t>
      </w:r>
      <w:r w:rsidR="00F01336">
        <w:t xml:space="preserve">This thesis </w:t>
      </w:r>
      <w:r w:rsidR="001F50C7">
        <w:t xml:space="preserve">proposes a </w:t>
      </w:r>
      <w:r w:rsidR="005F6130">
        <w:t>specific</w:t>
      </w:r>
      <w:r w:rsidR="001F50C7">
        <w:t xml:space="preserve"> method</w:t>
      </w:r>
      <w:r w:rsidR="00C0059C">
        <w:t>ology</w:t>
      </w:r>
      <w:r w:rsidR="001F50C7">
        <w:t xml:space="preserve"> for a </w:t>
      </w:r>
      <w:r w:rsidR="00C0059C">
        <w:t xml:space="preserve">dynamic and </w:t>
      </w:r>
      <w:r w:rsidR="001F50C7">
        <w:t xml:space="preserve">zonal glare </w:t>
      </w:r>
      <w:r w:rsidR="00C0059C">
        <w:t>evaluation</w:t>
      </w:r>
      <w:r w:rsidR="001F50C7">
        <w:t xml:space="preserve"> during </w:t>
      </w:r>
      <w:proofErr w:type="gramStart"/>
      <w:r w:rsidR="001F50C7">
        <w:t>a period</w:t>
      </w:r>
      <w:r w:rsidR="0097263A">
        <w:t xml:space="preserve"> of time</w:t>
      </w:r>
      <w:proofErr w:type="gramEnd"/>
      <w:r w:rsidR="001F50C7">
        <w:t xml:space="preserve">. The </w:t>
      </w:r>
      <w:r w:rsidR="0097263A">
        <w:t>aim</w:t>
      </w:r>
      <w:r w:rsidR="001F50C7">
        <w:t xml:space="preserve"> is not the develop</w:t>
      </w:r>
      <w:r w:rsidR="005558F3">
        <w:t>ment of</w:t>
      </w:r>
      <w:r w:rsidR="001F50C7">
        <w:t xml:space="preserve"> a new glare metric, </w:t>
      </w:r>
      <w:r w:rsidR="0097263A">
        <w:t xml:space="preserve">but </w:t>
      </w:r>
      <w:r w:rsidR="001F50C7">
        <w:t xml:space="preserve">rather the </w:t>
      </w:r>
      <w:r w:rsidR="0097263A">
        <w:t>combination</w:t>
      </w:r>
      <w:r w:rsidR="001F50C7">
        <w:t xml:space="preserve"> of the existing ones in an earlier design stage.</w:t>
      </w:r>
    </w:p>
    <w:p w14:paraId="4141C916" w14:textId="77777777" w:rsidR="002837E7" w:rsidRPr="002837E7" w:rsidRDefault="002837E7" w:rsidP="002837E7">
      <w:pPr>
        <w:pStyle w:val="Normal-Byfy"/>
        <w:pBdr>
          <w:bottom w:val="single" w:sz="6" w:space="1" w:color="auto"/>
        </w:pBdr>
        <w:spacing w:after="0"/>
        <w:jc w:val="both"/>
        <w:rPr>
          <w:sz w:val="16"/>
        </w:rPr>
      </w:pPr>
    </w:p>
    <w:p w14:paraId="13CC1914" w14:textId="77777777" w:rsidR="002837E7" w:rsidRDefault="002837E7" w:rsidP="002837E7">
      <w:pPr>
        <w:pStyle w:val="Normal-Byfy"/>
        <w:spacing w:after="0"/>
        <w:jc w:val="both"/>
      </w:pPr>
    </w:p>
    <w:p w14:paraId="1C84BA25" w14:textId="0A144AA1" w:rsidR="00C0059C" w:rsidRPr="00E22D27" w:rsidRDefault="0098599E" w:rsidP="00C0059C">
      <w:pPr>
        <w:pStyle w:val="Normal-Byfy"/>
        <w:jc w:val="both"/>
        <w:rPr>
          <w:lang w:val="sv-SE"/>
        </w:rPr>
      </w:pPr>
      <w:r>
        <w:t>The proposed</w:t>
      </w:r>
      <w:r w:rsidR="00C0059C">
        <w:t xml:space="preserve"> methodology considers different observer positions and gaze directions, while </w:t>
      </w:r>
      <w:r>
        <w:t>accounting for the adaptation possibility in terms of head rotation and glare duration.</w:t>
      </w:r>
      <w:r w:rsidR="00C0059C">
        <w:t xml:space="preserve"> </w:t>
      </w:r>
      <w:r>
        <w:t xml:space="preserve">Three glare metrics were implemented, the DGP, DGI and DGPs, as they could enhance the total glare evaluation by describing the glare sensation either based on contrast and/or direct sunlight penetration. </w:t>
      </w:r>
      <w:r w:rsidR="00C0059C">
        <w:t xml:space="preserve">Eventually, two indicators were developed, the </w:t>
      </w:r>
      <w:r w:rsidR="00C0059C" w:rsidRPr="00C91DC9">
        <w:rPr>
          <w:i/>
        </w:rPr>
        <w:t>Total Point Glare</w:t>
      </w:r>
      <w:r w:rsidR="00C0059C">
        <w:t xml:space="preserve"> (TPG), that outputs one glare indication value per position and point-in-time, and the </w:t>
      </w:r>
      <w:r w:rsidR="00C0059C" w:rsidRPr="00C91DC9">
        <w:rPr>
          <w:i/>
        </w:rPr>
        <w:t>Space-Time Glare</w:t>
      </w:r>
      <w:r w:rsidR="00C0059C">
        <w:t xml:space="preserve"> (STG), that provided one glare prediction value per position during a longer </w:t>
      </w:r>
      <w:proofErr w:type="gramStart"/>
      <w:r w:rsidR="00C0059C">
        <w:t>period of time</w:t>
      </w:r>
      <w:proofErr w:type="gramEnd"/>
      <w:r w:rsidR="00C0059C">
        <w:t>.</w:t>
      </w:r>
    </w:p>
    <w:p w14:paraId="17EABDB4" w14:textId="3A1FF924" w:rsidR="00A551B3" w:rsidRDefault="003A5E86" w:rsidP="002837E7">
      <w:pPr>
        <w:pStyle w:val="Normal-Byfy"/>
        <w:jc w:val="both"/>
      </w:pPr>
      <w:r>
        <w:t xml:space="preserve">For the development of the </w:t>
      </w:r>
      <w:proofErr w:type="gramStart"/>
      <w:r>
        <w:t>aforementioned method</w:t>
      </w:r>
      <w:proofErr w:type="gramEnd"/>
      <w:r w:rsidR="0098599E">
        <w:t>,</w:t>
      </w:r>
      <w:r>
        <w:t xml:space="preserve"> a virtual model of a hypothetical library room </w:t>
      </w:r>
      <w:r w:rsidR="002A20CE">
        <w:t xml:space="preserve">in Stockholm </w:t>
      </w:r>
      <w:r>
        <w:t>was used</w:t>
      </w:r>
      <w:r w:rsidR="002A20CE">
        <w:t xml:space="preserve">, having a fully glazed façade towards South. </w:t>
      </w:r>
      <w:r w:rsidR="00357B28">
        <w:t>The performed analysis was grid-based</w:t>
      </w:r>
      <w:r w:rsidR="00DB7AB1">
        <w:t>,</w:t>
      </w:r>
      <w:r w:rsidR="00357B28">
        <w:t xml:space="preserve"> in order to simulate the possible movement of the occupant in the space.</w:t>
      </w:r>
      <w:r w:rsidR="00DB7AB1">
        <w:t xml:space="preserve"> Additionally, the occupant could rotate his head </w:t>
      </w:r>
      <w:r w:rsidR="00B84AA2">
        <w:t>so, that multiple gazes would be examined</w:t>
      </w:r>
      <w:r w:rsidR="001F6C5B">
        <w:t>. The study considered the impact of two shading systems, namely venetian blinds and roller shades, on glare risk assessments.</w:t>
      </w:r>
    </w:p>
    <w:p w14:paraId="5346C1DE" w14:textId="0553E4F4" w:rsidR="006A69C5" w:rsidRDefault="006A69C5" w:rsidP="006A69C5">
      <w:pPr>
        <w:pStyle w:val="Normal-Byfy"/>
        <w:jc w:val="both"/>
      </w:pPr>
      <w:r>
        <w:t>Z</w:t>
      </w:r>
      <w:r w:rsidRPr="00AA3D0C">
        <w:t xml:space="preserve">onal glare analysis could drastically improve the design of space by evaluating different areas in terms of glare probability and </w:t>
      </w:r>
      <w:r>
        <w:t xml:space="preserve">glare free </w:t>
      </w:r>
      <w:r w:rsidRPr="00AA3D0C">
        <w:t>space availability.</w:t>
      </w:r>
      <w:r>
        <w:t xml:space="preserve"> Even though t</w:t>
      </w:r>
      <w:r w:rsidRPr="00AA3D0C">
        <w:t>he method allows t</w:t>
      </w:r>
      <w:r>
        <w:t>he</w:t>
      </w:r>
      <w:r w:rsidRPr="00AA3D0C">
        <w:t xml:space="preserve"> place</w:t>
      </w:r>
      <w:r>
        <w:t>ment of</w:t>
      </w:r>
      <w:r w:rsidRPr="00AA3D0C">
        <w:t xml:space="preserve"> the furniture/partition at an early design stage, </w:t>
      </w:r>
      <w:r>
        <w:t>i</w:t>
      </w:r>
      <w:r w:rsidRPr="00AA3D0C">
        <w:t>t is quite expensive in terms of computational time</w:t>
      </w:r>
      <w:r>
        <w:t>. This issue could be solved in the future when</w:t>
      </w:r>
      <w:r w:rsidRPr="00C4323D">
        <w:t xml:space="preserve"> </w:t>
      </w:r>
      <w:r>
        <w:t>supercomputers will be available to the general public and lighting simulation may rely on more efficient engines. S</w:t>
      </w:r>
      <w:r w:rsidRPr="00EF5B43">
        <w:t>ince the method derived from reason</w:t>
      </w:r>
      <w:r>
        <w:t xml:space="preserve">ed </w:t>
      </w:r>
      <w:r w:rsidRPr="00EF5B43">
        <w:t>assumptions and hypothesis, should be further investigated and validated with empirical data.</w:t>
      </w:r>
    </w:p>
    <w:p w14:paraId="768939B4" w14:textId="5A25B073" w:rsidR="00E242A8" w:rsidRDefault="002837E7" w:rsidP="002837E7">
      <w:pPr>
        <w:pStyle w:val="Normal-Byfy"/>
        <w:jc w:val="both"/>
      </w:pPr>
      <w:r>
        <w:t>T</w:t>
      </w:r>
      <w:r w:rsidR="00903E34" w:rsidRPr="00AA3D0C">
        <w:t xml:space="preserve">he </w:t>
      </w:r>
      <w:r>
        <w:t>investigated</w:t>
      </w:r>
      <w:r w:rsidR="00903E34" w:rsidRPr="00AA3D0C">
        <w:t xml:space="preserve"> glare indices</w:t>
      </w:r>
      <w:r w:rsidR="00EF5B43">
        <w:t xml:space="preserve"> </w:t>
      </w:r>
      <w:r w:rsidR="00903E34" w:rsidRPr="00AA3D0C">
        <w:t xml:space="preserve">presented a similar pattern regarding the critical zones of space. </w:t>
      </w:r>
      <w:r w:rsidR="00EF5B43">
        <w:t>D</w:t>
      </w:r>
      <w:r w:rsidR="00EF5B43" w:rsidRPr="00AA3D0C">
        <w:t>ifferent metrics could lead to different interpretation of the results, indicating the importance to implement specific metrics under the corresponding circumstances.</w:t>
      </w:r>
      <w:r w:rsidR="00E242A8">
        <w:t xml:space="preserve"> Furthermore</w:t>
      </w:r>
      <w:r w:rsidR="0078206C">
        <w:t xml:space="preserve">, regarding the tested shading systems, it was shown that the </w:t>
      </w:r>
      <w:r w:rsidR="00E242A8">
        <w:t>d</w:t>
      </w:r>
      <w:r w:rsidR="00E242A8" w:rsidRPr="00AA3D0C">
        <w:t>iffusive systems could maintain approximately the same illuminance levels</w:t>
      </w:r>
      <w:r w:rsidR="0078206C">
        <w:t>. However,</w:t>
      </w:r>
      <w:r w:rsidR="00E242A8" w:rsidRPr="00AA3D0C">
        <w:t xml:space="preserve"> the provided glare safe </w:t>
      </w:r>
      <w:r w:rsidR="0078206C">
        <w:t xml:space="preserve">area coverage would </w:t>
      </w:r>
      <w:r w:rsidR="0078206C" w:rsidRPr="00AA3D0C">
        <w:t>vary</w:t>
      </w:r>
      <w:r w:rsidR="00E242A8" w:rsidRPr="00AA3D0C">
        <w:t xml:space="preserve"> a lot </w:t>
      </w:r>
      <w:r w:rsidR="0078206C">
        <w:t xml:space="preserve">during the day, </w:t>
      </w:r>
      <w:r w:rsidR="00E242A8" w:rsidRPr="00AA3D0C">
        <w:t>counteracting the seemingly enhanced visual comfort.</w:t>
      </w:r>
    </w:p>
    <w:p w14:paraId="4BEE1785" w14:textId="77777777" w:rsidR="002B7D6E" w:rsidRPr="00AA3D0C" w:rsidRDefault="002B7D6E" w:rsidP="002B7D6E">
      <w:pPr>
        <w:pStyle w:val="Rubrik1-Byfy"/>
        <w:numPr>
          <w:ilvl w:val="0"/>
          <w:numId w:val="0"/>
        </w:numPr>
        <w:rPr>
          <w:sz w:val="28"/>
          <w:szCs w:val="28"/>
        </w:rPr>
      </w:pPr>
      <w:bookmarkStart w:id="47" w:name="_Toc532751593"/>
      <w:r w:rsidRPr="00AA3D0C">
        <w:rPr>
          <w:sz w:val="28"/>
          <w:szCs w:val="28"/>
        </w:rPr>
        <w:lastRenderedPageBreak/>
        <w:t>References</w:t>
      </w:r>
      <w:bookmarkEnd w:id="47"/>
    </w:p>
    <w:p w14:paraId="2962E8E1" w14:textId="2A271C4C" w:rsidR="004C6D89" w:rsidRPr="004C6D89" w:rsidRDefault="002B7D6E" w:rsidP="004C6D89">
      <w:pPr>
        <w:widowControl w:val="0"/>
        <w:autoSpaceDE w:val="0"/>
        <w:autoSpaceDN w:val="0"/>
        <w:adjustRightInd w:val="0"/>
        <w:spacing w:after="240"/>
        <w:rPr>
          <w:noProof/>
          <w:sz w:val="22"/>
        </w:rPr>
      </w:pPr>
      <w:r w:rsidRPr="00AA3D0C">
        <w:fldChar w:fldCharType="begin" w:fldLock="1"/>
      </w:r>
      <w:r w:rsidRPr="00AA3D0C">
        <w:instrText xml:space="preserve">ADDIN Mendeley Bibliography CSL_BIBLIOGRAPHY </w:instrText>
      </w:r>
      <w:r w:rsidRPr="00AA3D0C">
        <w:fldChar w:fldCharType="separate"/>
      </w:r>
      <w:r w:rsidR="004C6D89" w:rsidRPr="004C6D89">
        <w:rPr>
          <w:noProof/>
          <w:sz w:val="22"/>
        </w:rPr>
        <w:t xml:space="preserve">Altomonte, S. </w:t>
      </w:r>
      <w:r w:rsidR="004C6D89" w:rsidRPr="004C6D89">
        <w:rPr>
          <w:i/>
          <w:iCs/>
          <w:noProof/>
          <w:sz w:val="22"/>
        </w:rPr>
        <w:t>et al.</w:t>
      </w:r>
      <w:r w:rsidR="004C6D89" w:rsidRPr="004C6D89">
        <w:rPr>
          <w:noProof/>
          <w:sz w:val="22"/>
        </w:rPr>
        <w:t xml:space="preserve"> (2016) ‘Visual task difficulty and temporal influences in glare response’, </w:t>
      </w:r>
      <w:r w:rsidR="004C6D89" w:rsidRPr="004C6D89">
        <w:rPr>
          <w:i/>
          <w:iCs/>
          <w:noProof/>
          <w:sz w:val="22"/>
        </w:rPr>
        <w:t>Building and Environment</w:t>
      </w:r>
      <w:r w:rsidR="004C6D89" w:rsidRPr="004C6D89">
        <w:rPr>
          <w:noProof/>
          <w:sz w:val="22"/>
        </w:rPr>
        <w:t>. 95, pp. 209–226.</w:t>
      </w:r>
    </w:p>
    <w:p w14:paraId="528CCD23" w14:textId="7F8BF0A9" w:rsidR="004C6D89" w:rsidRPr="004C6D89" w:rsidRDefault="004C6D89" w:rsidP="004C6D89">
      <w:pPr>
        <w:widowControl w:val="0"/>
        <w:autoSpaceDE w:val="0"/>
        <w:autoSpaceDN w:val="0"/>
        <w:adjustRightInd w:val="0"/>
        <w:spacing w:after="240"/>
        <w:rPr>
          <w:noProof/>
          <w:sz w:val="22"/>
        </w:rPr>
      </w:pPr>
      <w:r w:rsidRPr="004C6D89">
        <w:rPr>
          <w:noProof/>
          <w:sz w:val="22"/>
        </w:rPr>
        <w:t xml:space="preserve">Andersen, M. (2015) ‘Unweaving the human response in daylighting design’, </w:t>
      </w:r>
      <w:r w:rsidRPr="004C6D89">
        <w:rPr>
          <w:i/>
          <w:iCs/>
          <w:noProof/>
          <w:sz w:val="22"/>
        </w:rPr>
        <w:t>Building and Environment</w:t>
      </w:r>
      <w:r w:rsidRPr="004C6D89">
        <w:rPr>
          <w:noProof/>
          <w:sz w:val="22"/>
        </w:rPr>
        <w:t>, 91, pp. 101–117.</w:t>
      </w:r>
    </w:p>
    <w:p w14:paraId="7EA6A9E7" w14:textId="16A2D32C" w:rsidR="004C6D89" w:rsidRPr="004C6D89" w:rsidRDefault="004C6D89" w:rsidP="004C6D89">
      <w:pPr>
        <w:widowControl w:val="0"/>
        <w:autoSpaceDE w:val="0"/>
        <w:autoSpaceDN w:val="0"/>
        <w:adjustRightInd w:val="0"/>
        <w:spacing w:after="240"/>
        <w:rPr>
          <w:noProof/>
          <w:sz w:val="22"/>
        </w:rPr>
      </w:pPr>
      <w:r w:rsidRPr="004C6D89">
        <w:rPr>
          <w:noProof/>
          <w:sz w:val="22"/>
        </w:rPr>
        <w:t xml:space="preserve">Atzeri, A. M. </w:t>
      </w:r>
      <w:r w:rsidRPr="004C6D89">
        <w:rPr>
          <w:i/>
          <w:iCs/>
          <w:noProof/>
          <w:sz w:val="22"/>
        </w:rPr>
        <w:t>et al.</w:t>
      </w:r>
      <w:r w:rsidRPr="004C6D89">
        <w:rPr>
          <w:noProof/>
          <w:sz w:val="22"/>
        </w:rPr>
        <w:t xml:space="preserve"> (2016) ‘Comfort metrics for an integrated evaluation of buildings performance’, </w:t>
      </w:r>
      <w:r w:rsidRPr="004C6D89">
        <w:rPr>
          <w:i/>
          <w:iCs/>
          <w:noProof/>
          <w:sz w:val="22"/>
        </w:rPr>
        <w:t>Energy and Buildings</w:t>
      </w:r>
      <w:r w:rsidRPr="004C6D89">
        <w:rPr>
          <w:noProof/>
          <w:sz w:val="22"/>
        </w:rPr>
        <w:t>. 127, pp. 411–424.</w:t>
      </w:r>
    </w:p>
    <w:p w14:paraId="5AD0FC3A" w14:textId="35DBC0F4" w:rsidR="004C6D89" w:rsidRPr="004C6D89" w:rsidRDefault="004C6D89" w:rsidP="004C6D89">
      <w:pPr>
        <w:widowControl w:val="0"/>
        <w:autoSpaceDE w:val="0"/>
        <w:autoSpaceDN w:val="0"/>
        <w:adjustRightInd w:val="0"/>
        <w:spacing w:after="240"/>
        <w:rPr>
          <w:noProof/>
          <w:sz w:val="22"/>
        </w:rPr>
      </w:pPr>
      <w:r w:rsidRPr="004C6D89">
        <w:rPr>
          <w:noProof/>
          <w:sz w:val="22"/>
        </w:rPr>
        <w:t xml:space="preserve">Bargary, G. </w:t>
      </w:r>
      <w:r w:rsidRPr="004C6D89">
        <w:rPr>
          <w:i/>
          <w:iCs/>
          <w:noProof/>
          <w:sz w:val="22"/>
        </w:rPr>
        <w:t>et al.</w:t>
      </w:r>
      <w:r w:rsidRPr="004C6D89">
        <w:rPr>
          <w:noProof/>
          <w:sz w:val="22"/>
        </w:rPr>
        <w:t xml:space="preserve"> (2015) ‘Cortical hyperexcitability and sensitivity to discomfort glare’, </w:t>
      </w:r>
      <w:r w:rsidRPr="004C6D89">
        <w:rPr>
          <w:i/>
          <w:iCs/>
          <w:noProof/>
          <w:sz w:val="22"/>
        </w:rPr>
        <w:t>Neuropsychologia</w:t>
      </w:r>
      <w:r w:rsidRPr="004C6D89">
        <w:rPr>
          <w:noProof/>
          <w:sz w:val="22"/>
        </w:rPr>
        <w:t>. 69, pp. 194–200.</w:t>
      </w:r>
    </w:p>
    <w:p w14:paraId="1E6919E9" w14:textId="77777777" w:rsidR="004C6D89" w:rsidRPr="004C6D89" w:rsidRDefault="004C6D89" w:rsidP="004C6D89">
      <w:pPr>
        <w:widowControl w:val="0"/>
        <w:autoSpaceDE w:val="0"/>
        <w:autoSpaceDN w:val="0"/>
        <w:adjustRightInd w:val="0"/>
        <w:spacing w:after="240"/>
        <w:rPr>
          <w:noProof/>
          <w:sz w:val="22"/>
        </w:rPr>
      </w:pPr>
      <w:r w:rsidRPr="004C6D89">
        <w:rPr>
          <w:noProof/>
          <w:sz w:val="22"/>
        </w:rPr>
        <w:t xml:space="preserve">Bellia, L. </w:t>
      </w:r>
      <w:r w:rsidRPr="004C6D89">
        <w:rPr>
          <w:i/>
          <w:iCs/>
          <w:noProof/>
          <w:sz w:val="22"/>
        </w:rPr>
        <w:t>et al.</w:t>
      </w:r>
      <w:r w:rsidRPr="004C6D89">
        <w:rPr>
          <w:noProof/>
          <w:sz w:val="22"/>
        </w:rPr>
        <w:t xml:space="preserve"> (2008) ‘Daylight glare: A review of discomfort indexes’, in </w:t>
      </w:r>
      <w:r w:rsidRPr="004C6D89">
        <w:rPr>
          <w:i/>
          <w:iCs/>
          <w:noProof/>
          <w:sz w:val="22"/>
        </w:rPr>
        <w:t>Visual quality and energy efficiency in indoor lighting: today for tomorrow</w:t>
      </w:r>
      <w:r w:rsidRPr="004C6D89">
        <w:rPr>
          <w:noProof/>
          <w:sz w:val="22"/>
        </w:rPr>
        <w:t>. Rome, Italy.</w:t>
      </w:r>
    </w:p>
    <w:p w14:paraId="4113B525" w14:textId="3F2ADE00" w:rsidR="004C6D89" w:rsidRPr="004C6D89" w:rsidRDefault="004C6D89" w:rsidP="004C6D89">
      <w:pPr>
        <w:widowControl w:val="0"/>
        <w:autoSpaceDE w:val="0"/>
        <w:autoSpaceDN w:val="0"/>
        <w:adjustRightInd w:val="0"/>
        <w:spacing w:after="240"/>
        <w:rPr>
          <w:noProof/>
          <w:sz w:val="22"/>
        </w:rPr>
      </w:pPr>
      <w:r w:rsidRPr="004C6D89">
        <w:rPr>
          <w:noProof/>
          <w:sz w:val="22"/>
        </w:rPr>
        <w:t xml:space="preserve">Bian, Y. and Ma, Y. (2018) ‘Subjective survey &amp; simulation analysis of time-based visual comfort in daylit spaces’, </w:t>
      </w:r>
      <w:r w:rsidRPr="004C6D89">
        <w:rPr>
          <w:i/>
          <w:iCs/>
          <w:noProof/>
          <w:sz w:val="22"/>
        </w:rPr>
        <w:t>Building and Environment</w:t>
      </w:r>
      <w:r w:rsidRPr="004C6D89">
        <w:rPr>
          <w:noProof/>
          <w:sz w:val="22"/>
        </w:rPr>
        <w:t>. 131, pp. 63–73.</w:t>
      </w:r>
    </w:p>
    <w:p w14:paraId="2C191A71" w14:textId="77777777" w:rsidR="004C6D89" w:rsidRPr="004C6D89" w:rsidRDefault="004C6D89" w:rsidP="004C6D89">
      <w:pPr>
        <w:widowControl w:val="0"/>
        <w:autoSpaceDE w:val="0"/>
        <w:autoSpaceDN w:val="0"/>
        <w:adjustRightInd w:val="0"/>
        <w:spacing w:after="240"/>
        <w:rPr>
          <w:noProof/>
          <w:sz w:val="22"/>
        </w:rPr>
      </w:pPr>
      <w:r w:rsidRPr="004C6D89">
        <w:rPr>
          <w:noProof/>
          <w:sz w:val="22"/>
        </w:rPr>
        <w:t xml:space="preserve">Boyce, P. R. (2003) </w:t>
      </w:r>
      <w:r w:rsidRPr="004C6D89">
        <w:rPr>
          <w:i/>
          <w:iCs/>
          <w:noProof/>
          <w:sz w:val="22"/>
        </w:rPr>
        <w:t>Human factors in lighting</w:t>
      </w:r>
      <w:r w:rsidRPr="004C6D89">
        <w:rPr>
          <w:noProof/>
          <w:sz w:val="22"/>
        </w:rPr>
        <w:t>. 2. ed. London [u.a.]: Taylor &amp; Francis.</w:t>
      </w:r>
    </w:p>
    <w:p w14:paraId="5A183E43" w14:textId="77777777" w:rsidR="004C6D89" w:rsidRPr="004C6D89" w:rsidRDefault="004C6D89" w:rsidP="004C6D89">
      <w:pPr>
        <w:widowControl w:val="0"/>
        <w:autoSpaceDE w:val="0"/>
        <w:autoSpaceDN w:val="0"/>
        <w:adjustRightInd w:val="0"/>
        <w:spacing w:after="240"/>
        <w:rPr>
          <w:noProof/>
          <w:sz w:val="22"/>
        </w:rPr>
      </w:pPr>
      <w:r w:rsidRPr="004C6D89">
        <w:rPr>
          <w:noProof/>
          <w:sz w:val="22"/>
        </w:rPr>
        <w:t xml:space="preserve">BREEAM (2017) ‘BREEAM-SE New Construction’, </w:t>
      </w:r>
      <w:r w:rsidRPr="004C6D89">
        <w:rPr>
          <w:i/>
          <w:iCs/>
          <w:noProof/>
          <w:sz w:val="22"/>
        </w:rPr>
        <w:t>Technical Manual</w:t>
      </w:r>
      <w:r w:rsidRPr="004C6D89">
        <w:rPr>
          <w:noProof/>
          <w:sz w:val="22"/>
        </w:rPr>
        <w:t>. s.l.: SGBC and BRE Global, 1.0, pp. 76–90.</w:t>
      </w:r>
    </w:p>
    <w:p w14:paraId="6F1968AE" w14:textId="61724AA9" w:rsidR="004C6D89" w:rsidRPr="004C6D89" w:rsidRDefault="004C6D89" w:rsidP="004C6D89">
      <w:pPr>
        <w:widowControl w:val="0"/>
        <w:autoSpaceDE w:val="0"/>
        <w:autoSpaceDN w:val="0"/>
        <w:adjustRightInd w:val="0"/>
        <w:spacing w:after="240"/>
        <w:rPr>
          <w:noProof/>
          <w:sz w:val="22"/>
        </w:rPr>
      </w:pPr>
      <w:r w:rsidRPr="004C6D89">
        <w:rPr>
          <w:noProof/>
          <w:sz w:val="22"/>
        </w:rPr>
        <w:t xml:space="preserve">Carlucci, S. </w:t>
      </w:r>
      <w:r w:rsidRPr="004C6D89">
        <w:rPr>
          <w:i/>
          <w:iCs/>
          <w:noProof/>
          <w:sz w:val="22"/>
        </w:rPr>
        <w:t>et al.</w:t>
      </w:r>
      <w:r w:rsidRPr="004C6D89">
        <w:rPr>
          <w:noProof/>
          <w:sz w:val="22"/>
        </w:rPr>
        <w:t xml:space="preserve"> (2015) ‘A review of indices for assessing visual comfort with a view to their use in optimization processes to support building integrated design’, </w:t>
      </w:r>
      <w:r w:rsidRPr="004C6D89">
        <w:rPr>
          <w:i/>
          <w:iCs/>
          <w:noProof/>
          <w:sz w:val="22"/>
        </w:rPr>
        <w:t>Renewable and Sustainable Energy Reviews</w:t>
      </w:r>
      <w:r w:rsidRPr="004C6D89">
        <w:rPr>
          <w:noProof/>
          <w:sz w:val="22"/>
        </w:rPr>
        <w:t>. 47, pp. 1016–1033.</w:t>
      </w:r>
    </w:p>
    <w:p w14:paraId="3CD1BAF8" w14:textId="0FDE7AD7" w:rsidR="004C6D89" w:rsidRPr="004C6D89" w:rsidRDefault="004C6D89" w:rsidP="004C6D89">
      <w:pPr>
        <w:widowControl w:val="0"/>
        <w:autoSpaceDE w:val="0"/>
        <w:autoSpaceDN w:val="0"/>
        <w:adjustRightInd w:val="0"/>
        <w:spacing w:after="240"/>
        <w:rPr>
          <w:noProof/>
          <w:sz w:val="22"/>
        </w:rPr>
      </w:pPr>
      <w:r w:rsidRPr="004C6D89">
        <w:rPr>
          <w:noProof/>
          <w:sz w:val="22"/>
        </w:rPr>
        <w:t xml:space="preserve">Chan, Y.-C., Tzempelikos, A. and Konstantzos, I. (2015) ‘A systematic method for selecting roller shade properties for glare protection’, </w:t>
      </w:r>
      <w:r w:rsidRPr="004C6D89">
        <w:rPr>
          <w:i/>
          <w:iCs/>
          <w:noProof/>
          <w:sz w:val="22"/>
        </w:rPr>
        <w:t>Energy and Buildings</w:t>
      </w:r>
      <w:r w:rsidRPr="004C6D89">
        <w:rPr>
          <w:noProof/>
          <w:sz w:val="22"/>
        </w:rPr>
        <w:t>. 92, pp. 81–94.</w:t>
      </w:r>
    </w:p>
    <w:p w14:paraId="54FE9B54" w14:textId="77777777" w:rsidR="004C6D89" w:rsidRPr="004C6D89" w:rsidRDefault="004C6D89" w:rsidP="004C6D89">
      <w:pPr>
        <w:widowControl w:val="0"/>
        <w:autoSpaceDE w:val="0"/>
        <w:autoSpaceDN w:val="0"/>
        <w:adjustRightInd w:val="0"/>
        <w:spacing w:after="240"/>
        <w:rPr>
          <w:noProof/>
          <w:sz w:val="22"/>
        </w:rPr>
      </w:pPr>
      <w:r w:rsidRPr="004C6D89">
        <w:rPr>
          <w:noProof/>
          <w:sz w:val="22"/>
        </w:rPr>
        <w:t xml:space="preserve">CIE (1995) </w:t>
      </w:r>
      <w:r w:rsidRPr="004C6D89">
        <w:rPr>
          <w:i/>
          <w:iCs/>
          <w:noProof/>
          <w:sz w:val="22"/>
        </w:rPr>
        <w:t>Discomfort glare in the interior working environment</w:t>
      </w:r>
      <w:r w:rsidRPr="004C6D89">
        <w:rPr>
          <w:noProof/>
          <w:sz w:val="22"/>
        </w:rPr>
        <w:t>. Vienna (Austria).</w:t>
      </w:r>
    </w:p>
    <w:p w14:paraId="4699BA2F" w14:textId="77777777" w:rsidR="004C6D89" w:rsidRPr="004C6D89" w:rsidRDefault="004C6D89" w:rsidP="004C6D89">
      <w:pPr>
        <w:widowControl w:val="0"/>
        <w:autoSpaceDE w:val="0"/>
        <w:autoSpaceDN w:val="0"/>
        <w:adjustRightInd w:val="0"/>
        <w:spacing w:after="240"/>
        <w:rPr>
          <w:noProof/>
          <w:sz w:val="22"/>
        </w:rPr>
      </w:pPr>
      <w:r w:rsidRPr="004C6D89">
        <w:rPr>
          <w:noProof/>
          <w:sz w:val="22"/>
        </w:rPr>
        <w:t xml:space="preserve">CIE (2002) </w:t>
      </w:r>
      <w:r w:rsidRPr="004C6D89">
        <w:rPr>
          <w:i/>
          <w:iCs/>
          <w:noProof/>
          <w:sz w:val="22"/>
        </w:rPr>
        <w:t>Glare from Small, Large and Complex Sources</w:t>
      </w:r>
      <w:r w:rsidRPr="004C6D89">
        <w:rPr>
          <w:noProof/>
          <w:sz w:val="22"/>
        </w:rPr>
        <w:t>. Vienna (Austria).</w:t>
      </w:r>
    </w:p>
    <w:p w14:paraId="128880A8" w14:textId="77777777" w:rsidR="004C6D89" w:rsidRPr="004C6D89" w:rsidRDefault="004C6D89" w:rsidP="004C6D89">
      <w:pPr>
        <w:widowControl w:val="0"/>
        <w:autoSpaceDE w:val="0"/>
        <w:autoSpaceDN w:val="0"/>
        <w:adjustRightInd w:val="0"/>
        <w:spacing w:after="240"/>
        <w:rPr>
          <w:noProof/>
          <w:sz w:val="22"/>
        </w:rPr>
      </w:pPr>
      <w:r w:rsidRPr="004C6D89">
        <w:rPr>
          <w:noProof/>
          <w:sz w:val="22"/>
        </w:rPr>
        <w:t xml:space="preserve">Core Studio (2018) </w:t>
      </w:r>
      <w:r w:rsidRPr="004C6D89">
        <w:rPr>
          <w:i/>
          <w:iCs/>
          <w:noProof/>
          <w:sz w:val="22"/>
        </w:rPr>
        <w:t>TT Toolbox</w:t>
      </w:r>
      <w:r w:rsidRPr="004C6D89">
        <w:rPr>
          <w:noProof/>
          <w:sz w:val="22"/>
        </w:rPr>
        <w:t xml:space="preserve">, </w:t>
      </w:r>
      <w:r w:rsidRPr="004C6D89">
        <w:rPr>
          <w:i/>
          <w:iCs/>
          <w:noProof/>
          <w:sz w:val="22"/>
        </w:rPr>
        <w:t>Robert McNeel and Associates</w:t>
      </w:r>
      <w:r w:rsidRPr="004C6D89">
        <w:rPr>
          <w:noProof/>
          <w:sz w:val="22"/>
        </w:rPr>
        <w:t>. Available at: http://www.food4rhino.com/app/tt-toolbox (Accessed: 3 April 2018).</w:t>
      </w:r>
    </w:p>
    <w:p w14:paraId="19BC6FDF" w14:textId="77777777" w:rsidR="004C6D89" w:rsidRPr="004C6D89" w:rsidRDefault="004C6D89" w:rsidP="004C6D89">
      <w:pPr>
        <w:widowControl w:val="0"/>
        <w:autoSpaceDE w:val="0"/>
        <w:autoSpaceDN w:val="0"/>
        <w:adjustRightInd w:val="0"/>
        <w:spacing w:after="240"/>
        <w:rPr>
          <w:noProof/>
          <w:sz w:val="22"/>
        </w:rPr>
      </w:pPr>
      <w:r w:rsidRPr="004C6D89">
        <w:rPr>
          <w:noProof/>
          <w:sz w:val="22"/>
        </w:rPr>
        <w:t xml:space="preserve">Dubois, M.-C. (2001) </w:t>
      </w:r>
      <w:r w:rsidRPr="004C6D89">
        <w:rPr>
          <w:i/>
          <w:iCs/>
          <w:noProof/>
          <w:sz w:val="22"/>
        </w:rPr>
        <w:t>Impact of Shading Devices on Daylight Quality in Offices: Simulations with Radiance</w:t>
      </w:r>
      <w:r w:rsidRPr="004C6D89">
        <w:rPr>
          <w:noProof/>
          <w:sz w:val="22"/>
        </w:rPr>
        <w:t>. Lund University, Division of Energy and Building Design.</w:t>
      </w:r>
    </w:p>
    <w:p w14:paraId="6D1C7262" w14:textId="4BC496A4" w:rsidR="004C6D89" w:rsidRPr="004C6D89" w:rsidRDefault="004C6D89" w:rsidP="004C6D89">
      <w:pPr>
        <w:widowControl w:val="0"/>
        <w:autoSpaceDE w:val="0"/>
        <w:autoSpaceDN w:val="0"/>
        <w:adjustRightInd w:val="0"/>
        <w:spacing w:after="240"/>
        <w:rPr>
          <w:noProof/>
          <w:sz w:val="22"/>
        </w:rPr>
      </w:pPr>
      <w:r w:rsidRPr="004C6D89">
        <w:rPr>
          <w:noProof/>
          <w:sz w:val="22"/>
        </w:rPr>
        <w:t xml:space="preserve">Eble-Hankins, M. L. and Waters, C. E. (2009) ‘Subjective Impression of Discomfort Glare from Sources of Non-Uniform Luminance’, </w:t>
      </w:r>
      <w:r w:rsidRPr="004C6D89">
        <w:rPr>
          <w:i/>
          <w:iCs/>
          <w:noProof/>
          <w:sz w:val="22"/>
        </w:rPr>
        <w:t>LEUKOS</w:t>
      </w:r>
      <w:r w:rsidRPr="004C6D89">
        <w:rPr>
          <w:noProof/>
          <w:sz w:val="22"/>
        </w:rPr>
        <w:t>. Taylor &amp; Francis, 6(1), pp. 51–77.</w:t>
      </w:r>
    </w:p>
    <w:p w14:paraId="775D1887" w14:textId="3E39D59C" w:rsidR="004C6D89" w:rsidRPr="004C6D89" w:rsidRDefault="004C6D89" w:rsidP="004C6D89">
      <w:pPr>
        <w:widowControl w:val="0"/>
        <w:autoSpaceDE w:val="0"/>
        <w:autoSpaceDN w:val="0"/>
        <w:adjustRightInd w:val="0"/>
        <w:spacing w:after="240"/>
        <w:rPr>
          <w:noProof/>
          <w:sz w:val="22"/>
        </w:rPr>
      </w:pPr>
      <w:r w:rsidRPr="004C6D89">
        <w:rPr>
          <w:noProof/>
          <w:sz w:val="22"/>
        </w:rPr>
        <w:t xml:space="preserve">Einhorn, H. D. (1969) ‘A new method for the assessment of discomfort glare’, </w:t>
      </w:r>
      <w:r w:rsidRPr="004C6D89">
        <w:rPr>
          <w:i/>
          <w:iCs/>
          <w:noProof/>
          <w:sz w:val="22"/>
        </w:rPr>
        <w:t>Lighting Research &amp; Technology</w:t>
      </w:r>
      <w:r w:rsidRPr="004C6D89">
        <w:rPr>
          <w:noProof/>
          <w:sz w:val="22"/>
        </w:rPr>
        <w:t>. SAGE Publications, 1(4), pp. 235–247.</w:t>
      </w:r>
    </w:p>
    <w:p w14:paraId="4982E7DB" w14:textId="31C06D9C" w:rsidR="004C6D89" w:rsidRPr="004C6D89" w:rsidRDefault="004C6D89" w:rsidP="004C6D89">
      <w:pPr>
        <w:widowControl w:val="0"/>
        <w:autoSpaceDE w:val="0"/>
        <w:autoSpaceDN w:val="0"/>
        <w:adjustRightInd w:val="0"/>
        <w:spacing w:after="240"/>
        <w:rPr>
          <w:noProof/>
          <w:sz w:val="22"/>
        </w:rPr>
      </w:pPr>
      <w:r w:rsidRPr="004C6D89">
        <w:rPr>
          <w:noProof/>
          <w:sz w:val="22"/>
        </w:rPr>
        <w:t xml:space="preserve">Einhorn, H. D. (1979) ‘Discomfort glare: a formula to bridge differences’, </w:t>
      </w:r>
      <w:r w:rsidRPr="004C6D89">
        <w:rPr>
          <w:i/>
          <w:iCs/>
          <w:noProof/>
          <w:sz w:val="22"/>
        </w:rPr>
        <w:t xml:space="preserve">Lighting </w:t>
      </w:r>
      <w:r w:rsidRPr="004C6D89">
        <w:rPr>
          <w:i/>
          <w:iCs/>
          <w:noProof/>
          <w:sz w:val="22"/>
        </w:rPr>
        <w:lastRenderedPageBreak/>
        <w:t>Research and Technology</w:t>
      </w:r>
      <w:r w:rsidRPr="004C6D89">
        <w:rPr>
          <w:noProof/>
          <w:sz w:val="22"/>
        </w:rPr>
        <w:t>. SAGE Publications, 11(2), pp. 90–94.</w:t>
      </w:r>
    </w:p>
    <w:p w14:paraId="3E059D4B" w14:textId="77777777" w:rsidR="004C6D89" w:rsidRPr="004C6D89" w:rsidRDefault="004C6D89" w:rsidP="004C6D89">
      <w:pPr>
        <w:widowControl w:val="0"/>
        <w:autoSpaceDE w:val="0"/>
        <w:autoSpaceDN w:val="0"/>
        <w:adjustRightInd w:val="0"/>
        <w:spacing w:after="240"/>
        <w:rPr>
          <w:noProof/>
          <w:sz w:val="22"/>
        </w:rPr>
      </w:pPr>
      <w:r w:rsidRPr="004C6D89">
        <w:rPr>
          <w:noProof/>
          <w:sz w:val="22"/>
        </w:rPr>
        <w:t xml:space="preserve">Fritz, R. and Mcneil, A. (2018) </w:t>
      </w:r>
      <w:r w:rsidRPr="004C6D89">
        <w:rPr>
          <w:i/>
          <w:iCs/>
          <w:noProof/>
          <w:sz w:val="22"/>
        </w:rPr>
        <w:t>Radiance</w:t>
      </w:r>
      <w:r w:rsidRPr="004C6D89">
        <w:rPr>
          <w:noProof/>
          <w:sz w:val="22"/>
        </w:rPr>
        <w:t xml:space="preserve">, </w:t>
      </w:r>
      <w:r w:rsidRPr="004C6D89">
        <w:rPr>
          <w:i/>
          <w:iCs/>
          <w:noProof/>
          <w:sz w:val="22"/>
        </w:rPr>
        <w:t>Lawrence Berkeley National Laboratory (LBNL)</w:t>
      </w:r>
      <w:r w:rsidRPr="004C6D89">
        <w:rPr>
          <w:noProof/>
          <w:sz w:val="22"/>
        </w:rPr>
        <w:t>. Available at: https://www.radiance-online.org/about (Accessed: 3 April 2018).</w:t>
      </w:r>
    </w:p>
    <w:p w14:paraId="78700CD3" w14:textId="77777777" w:rsidR="004C6D89" w:rsidRPr="004C6D89" w:rsidRDefault="004C6D89" w:rsidP="004C6D89">
      <w:pPr>
        <w:widowControl w:val="0"/>
        <w:autoSpaceDE w:val="0"/>
        <w:autoSpaceDN w:val="0"/>
        <w:adjustRightInd w:val="0"/>
        <w:spacing w:after="240"/>
        <w:rPr>
          <w:noProof/>
          <w:sz w:val="22"/>
        </w:rPr>
      </w:pPr>
      <w:r w:rsidRPr="004C6D89">
        <w:rPr>
          <w:noProof/>
          <w:sz w:val="22"/>
        </w:rPr>
        <w:t>‘Grasshopper 3D’ (2018). Robert McNeel and Associates. Available at: http://www.grasshopper3d.com/.</w:t>
      </w:r>
    </w:p>
    <w:p w14:paraId="7DA8FEE6" w14:textId="77777777" w:rsidR="004C6D89" w:rsidRPr="004C6D89" w:rsidRDefault="004C6D89" w:rsidP="004C6D89">
      <w:pPr>
        <w:widowControl w:val="0"/>
        <w:autoSpaceDE w:val="0"/>
        <w:autoSpaceDN w:val="0"/>
        <w:adjustRightInd w:val="0"/>
        <w:spacing w:after="240"/>
        <w:rPr>
          <w:noProof/>
          <w:sz w:val="22"/>
        </w:rPr>
      </w:pPr>
      <w:r w:rsidRPr="004C6D89">
        <w:rPr>
          <w:noProof/>
          <w:sz w:val="22"/>
        </w:rPr>
        <w:t xml:space="preserve">Hirning, M. B. (2014) </w:t>
      </w:r>
      <w:r w:rsidRPr="004C6D89">
        <w:rPr>
          <w:i/>
          <w:iCs/>
          <w:noProof/>
          <w:sz w:val="22"/>
        </w:rPr>
        <w:t>The application of luminance mapping to discomfort glare: a modified glare index for green buildings</w:t>
      </w:r>
      <w:r w:rsidRPr="004C6D89">
        <w:rPr>
          <w:noProof/>
          <w:sz w:val="22"/>
        </w:rPr>
        <w:t>. Queensland University of Technology.</w:t>
      </w:r>
    </w:p>
    <w:p w14:paraId="5747AE52" w14:textId="51B7ED89" w:rsidR="004C6D89" w:rsidRPr="004C6D89" w:rsidRDefault="004C6D89" w:rsidP="004C6D89">
      <w:pPr>
        <w:widowControl w:val="0"/>
        <w:autoSpaceDE w:val="0"/>
        <w:autoSpaceDN w:val="0"/>
        <w:adjustRightInd w:val="0"/>
        <w:spacing w:after="240"/>
        <w:rPr>
          <w:noProof/>
          <w:sz w:val="22"/>
        </w:rPr>
      </w:pPr>
      <w:r w:rsidRPr="004C6D89">
        <w:rPr>
          <w:noProof/>
          <w:sz w:val="22"/>
        </w:rPr>
        <w:t xml:space="preserve">Hirning, M. B., Isoardi, G. L. and Garcia-Hansen, V. R. (2017) ‘Prediction of discomfort glare from windows under tropical skies’, </w:t>
      </w:r>
      <w:r w:rsidRPr="004C6D89">
        <w:rPr>
          <w:i/>
          <w:iCs/>
          <w:noProof/>
          <w:sz w:val="22"/>
        </w:rPr>
        <w:t>Building and Environment</w:t>
      </w:r>
      <w:r w:rsidRPr="004C6D89">
        <w:rPr>
          <w:noProof/>
          <w:sz w:val="22"/>
        </w:rPr>
        <w:t>. 113, pp. 107–120.</w:t>
      </w:r>
    </w:p>
    <w:p w14:paraId="73F767DD" w14:textId="2D4BD6BE" w:rsidR="004C6D89" w:rsidRPr="004C6D89" w:rsidRDefault="004C6D89" w:rsidP="004C6D89">
      <w:pPr>
        <w:widowControl w:val="0"/>
        <w:autoSpaceDE w:val="0"/>
        <w:autoSpaceDN w:val="0"/>
        <w:adjustRightInd w:val="0"/>
        <w:spacing w:after="240"/>
        <w:rPr>
          <w:noProof/>
          <w:sz w:val="22"/>
        </w:rPr>
      </w:pPr>
      <w:r w:rsidRPr="004C6D89">
        <w:rPr>
          <w:noProof/>
          <w:sz w:val="22"/>
        </w:rPr>
        <w:t xml:space="preserve">Hopkinson, R. G. (1972) ‘Glare from daylighting in buildings’, </w:t>
      </w:r>
      <w:r w:rsidRPr="004C6D89">
        <w:rPr>
          <w:i/>
          <w:iCs/>
          <w:noProof/>
          <w:sz w:val="22"/>
        </w:rPr>
        <w:t>Applied Ergonomics</w:t>
      </w:r>
      <w:r w:rsidRPr="004C6D89">
        <w:rPr>
          <w:noProof/>
          <w:sz w:val="22"/>
        </w:rPr>
        <w:t>. 3(4), pp. 206–215.</w:t>
      </w:r>
    </w:p>
    <w:p w14:paraId="75586E96" w14:textId="77777777" w:rsidR="004C6D89" w:rsidRPr="004C6D89" w:rsidRDefault="004C6D89" w:rsidP="004C6D89">
      <w:pPr>
        <w:widowControl w:val="0"/>
        <w:autoSpaceDE w:val="0"/>
        <w:autoSpaceDN w:val="0"/>
        <w:adjustRightInd w:val="0"/>
        <w:spacing w:after="240"/>
        <w:rPr>
          <w:noProof/>
          <w:sz w:val="22"/>
        </w:rPr>
      </w:pPr>
      <w:r w:rsidRPr="004C6D89">
        <w:rPr>
          <w:noProof/>
          <w:sz w:val="22"/>
        </w:rPr>
        <w:t xml:space="preserve">IES (2012) </w:t>
      </w:r>
      <w:r w:rsidRPr="004C6D89">
        <w:rPr>
          <w:i/>
          <w:iCs/>
          <w:noProof/>
          <w:sz w:val="22"/>
        </w:rPr>
        <w:t>Approved Method: IES Spatial Daylight Autonomy (sDA) and Annual Sunlight Exposure (ASE)</w:t>
      </w:r>
      <w:r w:rsidRPr="004C6D89">
        <w:rPr>
          <w:noProof/>
          <w:sz w:val="22"/>
        </w:rPr>
        <w:t>.</w:t>
      </w:r>
    </w:p>
    <w:p w14:paraId="5C976082" w14:textId="25783306" w:rsidR="004C6D89" w:rsidRPr="004C6D89" w:rsidRDefault="004C6D89" w:rsidP="004C6D89">
      <w:pPr>
        <w:widowControl w:val="0"/>
        <w:autoSpaceDE w:val="0"/>
        <w:autoSpaceDN w:val="0"/>
        <w:adjustRightInd w:val="0"/>
        <w:spacing w:after="240"/>
        <w:rPr>
          <w:noProof/>
          <w:sz w:val="22"/>
        </w:rPr>
      </w:pPr>
      <w:r w:rsidRPr="004C6D89">
        <w:rPr>
          <w:noProof/>
          <w:sz w:val="22"/>
        </w:rPr>
        <w:t xml:space="preserve">Iwata, T. </w:t>
      </w:r>
      <w:r w:rsidRPr="004C6D89">
        <w:rPr>
          <w:i/>
          <w:iCs/>
          <w:noProof/>
          <w:sz w:val="22"/>
        </w:rPr>
        <w:t>et al.</w:t>
      </w:r>
      <w:r w:rsidRPr="004C6D89">
        <w:rPr>
          <w:noProof/>
          <w:sz w:val="22"/>
        </w:rPr>
        <w:t xml:space="preserve"> (1990) ‘Discomfort caused by wide-source glare’, </w:t>
      </w:r>
      <w:r w:rsidRPr="004C6D89">
        <w:rPr>
          <w:i/>
          <w:iCs/>
          <w:noProof/>
          <w:sz w:val="22"/>
        </w:rPr>
        <w:t>Energy and Buildings</w:t>
      </w:r>
      <w:r w:rsidRPr="004C6D89">
        <w:rPr>
          <w:noProof/>
          <w:sz w:val="22"/>
        </w:rPr>
        <w:t>. Elsevier, 15(3–4), pp. 391–398.</w:t>
      </w:r>
    </w:p>
    <w:p w14:paraId="365E4A59" w14:textId="5AA2753B" w:rsidR="004C6D89" w:rsidRPr="004C6D89" w:rsidRDefault="004C6D89" w:rsidP="004C6D89">
      <w:pPr>
        <w:widowControl w:val="0"/>
        <w:autoSpaceDE w:val="0"/>
        <w:autoSpaceDN w:val="0"/>
        <w:adjustRightInd w:val="0"/>
        <w:spacing w:after="240"/>
        <w:rPr>
          <w:noProof/>
          <w:sz w:val="22"/>
        </w:rPr>
      </w:pPr>
      <w:r w:rsidRPr="004C6D89">
        <w:rPr>
          <w:noProof/>
          <w:sz w:val="22"/>
        </w:rPr>
        <w:t xml:space="preserve">Iwata, T. and Tokura, M. (1997) ‘Position Index for a glare source located below the line of vision’, </w:t>
      </w:r>
      <w:r w:rsidRPr="004C6D89">
        <w:rPr>
          <w:i/>
          <w:iCs/>
          <w:noProof/>
          <w:sz w:val="22"/>
        </w:rPr>
        <w:t>Lighting Research &amp; Technology</w:t>
      </w:r>
      <w:r w:rsidRPr="004C6D89">
        <w:rPr>
          <w:noProof/>
          <w:sz w:val="22"/>
        </w:rPr>
        <w:t>. 29(3), pp. 172–178.</w:t>
      </w:r>
    </w:p>
    <w:p w14:paraId="5A56FA1E" w14:textId="25EEE438" w:rsidR="004C6D89" w:rsidRPr="004C6D89" w:rsidRDefault="004C6D89" w:rsidP="004C6D89">
      <w:pPr>
        <w:widowControl w:val="0"/>
        <w:autoSpaceDE w:val="0"/>
        <w:autoSpaceDN w:val="0"/>
        <w:adjustRightInd w:val="0"/>
        <w:spacing w:after="240"/>
        <w:rPr>
          <w:noProof/>
          <w:sz w:val="22"/>
        </w:rPr>
      </w:pPr>
      <w:r w:rsidRPr="004C6D89">
        <w:rPr>
          <w:noProof/>
          <w:sz w:val="22"/>
        </w:rPr>
        <w:t xml:space="preserve">Iwata, T. and Tokura, M. (1998) ‘Examination of the limitations of predicted glare sensation vote (PGSV) as a glare index for a large source: Towards a comprehensive development of discomfort glare evaluation’, </w:t>
      </w:r>
      <w:r w:rsidRPr="004C6D89">
        <w:rPr>
          <w:i/>
          <w:iCs/>
          <w:noProof/>
          <w:sz w:val="22"/>
        </w:rPr>
        <w:t>Lighting Research &amp; Technology</w:t>
      </w:r>
      <w:r w:rsidRPr="004C6D89">
        <w:rPr>
          <w:noProof/>
          <w:sz w:val="22"/>
        </w:rPr>
        <w:t>. 30(2), pp. 81–88.</w:t>
      </w:r>
    </w:p>
    <w:p w14:paraId="55C63D2B" w14:textId="77777777" w:rsidR="004C6D89" w:rsidRPr="004C6D89" w:rsidRDefault="004C6D89" w:rsidP="004C6D89">
      <w:pPr>
        <w:widowControl w:val="0"/>
        <w:autoSpaceDE w:val="0"/>
        <w:autoSpaceDN w:val="0"/>
        <w:adjustRightInd w:val="0"/>
        <w:spacing w:after="240"/>
        <w:rPr>
          <w:noProof/>
          <w:sz w:val="22"/>
        </w:rPr>
      </w:pPr>
      <w:r w:rsidRPr="004C6D89">
        <w:rPr>
          <w:noProof/>
          <w:sz w:val="22"/>
        </w:rPr>
        <w:t xml:space="preserve">Jakubiec, A. (2014) </w:t>
      </w:r>
      <w:r w:rsidRPr="004C6D89">
        <w:rPr>
          <w:i/>
          <w:iCs/>
          <w:noProof/>
          <w:sz w:val="22"/>
        </w:rPr>
        <w:t>The Use of Visual Comfort Metrics in the Design of Daylit Spaces</w:t>
      </w:r>
      <w:r w:rsidRPr="004C6D89">
        <w:rPr>
          <w:noProof/>
          <w:sz w:val="22"/>
        </w:rPr>
        <w:t>. Massachusetts Institute of Technology.</w:t>
      </w:r>
    </w:p>
    <w:p w14:paraId="31258685" w14:textId="2226E550" w:rsidR="004C6D89" w:rsidRPr="004C6D89" w:rsidRDefault="004C6D89" w:rsidP="004C6D89">
      <w:pPr>
        <w:widowControl w:val="0"/>
        <w:autoSpaceDE w:val="0"/>
        <w:autoSpaceDN w:val="0"/>
        <w:adjustRightInd w:val="0"/>
        <w:spacing w:after="240"/>
        <w:rPr>
          <w:noProof/>
          <w:sz w:val="22"/>
        </w:rPr>
      </w:pPr>
      <w:r w:rsidRPr="004C6D89">
        <w:rPr>
          <w:noProof/>
          <w:sz w:val="22"/>
        </w:rPr>
        <w:t xml:space="preserve">Jakubiec, J. A. and Reinhart, C. F. (2011) ‘DIVA 2.0: Integrating daylight and thermal simulations using rhinoceros 3D, DAYSIM and EnergyPlus’, in </w:t>
      </w:r>
      <w:r w:rsidRPr="004C6D89">
        <w:rPr>
          <w:i/>
          <w:iCs/>
          <w:noProof/>
          <w:sz w:val="22"/>
        </w:rPr>
        <w:t xml:space="preserve">Proceedings of Building Simulation 2011: 12th Conference of International Building Performance Simulation Association; </w:t>
      </w:r>
      <w:r w:rsidRPr="004C6D89">
        <w:rPr>
          <w:noProof/>
          <w:sz w:val="22"/>
        </w:rPr>
        <w:t>pp. 2202–2209.</w:t>
      </w:r>
    </w:p>
    <w:p w14:paraId="07A66560" w14:textId="3D28F443" w:rsidR="004C6D89" w:rsidRPr="004C6D89" w:rsidRDefault="004C6D89" w:rsidP="004C6D89">
      <w:pPr>
        <w:widowControl w:val="0"/>
        <w:autoSpaceDE w:val="0"/>
        <w:autoSpaceDN w:val="0"/>
        <w:adjustRightInd w:val="0"/>
        <w:spacing w:after="240"/>
        <w:rPr>
          <w:noProof/>
          <w:sz w:val="22"/>
        </w:rPr>
      </w:pPr>
      <w:r w:rsidRPr="004C6D89">
        <w:rPr>
          <w:noProof/>
          <w:sz w:val="22"/>
        </w:rPr>
        <w:t xml:space="preserve">Jakubiec, J. A. and Reinhart, C. F. (2012) ‘The ’adaptive zone’-A concept for assessing discomfort glare throughout daylit spaces’, </w:t>
      </w:r>
      <w:r w:rsidRPr="004C6D89">
        <w:rPr>
          <w:i/>
          <w:iCs/>
          <w:noProof/>
          <w:sz w:val="22"/>
        </w:rPr>
        <w:t>Lighting Research and Technology</w:t>
      </w:r>
      <w:r w:rsidRPr="004C6D89">
        <w:rPr>
          <w:noProof/>
          <w:sz w:val="22"/>
        </w:rPr>
        <w:t>. 44(2), pp. 149–170.</w:t>
      </w:r>
    </w:p>
    <w:p w14:paraId="158BCB2D" w14:textId="6C27927E" w:rsidR="004C6D89" w:rsidRPr="004C6D89" w:rsidRDefault="004C6D89" w:rsidP="004C6D89">
      <w:pPr>
        <w:widowControl w:val="0"/>
        <w:autoSpaceDE w:val="0"/>
        <w:autoSpaceDN w:val="0"/>
        <w:adjustRightInd w:val="0"/>
        <w:spacing w:after="240"/>
        <w:rPr>
          <w:noProof/>
          <w:sz w:val="22"/>
        </w:rPr>
      </w:pPr>
      <w:r w:rsidRPr="004C6D89">
        <w:rPr>
          <w:noProof/>
          <w:sz w:val="22"/>
        </w:rPr>
        <w:t xml:space="preserve">Jakubiec, J. A. and Reinhart, C. F. (2016) ‘A Concept for Predicting Occupants’ Long-Term Visual Comfort within Daylit Spaces’, </w:t>
      </w:r>
      <w:r w:rsidRPr="004C6D89">
        <w:rPr>
          <w:i/>
          <w:iCs/>
          <w:noProof/>
          <w:sz w:val="22"/>
        </w:rPr>
        <w:t>LEUKOS - Journal of Illuminating Engineering Society of North America</w:t>
      </w:r>
      <w:r w:rsidRPr="004C6D89">
        <w:rPr>
          <w:noProof/>
          <w:sz w:val="22"/>
        </w:rPr>
        <w:t>. 12(4), pp. 185–202.</w:t>
      </w:r>
    </w:p>
    <w:p w14:paraId="2EFE32C6" w14:textId="77777777" w:rsidR="004C6D89" w:rsidRPr="004C6D89" w:rsidRDefault="004C6D89" w:rsidP="004C6D89">
      <w:pPr>
        <w:widowControl w:val="0"/>
        <w:autoSpaceDE w:val="0"/>
        <w:autoSpaceDN w:val="0"/>
        <w:adjustRightInd w:val="0"/>
        <w:spacing w:after="240"/>
        <w:rPr>
          <w:noProof/>
          <w:sz w:val="22"/>
        </w:rPr>
      </w:pPr>
      <w:r w:rsidRPr="004C6D89">
        <w:rPr>
          <w:noProof/>
          <w:sz w:val="22"/>
        </w:rPr>
        <w:t xml:space="preserve">Jones, N. L. (2017a) </w:t>
      </w:r>
      <w:r w:rsidRPr="004C6D89">
        <w:rPr>
          <w:i/>
          <w:iCs/>
          <w:noProof/>
          <w:sz w:val="22"/>
        </w:rPr>
        <w:t>Accelerad</w:t>
      </w:r>
      <w:r w:rsidRPr="004C6D89">
        <w:rPr>
          <w:noProof/>
          <w:sz w:val="22"/>
        </w:rPr>
        <w:t xml:space="preserve">, </w:t>
      </w:r>
      <w:r w:rsidRPr="004C6D89">
        <w:rPr>
          <w:i/>
          <w:iCs/>
          <w:noProof/>
          <w:sz w:val="22"/>
        </w:rPr>
        <w:t>Lawrence Berkeley National Laboratory (LBNL)</w:t>
      </w:r>
      <w:r w:rsidRPr="004C6D89">
        <w:rPr>
          <w:noProof/>
          <w:sz w:val="22"/>
        </w:rPr>
        <w:t>. Available at: https://nljones.github.io/Accelerad/index.html (Accessed: 3 April 2018).</w:t>
      </w:r>
    </w:p>
    <w:p w14:paraId="68EE9CF6" w14:textId="77777777" w:rsidR="004C6D89" w:rsidRPr="004C6D89" w:rsidRDefault="004C6D89" w:rsidP="004C6D89">
      <w:pPr>
        <w:widowControl w:val="0"/>
        <w:autoSpaceDE w:val="0"/>
        <w:autoSpaceDN w:val="0"/>
        <w:adjustRightInd w:val="0"/>
        <w:spacing w:after="240"/>
        <w:rPr>
          <w:noProof/>
          <w:sz w:val="22"/>
        </w:rPr>
      </w:pPr>
      <w:r w:rsidRPr="004C6D89">
        <w:rPr>
          <w:noProof/>
          <w:sz w:val="22"/>
        </w:rPr>
        <w:lastRenderedPageBreak/>
        <w:t xml:space="preserve">Jones, N. L. (2017b) </w:t>
      </w:r>
      <w:r w:rsidRPr="004C6D89">
        <w:rPr>
          <w:i/>
          <w:iCs/>
          <w:noProof/>
          <w:sz w:val="22"/>
        </w:rPr>
        <w:t>Validated Interactive Daylighting Analysis for Architectural Design</w:t>
      </w:r>
      <w:r w:rsidRPr="004C6D89">
        <w:rPr>
          <w:noProof/>
          <w:sz w:val="22"/>
        </w:rPr>
        <w:t>. Massachusetts Institute of Technology.</w:t>
      </w:r>
    </w:p>
    <w:p w14:paraId="25086AB3" w14:textId="27AF3E66" w:rsidR="004C6D89" w:rsidRPr="004C6D89" w:rsidRDefault="004C6D89" w:rsidP="004C6D89">
      <w:pPr>
        <w:widowControl w:val="0"/>
        <w:autoSpaceDE w:val="0"/>
        <w:autoSpaceDN w:val="0"/>
        <w:adjustRightInd w:val="0"/>
        <w:spacing w:after="240"/>
        <w:rPr>
          <w:noProof/>
          <w:sz w:val="22"/>
        </w:rPr>
      </w:pPr>
      <w:r w:rsidRPr="004C6D89">
        <w:rPr>
          <w:noProof/>
          <w:sz w:val="22"/>
        </w:rPr>
        <w:t xml:space="preserve">Kim, W., Han, H. and Kim, J. T. (2009) ‘The position index of a glare source at the borderline between comfort and discomfort (BCD) in the whole visual field’, </w:t>
      </w:r>
      <w:r w:rsidRPr="004C6D89">
        <w:rPr>
          <w:i/>
          <w:iCs/>
          <w:noProof/>
          <w:sz w:val="22"/>
        </w:rPr>
        <w:t>Building and Environment</w:t>
      </w:r>
      <w:r w:rsidRPr="004C6D89">
        <w:rPr>
          <w:noProof/>
          <w:sz w:val="22"/>
        </w:rPr>
        <w:t>. 44(5), pp. 1017–1023.</w:t>
      </w:r>
    </w:p>
    <w:p w14:paraId="4EF22CFE" w14:textId="22F67CAD" w:rsidR="004C6D89" w:rsidRPr="004C6D89" w:rsidRDefault="004C6D89" w:rsidP="004C6D89">
      <w:pPr>
        <w:widowControl w:val="0"/>
        <w:autoSpaceDE w:val="0"/>
        <w:autoSpaceDN w:val="0"/>
        <w:adjustRightInd w:val="0"/>
        <w:spacing w:after="240"/>
        <w:rPr>
          <w:noProof/>
          <w:sz w:val="22"/>
        </w:rPr>
      </w:pPr>
      <w:r w:rsidRPr="004C6D89">
        <w:rPr>
          <w:noProof/>
          <w:sz w:val="22"/>
        </w:rPr>
        <w:t xml:space="preserve">Konstantzos, I. </w:t>
      </w:r>
      <w:r w:rsidRPr="004C6D89">
        <w:rPr>
          <w:i/>
          <w:iCs/>
          <w:noProof/>
          <w:sz w:val="22"/>
        </w:rPr>
        <w:t>et al.</w:t>
      </w:r>
      <w:r w:rsidRPr="004C6D89">
        <w:rPr>
          <w:noProof/>
          <w:sz w:val="22"/>
        </w:rPr>
        <w:t xml:space="preserve"> (2015) ‘View clarity index: A new metric to evaluate clarity of view through window shades’, </w:t>
      </w:r>
      <w:r w:rsidRPr="004C6D89">
        <w:rPr>
          <w:i/>
          <w:iCs/>
          <w:noProof/>
          <w:sz w:val="22"/>
        </w:rPr>
        <w:t>Building and Environment</w:t>
      </w:r>
      <w:r w:rsidRPr="004C6D89">
        <w:rPr>
          <w:noProof/>
          <w:sz w:val="22"/>
        </w:rPr>
        <w:t>, 90, pp. 206–214.</w:t>
      </w:r>
    </w:p>
    <w:p w14:paraId="3BB4EF8E" w14:textId="746E644E" w:rsidR="004C6D89" w:rsidRPr="004C6D89" w:rsidRDefault="004C6D89" w:rsidP="004C6D89">
      <w:pPr>
        <w:widowControl w:val="0"/>
        <w:autoSpaceDE w:val="0"/>
        <w:autoSpaceDN w:val="0"/>
        <w:adjustRightInd w:val="0"/>
        <w:spacing w:after="240"/>
        <w:rPr>
          <w:noProof/>
          <w:sz w:val="22"/>
        </w:rPr>
      </w:pPr>
      <w:r w:rsidRPr="004C6D89">
        <w:rPr>
          <w:noProof/>
          <w:sz w:val="22"/>
        </w:rPr>
        <w:t xml:space="preserve">Konstantzos, I. and Tzempelikos, A. (2017) ‘Daylight glare evaluation with the sun in the field of view through window shades’, </w:t>
      </w:r>
      <w:r w:rsidRPr="004C6D89">
        <w:rPr>
          <w:i/>
          <w:iCs/>
          <w:noProof/>
          <w:sz w:val="22"/>
        </w:rPr>
        <w:t>Building and Environment</w:t>
      </w:r>
      <w:r w:rsidRPr="004C6D89">
        <w:rPr>
          <w:noProof/>
          <w:sz w:val="22"/>
        </w:rPr>
        <w:t>. 113, pp. 65–77.</w:t>
      </w:r>
    </w:p>
    <w:p w14:paraId="2756E7EA" w14:textId="3D6C3AA5" w:rsidR="004C6D89" w:rsidRPr="004C6D89" w:rsidRDefault="004C6D89" w:rsidP="004C6D89">
      <w:pPr>
        <w:widowControl w:val="0"/>
        <w:autoSpaceDE w:val="0"/>
        <w:autoSpaceDN w:val="0"/>
        <w:adjustRightInd w:val="0"/>
        <w:spacing w:after="240"/>
        <w:rPr>
          <w:noProof/>
          <w:sz w:val="22"/>
        </w:rPr>
      </w:pPr>
      <w:r w:rsidRPr="004C6D89">
        <w:rPr>
          <w:noProof/>
          <w:sz w:val="22"/>
        </w:rPr>
        <w:t xml:space="preserve">Konstantzos, I., Tzempelikos, A. and Chan, Y.-C. (2015) ‘Experimental and simulation analysis of daylight glare probability inoffices with dynamic window shades’, </w:t>
      </w:r>
      <w:r w:rsidRPr="004C6D89">
        <w:rPr>
          <w:i/>
          <w:iCs/>
          <w:noProof/>
          <w:sz w:val="22"/>
        </w:rPr>
        <w:t>Building and Environment</w:t>
      </w:r>
      <w:r w:rsidRPr="004C6D89">
        <w:rPr>
          <w:noProof/>
          <w:sz w:val="22"/>
        </w:rPr>
        <w:t>. 87, pp. 244–254.</w:t>
      </w:r>
    </w:p>
    <w:p w14:paraId="4C0BC0DE" w14:textId="01AE8778" w:rsidR="004C6D89" w:rsidRPr="004C6D89" w:rsidRDefault="004C6D89" w:rsidP="004C6D89">
      <w:pPr>
        <w:widowControl w:val="0"/>
        <w:autoSpaceDE w:val="0"/>
        <w:autoSpaceDN w:val="0"/>
        <w:adjustRightInd w:val="0"/>
        <w:spacing w:after="240"/>
        <w:rPr>
          <w:noProof/>
          <w:sz w:val="22"/>
        </w:rPr>
      </w:pPr>
      <w:r w:rsidRPr="004C6D89">
        <w:rPr>
          <w:noProof/>
          <w:sz w:val="22"/>
        </w:rPr>
        <w:t>LEED (2018) ‘Building Design and Construction Agenda’. s.l.: USGBC, 4, pp. 132–134.</w:t>
      </w:r>
    </w:p>
    <w:p w14:paraId="79F2DBB6" w14:textId="77777777" w:rsidR="004C6D89" w:rsidRPr="004C6D89" w:rsidRDefault="004C6D89" w:rsidP="004C6D89">
      <w:pPr>
        <w:widowControl w:val="0"/>
        <w:autoSpaceDE w:val="0"/>
        <w:autoSpaceDN w:val="0"/>
        <w:adjustRightInd w:val="0"/>
        <w:spacing w:after="240"/>
        <w:rPr>
          <w:noProof/>
          <w:sz w:val="22"/>
        </w:rPr>
      </w:pPr>
      <w:r w:rsidRPr="004C6D89">
        <w:rPr>
          <w:noProof/>
          <w:sz w:val="22"/>
        </w:rPr>
        <w:t xml:space="preserve">Lim, G.-H. </w:t>
      </w:r>
      <w:r w:rsidRPr="004C6D89">
        <w:rPr>
          <w:i/>
          <w:iCs/>
          <w:noProof/>
          <w:sz w:val="22"/>
        </w:rPr>
        <w:t>et al.</w:t>
      </w:r>
      <w:r w:rsidRPr="004C6D89">
        <w:rPr>
          <w:noProof/>
          <w:sz w:val="22"/>
        </w:rPr>
        <w:t xml:space="preserve"> (2017) ‘Daylight performance and users’ visual appraisal for green building offices in Malaysia’, </w:t>
      </w:r>
      <w:r w:rsidRPr="004C6D89">
        <w:rPr>
          <w:i/>
          <w:iCs/>
          <w:noProof/>
          <w:sz w:val="22"/>
        </w:rPr>
        <w:t>Energy and Buildings</w:t>
      </w:r>
      <w:r w:rsidRPr="004C6D89">
        <w:rPr>
          <w:noProof/>
          <w:sz w:val="22"/>
        </w:rPr>
        <w:t>, 141, pp. 175–185. doi: //doi.org/10.1016/j.enbuild.2017.02.028.</w:t>
      </w:r>
    </w:p>
    <w:p w14:paraId="74E3D7DD" w14:textId="1F8FC430" w:rsidR="004C6D89" w:rsidRPr="004C6D89" w:rsidRDefault="004C6D89" w:rsidP="004C6D89">
      <w:pPr>
        <w:widowControl w:val="0"/>
        <w:autoSpaceDE w:val="0"/>
        <w:autoSpaceDN w:val="0"/>
        <w:adjustRightInd w:val="0"/>
        <w:spacing w:after="240"/>
        <w:rPr>
          <w:noProof/>
          <w:sz w:val="22"/>
        </w:rPr>
      </w:pPr>
      <w:r w:rsidRPr="004C6D89">
        <w:rPr>
          <w:noProof/>
          <w:sz w:val="22"/>
        </w:rPr>
        <w:t xml:space="preserve">Luckiesh, M. and Guth, S. K. (1949) ‘Brightnesses in visual field at borderline between comfort and discomfort’, </w:t>
      </w:r>
      <w:r w:rsidRPr="004C6D89">
        <w:rPr>
          <w:i/>
          <w:iCs/>
          <w:noProof/>
          <w:sz w:val="22"/>
        </w:rPr>
        <w:t>Illuminating engineering</w:t>
      </w:r>
      <w:r w:rsidRPr="004C6D89">
        <w:rPr>
          <w:noProof/>
          <w:sz w:val="22"/>
        </w:rPr>
        <w:t>, 44(11), pp. 650–670.</w:t>
      </w:r>
    </w:p>
    <w:p w14:paraId="63DD3823" w14:textId="77777777" w:rsidR="004C6D89" w:rsidRPr="004C6D89" w:rsidRDefault="004C6D89" w:rsidP="004C6D89">
      <w:pPr>
        <w:widowControl w:val="0"/>
        <w:autoSpaceDE w:val="0"/>
        <w:autoSpaceDN w:val="0"/>
        <w:adjustRightInd w:val="0"/>
        <w:spacing w:after="240"/>
        <w:rPr>
          <w:noProof/>
          <w:sz w:val="22"/>
        </w:rPr>
      </w:pPr>
      <w:r w:rsidRPr="004C6D89">
        <w:rPr>
          <w:noProof/>
          <w:sz w:val="22"/>
        </w:rPr>
        <w:t xml:space="preserve">McNeil, A. (2016) </w:t>
      </w:r>
      <w:r w:rsidRPr="004C6D89">
        <w:rPr>
          <w:i/>
          <w:iCs/>
          <w:noProof/>
          <w:sz w:val="22"/>
        </w:rPr>
        <w:t>BSDFviewer</w:t>
      </w:r>
      <w:r w:rsidRPr="004C6D89">
        <w:rPr>
          <w:noProof/>
          <w:sz w:val="22"/>
        </w:rPr>
        <w:t xml:space="preserve">, </w:t>
      </w:r>
      <w:r w:rsidRPr="004C6D89">
        <w:rPr>
          <w:i/>
          <w:iCs/>
          <w:noProof/>
          <w:sz w:val="22"/>
        </w:rPr>
        <w:t>Lawrence Berkeley National Laboratory (LBNL)</w:t>
      </w:r>
      <w:r w:rsidRPr="004C6D89">
        <w:rPr>
          <w:noProof/>
          <w:sz w:val="22"/>
        </w:rPr>
        <w:t>. Available at: https://www.radiance-online.org/download-install/third-party-utilities/bsdf-viewer (Accessed: 3 April 2018).</w:t>
      </w:r>
    </w:p>
    <w:p w14:paraId="38BF847C" w14:textId="77777777" w:rsidR="004C6D89" w:rsidRPr="004C6D89" w:rsidRDefault="004C6D89" w:rsidP="004C6D89">
      <w:pPr>
        <w:widowControl w:val="0"/>
        <w:autoSpaceDE w:val="0"/>
        <w:autoSpaceDN w:val="0"/>
        <w:adjustRightInd w:val="0"/>
        <w:spacing w:after="240"/>
        <w:rPr>
          <w:noProof/>
          <w:sz w:val="22"/>
        </w:rPr>
      </w:pPr>
      <w:r w:rsidRPr="004C6D89">
        <w:rPr>
          <w:noProof/>
          <w:sz w:val="22"/>
        </w:rPr>
        <w:t xml:space="preserve">McNeil, A. (2017) </w:t>
      </w:r>
      <w:r w:rsidRPr="004C6D89">
        <w:rPr>
          <w:i/>
          <w:iCs/>
          <w:noProof/>
          <w:sz w:val="22"/>
        </w:rPr>
        <w:t>Evalglare</w:t>
      </w:r>
      <w:r w:rsidRPr="004C6D89">
        <w:rPr>
          <w:noProof/>
          <w:sz w:val="22"/>
        </w:rPr>
        <w:t xml:space="preserve">, </w:t>
      </w:r>
      <w:r w:rsidRPr="004C6D89">
        <w:rPr>
          <w:i/>
          <w:iCs/>
          <w:noProof/>
          <w:sz w:val="22"/>
        </w:rPr>
        <w:t>Lawrence Berkeley National Laboratory (LBNL)</w:t>
      </w:r>
      <w:r w:rsidRPr="004C6D89">
        <w:rPr>
          <w:noProof/>
          <w:sz w:val="22"/>
        </w:rPr>
        <w:t>. Available at: https://www.radiance-online.org/learning/documentation/manual-pages/pdfs/evalglare.pdf/view (Accessed: 3 April 2018).</w:t>
      </w:r>
    </w:p>
    <w:p w14:paraId="264A66DC" w14:textId="77777777" w:rsidR="004C6D89" w:rsidRPr="004C6D89" w:rsidRDefault="004C6D89" w:rsidP="004C6D89">
      <w:pPr>
        <w:widowControl w:val="0"/>
        <w:autoSpaceDE w:val="0"/>
        <w:autoSpaceDN w:val="0"/>
        <w:adjustRightInd w:val="0"/>
        <w:spacing w:after="240"/>
        <w:rPr>
          <w:noProof/>
          <w:sz w:val="22"/>
        </w:rPr>
      </w:pPr>
      <w:r w:rsidRPr="004C6D89">
        <w:rPr>
          <w:noProof/>
          <w:sz w:val="22"/>
        </w:rPr>
        <w:t xml:space="preserve">McNeil, A. and Burrell, G. (2016) ‘Applicability of DGP and DGI for evaluating glare in a brightly daylit space’, </w:t>
      </w:r>
      <w:r w:rsidRPr="004C6D89">
        <w:rPr>
          <w:i/>
          <w:iCs/>
          <w:noProof/>
          <w:sz w:val="22"/>
        </w:rPr>
        <w:t>Proceedings of SimBuild</w:t>
      </w:r>
      <w:r w:rsidRPr="004C6D89">
        <w:rPr>
          <w:noProof/>
          <w:sz w:val="22"/>
        </w:rPr>
        <w:t>, 6(1).</w:t>
      </w:r>
    </w:p>
    <w:p w14:paraId="0F58C949" w14:textId="77777777" w:rsidR="004C6D89" w:rsidRPr="004C6D89" w:rsidRDefault="004C6D89" w:rsidP="004C6D89">
      <w:pPr>
        <w:widowControl w:val="0"/>
        <w:autoSpaceDE w:val="0"/>
        <w:autoSpaceDN w:val="0"/>
        <w:adjustRightInd w:val="0"/>
        <w:spacing w:after="240"/>
        <w:rPr>
          <w:noProof/>
          <w:sz w:val="22"/>
        </w:rPr>
      </w:pPr>
      <w:r w:rsidRPr="004C6D89">
        <w:rPr>
          <w:noProof/>
          <w:sz w:val="22"/>
        </w:rPr>
        <w:t xml:space="preserve">Mitchell, R. </w:t>
      </w:r>
      <w:r w:rsidRPr="004C6D89">
        <w:rPr>
          <w:i/>
          <w:iCs/>
          <w:noProof/>
          <w:sz w:val="22"/>
        </w:rPr>
        <w:t>et al.</w:t>
      </w:r>
      <w:r w:rsidRPr="004C6D89">
        <w:rPr>
          <w:noProof/>
          <w:sz w:val="22"/>
        </w:rPr>
        <w:t xml:space="preserve"> (2013) </w:t>
      </w:r>
      <w:r w:rsidRPr="004C6D89">
        <w:rPr>
          <w:i/>
          <w:iCs/>
          <w:noProof/>
          <w:sz w:val="22"/>
        </w:rPr>
        <w:t>THERM 6.3 / WINDOW 6.3 NFRC Simulation Manual</w:t>
      </w:r>
      <w:r w:rsidRPr="004C6D89">
        <w:rPr>
          <w:noProof/>
          <w:sz w:val="22"/>
        </w:rPr>
        <w:t>. Lawrence Berkeley National Laboratory (LBNL). Available at: https://windows.lbl.gov/software/window.</w:t>
      </w:r>
    </w:p>
    <w:p w14:paraId="5C2EB44F" w14:textId="28F4AB7E" w:rsidR="004C6D89" w:rsidRPr="004C6D89" w:rsidRDefault="004C6D89" w:rsidP="004C6D89">
      <w:pPr>
        <w:widowControl w:val="0"/>
        <w:autoSpaceDE w:val="0"/>
        <w:autoSpaceDN w:val="0"/>
        <w:adjustRightInd w:val="0"/>
        <w:spacing w:after="240"/>
        <w:rPr>
          <w:noProof/>
          <w:sz w:val="22"/>
        </w:rPr>
      </w:pPr>
      <w:r w:rsidRPr="004C6D89">
        <w:rPr>
          <w:noProof/>
          <w:sz w:val="22"/>
        </w:rPr>
        <w:t xml:space="preserve">Petherbridge, P. and Hopkinson, R. G. (1950) ‘Discomfort glare and the lighting of buildings’, </w:t>
      </w:r>
      <w:r w:rsidRPr="004C6D89">
        <w:rPr>
          <w:i/>
          <w:iCs/>
          <w:noProof/>
          <w:sz w:val="22"/>
        </w:rPr>
        <w:t>Lighting Research and Technology</w:t>
      </w:r>
      <w:r w:rsidRPr="004C6D89">
        <w:rPr>
          <w:noProof/>
          <w:sz w:val="22"/>
        </w:rPr>
        <w:t>, 15, 2(2 IEStrans), pp. 39–79.</w:t>
      </w:r>
    </w:p>
    <w:p w14:paraId="06C81CC9" w14:textId="77777777" w:rsidR="004C6D89" w:rsidRPr="004C6D89" w:rsidRDefault="004C6D89" w:rsidP="004C6D89">
      <w:pPr>
        <w:widowControl w:val="0"/>
        <w:autoSpaceDE w:val="0"/>
        <w:autoSpaceDN w:val="0"/>
        <w:adjustRightInd w:val="0"/>
        <w:spacing w:after="240"/>
        <w:rPr>
          <w:noProof/>
          <w:sz w:val="22"/>
        </w:rPr>
      </w:pPr>
      <w:r w:rsidRPr="004C6D89">
        <w:rPr>
          <w:noProof/>
          <w:sz w:val="22"/>
        </w:rPr>
        <w:t xml:space="preserve">Piacentino, G. (2013) </w:t>
      </w:r>
      <w:r w:rsidRPr="004C6D89">
        <w:rPr>
          <w:i/>
          <w:iCs/>
          <w:noProof/>
          <w:sz w:val="22"/>
        </w:rPr>
        <w:t>GHPython</w:t>
      </w:r>
      <w:r w:rsidRPr="004C6D89">
        <w:rPr>
          <w:noProof/>
          <w:sz w:val="22"/>
        </w:rPr>
        <w:t xml:space="preserve">, </w:t>
      </w:r>
      <w:r w:rsidRPr="004C6D89">
        <w:rPr>
          <w:i/>
          <w:iCs/>
          <w:noProof/>
          <w:sz w:val="22"/>
        </w:rPr>
        <w:t>Robert McNeel and Associates</w:t>
      </w:r>
      <w:r w:rsidRPr="004C6D89">
        <w:rPr>
          <w:noProof/>
          <w:sz w:val="22"/>
        </w:rPr>
        <w:t>. Available at: http://www.food4rhino.com/app/ghpython (Accessed: 3 April 2018).</w:t>
      </w:r>
    </w:p>
    <w:p w14:paraId="4604F594" w14:textId="33499562" w:rsidR="004C6D89" w:rsidRPr="004C6D89" w:rsidRDefault="004C6D89" w:rsidP="004C6D89">
      <w:pPr>
        <w:widowControl w:val="0"/>
        <w:autoSpaceDE w:val="0"/>
        <w:autoSpaceDN w:val="0"/>
        <w:adjustRightInd w:val="0"/>
        <w:spacing w:after="240"/>
        <w:rPr>
          <w:noProof/>
          <w:sz w:val="22"/>
        </w:rPr>
      </w:pPr>
      <w:r w:rsidRPr="004C6D89">
        <w:rPr>
          <w:noProof/>
          <w:sz w:val="22"/>
        </w:rPr>
        <w:t xml:space="preserve">Piccolo, A. and Simone, F. (2009) ‘Effect of switchable glazing on discomfort glare from windows’, </w:t>
      </w:r>
      <w:r w:rsidRPr="004C6D89">
        <w:rPr>
          <w:i/>
          <w:iCs/>
          <w:noProof/>
          <w:sz w:val="22"/>
        </w:rPr>
        <w:t>Building and Environment</w:t>
      </w:r>
      <w:r w:rsidRPr="004C6D89">
        <w:rPr>
          <w:noProof/>
          <w:sz w:val="22"/>
        </w:rPr>
        <w:t>, 44(6), pp. 1171–1180.</w:t>
      </w:r>
    </w:p>
    <w:p w14:paraId="474E0F33" w14:textId="77777777" w:rsidR="004C6D89" w:rsidRPr="004C6D89" w:rsidRDefault="004C6D89" w:rsidP="004C6D89">
      <w:pPr>
        <w:widowControl w:val="0"/>
        <w:autoSpaceDE w:val="0"/>
        <w:autoSpaceDN w:val="0"/>
        <w:adjustRightInd w:val="0"/>
        <w:spacing w:after="240"/>
        <w:rPr>
          <w:noProof/>
          <w:sz w:val="22"/>
        </w:rPr>
      </w:pPr>
      <w:r w:rsidRPr="004C6D89">
        <w:rPr>
          <w:noProof/>
          <w:sz w:val="22"/>
        </w:rPr>
        <w:lastRenderedPageBreak/>
        <w:t xml:space="preserve">prEN 17037 (2016) </w:t>
      </w:r>
      <w:r w:rsidRPr="004C6D89">
        <w:rPr>
          <w:i/>
          <w:iCs/>
          <w:noProof/>
          <w:sz w:val="22"/>
        </w:rPr>
        <w:t>Daylight of buildings</w:t>
      </w:r>
      <w:r w:rsidRPr="004C6D89">
        <w:rPr>
          <w:noProof/>
          <w:sz w:val="22"/>
        </w:rPr>
        <w:t xml:space="preserve">, </w:t>
      </w:r>
      <w:r w:rsidRPr="004C6D89">
        <w:rPr>
          <w:i/>
          <w:iCs/>
          <w:noProof/>
          <w:sz w:val="22"/>
        </w:rPr>
        <w:t>European Standard</w:t>
      </w:r>
      <w:r w:rsidRPr="004C6D89">
        <w:rPr>
          <w:noProof/>
          <w:sz w:val="22"/>
        </w:rPr>
        <w:t>. British Standards Institution (BSI).</w:t>
      </w:r>
    </w:p>
    <w:p w14:paraId="18A9E89A" w14:textId="67473F05" w:rsidR="004C6D89" w:rsidRPr="004C6D89" w:rsidRDefault="004C6D89" w:rsidP="004C6D89">
      <w:pPr>
        <w:widowControl w:val="0"/>
        <w:autoSpaceDE w:val="0"/>
        <w:autoSpaceDN w:val="0"/>
        <w:adjustRightInd w:val="0"/>
        <w:spacing w:after="240"/>
        <w:rPr>
          <w:noProof/>
          <w:sz w:val="22"/>
        </w:rPr>
      </w:pPr>
      <w:r w:rsidRPr="004C6D89">
        <w:rPr>
          <w:noProof/>
          <w:sz w:val="22"/>
        </w:rPr>
        <w:t xml:space="preserve">Reinhart, C. F. and Wienold, J. (2011) ‘The daylighting dashboard – A simulation-based design analysis for daylit spaces’, </w:t>
      </w:r>
      <w:r w:rsidRPr="004C6D89">
        <w:rPr>
          <w:i/>
          <w:iCs/>
          <w:noProof/>
          <w:sz w:val="22"/>
        </w:rPr>
        <w:t>Building and Environment</w:t>
      </w:r>
      <w:r w:rsidRPr="004C6D89">
        <w:rPr>
          <w:noProof/>
          <w:sz w:val="22"/>
        </w:rPr>
        <w:t>, 46(2), pp. 386–396.</w:t>
      </w:r>
    </w:p>
    <w:p w14:paraId="494D23F3" w14:textId="77777777" w:rsidR="004C6D89" w:rsidRPr="004C6D89" w:rsidRDefault="004C6D89" w:rsidP="004C6D89">
      <w:pPr>
        <w:widowControl w:val="0"/>
        <w:autoSpaceDE w:val="0"/>
        <w:autoSpaceDN w:val="0"/>
        <w:adjustRightInd w:val="0"/>
        <w:spacing w:after="240"/>
        <w:rPr>
          <w:noProof/>
          <w:sz w:val="22"/>
        </w:rPr>
      </w:pPr>
      <w:r w:rsidRPr="004C6D89">
        <w:rPr>
          <w:noProof/>
          <w:sz w:val="22"/>
        </w:rPr>
        <w:t>‘Rhinoceros 3D’ (2018). Robert McNeel and Associates. Available at: https://www.rhino3d.com/.</w:t>
      </w:r>
    </w:p>
    <w:p w14:paraId="2F691079" w14:textId="0195B4D7" w:rsidR="004C6D89" w:rsidRPr="004C6D89" w:rsidRDefault="004C6D89" w:rsidP="004C6D89">
      <w:pPr>
        <w:widowControl w:val="0"/>
        <w:autoSpaceDE w:val="0"/>
        <w:autoSpaceDN w:val="0"/>
        <w:adjustRightInd w:val="0"/>
        <w:spacing w:after="240"/>
        <w:rPr>
          <w:noProof/>
          <w:sz w:val="22"/>
        </w:rPr>
      </w:pPr>
      <w:r w:rsidRPr="004C6D89">
        <w:rPr>
          <w:noProof/>
          <w:sz w:val="22"/>
        </w:rPr>
        <w:t xml:space="preserve">Robinson, W. </w:t>
      </w:r>
      <w:r w:rsidRPr="004C6D89">
        <w:rPr>
          <w:i/>
          <w:iCs/>
          <w:noProof/>
          <w:sz w:val="22"/>
        </w:rPr>
        <w:t>et al.</w:t>
      </w:r>
      <w:r w:rsidRPr="004C6D89">
        <w:rPr>
          <w:noProof/>
          <w:sz w:val="22"/>
        </w:rPr>
        <w:t xml:space="preserve"> (1962) ‘The Development of the IES Glare Index System: Contributed by the Luminance Study Panel of the IES Technical Committee’, </w:t>
      </w:r>
      <w:r w:rsidRPr="004C6D89">
        <w:rPr>
          <w:i/>
          <w:iCs/>
          <w:noProof/>
          <w:sz w:val="22"/>
        </w:rPr>
        <w:t>Transactions of the Illuminating Engineering Society</w:t>
      </w:r>
      <w:r w:rsidRPr="004C6D89">
        <w:rPr>
          <w:noProof/>
          <w:sz w:val="22"/>
        </w:rPr>
        <w:t>. SAGE Publications, 27(1_IEStrans), pp. 9–26.</w:t>
      </w:r>
    </w:p>
    <w:p w14:paraId="6CA9BAB6" w14:textId="77777777" w:rsidR="004C6D89" w:rsidRPr="004C6D89" w:rsidRDefault="004C6D89" w:rsidP="004C6D89">
      <w:pPr>
        <w:widowControl w:val="0"/>
        <w:autoSpaceDE w:val="0"/>
        <w:autoSpaceDN w:val="0"/>
        <w:adjustRightInd w:val="0"/>
        <w:spacing w:after="240"/>
        <w:rPr>
          <w:noProof/>
          <w:sz w:val="22"/>
        </w:rPr>
      </w:pPr>
      <w:r w:rsidRPr="004C6D89">
        <w:rPr>
          <w:noProof/>
          <w:sz w:val="22"/>
        </w:rPr>
        <w:t xml:space="preserve">Sadeghipour Roudsari, M. and Pak, M. (2013) ‘Ladybug: A parametric environmental plugin for Grasshopper to help designers create an environmentally-conscious design’, in </w:t>
      </w:r>
      <w:r w:rsidRPr="004C6D89">
        <w:rPr>
          <w:i/>
          <w:iCs/>
          <w:noProof/>
          <w:sz w:val="22"/>
        </w:rPr>
        <w:t>13th Conference of International Building Performance Simulation Association</w:t>
      </w:r>
      <w:r w:rsidRPr="004C6D89">
        <w:rPr>
          <w:noProof/>
          <w:sz w:val="22"/>
        </w:rPr>
        <w:t>, pp. 3128–3135.</w:t>
      </w:r>
    </w:p>
    <w:p w14:paraId="466CC044" w14:textId="0ACD507E" w:rsidR="004C6D89" w:rsidRPr="004C6D89" w:rsidRDefault="004C6D89" w:rsidP="004C6D89">
      <w:pPr>
        <w:widowControl w:val="0"/>
        <w:autoSpaceDE w:val="0"/>
        <w:autoSpaceDN w:val="0"/>
        <w:adjustRightInd w:val="0"/>
        <w:spacing w:after="240"/>
        <w:rPr>
          <w:noProof/>
          <w:sz w:val="22"/>
        </w:rPr>
      </w:pPr>
      <w:r w:rsidRPr="004C6D89">
        <w:rPr>
          <w:noProof/>
          <w:sz w:val="22"/>
        </w:rPr>
        <w:t xml:space="preserve">Suk, J. Y., Schiler, M. and Kensek, K. (2017) ‘Investigation of existing discomfort glare indices using human subject study data’, </w:t>
      </w:r>
      <w:r w:rsidRPr="004C6D89">
        <w:rPr>
          <w:i/>
          <w:iCs/>
          <w:noProof/>
          <w:sz w:val="22"/>
        </w:rPr>
        <w:t>Building and Environment</w:t>
      </w:r>
      <w:r w:rsidRPr="004C6D89">
        <w:rPr>
          <w:noProof/>
          <w:sz w:val="22"/>
        </w:rPr>
        <w:t>. 113, pp. 121–130.</w:t>
      </w:r>
    </w:p>
    <w:p w14:paraId="5518DD20" w14:textId="622C63FD" w:rsidR="004C6D89" w:rsidRPr="004C6D89" w:rsidRDefault="004C6D89" w:rsidP="004C6D89">
      <w:pPr>
        <w:widowControl w:val="0"/>
        <w:autoSpaceDE w:val="0"/>
        <w:autoSpaceDN w:val="0"/>
        <w:adjustRightInd w:val="0"/>
        <w:spacing w:after="240"/>
        <w:rPr>
          <w:noProof/>
          <w:sz w:val="22"/>
        </w:rPr>
      </w:pPr>
      <w:r w:rsidRPr="004C6D89">
        <w:rPr>
          <w:noProof/>
          <w:sz w:val="22"/>
        </w:rPr>
        <w:t xml:space="preserve">Tokura, M., Iwata, T. and Shukuya, M. (1996) ‘Experimental study on discomfort glare caused by windows part 3: Development of a method for evaluating discomfort glare from a large light source’, </w:t>
      </w:r>
      <w:r w:rsidRPr="004C6D89">
        <w:rPr>
          <w:i/>
          <w:iCs/>
          <w:noProof/>
          <w:sz w:val="22"/>
        </w:rPr>
        <w:t>Journal of Architecture and Planning (Transactions of AIJ)</w:t>
      </w:r>
      <w:r w:rsidRPr="004C6D89">
        <w:rPr>
          <w:noProof/>
          <w:sz w:val="22"/>
        </w:rPr>
        <w:t>, 61(489), pp. 17–25.</w:t>
      </w:r>
    </w:p>
    <w:p w14:paraId="35E7E819" w14:textId="0B5F4D7D" w:rsidR="004C6D89" w:rsidRPr="004C6D89" w:rsidRDefault="004C6D89" w:rsidP="004C6D89">
      <w:pPr>
        <w:widowControl w:val="0"/>
        <w:autoSpaceDE w:val="0"/>
        <w:autoSpaceDN w:val="0"/>
        <w:adjustRightInd w:val="0"/>
        <w:spacing w:after="240"/>
        <w:rPr>
          <w:noProof/>
          <w:sz w:val="22"/>
        </w:rPr>
      </w:pPr>
      <w:r w:rsidRPr="004C6D89">
        <w:rPr>
          <w:noProof/>
          <w:sz w:val="22"/>
        </w:rPr>
        <w:t xml:space="preserve">Tuaycharoen, N. and Tregenza, P. R. (2007) ‘View and discomfort glare from windows’, </w:t>
      </w:r>
      <w:r w:rsidRPr="004C6D89">
        <w:rPr>
          <w:i/>
          <w:iCs/>
          <w:noProof/>
          <w:sz w:val="22"/>
        </w:rPr>
        <w:t>Lighting Research and Technology</w:t>
      </w:r>
      <w:r w:rsidRPr="004C6D89">
        <w:rPr>
          <w:noProof/>
          <w:sz w:val="22"/>
        </w:rPr>
        <w:t>, 39(2), pp. 185–198.</w:t>
      </w:r>
    </w:p>
    <w:p w14:paraId="1CBFC7E6" w14:textId="2419C31F" w:rsidR="004C6D89" w:rsidRPr="004C6D89" w:rsidRDefault="004C6D89" w:rsidP="004C6D89">
      <w:pPr>
        <w:widowControl w:val="0"/>
        <w:autoSpaceDE w:val="0"/>
        <w:autoSpaceDN w:val="0"/>
        <w:adjustRightInd w:val="0"/>
        <w:spacing w:after="240"/>
        <w:rPr>
          <w:noProof/>
          <w:sz w:val="22"/>
        </w:rPr>
      </w:pPr>
      <w:r w:rsidRPr="004C6D89">
        <w:rPr>
          <w:noProof/>
          <w:sz w:val="22"/>
        </w:rPr>
        <w:t xml:space="preserve">Tzempelikos, A. (2017) ‘Advances on daylighting and visual comfort research’, </w:t>
      </w:r>
      <w:r w:rsidRPr="004C6D89">
        <w:rPr>
          <w:i/>
          <w:iCs/>
          <w:noProof/>
          <w:sz w:val="22"/>
        </w:rPr>
        <w:t>Building and Environment</w:t>
      </w:r>
      <w:r w:rsidRPr="004C6D89">
        <w:rPr>
          <w:noProof/>
          <w:sz w:val="22"/>
        </w:rPr>
        <w:t>. 113, pp. 1–4.</w:t>
      </w:r>
    </w:p>
    <w:p w14:paraId="04647A9B" w14:textId="03732C9B" w:rsidR="004C6D89" w:rsidRPr="004C6D89" w:rsidRDefault="004C6D89" w:rsidP="004C6D89">
      <w:pPr>
        <w:widowControl w:val="0"/>
        <w:autoSpaceDE w:val="0"/>
        <w:autoSpaceDN w:val="0"/>
        <w:adjustRightInd w:val="0"/>
        <w:spacing w:after="240"/>
        <w:rPr>
          <w:noProof/>
          <w:sz w:val="22"/>
        </w:rPr>
      </w:pPr>
      <w:r w:rsidRPr="004C6D89">
        <w:rPr>
          <w:noProof/>
          <w:sz w:val="22"/>
        </w:rPr>
        <w:t xml:space="preserve">Tzempelikos, A. and Chan, Y.-C. (2016) ‘Estimating detailed optical properties of window shades from basic available data and modeling implications on daylighting and visual comfort’, </w:t>
      </w:r>
      <w:r w:rsidRPr="004C6D89">
        <w:rPr>
          <w:i/>
          <w:iCs/>
          <w:noProof/>
          <w:sz w:val="22"/>
        </w:rPr>
        <w:t>Energy and Buildings</w:t>
      </w:r>
      <w:r w:rsidRPr="004C6D89">
        <w:rPr>
          <w:noProof/>
          <w:sz w:val="22"/>
        </w:rPr>
        <w:t>. 126, pp. 396–407.</w:t>
      </w:r>
    </w:p>
    <w:p w14:paraId="1DC03AB1" w14:textId="77777777" w:rsidR="004C6D89" w:rsidRPr="004C6D89" w:rsidRDefault="004C6D89" w:rsidP="004C6D89">
      <w:pPr>
        <w:widowControl w:val="0"/>
        <w:autoSpaceDE w:val="0"/>
        <w:autoSpaceDN w:val="0"/>
        <w:adjustRightInd w:val="0"/>
        <w:spacing w:after="240"/>
        <w:rPr>
          <w:noProof/>
          <w:sz w:val="22"/>
        </w:rPr>
      </w:pPr>
      <w:r w:rsidRPr="004C6D89">
        <w:rPr>
          <w:noProof/>
          <w:sz w:val="22"/>
        </w:rPr>
        <w:t xml:space="preserve">Wienold, J. (2007) ‘Dynamic simulation of blind control strategies for visual comfort and energy balance analysis’, in </w:t>
      </w:r>
      <w:r w:rsidRPr="004C6D89">
        <w:rPr>
          <w:i/>
          <w:iCs/>
          <w:noProof/>
          <w:sz w:val="22"/>
        </w:rPr>
        <w:t>Building Simulation</w:t>
      </w:r>
      <w:r w:rsidRPr="004C6D89">
        <w:rPr>
          <w:noProof/>
          <w:sz w:val="22"/>
        </w:rPr>
        <w:t>. Beijing, China: IPBSA, pp. 1197–1204.</w:t>
      </w:r>
    </w:p>
    <w:p w14:paraId="72985C7C" w14:textId="37FDB0BE" w:rsidR="004C6D89" w:rsidRPr="004C6D89" w:rsidRDefault="004C6D89" w:rsidP="004C6D89">
      <w:pPr>
        <w:widowControl w:val="0"/>
        <w:autoSpaceDE w:val="0"/>
        <w:autoSpaceDN w:val="0"/>
        <w:adjustRightInd w:val="0"/>
        <w:spacing w:after="240"/>
        <w:rPr>
          <w:noProof/>
          <w:sz w:val="22"/>
        </w:rPr>
      </w:pPr>
      <w:r w:rsidRPr="004C6D89">
        <w:rPr>
          <w:noProof/>
          <w:sz w:val="22"/>
        </w:rPr>
        <w:t xml:space="preserve">Wienold, J. (2009) ‘Dynamic daylight glare evaluation’, in </w:t>
      </w:r>
      <w:r w:rsidRPr="004C6D89">
        <w:rPr>
          <w:i/>
          <w:iCs/>
          <w:noProof/>
          <w:sz w:val="22"/>
        </w:rPr>
        <w:t>IBPSA 2009 - International Building Performance Simulation Association 2009; 11th International IBPSA Conference - Building Simulation 2009, BS 2009</w:t>
      </w:r>
      <w:r w:rsidRPr="004C6D89">
        <w:rPr>
          <w:noProof/>
          <w:sz w:val="22"/>
        </w:rPr>
        <w:t>. pp. 944–951.</w:t>
      </w:r>
    </w:p>
    <w:p w14:paraId="5A20E620" w14:textId="029562D8" w:rsidR="004C6D89" w:rsidRPr="004C6D89" w:rsidRDefault="004C6D89" w:rsidP="004C6D89">
      <w:pPr>
        <w:widowControl w:val="0"/>
        <w:autoSpaceDE w:val="0"/>
        <w:autoSpaceDN w:val="0"/>
        <w:adjustRightInd w:val="0"/>
        <w:spacing w:after="240"/>
        <w:rPr>
          <w:noProof/>
          <w:sz w:val="22"/>
        </w:rPr>
      </w:pPr>
      <w:r w:rsidRPr="004C6D89">
        <w:rPr>
          <w:noProof/>
          <w:sz w:val="22"/>
        </w:rPr>
        <w:t xml:space="preserve">Wienold, J. and Christoffersen, J. (2006) ‘Evaluation methods and development of a new glare prediction model for daylight environments with the use of CCD cameras’, </w:t>
      </w:r>
      <w:r w:rsidRPr="004C6D89">
        <w:rPr>
          <w:i/>
          <w:iCs/>
          <w:noProof/>
          <w:sz w:val="22"/>
        </w:rPr>
        <w:t>Energy and Buildings</w:t>
      </w:r>
      <w:r w:rsidRPr="004C6D89">
        <w:rPr>
          <w:noProof/>
          <w:sz w:val="22"/>
        </w:rPr>
        <w:t>. 38(7), pp. 743–757.</w:t>
      </w:r>
    </w:p>
    <w:p w14:paraId="3B2934D0" w14:textId="7D1DFD8F" w:rsidR="004C6D89" w:rsidRPr="004C6D89" w:rsidRDefault="004C6D89" w:rsidP="004C6D89">
      <w:pPr>
        <w:widowControl w:val="0"/>
        <w:autoSpaceDE w:val="0"/>
        <w:autoSpaceDN w:val="0"/>
        <w:adjustRightInd w:val="0"/>
        <w:spacing w:after="240"/>
        <w:rPr>
          <w:noProof/>
          <w:sz w:val="22"/>
        </w:rPr>
      </w:pPr>
      <w:r w:rsidRPr="004C6D89">
        <w:rPr>
          <w:noProof/>
          <w:sz w:val="22"/>
        </w:rPr>
        <w:t xml:space="preserve">Van Den Wymelenberg, K., Inanici, M. and Johnson, P. (2010) ‘The effect of luminance distribution patterns on occupant preference in a daylit office environment’, </w:t>
      </w:r>
      <w:r w:rsidRPr="004C6D89">
        <w:rPr>
          <w:i/>
          <w:iCs/>
          <w:noProof/>
          <w:sz w:val="22"/>
        </w:rPr>
        <w:t xml:space="preserve">LEUKOS - </w:t>
      </w:r>
      <w:r w:rsidRPr="004C6D89">
        <w:rPr>
          <w:i/>
          <w:iCs/>
          <w:noProof/>
          <w:sz w:val="22"/>
        </w:rPr>
        <w:lastRenderedPageBreak/>
        <w:t>Journal of Illuminating Engineering Society of North America</w:t>
      </w:r>
      <w:r w:rsidRPr="004C6D89">
        <w:rPr>
          <w:noProof/>
          <w:sz w:val="22"/>
        </w:rPr>
        <w:t>. 7(2), pp. 103–122.</w:t>
      </w:r>
    </w:p>
    <w:p w14:paraId="36DBEB93" w14:textId="6D414C6E" w:rsidR="004C6D89" w:rsidRPr="004C6D89" w:rsidRDefault="004C6D89" w:rsidP="004C6D89">
      <w:pPr>
        <w:widowControl w:val="0"/>
        <w:autoSpaceDE w:val="0"/>
        <w:autoSpaceDN w:val="0"/>
        <w:adjustRightInd w:val="0"/>
        <w:spacing w:after="240"/>
        <w:rPr>
          <w:noProof/>
          <w:sz w:val="22"/>
        </w:rPr>
      </w:pPr>
      <w:r w:rsidRPr="004C6D89">
        <w:rPr>
          <w:noProof/>
          <w:sz w:val="22"/>
        </w:rPr>
        <w:t xml:space="preserve">Yamin Garreton, J. A. </w:t>
      </w:r>
      <w:r w:rsidRPr="004C6D89">
        <w:rPr>
          <w:i/>
          <w:iCs/>
          <w:noProof/>
          <w:sz w:val="22"/>
        </w:rPr>
        <w:t>et al.</w:t>
      </w:r>
      <w:r w:rsidRPr="004C6D89">
        <w:rPr>
          <w:noProof/>
          <w:sz w:val="22"/>
        </w:rPr>
        <w:t xml:space="preserve"> (2015) ‘Degree of eye opening: A new discomfort glare indicator’, </w:t>
      </w:r>
      <w:r w:rsidRPr="004C6D89">
        <w:rPr>
          <w:i/>
          <w:iCs/>
          <w:noProof/>
          <w:sz w:val="22"/>
        </w:rPr>
        <w:t>Building and Environment</w:t>
      </w:r>
      <w:r w:rsidRPr="004C6D89">
        <w:rPr>
          <w:noProof/>
          <w:sz w:val="22"/>
        </w:rPr>
        <w:t>. 88, pp. 142–150.</w:t>
      </w:r>
    </w:p>
    <w:p w14:paraId="3BB74EAD" w14:textId="77777777" w:rsidR="002B7D6E" w:rsidRPr="00AA3D0C" w:rsidRDefault="002B7D6E" w:rsidP="00F7217C">
      <w:pPr>
        <w:pStyle w:val="Normal-Byfy"/>
        <w:jc w:val="both"/>
      </w:pPr>
      <w:r w:rsidRPr="00AA3D0C">
        <w:fldChar w:fldCharType="end"/>
      </w:r>
    </w:p>
    <w:p w14:paraId="0252064A" w14:textId="77777777" w:rsidR="002B7D6E" w:rsidRPr="00AA3D0C" w:rsidRDefault="002B7D6E" w:rsidP="002B7D6E">
      <w:pPr>
        <w:pStyle w:val="Normal-Byfy"/>
      </w:pPr>
    </w:p>
    <w:p w14:paraId="1FC7E448" w14:textId="77777777" w:rsidR="002B7D6E" w:rsidRPr="00AA3D0C" w:rsidRDefault="002B7D6E" w:rsidP="002B7D6E">
      <w:pPr>
        <w:pStyle w:val="Normal-Byfy"/>
      </w:pPr>
    </w:p>
    <w:p w14:paraId="528D55C1" w14:textId="77777777" w:rsidR="002B7D6E" w:rsidRDefault="002B7D6E" w:rsidP="002B7D6E">
      <w:pPr>
        <w:pStyle w:val="Normal-Byfy"/>
      </w:pPr>
    </w:p>
    <w:p w14:paraId="131FB56B" w14:textId="77777777" w:rsidR="00CB5441" w:rsidRDefault="00CB5441" w:rsidP="002B7D6E">
      <w:pPr>
        <w:pStyle w:val="Normal-Byfy"/>
      </w:pPr>
    </w:p>
    <w:p w14:paraId="427F775A" w14:textId="77777777" w:rsidR="00CB5441" w:rsidRDefault="00CB5441" w:rsidP="002B7D6E">
      <w:pPr>
        <w:pStyle w:val="Normal-Byfy"/>
      </w:pPr>
    </w:p>
    <w:p w14:paraId="2F129B5A" w14:textId="77777777" w:rsidR="00CB5441" w:rsidRDefault="00CB5441" w:rsidP="002B7D6E">
      <w:pPr>
        <w:pStyle w:val="Normal-Byfy"/>
      </w:pPr>
    </w:p>
    <w:p w14:paraId="77DE957F" w14:textId="77777777" w:rsidR="00CB5441" w:rsidRPr="00AA3D0C" w:rsidRDefault="00CB5441" w:rsidP="002B7D6E">
      <w:pPr>
        <w:pStyle w:val="Normal-Byfy"/>
      </w:pPr>
    </w:p>
    <w:p w14:paraId="311A261E" w14:textId="3B5657C1" w:rsidR="002B7D6E" w:rsidRDefault="002B7D6E" w:rsidP="002B7D6E">
      <w:pPr>
        <w:pStyle w:val="Normal-Byfy"/>
      </w:pPr>
    </w:p>
    <w:p w14:paraId="7A715BA1" w14:textId="69D52B7E" w:rsidR="00E418EC" w:rsidRDefault="00E418EC" w:rsidP="002B7D6E">
      <w:pPr>
        <w:pStyle w:val="Normal-Byfy"/>
      </w:pPr>
    </w:p>
    <w:p w14:paraId="31F2724A" w14:textId="3D1761D7" w:rsidR="00E418EC" w:rsidRDefault="00E418EC" w:rsidP="002B7D6E">
      <w:pPr>
        <w:pStyle w:val="Normal-Byfy"/>
      </w:pPr>
    </w:p>
    <w:p w14:paraId="45115098" w14:textId="444DA8BE" w:rsidR="00E418EC" w:rsidRDefault="00E418EC" w:rsidP="002B7D6E">
      <w:pPr>
        <w:pStyle w:val="Normal-Byfy"/>
      </w:pPr>
    </w:p>
    <w:p w14:paraId="724F4C79" w14:textId="6735BAC9" w:rsidR="00E418EC" w:rsidRDefault="00E418EC" w:rsidP="002B7D6E">
      <w:pPr>
        <w:pStyle w:val="Normal-Byfy"/>
      </w:pPr>
    </w:p>
    <w:p w14:paraId="134BA28A" w14:textId="57A742BA" w:rsidR="00E418EC" w:rsidRDefault="00E418EC" w:rsidP="002B7D6E">
      <w:pPr>
        <w:pStyle w:val="Normal-Byfy"/>
      </w:pPr>
    </w:p>
    <w:p w14:paraId="46B7B50F" w14:textId="10A9D1F9" w:rsidR="00E418EC" w:rsidRDefault="00E418EC" w:rsidP="002B7D6E">
      <w:pPr>
        <w:pStyle w:val="Normal-Byfy"/>
      </w:pPr>
    </w:p>
    <w:p w14:paraId="5DE908E9" w14:textId="77777777" w:rsidR="00E418EC" w:rsidRPr="00AA3D0C" w:rsidRDefault="00E418EC" w:rsidP="002B7D6E">
      <w:pPr>
        <w:pStyle w:val="Normal-Byfy"/>
      </w:pPr>
    </w:p>
    <w:p w14:paraId="533525D6" w14:textId="77777777" w:rsidR="002B7D6E" w:rsidRPr="00AA3D0C" w:rsidRDefault="002B7D6E" w:rsidP="002B7D6E">
      <w:pPr>
        <w:pStyle w:val="Normal-Byfy"/>
      </w:pPr>
    </w:p>
    <w:p w14:paraId="38F973E2" w14:textId="47AC46E1" w:rsidR="002B7D6E" w:rsidRDefault="002B7D6E" w:rsidP="002B7D6E">
      <w:pPr>
        <w:pStyle w:val="Normal-Byfy"/>
      </w:pPr>
    </w:p>
    <w:p w14:paraId="3727F324" w14:textId="77777777" w:rsidR="00DE71FD" w:rsidRPr="00AA3D0C" w:rsidRDefault="00DE71FD" w:rsidP="002B7D6E">
      <w:pPr>
        <w:pStyle w:val="Normal-Byfy"/>
      </w:pPr>
    </w:p>
    <w:p w14:paraId="54DF8994" w14:textId="77777777" w:rsidR="002B7D6E" w:rsidRPr="00AA3D0C" w:rsidRDefault="002B7D6E" w:rsidP="002B7D6E">
      <w:pPr>
        <w:pStyle w:val="Normal-Byfy"/>
      </w:pPr>
    </w:p>
    <w:p w14:paraId="1EADE2DC" w14:textId="77777777" w:rsidR="002B7D6E" w:rsidRPr="00AA3D0C" w:rsidRDefault="002B7D6E" w:rsidP="002B7D6E">
      <w:pPr>
        <w:pStyle w:val="Rubrik1-Byfy"/>
        <w:numPr>
          <w:ilvl w:val="0"/>
          <w:numId w:val="0"/>
        </w:numPr>
      </w:pPr>
      <w:bookmarkStart w:id="48" w:name="_Toc532751594"/>
      <w:r w:rsidRPr="00AA3D0C">
        <w:lastRenderedPageBreak/>
        <w:t>APPENDIX A</w:t>
      </w:r>
      <w:bookmarkEnd w:id="48"/>
    </w:p>
    <w:p w14:paraId="78CF63E6" w14:textId="238B21FF" w:rsidR="002B7D6E" w:rsidRPr="00AA3D0C" w:rsidRDefault="002B7D6E" w:rsidP="002B7D6E">
      <w:pPr>
        <w:pStyle w:val="Rubrik2-Byfy"/>
        <w:numPr>
          <w:ilvl w:val="0"/>
          <w:numId w:val="0"/>
        </w:numPr>
        <w:rPr>
          <w:rFonts w:cs="Times New Roman"/>
        </w:rPr>
      </w:pPr>
      <w:bookmarkStart w:id="49" w:name="_Toc532751595"/>
      <w:r w:rsidRPr="00AA3D0C">
        <w:rPr>
          <w:rFonts w:cs="Times New Roman"/>
        </w:rPr>
        <w:t>A.</w:t>
      </w:r>
      <w:r w:rsidR="00812950">
        <w:rPr>
          <w:rFonts w:cs="Times New Roman"/>
        </w:rPr>
        <w:t>1</w:t>
      </w:r>
      <w:r w:rsidRPr="00AA3D0C">
        <w:rPr>
          <w:rFonts w:cs="Times New Roman"/>
        </w:rPr>
        <w:t xml:space="preserve"> Glare Metrics</w:t>
      </w:r>
      <w:bookmarkEnd w:id="49"/>
    </w:p>
    <w:p w14:paraId="4738787F" w14:textId="77777777" w:rsidR="002B7D6E" w:rsidRPr="00AA3D0C" w:rsidRDefault="002B7D6E" w:rsidP="002B7D6E">
      <w:pPr>
        <w:jc w:val="both"/>
        <w:rPr>
          <w:sz w:val="22"/>
          <w:szCs w:val="22"/>
        </w:rPr>
      </w:pPr>
      <w:r w:rsidRPr="00AA3D0C">
        <w:rPr>
          <w:sz w:val="22"/>
          <w:szCs w:val="22"/>
        </w:rPr>
        <w:t xml:space="preserve">The </w:t>
      </w:r>
      <w:r w:rsidR="00CB5441">
        <w:rPr>
          <w:sz w:val="22"/>
          <w:szCs w:val="22"/>
        </w:rPr>
        <w:t>entire formula of the VCP glare metric can be found below</w:t>
      </w:r>
      <w:r w:rsidRPr="00AA3D0C">
        <w:rPr>
          <w:sz w:val="22"/>
          <w:szCs w:val="22"/>
        </w:rPr>
        <w:t xml:space="preserve">. </w:t>
      </w:r>
    </w:p>
    <w:p w14:paraId="5C738969" w14:textId="77777777" w:rsidR="002B7D6E" w:rsidRPr="00AA3D0C" w:rsidRDefault="002B7D6E" w:rsidP="002B7D6E">
      <w:pPr>
        <w:jc w:val="both"/>
        <w:rPr>
          <w:sz w:val="22"/>
          <w:szCs w:val="22"/>
        </w:rPr>
      </w:pPr>
    </w:p>
    <w:tbl>
      <w:tblPr>
        <w:tblStyle w:val="PlainTable2"/>
        <w:tblW w:w="8275" w:type="dxa"/>
        <w:tblBorders>
          <w:top w:val="none" w:sz="0" w:space="0" w:color="auto"/>
          <w:bottom w:val="none" w:sz="0" w:space="0" w:color="auto"/>
        </w:tblBorders>
        <w:tblLook w:val="04A0" w:firstRow="1" w:lastRow="0" w:firstColumn="1" w:lastColumn="0" w:noHBand="0" w:noVBand="1"/>
      </w:tblPr>
      <w:tblGrid>
        <w:gridCol w:w="7220"/>
        <w:gridCol w:w="505"/>
        <w:gridCol w:w="550"/>
      </w:tblGrid>
      <w:tr w:rsidR="002B7D6E" w:rsidRPr="00AD7826" w14:paraId="1B2C7EBB" w14:textId="77777777" w:rsidTr="00CB5441">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220" w:type="dxa"/>
            <w:tcBorders>
              <w:bottom w:val="none" w:sz="0" w:space="0" w:color="auto"/>
            </w:tcBorders>
          </w:tcPr>
          <w:p w14:paraId="576B62DA" w14:textId="7D75EEDA" w:rsidR="002B7D6E" w:rsidRPr="00AD7826" w:rsidRDefault="00AD7826" w:rsidP="006F4580">
            <w:pPr>
              <w:jc w:val="both"/>
              <w:rPr>
                <w:b w:val="0"/>
                <w:i/>
                <w:sz w:val="20"/>
                <w:szCs w:val="20"/>
              </w:rPr>
            </w:pPr>
            <m:oMathPara>
              <m:oMathParaPr>
                <m:jc m:val="left"/>
              </m:oMathParaPr>
              <m:oMath>
                <m:r>
                  <m:rPr>
                    <m:sty m:val="bi"/>
                  </m:rPr>
                  <w:rPr>
                    <w:rFonts w:ascii="Cambria Math" w:hAnsi="Cambria Math"/>
                    <w:sz w:val="20"/>
                    <w:szCs w:val="20"/>
                  </w:rPr>
                  <m:t>VCP=</m:t>
                </m:r>
                <m:f>
                  <m:fPr>
                    <m:ctrlPr>
                      <w:rPr>
                        <w:rFonts w:ascii="Cambria Math" w:hAnsi="Cambria Math"/>
                        <w:b w:val="0"/>
                        <w:bCs w:val="0"/>
                        <w:i/>
                        <w:sz w:val="20"/>
                        <w:szCs w:val="20"/>
                      </w:rPr>
                    </m:ctrlPr>
                  </m:fPr>
                  <m:num>
                    <m:r>
                      <m:rPr>
                        <m:sty m:val="bi"/>
                      </m:rPr>
                      <w:rPr>
                        <w:rFonts w:ascii="Cambria Math" w:hAnsi="Cambria Math"/>
                        <w:sz w:val="20"/>
                        <w:szCs w:val="20"/>
                      </w:rPr>
                      <m:t>100</m:t>
                    </m:r>
                  </m:num>
                  <m:den>
                    <m:rad>
                      <m:radPr>
                        <m:degHide m:val="1"/>
                        <m:ctrlPr>
                          <w:rPr>
                            <w:rFonts w:ascii="Cambria Math" w:hAnsi="Cambria Math"/>
                            <w:b w:val="0"/>
                            <w:bCs w:val="0"/>
                            <w:i/>
                            <w:sz w:val="20"/>
                            <w:szCs w:val="20"/>
                          </w:rPr>
                        </m:ctrlPr>
                      </m:radPr>
                      <m:deg/>
                      <m:e>
                        <m:r>
                          <m:rPr>
                            <m:sty m:val="bi"/>
                          </m:rPr>
                          <w:rPr>
                            <w:rFonts w:ascii="Cambria Math" w:hAnsi="Cambria Math"/>
                            <w:sz w:val="20"/>
                            <w:szCs w:val="20"/>
                          </w:rPr>
                          <m:t>2</m:t>
                        </m:r>
                        <m:r>
                          <m:rPr>
                            <m:sty m:val="bi"/>
                          </m:rPr>
                          <w:rPr>
                            <w:rFonts w:ascii="Cambria Math" w:hAnsi="Cambria Math"/>
                            <w:sz w:val="20"/>
                            <w:szCs w:val="20"/>
                          </w:rPr>
                          <m:t>π</m:t>
                        </m:r>
                      </m:e>
                    </m:rad>
                  </m:den>
                </m:f>
                <m:r>
                  <m:rPr>
                    <m:sty m:val="bi"/>
                  </m:rPr>
                  <w:rPr>
                    <w:rFonts w:ascii="Cambria Math" w:hAnsi="Cambria Math"/>
                    <w:sz w:val="20"/>
                    <w:szCs w:val="20"/>
                  </w:rPr>
                  <m:t>∙</m:t>
                </m:r>
                <m:nary>
                  <m:naryPr>
                    <m:limLoc m:val="subSup"/>
                    <m:grow m:val="1"/>
                    <m:ctrlPr>
                      <w:rPr>
                        <w:rFonts w:ascii="Cambria Math" w:hAnsi="Cambria Math"/>
                        <w:b w:val="0"/>
                        <w:bCs w:val="0"/>
                        <w:i/>
                        <w:sz w:val="20"/>
                        <w:szCs w:val="20"/>
                      </w:rPr>
                    </m:ctrlPr>
                  </m:naryPr>
                  <m:sub>
                    <m:r>
                      <m:rPr>
                        <m:sty m:val="bi"/>
                      </m:rPr>
                      <w:rPr>
                        <w:rFonts w:ascii="Cambria Math" w:hAnsi="Cambria Math"/>
                        <w:sz w:val="20"/>
                        <w:szCs w:val="20"/>
                      </w:rPr>
                      <m:t>-∞</m:t>
                    </m:r>
                  </m:sub>
                  <m:sup>
                    <m:r>
                      <m:rPr>
                        <m:sty m:val="bi"/>
                      </m:rPr>
                      <w:rPr>
                        <w:rFonts w:ascii="Cambria Math" w:hAnsi="Cambria Math"/>
                        <w:sz w:val="20"/>
                        <w:szCs w:val="20"/>
                      </w:rPr>
                      <m:t>6.374-1.3227</m:t>
                    </m:r>
                    <m:func>
                      <m:funcPr>
                        <m:ctrlPr>
                          <w:rPr>
                            <w:rFonts w:ascii="Cambria Math" w:hAnsi="Cambria Math"/>
                            <w:b w:val="0"/>
                            <w:bCs w:val="0"/>
                            <w:i/>
                            <w:sz w:val="20"/>
                            <w:szCs w:val="20"/>
                          </w:rPr>
                        </m:ctrlPr>
                      </m:funcPr>
                      <m:fName>
                        <m:r>
                          <m:rPr>
                            <m:sty m:val="bi"/>
                          </m:rPr>
                          <w:rPr>
                            <w:rFonts w:ascii="Cambria Math" w:hAnsi="Cambria Math"/>
                            <w:sz w:val="20"/>
                            <w:szCs w:val="20"/>
                          </w:rPr>
                          <m:t>ln</m:t>
                        </m:r>
                      </m:fName>
                      <m:e>
                        <m:d>
                          <m:dPr>
                            <m:ctrlPr>
                              <w:rPr>
                                <w:rFonts w:ascii="Cambria Math" w:hAnsi="Cambria Math"/>
                                <w:b w:val="0"/>
                                <w:bCs w:val="0"/>
                                <w:i/>
                                <w:sz w:val="20"/>
                                <w:szCs w:val="20"/>
                              </w:rPr>
                            </m:ctrlPr>
                          </m:dPr>
                          <m:e>
                            <m:r>
                              <m:rPr>
                                <m:sty m:val="bi"/>
                              </m:rPr>
                              <w:rPr>
                                <w:rFonts w:ascii="Cambria Math" w:hAnsi="Cambria Math"/>
                                <w:sz w:val="20"/>
                                <w:szCs w:val="20"/>
                              </w:rPr>
                              <m:t>DGR</m:t>
                            </m:r>
                          </m:e>
                        </m:d>
                      </m:e>
                    </m:func>
                  </m:sup>
                  <m:e>
                    <m:d>
                      <m:dPr>
                        <m:ctrlPr>
                          <w:rPr>
                            <w:rFonts w:ascii="Cambria Math" w:hAnsi="Cambria Math"/>
                            <w:b w:val="0"/>
                            <w:bCs w:val="0"/>
                            <w:i/>
                            <w:sz w:val="20"/>
                            <w:szCs w:val="20"/>
                          </w:rPr>
                        </m:ctrlPr>
                      </m:dPr>
                      <m:e>
                        <m:sSup>
                          <m:sSupPr>
                            <m:ctrlPr>
                              <w:rPr>
                                <w:rFonts w:ascii="Cambria Math" w:hAnsi="Cambria Math"/>
                                <w:b w:val="0"/>
                                <w:bCs w:val="0"/>
                                <w:i/>
                                <w:sz w:val="20"/>
                                <w:szCs w:val="20"/>
                              </w:rPr>
                            </m:ctrlPr>
                          </m:sSupPr>
                          <m:e>
                            <m:r>
                              <m:rPr>
                                <m:sty m:val="bi"/>
                              </m:rPr>
                              <w:rPr>
                                <w:rFonts w:ascii="Cambria Math" w:hAnsi="Cambria Math"/>
                                <w:sz w:val="20"/>
                                <w:szCs w:val="20"/>
                              </w:rPr>
                              <m:t>e</m:t>
                            </m:r>
                          </m:e>
                          <m:sup>
                            <m:f>
                              <m:fPr>
                                <m:type m:val="skw"/>
                                <m:ctrlPr>
                                  <w:rPr>
                                    <w:rFonts w:ascii="Cambria Math" w:hAnsi="Cambria Math"/>
                                    <w:b w:val="0"/>
                                    <w:bCs w:val="0"/>
                                    <w:i/>
                                    <w:sz w:val="20"/>
                                    <w:szCs w:val="20"/>
                                  </w:rPr>
                                </m:ctrlPr>
                              </m:fPr>
                              <m:num>
                                <m:r>
                                  <m:rPr>
                                    <m:sty m:val="bi"/>
                                  </m:rPr>
                                  <w:rPr>
                                    <w:rFonts w:ascii="Cambria Math" w:hAnsi="Cambria Math"/>
                                    <w:sz w:val="20"/>
                                    <w:szCs w:val="20"/>
                                  </w:rPr>
                                  <m:t>-</m:t>
                                </m:r>
                                <m:sSup>
                                  <m:sSupPr>
                                    <m:ctrlPr>
                                      <w:rPr>
                                        <w:rFonts w:ascii="Cambria Math" w:hAnsi="Cambria Math"/>
                                        <w:b w:val="0"/>
                                        <w:bCs w:val="0"/>
                                        <w:i/>
                                        <w:sz w:val="20"/>
                                        <w:szCs w:val="20"/>
                                      </w:rPr>
                                    </m:ctrlPr>
                                  </m:sSupPr>
                                  <m:e>
                                    <m:r>
                                      <m:rPr>
                                        <m:sty m:val="bi"/>
                                      </m:rPr>
                                      <w:rPr>
                                        <w:rFonts w:ascii="Cambria Math" w:hAnsi="Cambria Math"/>
                                        <w:sz w:val="20"/>
                                        <w:szCs w:val="20"/>
                                      </w:rPr>
                                      <m:t>t</m:t>
                                    </m:r>
                                  </m:e>
                                  <m:sup>
                                    <m:r>
                                      <m:rPr>
                                        <m:sty m:val="bi"/>
                                      </m:rPr>
                                      <w:rPr>
                                        <w:rFonts w:ascii="Cambria Math" w:hAnsi="Cambria Math"/>
                                        <w:sz w:val="20"/>
                                        <w:szCs w:val="20"/>
                                      </w:rPr>
                                      <m:t>2</m:t>
                                    </m:r>
                                  </m:sup>
                                </m:sSup>
                              </m:num>
                              <m:den>
                                <m:r>
                                  <m:rPr>
                                    <m:sty m:val="bi"/>
                                  </m:rPr>
                                  <w:rPr>
                                    <w:rFonts w:ascii="Cambria Math" w:hAnsi="Cambria Math"/>
                                    <w:sz w:val="20"/>
                                    <w:szCs w:val="20"/>
                                  </w:rPr>
                                  <m:t>2</m:t>
                                </m:r>
                              </m:den>
                            </m:f>
                          </m:sup>
                        </m:sSup>
                        <m:r>
                          <m:rPr>
                            <m:sty m:val="bi"/>
                          </m:rPr>
                          <w:rPr>
                            <w:rFonts w:ascii="Cambria Math" w:hAnsi="Cambria Math"/>
                            <w:sz w:val="20"/>
                            <w:szCs w:val="20"/>
                          </w:rPr>
                          <m:t>∙dt</m:t>
                        </m:r>
                      </m:e>
                    </m:d>
                  </m:e>
                </m:nary>
              </m:oMath>
            </m:oMathPara>
          </w:p>
          <w:p w14:paraId="4DBC19A4" w14:textId="77777777" w:rsidR="002B7D6E" w:rsidRPr="00AD7826" w:rsidRDefault="002B7D6E" w:rsidP="006F4580">
            <w:pPr>
              <w:jc w:val="both"/>
              <w:rPr>
                <w:b w:val="0"/>
                <w:i/>
                <w:sz w:val="20"/>
                <w:szCs w:val="20"/>
              </w:rPr>
            </w:pPr>
          </w:p>
          <w:p w14:paraId="44307741" w14:textId="77777777" w:rsidR="002B7D6E" w:rsidRPr="00AD7826" w:rsidRDefault="002B7D6E" w:rsidP="006F4580">
            <w:pPr>
              <w:jc w:val="both"/>
              <w:rPr>
                <w:b w:val="0"/>
                <w:bCs w:val="0"/>
                <w:i/>
                <w:sz w:val="20"/>
                <w:szCs w:val="20"/>
              </w:rPr>
            </w:pPr>
            <w:r w:rsidRPr="008C63D2">
              <w:rPr>
                <w:b w:val="0"/>
                <w:i/>
                <w:sz w:val="20"/>
                <w:szCs w:val="20"/>
              </w:rPr>
              <w:t xml:space="preserve">               where, </w:t>
            </w:r>
          </w:p>
          <w:p w14:paraId="125BC7D1" w14:textId="2E94B0F1" w:rsidR="002B7D6E" w:rsidRPr="00AD7826" w:rsidRDefault="002B7D6E" w:rsidP="006F4580">
            <w:pPr>
              <w:jc w:val="both"/>
              <w:rPr>
                <w:b w:val="0"/>
                <w:i/>
                <w:sz w:val="20"/>
                <w:szCs w:val="20"/>
              </w:rPr>
            </w:pPr>
            <w:r w:rsidRPr="008C63D2">
              <w:rPr>
                <w:b w:val="0"/>
                <w:i/>
                <w:sz w:val="20"/>
                <w:szCs w:val="20"/>
              </w:rPr>
              <w:t xml:space="preserve">               </w:t>
            </w:r>
            <m:oMath>
              <m:r>
                <m:rPr>
                  <m:sty m:val="bi"/>
                </m:rPr>
                <w:rPr>
                  <w:rFonts w:ascii="Cambria Math" w:hAnsi="Cambria Math"/>
                  <w:sz w:val="20"/>
                  <w:szCs w:val="20"/>
                </w:rPr>
                <m:t>VCP=</m:t>
              </m:r>
              <m:d>
                <m:dPr>
                  <m:begChr m:val="{"/>
                  <m:endChr m:val=""/>
                  <m:ctrlPr>
                    <w:rPr>
                      <w:rFonts w:ascii="Cambria Math" w:hAnsi="Cambria Math"/>
                      <w:b w:val="0"/>
                      <w:bCs w:val="0"/>
                      <w:i/>
                      <w:sz w:val="20"/>
                      <w:szCs w:val="20"/>
                    </w:rPr>
                  </m:ctrlPr>
                </m:dPr>
                <m:e>
                  <m:eqArr>
                    <m:eqArrPr>
                      <m:ctrlPr>
                        <w:rPr>
                          <w:rFonts w:ascii="Cambria Math" w:hAnsi="Cambria Math"/>
                          <w:b w:val="0"/>
                          <w:bCs w:val="0"/>
                          <w:i/>
                          <w:sz w:val="20"/>
                          <w:szCs w:val="20"/>
                        </w:rPr>
                      </m:ctrlPr>
                    </m:eqArrPr>
                    <m:e>
                      <m:r>
                        <m:rPr>
                          <m:sty m:val="bi"/>
                        </m:rPr>
                        <w:rPr>
                          <w:rFonts w:ascii="Cambria Math" w:hAnsi="Cambria Math"/>
                          <w:sz w:val="20"/>
                          <w:szCs w:val="20"/>
                        </w:rPr>
                        <m:t>279-110</m:t>
                      </m:r>
                      <m:d>
                        <m:dPr>
                          <m:ctrlPr>
                            <w:rPr>
                              <w:rFonts w:ascii="Cambria Math" w:hAnsi="Cambria Math"/>
                              <w:b w:val="0"/>
                              <w:bCs w:val="0"/>
                              <w:i/>
                              <w:sz w:val="20"/>
                              <w:szCs w:val="20"/>
                            </w:rPr>
                          </m:ctrlPr>
                        </m:dPr>
                        <m:e>
                          <m:func>
                            <m:funcPr>
                              <m:ctrlPr>
                                <w:rPr>
                                  <w:rFonts w:ascii="Cambria Math" w:hAnsi="Cambria Math"/>
                                  <w:b w:val="0"/>
                                  <w:bCs w:val="0"/>
                                  <w:i/>
                                  <w:sz w:val="20"/>
                                  <w:szCs w:val="20"/>
                                </w:rPr>
                              </m:ctrlPr>
                            </m:funcPr>
                            <m:fName>
                              <m:sSub>
                                <m:sSubPr>
                                  <m:ctrlPr>
                                    <w:rPr>
                                      <w:rFonts w:ascii="Cambria Math" w:hAnsi="Cambria Math"/>
                                      <w:b w:val="0"/>
                                      <w:bCs w:val="0"/>
                                      <w:i/>
                                      <w:sz w:val="20"/>
                                      <w:szCs w:val="20"/>
                                    </w:rPr>
                                  </m:ctrlPr>
                                </m:sSubPr>
                                <m:e>
                                  <m:r>
                                    <m:rPr>
                                      <m:sty m:val="bi"/>
                                    </m:rPr>
                                    <w:rPr>
                                      <w:rFonts w:ascii="Cambria Math" w:hAnsi="Cambria Math"/>
                                      <w:sz w:val="20"/>
                                      <w:szCs w:val="20"/>
                                    </w:rPr>
                                    <m:t>log</m:t>
                                  </m:r>
                                </m:e>
                                <m:sub>
                                  <m:r>
                                    <m:rPr>
                                      <m:sty m:val="bi"/>
                                    </m:rPr>
                                    <w:rPr>
                                      <w:rFonts w:ascii="Cambria Math" w:hAnsi="Cambria Math"/>
                                      <w:sz w:val="20"/>
                                      <w:szCs w:val="20"/>
                                    </w:rPr>
                                    <m:t>10</m:t>
                                  </m:r>
                                </m:sub>
                              </m:sSub>
                            </m:fName>
                            <m:e>
                              <m:r>
                                <m:rPr>
                                  <m:sty m:val="bi"/>
                                </m:rPr>
                                <w:rPr>
                                  <w:rFonts w:ascii="Cambria Math" w:hAnsi="Cambria Math"/>
                                  <w:sz w:val="20"/>
                                  <w:szCs w:val="20"/>
                                </w:rPr>
                                <m:t>DGR</m:t>
                              </m:r>
                            </m:e>
                          </m:func>
                        </m:e>
                      </m:d>
                      <m:r>
                        <m:rPr>
                          <m:sty m:val="bi"/>
                        </m:rPr>
                        <w:rPr>
                          <w:rFonts w:ascii="Cambria Math" w:hAnsi="Cambria Math"/>
                          <w:sz w:val="20"/>
                          <w:szCs w:val="20"/>
                        </w:rPr>
                        <m:t xml:space="preserve"> , for DGR=55~200</m:t>
                      </m:r>
                    </m:e>
                    <m:e>
                      <m:r>
                        <m:rPr>
                          <m:sty m:val="bi"/>
                        </m:rPr>
                        <w:rPr>
                          <w:rFonts w:ascii="Cambria Math" w:hAnsi="Cambria Math"/>
                          <w:sz w:val="20"/>
                          <w:szCs w:val="20"/>
                        </w:rPr>
                        <m:t>279-110</m:t>
                      </m:r>
                      <m:d>
                        <m:dPr>
                          <m:ctrlPr>
                            <w:rPr>
                              <w:rFonts w:ascii="Cambria Math" w:hAnsi="Cambria Math"/>
                              <w:b w:val="0"/>
                              <w:bCs w:val="0"/>
                              <w:i/>
                              <w:sz w:val="20"/>
                              <w:szCs w:val="20"/>
                            </w:rPr>
                          </m:ctrlPr>
                        </m:dPr>
                        <m:e>
                          <m:func>
                            <m:funcPr>
                              <m:ctrlPr>
                                <w:rPr>
                                  <w:rFonts w:ascii="Cambria Math" w:hAnsi="Cambria Math"/>
                                  <w:b w:val="0"/>
                                  <w:bCs w:val="0"/>
                                  <w:i/>
                                  <w:sz w:val="20"/>
                                  <w:szCs w:val="20"/>
                                </w:rPr>
                              </m:ctrlPr>
                            </m:funcPr>
                            <m:fName>
                              <m:sSub>
                                <m:sSubPr>
                                  <m:ctrlPr>
                                    <w:rPr>
                                      <w:rFonts w:ascii="Cambria Math" w:hAnsi="Cambria Math"/>
                                      <w:b w:val="0"/>
                                      <w:bCs w:val="0"/>
                                      <w:i/>
                                      <w:sz w:val="20"/>
                                      <w:szCs w:val="20"/>
                                    </w:rPr>
                                  </m:ctrlPr>
                                </m:sSubPr>
                                <m:e>
                                  <m:r>
                                    <m:rPr>
                                      <m:sty m:val="bi"/>
                                    </m:rPr>
                                    <w:rPr>
                                      <w:rFonts w:ascii="Cambria Math" w:hAnsi="Cambria Math"/>
                                      <w:sz w:val="20"/>
                                      <w:szCs w:val="20"/>
                                    </w:rPr>
                                    <m:t>log</m:t>
                                  </m:r>
                                </m:e>
                                <m:sub>
                                  <m:r>
                                    <m:rPr>
                                      <m:sty m:val="bi"/>
                                    </m:rPr>
                                    <w:rPr>
                                      <w:rFonts w:ascii="Cambria Math" w:hAnsi="Cambria Math"/>
                                      <w:sz w:val="20"/>
                                      <w:szCs w:val="20"/>
                                    </w:rPr>
                                    <m:t>10</m:t>
                                  </m:r>
                                </m:sub>
                              </m:sSub>
                            </m:fName>
                            <m:e>
                              <m:r>
                                <m:rPr>
                                  <m:sty m:val="bi"/>
                                </m:rPr>
                                <w:rPr>
                                  <w:rFonts w:ascii="Cambria Math" w:hAnsi="Cambria Math"/>
                                  <w:sz w:val="20"/>
                                  <w:szCs w:val="20"/>
                                </w:rPr>
                                <m:t>DGR</m:t>
                              </m:r>
                            </m:e>
                          </m:func>
                        </m:e>
                      </m:d>
                      <m:r>
                        <m:rPr>
                          <m:sty m:val="bi"/>
                        </m:rPr>
                        <w:rPr>
                          <w:rFonts w:ascii="Cambria Math" w:hAnsi="Cambria Math"/>
                          <w:sz w:val="20"/>
                          <w:szCs w:val="20"/>
                        </w:rPr>
                        <m:t>+350</m:t>
                      </m:r>
                      <m:sSup>
                        <m:sSupPr>
                          <m:ctrlPr>
                            <w:rPr>
                              <w:rFonts w:ascii="Cambria Math" w:hAnsi="Cambria Math"/>
                              <w:b w:val="0"/>
                              <w:bCs w:val="0"/>
                              <w:i/>
                              <w:sz w:val="20"/>
                              <w:szCs w:val="20"/>
                            </w:rPr>
                          </m:ctrlPr>
                        </m:sSupPr>
                        <m:e>
                          <m:d>
                            <m:dPr>
                              <m:ctrlPr>
                                <w:rPr>
                                  <w:rFonts w:ascii="Cambria Math" w:hAnsi="Cambria Math"/>
                                  <w:b w:val="0"/>
                                  <w:bCs w:val="0"/>
                                  <w:i/>
                                  <w:sz w:val="20"/>
                                  <w:szCs w:val="20"/>
                                </w:rPr>
                              </m:ctrlPr>
                            </m:dPr>
                            <m:e>
                              <m:func>
                                <m:funcPr>
                                  <m:ctrlPr>
                                    <w:rPr>
                                      <w:rFonts w:ascii="Cambria Math" w:hAnsi="Cambria Math"/>
                                      <w:b w:val="0"/>
                                      <w:bCs w:val="0"/>
                                      <w:i/>
                                      <w:sz w:val="20"/>
                                      <w:szCs w:val="20"/>
                                    </w:rPr>
                                  </m:ctrlPr>
                                </m:funcPr>
                                <m:fName>
                                  <m:sSub>
                                    <m:sSubPr>
                                      <m:ctrlPr>
                                        <w:rPr>
                                          <w:rFonts w:ascii="Cambria Math" w:hAnsi="Cambria Math"/>
                                          <w:b w:val="0"/>
                                          <w:bCs w:val="0"/>
                                          <w:i/>
                                          <w:sz w:val="20"/>
                                          <w:szCs w:val="20"/>
                                        </w:rPr>
                                      </m:ctrlPr>
                                    </m:sSubPr>
                                    <m:e>
                                      <m:r>
                                        <m:rPr>
                                          <m:sty m:val="bi"/>
                                        </m:rPr>
                                        <w:rPr>
                                          <w:rFonts w:ascii="Cambria Math" w:hAnsi="Cambria Math"/>
                                          <w:sz w:val="20"/>
                                          <w:szCs w:val="20"/>
                                        </w:rPr>
                                        <m:t>log</m:t>
                                      </m:r>
                                    </m:e>
                                    <m:sub>
                                      <m:r>
                                        <m:rPr>
                                          <m:sty m:val="bi"/>
                                        </m:rPr>
                                        <w:rPr>
                                          <w:rFonts w:ascii="Cambria Math" w:hAnsi="Cambria Math"/>
                                          <w:sz w:val="20"/>
                                          <w:szCs w:val="20"/>
                                        </w:rPr>
                                        <m:t>10</m:t>
                                      </m:r>
                                    </m:sub>
                                  </m:sSub>
                                </m:fName>
                                <m:e>
                                  <m:d>
                                    <m:dPr>
                                      <m:ctrlPr>
                                        <w:rPr>
                                          <w:rFonts w:ascii="Cambria Math" w:hAnsi="Cambria Math"/>
                                          <w:b w:val="0"/>
                                          <w:bCs w:val="0"/>
                                          <w:i/>
                                          <w:sz w:val="20"/>
                                          <w:szCs w:val="20"/>
                                        </w:rPr>
                                      </m:ctrlPr>
                                    </m:dPr>
                                    <m:e>
                                      <m:r>
                                        <m:rPr>
                                          <m:sty m:val="bi"/>
                                        </m:rPr>
                                        <w:rPr>
                                          <w:rFonts w:ascii="Cambria Math" w:hAnsi="Cambria Math"/>
                                          <w:sz w:val="20"/>
                                          <w:szCs w:val="20"/>
                                        </w:rPr>
                                        <m:t>DGR</m:t>
                                      </m:r>
                                    </m:e>
                                  </m:d>
                                  <m:r>
                                    <m:rPr>
                                      <m:sty m:val="bi"/>
                                    </m:rPr>
                                    <w:rPr>
                                      <w:rFonts w:ascii="Cambria Math" w:hAnsi="Cambria Math"/>
                                      <w:sz w:val="20"/>
                                      <w:szCs w:val="20"/>
                                    </w:rPr>
                                    <m:t>-2.08</m:t>
                                  </m:r>
                                </m:e>
                              </m:func>
                            </m:e>
                          </m:d>
                        </m:e>
                        <m:sup>
                          <m:r>
                            <m:rPr>
                              <m:sty m:val="bi"/>
                            </m:rPr>
                            <w:rPr>
                              <w:rFonts w:ascii="Cambria Math" w:hAnsi="Cambria Math"/>
                              <w:sz w:val="20"/>
                              <w:szCs w:val="20"/>
                            </w:rPr>
                            <m:t>5</m:t>
                          </m:r>
                        </m:sup>
                      </m:sSup>
                      <m:ctrlPr>
                        <w:rPr>
                          <w:rFonts w:ascii="Cambria Math" w:eastAsia="Cambria Math" w:hAnsi="Cambria Math" w:cs="Cambria Math"/>
                          <w:b w:val="0"/>
                          <w:i/>
                          <w:sz w:val="20"/>
                          <w:szCs w:val="20"/>
                        </w:rPr>
                      </m:ctrlPr>
                    </m:e>
                    <m:e>
                      <m:r>
                        <m:rPr>
                          <m:sty m:val="bi"/>
                        </m:rPr>
                        <w:rPr>
                          <w:rFonts w:ascii="Cambria Math" w:eastAsia="Cambria Math" w:hAnsi="Cambria Math" w:cs="Cambria Math"/>
                          <w:sz w:val="20"/>
                          <w:szCs w:val="20"/>
                        </w:rPr>
                        <m:t>,for ≠</m:t>
                      </m:r>
                      <m:r>
                        <m:rPr>
                          <m:sty m:val="bi"/>
                        </m:rPr>
                        <w:rPr>
                          <w:rFonts w:ascii="Cambria Math" w:hAnsi="Cambria Math"/>
                          <w:sz w:val="20"/>
                          <w:szCs w:val="20"/>
                        </w:rPr>
                        <m:t>55~200</m:t>
                      </m:r>
                    </m:e>
                  </m:eqArr>
                </m:e>
              </m:d>
            </m:oMath>
          </w:p>
          <w:p w14:paraId="660D502D" w14:textId="77777777" w:rsidR="002B7D6E" w:rsidRPr="00AD7826" w:rsidRDefault="002B7D6E" w:rsidP="006F4580">
            <w:pPr>
              <w:jc w:val="both"/>
              <w:rPr>
                <w:b w:val="0"/>
                <w:i/>
                <w:sz w:val="20"/>
                <w:szCs w:val="20"/>
              </w:rPr>
            </w:pPr>
          </w:p>
          <w:p w14:paraId="27C9B17B" w14:textId="58E4AD10" w:rsidR="002B7D6E" w:rsidRPr="00AD7826" w:rsidRDefault="002B7D6E" w:rsidP="006F4580">
            <w:pPr>
              <w:jc w:val="both"/>
              <w:rPr>
                <w:b w:val="0"/>
                <w:i/>
                <w:sz w:val="20"/>
                <w:szCs w:val="20"/>
              </w:rPr>
            </w:pPr>
            <w:r w:rsidRPr="008C63D2">
              <w:rPr>
                <w:b w:val="0"/>
                <w:i/>
                <w:sz w:val="20"/>
                <w:szCs w:val="20"/>
              </w:rPr>
              <w:t xml:space="preserve">               and, </w:t>
            </w:r>
            <m:oMath>
              <m:r>
                <m:rPr>
                  <m:sty m:val="bi"/>
                </m:rPr>
                <w:rPr>
                  <w:rFonts w:ascii="Cambria Math" w:hAnsi="Cambria Math"/>
                  <w:sz w:val="20"/>
                  <w:szCs w:val="20"/>
                </w:rPr>
                <m:t>DGR=</m:t>
              </m:r>
              <m:sSup>
                <m:sSupPr>
                  <m:ctrlPr>
                    <w:rPr>
                      <w:rFonts w:ascii="Cambria Math" w:hAnsi="Cambria Math"/>
                      <w:b w:val="0"/>
                      <w:bCs w:val="0"/>
                      <w:i/>
                      <w:sz w:val="20"/>
                      <w:szCs w:val="20"/>
                    </w:rPr>
                  </m:ctrlPr>
                </m:sSupPr>
                <m:e>
                  <m:d>
                    <m:dPr>
                      <m:ctrlPr>
                        <w:rPr>
                          <w:rFonts w:ascii="Cambria Math" w:hAnsi="Cambria Math"/>
                          <w:b w:val="0"/>
                          <w:bCs w:val="0"/>
                          <w:i/>
                          <w:sz w:val="20"/>
                          <w:szCs w:val="20"/>
                        </w:rPr>
                      </m:ctrlPr>
                    </m:dPr>
                    <m:e>
                      <m:nary>
                        <m:naryPr>
                          <m:chr m:val="∑"/>
                          <m:limLoc m:val="undOvr"/>
                          <m:ctrlPr>
                            <w:rPr>
                              <w:rFonts w:ascii="Cambria Math" w:hAnsi="Cambria Math"/>
                              <w:b w:val="0"/>
                              <w:bCs w:val="0"/>
                              <w:i/>
                              <w:sz w:val="20"/>
                              <w:szCs w:val="20"/>
                            </w:rPr>
                          </m:ctrlPr>
                        </m:naryPr>
                        <m:sub>
                          <m:r>
                            <m:rPr>
                              <m:sty m:val="bi"/>
                            </m:rPr>
                            <w:rPr>
                              <w:rFonts w:ascii="Cambria Math" w:hAnsi="Cambria Math"/>
                              <w:sz w:val="20"/>
                              <w:szCs w:val="20"/>
                            </w:rPr>
                            <m:t>i=1</m:t>
                          </m:r>
                        </m:sub>
                        <m:sup>
                          <m:r>
                            <m:rPr>
                              <m:sty m:val="bi"/>
                            </m:rPr>
                            <w:rPr>
                              <w:rFonts w:ascii="Cambria Math" w:hAnsi="Cambria Math"/>
                              <w:sz w:val="20"/>
                              <w:szCs w:val="20"/>
                            </w:rPr>
                            <m:t>n</m:t>
                          </m:r>
                        </m:sup>
                        <m:e>
                          <m:f>
                            <m:fPr>
                              <m:ctrlPr>
                                <w:rPr>
                                  <w:rFonts w:ascii="Cambria Math" w:hAnsi="Cambria Math"/>
                                  <w:b w:val="0"/>
                                  <w:bCs w:val="0"/>
                                  <w:i/>
                                  <w:sz w:val="20"/>
                                  <w:szCs w:val="20"/>
                                </w:rPr>
                              </m:ctrlPr>
                            </m:fPr>
                            <m:num>
                              <m:r>
                                <m:rPr>
                                  <m:sty m:val="bi"/>
                                </m:rPr>
                                <w:rPr>
                                  <w:rFonts w:ascii="Cambria Math" w:hAnsi="Cambria Math"/>
                                  <w:sz w:val="20"/>
                                  <w:szCs w:val="20"/>
                                </w:rPr>
                                <m:t>L(20.4</m:t>
                              </m:r>
                              <m:sSub>
                                <m:sSubPr>
                                  <m:ctrlPr>
                                    <w:rPr>
                                      <w:rFonts w:ascii="Cambria Math" w:hAnsi="Cambria Math"/>
                                      <w:b w:val="0"/>
                                      <w:bCs w:val="0"/>
                                      <w:i/>
                                      <w:sz w:val="20"/>
                                      <w:szCs w:val="20"/>
                                    </w:rPr>
                                  </m:ctrlPr>
                                </m:sSubPr>
                                <m:e>
                                  <m:r>
                                    <m:rPr>
                                      <m:sty m:val="bi"/>
                                    </m:rPr>
                                    <w:rPr>
                                      <w:rFonts w:ascii="Cambria Math" w:hAnsi="Cambria Math"/>
                                      <w:sz w:val="20"/>
                                      <w:szCs w:val="20"/>
                                    </w:rPr>
                                    <m:t>ω</m:t>
                                  </m:r>
                                </m:e>
                                <m:sub>
                                  <m:r>
                                    <m:rPr>
                                      <m:sty m:val="bi"/>
                                    </m:rPr>
                                    <w:rPr>
                                      <w:rFonts w:ascii="Cambria Math" w:hAnsi="Cambria Math"/>
                                      <w:sz w:val="20"/>
                                      <w:szCs w:val="20"/>
                                    </w:rPr>
                                    <m:t>s</m:t>
                                  </m:r>
                                </m:sub>
                              </m:sSub>
                              <m:r>
                                <m:rPr>
                                  <m:sty m:val="bi"/>
                                </m:rPr>
                                <w:rPr>
                                  <w:rFonts w:ascii="Cambria Math" w:hAnsi="Cambria Math"/>
                                  <w:sz w:val="20"/>
                                  <w:szCs w:val="20"/>
                                </w:rPr>
                                <m:t>+1.52</m:t>
                              </m:r>
                              <m:sSubSup>
                                <m:sSubSupPr>
                                  <m:ctrlPr>
                                    <w:rPr>
                                      <w:rFonts w:ascii="Cambria Math" w:hAnsi="Cambria Math"/>
                                      <w:b w:val="0"/>
                                      <w:bCs w:val="0"/>
                                      <w:i/>
                                      <w:sz w:val="20"/>
                                      <w:szCs w:val="20"/>
                                    </w:rPr>
                                  </m:ctrlPr>
                                </m:sSubSupPr>
                                <m:e>
                                  <m:r>
                                    <m:rPr>
                                      <m:sty m:val="bi"/>
                                    </m:rPr>
                                    <w:rPr>
                                      <w:rFonts w:ascii="Cambria Math" w:hAnsi="Cambria Math"/>
                                      <w:sz w:val="20"/>
                                      <w:szCs w:val="20"/>
                                    </w:rPr>
                                    <m:t>ω</m:t>
                                  </m:r>
                                </m:e>
                                <m:sub>
                                  <m:r>
                                    <m:rPr>
                                      <m:sty m:val="bi"/>
                                    </m:rPr>
                                    <w:rPr>
                                      <w:rFonts w:ascii="Cambria Math" w:hAnsi="Cambria Math"/>
                                      <w:sz w:val="20"/>
                                      <w:szCs w:val="20"/>
                                    </w:rPr>
                                    <m:t>s</m:t>
                                  </m:r>
                                </m:sub>
                                <m:sup>
                                  <m:r>
                                    <m:rPr>
                                      <m:sty m:val="bi"/>
                                    </m:rPr>
                                    <w:rPr>
                                      <w:rFonts w:ascii="Cambria Math" w:hAnsi="Cambria Math"/>
                                      <w:sz w:val="20"/>
                                      <w:szCs w:val="20"/>
                                    </w:rPr>
                                    <m:t>0.2</m:t>
                                  </m:r>
                                </m:sup>
                              </m:sSubSup>
                              <m:r>
                                <m:rPr>
                                  <m:sty m:val="bi"/>
                                </m:rPr>
                                <w:rPr>
                                  <w:rFonts w:ascii="Cambria Math" w:hAnsi="Cambria Math"/>
                                  <w:sz w:val="20"/>
                                  <w:szCs w:val="20"/>
                                </w:rPr>
                                <m:t>-0.075</m:t>
                              </m:r>
                            </m:num>
                            <m:den>
                              <m:r>
                                <m:rPr>
                                  <m:sty m:val="bi"/>
                                </m:rPr>
                                <w:rPr>
                                  <w:rFonts w:ascii="Cambria Math" w:hAnsi="Cambria Math"/>
                                  <w:sz w:val="20"/>
                                  <w:szCs w:val="20"/>
                                </w:rPr>
                                <m:t>2</m:t>
                              </m:r>
                              <m:r>
                                <m:rPr>
                                  <m:sty m:val="bi"/>
                                </m:rPr>
                                <w:rPr>
                                  <w:rFonts w:ascii="Cambria Math" w:hAnsi="Cambria Math"/>
                                  <w:sz w:val="20"/>
                                  <w:szCs w:val="20"/>
                                </w:rPr>
                                <m:t>P</m:t>
                              </m:r>
                              <m:sSubSup>
                                <m:sSubSupPr>
                                  <m:ctrlPr>
                                    <w:rPr>
                                      <w:rFonts w:ascii="Cambria Math" w:hAnsi="Cambria Math"/>
                                      <w:b w:val="0"/>
                                      <w:bCs w:val="0"/>
                                      <w:i/>
                                      <w:sz w:val="20"/>
                                      <w:szCs w:val="20"/>
                                    </w:rPr>
                                  </m:ctrlPr>
                                </m:sSubSupPr>
                                <m:e>
                                  <m:r>
                                    <m:rPr>
                                      <m:sty m:val="bi"/>
                                    </m:rPr>
                                    <w:rPr>
                                      <w:rFonts w:ascii="Cambria Math" w:hAnsi="Cambria Math"/>
                                      <w:sz w:val="20"/>
                                      <w:szCs w:val="20"/>
                                    </w:rPr>
                                    <m:t>L</m:t>
                                  </m:r>
                                </m:e>
                                <m:sub>
                                  <m:r>
                                    <m:rPr>
                                      <m:sty m:val="bi"/>
                                    </m:rPr>
                                    <w:rPr>
                                      <w:rFonts w:ascii="Cambria Math" w:hAnsi="Cambria Math"/>
                                      <w:sz w:val="20"/>
                                      <w:szCs w:val="20"/>
                                    </w:rPr>
                                    <m:t>f</m:t>
                                  </m:r>
                                </m:sub>
                                <m:sup>
                                  <m:r>
                                    <m:rPr>
                                      <m:sty m:val="bi"/>
                                    </m:rPr>
                                    <w:rPr>
                                      <w:rFonts w:ascii="Cambria Math" w:hAnsi="Cambria Math"/>
                                      <w:sz w:val="20"/>
                                      <w:szCs w:val="20"/>
                                    </w:rPr>
                                    <m:t>0.44</m:t>
                                  </m:r>
                                </m:sup>
                              </m:sSubSup>
                            </m:den>
                          </m:f>
                        </m:e>
                      </m:nary>
                    </m:e>
                  </m:d>
                </m:e>
                <m:sup>
                  <m:r>
                    <m:rPr>
                      <m:sty m:val="bi"/>
                    </m:rPr>
                    <w:rPr>
                      <w:rFonts w:ascii="Cambria Math" w:hAnsi="Cambria Math"/>
                      <w:sz w:val="20"/>
                      <w:szCs w:val="20"/>
                    </w:rPr>
                    <m:t>α</m:t>
                  </m:r>
                </m:sup>
              </m:sSup>
            </m:oMath>
          </w:p>
        </w:tc>
        <w:tc>
          <w:tcPr>
            <w:tcW w:w="505" w:type="dxa"/>
            <w:tcBorders>
              <w:bottom w:val="none" w:sz="0" w:space="0" w:color="auto"/>
            </w:tcBorders>
          </w:tcPr>
          <w:p w14:paraId="7FAA7B12" w14:textId="77777777" w:rsidR="00CB5441" w:rsidRPr="008C63D2" w:rsidRDefault="00CB5441" w:rsidP="006F4580">
            <w:pPr>
              <w:jc w:val="both"/>
              <w:cnfStyle w:val="100000000000" w:firstRow="1" w:lastRow="0" w:firstColumn="0" w:lastColumn="0" w:oddVBand="0" w:evenVBand="0" w:oddHBand="0" w:evenHBand="0" w:firstRowFirstColumn="0" w:firstRowLastColumn="0" w:lastRowFirstColumn="0" w:lastRowLastColumn="0"/>
              <w:rPr>
                <w:b w:val="0"/>
                <w:bCs w:val="0"/>
                <w:sz w:val="6"/>
                <w:szCs w:val="20"/>
              </w:rPr>
            </w:pPr>
          </w:p>
          <w:p w14:paraId="4A405501" w14:textId="77777777" w:rsidR="002B7D6E" w:rsidRPr="00AD7826" w:rsidRDefault="002B7D6E" w:rsidP="006F4580">
            <w:pPr>
              <w:jc w:val="both"/>
              <w:cnfStyle w:val="100000000000" w:firstRow="1" w:lastRow="0" w:firstColumn="0" w:lastColumn="0" w:oddVBand="0" w:evenVBand="0" w:oddHBand="0" w:evenHBand="0" w:firstRowFirstColumn="0" w:firstRowLastColumn="0" w:lastRowFirstColumn="0" w:lastRowLastColumn="0"/>
              <w:rPr>
                <w:b w:val="0"/>
                <w:sz w:val="20"/>
                <w:szCs w:val="20"/>
              </w:rPr>
            </w:pPr>
            <w:r w:rsidRPr="00AD7826">
              <w:rPr>
                <w:b w:val="0"/>
                <w:sz w:val="20"/>
                <w:szCs w:val="20"/>
              </w:rPr>
              <w:t>[-]</w:t>
            </w:r>
          </w:p>
          <w:p w14:paraId="2109DDC2" w14:textId="77777777" w:rsidR="002B7D6E" w:rsidRPr="00AD7826" w:rsidRDefault="002B7D6E" w:rsidP="006F4580">
            <w:pPr>
              <w:jc w:val="both"/>
              <w:cnfStyle w:val="100000000000" w:firstRow="1" w:lastRow="0" w:firstColumn="0" w:lastColumn="0" w:oddVBand="0" w:evenVBand="0" w:oddHBand="0" w:evenHBand="0" w:firstRowFirstColumn="0" w:firstRowLastColumn="0" w:lastRowFirstColumn="0" w:lastRowLastColumn="0"/>
              <w:rPr>
                <w:b w:val="0"/>
                <w:sz w:val="20"/>
                <w:szCs w:val="20"/>
              </w:rPr>
            </w:pPr>
          </w:p>
          <w:p w14:paraId="128D1F84" w14:textId="77777777" w:rsidR="002B7D6E" w:rsidRPr="00AD7826" w:rsidRDefault="002B7D6E" w:rsidP="006F4580">
            <w:pPr>
              <w:jc w:val="both"/>
              <w:cnfStyle w:val="100000000000" w:firstRow="1" w:lastRow="0" w:firstColumn="0" w:lastColumn="0" w:oddVBand="0" w:evenVBand="0" w:oddHBand="0" w:evenHBand="0" w:firstRowFirstColumn="0" w:firstRowLastColumn="0" w:lastRowFirstColumn="0" w:lastRowLastColumn="0"/>
              <w:rPr>
                <w:b w:val="0"/>
                <w:sz w:val="20"/>
                <w:szCs w:val="20"/>
              </w:rPr>
            </w:pPr>
          </w:p>
          <w:p w14:paraId="4AFEBBBB" w14:textId="77777777" w:rsidR="002B7D6E" w:rsidRPr="00AD7826" w:rsidRDefault="002B7D6E" w:rsidP="006F4580">
            <w:pPr>
              <w:jc w:val="both"/>
              <w:cnfStyle w:val="100000000000" w:firstRow="1" w:lastRow="0" w:firstColumn="0" w:lastColumn="0" w:oddVBand="0" w:evenVBand="0" w:oddHBand="0" w:evenHBand="0" w:firstRowFirstColumn="0" w:firstRowLastColumn="0" w:lastRowFirstColumn="0" w:lastRowLastColumn="0"/>
              <w:rPr>
                <w:b w:val="0"/>
                <w:sz w:val="20"/>
                <w:szCs w:val="20"/>
              </w:rPr>
            </w:pPr>
          </w:p>
          <w:p w14:paraId="2974D84A" w14:textId="77777777" w:rsidR="002B7D6E" w:rsidRPr="00AD7826" w:rsidRDefault="002B7D6E" w:rsidP="006F4580">
            <w:pPr>
              <w:jc w:val="both"/>
              <w:cnfStyle w:val="100000000000" w:firstRow="1" w:lastRow="0" w:firstColumn="0" w:lastColumn="0" w:oddVBand="0" w:evenVBand="0" w:oddHBand="0" w:evenHBand="0" w:firstRowFirstColumn="0" w:firstRowLastColumn="0" w:lastRowFirstColumn="0" w:lastRowLastColumn="0"/>
              <w:rPr>
                <w:b w:val="0"/>
                <w:sz w:val="20"/>
                <w:szCs w:val="20"/>
              </w:rPr>
            </w:pPr>
          </w:p>
          <w:p w14:paraId="029A632E" w14:textId="77777777" w:rsidR="002B7D6E" w:rsidRPr="00AD7826" w:rsidRDefault="002B7D6E" w:rsidP="006F4580">
            <w:pPr>
              <w:jc w:val="both"/>
              <w:cnfStyle w:val="100000000000" w:firstRow="1" w:lastRow="0" w:firstColumn="0" w:lastColumn="0" w:oddVBand="0" w:evenVBand="0" w:oddHBand="0" w:evenHBand="0" w:firstRowFirstColumn="0" w:firstRowLastColumn="0" w:lastRowFirstColumn="0" w:lastRowLastColumn="0"/>
              <w:rPr>
                <w:b w:val="0"/>
                <w:sz w:val="20"/>
                <w:szCs w:val="20"/>
              </w:rPr>
            </w:pPr>
          </w:p>
          <w:p w14:paraId="77DB9C72" w14:textId="77777777" w:rsidR="002B7D6E" w:rsidRPr="00AD7826" w:rsidRDefault="002B7D6E" w:rsidP="006F4580">
            <w:pPr>
              <w:jc w:val="both"/>
              <w:cnfStyle w:val="100000000000" w:firstRow="1" w:lastRow="0" w:firstColumn="0" w:lastColumn="0" w:oddVBand="0" w:evenVBand="0" w:oddHBand="0" w:evenHBand="0" w:firstRowFirstColumn="0" w:firstRowLastColumn="0" w:lastRowFirstColumn="0" w:lastRowLastColumn="0"/>
              <w:rPr>
                <w:b w:val="0"/>
                <w:sz w:val="20"/>
                <w:szCs w:val="20"/>
              </w:rPr>
            </w:pPr>
          </w:p>
          <w:p w14:paraId="3F0DBF39" w14:textId="77777777" w:rsidR="002B7D6E" w:rsidRPr="00AD7826" w:rsidRDefault="002B7D6E" w:rsidP="006F4580">
            <w:pPr>
              <w:jc w:val="both"/>
              <w:cnfStyle w:val="100000000000" w:firstRow="1" w:lastRow="0" w:firstColumn="0" w:lastColumn="0" w:oddVBand="0" w:evenVBand="0" w:oddHBand="0" w:evenHBand="0" w:firstRowFirstColumn="0" w:firstRowLastColumn="0" w:lastRowFirstColumn="0" w:lastRowLastColumn="0"/>
              <w:rPr>
                <w:b w:val="0"/>
                <w:sz w:val="20"/>
                <w:szCs w:val="20"/>
              </w:rPr>
            </w:pPr>
          </w:p>
          <w:p w14:paraId="0D6DB737" w14:textId="77777777" w:rsidR="002B7D6E" w:rsidRPr="00AD7826" w:rsidRDefault="002B7D6E" w:rsidP="006F4580">
            <w:pPr>
              <w:jc w:val="both"/>
              <w:cnfStyle w:val="100000000000" w:firstRow="1" w:lastRow="0" w:firstColumn="0" w:lastColumn="0" w:oddVBand="0" w:evenVBand="0" w:oddHBand="0" w:evenHBand="0" w:firstRowFirstColumn="0" w:firstRowLastColumn="0" w:lastRowFirstColumn="0" w:lastRowLastColumn="0"/>
              <w:rPr>
                <w:b w:val="0"/>
                <w:bCs w:val="0"/>
                <w:sz w:val="20"/>
                <w:szCs w:val="20"/>
              </w:rPr>
            </w:pPr>
          </w:p>
          <w:p w14:paraId="451A73B9" w14:textId="77777777" w:rsidR="002B7D6E" w:rsidRPr="00AD7826" w:rsidRDefault="002B7D6E" w:rsidP="006F4580">
            <w:pPr>
              <w:jc w:val="both"/>
              <w:cnfStyle w:val="100000000000" w:firstRow="1" w:lastRow="0" w:firstColumn="0" w:lastColumn="0" w:oddVBand="0" w:evenVBand="0" w:oddHBand="0" w:evenHBand="0" w:firstRowFirstColumn="0" w:firstRowLastColumn="0" w:lastRowFirstColumn="0" w:lastRowLastColumn="0"/>
              <w:rPr>
                <w:b w:val="0"/>
                <w:sz w:val="20"/>
                <w:szCs w:val="20"/>
              </w:rPr>
            </w:pPr>
          </w:p>
          <w:p w14:paraId="22D669A2" w14:textId="77777777" w:rsidR="002B7D6E" w:rsidRPr="00AD7826" w:rsidRDefault="002B7D6E" w:rsidP="006F4580">
            <w:pPr>
              <w:jc w:val="both"/>
              <w:cnfStyle w:val="100000000000" w:firstRow="1" w:lastRow="0" w:firstColumn="0" w:lastColumn="0" w:oddVBand="0" w:evenVBand="0" w:oddHBand="0" w:evenHBand="0" w:firstRowFirstColumn="0" w:firstRowLastColumn="0" w:lastRowFirstColumn="0" w:lastRowLastColumn="0"/>
              <w:rPr>
                <w:b w:val="0"/>
                <w:sz w:val="20"/>
                <w:szCs w:val="20"/>
              </w:rPr>
            </w:pPr>
          </w:p>
          <w:p w14:paraId="169F3522" w14:textId="77777777" w:rsidR="002B7D6E" w:rsidRPr="00AD7826" w:rsidRDefault="002B7D6E" w:rsidP="006F4580">
            <w:pPr>
              <w:jc w:val="both"/>
              <w:cnfStyle w:val="100000000000" w:firstRow="1" w:lastRow="0" w:firstColumn="0" w:lastColumn="0" w:oddVBand="0" w:evenVBand="0" w:oddHBand="0" w:evenHBand="0" w:firstRowFirstColumn="0" w:firstRowLastColumn="0" w:lastRowFirstColumn="0" w:lastRowLastColumn="0"/>
              <w:rPr>
                <w:b w:val="0"/>
                <w:sz w:val="20"/>
                <w:szCs w:val="20"/>
              </w:rPr>
            </w:pPr>
          </w:p>
          <w:p w14:paraId="74C6258D" w14:textId="77777777" w:rsidR="002B7D6E" w:rsidRPr="00AD7826" w:rsidRDefault="002B7D6E" w:rsidP="006F4580">
            <w:pPr>
              <w:jc w:val="both"/>
              <w:cnfStyle w:val="100000000000" w:firstRow="1" w:lastRow="0" w:firstColumn="0" w:lastColumn="0" w:oddVBand="0" w:evenVBand="0" w:oddHBand="0" w:evenHBand="0" w:firstRowFirstColumn="0" w:firstRowLastColumn="0" w:lastRowFirstColumn="0" w:lastRowLastColumn="0"/>
              <w:rPr>
                <w:b w:val="0"/>
                <w:sz w:val="20"/>
                <w:szCs w:val="20"/>
              </w:rPr>
            </w:pPr>
          </w:p>
        </w:tc>
        <w:tc>
          <w:tcPr>
            <w:tcW w:w="550" w:type="dxa"/>
            <w:tcBorders>
              <w:bottom w:val="none" w:sz="0" w:space="0" w:color="auto"/>
            </w:tcBorders>
          </w:tcPr>
          <w:p w14:paraId="709B8802" w14:textId="77777777" w:rsidR="00CB5441" w:rsidRPr="008C63D2" w:rsidRDefault="00CB5441" w:rsidP="006F4580">
            <w:pPr>
              <w:jc w:val="both"/>
              <w:cnfStyle w:val="100000000000" w:firstRow="1" w:lastRow="0" w:firstColumn="0" w:lastColumn="0" w:oddVBand="0" w:evenVBand="0" w:oddHBand="0" w:evenHBand="0" w:firstRowFirstColumn="0" w:firstRowLastColumn="0" w:lastRowFirstColumn="0" w:lastRowLastColumn="0"/>
              <w:rPr>
                <w:b w:val="0"/>
                <w:bCs w:val="0"/>
                <w:sz w:val="6"/>
                <w:szCs w:val="6"/>
              </w:rPr>
            </w:pPr>
          </w:p>
          <w:p w14:paraId="19BDA340" w14:textId="4EEFF89E" w:rsidR="002B7D6E" w:rsidRPr="00AD7826" w:rsidRDefault="00725DB0" w:rsidP="006F4580">
            <w:pPr>
              <w:jc w:val="both"/>
              <w:cnfStyle w:val="100000000000" w:firstRow="1" w:lastRow="0" w:firstColumn="0" w:lastColumn="0" w:oddVBand="0" w:evenVBand="0" w:oddHBand="0" w:evenHBand="0" w:firstRowFirstColumn="0" w:firstRowLastColumn="0" w:lastRowFirstColumn="0" w:lastRowLastColumn="0"/>
              <w:rPr>
                <w:b w:val="0"/>
                <w:sz w:val="20"/>
                <w:szCs w:val="20"/>
              </w:rPr>
            </w:pPr>
            <w:r w:rsidRPr="00AD7826">
              <w:rPr>
                <w:b w:val="0"/>
                <w:sz w:val="20"/>
                <w:szCs w:val="20"/>
              </w:rPr>
              <w:t>(2</w:t>
            </w:r>
            <w:r w:rsidR="00890145" w:rsidRPr="00AD7826">
              <w:rPr>
                <w:b w:val="0"/>
                <w:sz w:val="20"/>
                <w:szCs w:val="20"/>
              </w:rPr>
              <w:t>2</w:t>
            </w:r>
            <w:r w:rsidRPr="00AD7826">
              <w:rPr>
                <w:b w:val="0"/>
                <w:sz w:val="20"/>
                <w:szCs w:val="20"/>
              </w:rPr>
              <w:t>)</w:t>
            </w:r>
          </w:p>
        </w:tc>
      </w:tr>
    </w:tbl>
    <w:p w14:paraId="4B4631F1" w14:textId="77777777" w:rsidR="002B7D6E" w:rsidRPr="00AA3D0C" w:rsidRDefault="002B7D6E" w:rsidP="002B7D6E">
      <w:pPr>
        <w:jc w:val="both"/>
        <w:rPr>
          <w:sz w:val="22"/>
          <w:szCs w:val="22"/>
        </w:rPr>
      </w:pPr>
      <w:r w:rsidRPr="00AA3D0C">
        <w:rPr>
          <w:sz w:val="22"/>
          <w:szCs w:val="22"/>
        </w:rPr>
        <w:t xml:space="preserve">The </w:t>
      </w:r>
      <w:proofErr w:type="spellStart"/>
      <w:r w:rsidRPr="00AA3D0C">
        <w:rPr>
          <w:sz w:val="22"/>
          <w:szCs w:val="22"/>
        </w:rPr>
        <w:t>Guth</w:t>
      </w:r>
      <w:proofErr w:type="spellEnd"/>
      <w:r w:rsidRPr="00AA3D0C">
        <w:rPr>
          <w:sz w:val="22"/>
          <w:szCs w:val="22"/>
        </w:rPr>
        <w:t xml:space="preserve"> Position Index (P) used in several glare equations indicating the observer, derived from the following formulas.</w:t>
      </w:r>
    </w:p>
    <w:p w14:paraId="5EF6CD3B" w14:textId="77777777" w:rsidR="002B7D6E" w:rsidRPr="00AA3D0C" w:rsidRDefault="002B7D6E" w:rsidP="002B7D6E">
      <w:pPr>
        <w:jc w:val="both"/>
        <w:rPr>
          <w:sz w:val="22"/>
          <w:szCs w:val="22"/>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337"/>
        <w:gridCol w:w="1449"/>
        <w:gridCol w:w="1368"/>
      </w:tblGrid>
      <w:tr w:rsidR="002B7D6E" w:rsidRPr="00AA3D0C" w14:paraId="1D7225E2" w14:textId="77777777" w:rsidTr="006F4580">
        <w:tc>
          <w:tcPr>
            <w:tcW w:w="5337" w:type="dxa"/>
          </w:tcPr>
          <w:p w14:paraId="3D2C32BD" w14:textId="5C58FBDC" w:rsidR="002B7D6E" w:rsidRPr="00AA3D0C" w:rsidRDefault="002B7D6E" w:rsidP="00135D19">
            <w:pPr>
              <w:pStyle w:val="ListParagraph"/>
              <w:numPr>
                <w:ilvl w:val="0"/>
                <w:numId w:val="4"/>
              </w:numPr>
              <w:jc w:val="both"/>
              <w:rPr>
                <w:rFonts w:ascii="Times New Roman" w:hAnsi="Times New Roman" w:cs="Times New Roman"/>
              </w:rPr>
            </w:pPr>
            <w:r w:rsidRPr="00AA3D0C">
              <w:rPr>
                <w:rFonts w:ascii="Times New Roman" w:hAnsi="Times New Roman" w:cs="Times New Roman"/>
              </w:rPr>
              <w:t xml:space="preserve">Above the line of sight </w:t>
            </w:r>
            <w:r w:rsidRPr="00AA3D0C">
              <w:rPr>
                <w:rFonts w:ascii="Times New Roman" w:hAnsi="Times New Roman" w:cs="Times New Roman"/>
              </w:rPr>
              <w:fldChar w:fldCharType="begin" w:fldLock="1"/>
            </w:r>
            <w:r w:rsidR="005952EA">
              <w:rPr>
                <w:rFonts w:ascii="Times New Roman" w:hAnsi="Times New Roman" w:cs="Times New Roman"/>
              </w:rPr>
              <w:instrText>ADDIN CSL_CITATION { "citationItems" : [ { "id" : "ITEM-1", "itemData" : { "ISSN" : "0019-2333", "author" : [ { "dropping-particle" : "", "family" : "Luckiesh", "given" : "M", "non-dropping-particle" : "", "parse-names" : false, "suffix" : "" }, { "dropping-particle" : "", "family" : "Guth", "given" : "S K", "non-dropping-particle" : "", "parse-names" : false, "suffix" : "" } ], "container-title" : "Illuminating engineering", "id" : "ITEM-1", "issue" : "11", "issued" : { "date-parts" : [ [ "1949" ] ] }, "note" : "Cited By :83", "page" : "650-670", "title" : "Brightnesses in visual field at borderline between comfort and discomfort", "type" : "article-journal", "volume" : "44" }, "uris" : [ "http://www.mendeley.com/documents/?uuid=412dcd91-86e6-473a-b651-2dd4240bbfa5", "http://www.mendeley.com/documents/?uuid=a987b9a4-2578-4634-b7b9-801b559968ba" ] } ], "mendeley" : { "formattedCitation" : "(Luckiesh and Guth, 1949)", "plainTextFormattedCitation" : "(Luckiesh and Guth, 1949)", "previouslyFormattedCitation" : "(Luckiesh and Guth, 1949)" }, "properties" : { "noteIndex" : 0 }, "schema" : "https://github.com/citation-style-language/schema/raw/master/csl-citation.json" }</w:instrText>
            </w:r>
            <w:r w:rsidRPr="00AA3D0C">
              <w:rPr>
                <w:rFonts w:ascii="Times New Roman" w:hAnsi="Times New Roman" w:cs="Times New Roman"/>
              </w:rPr>
              <w:fldChar w:fldCharType="separate"/>
            </w:r>
            <w:r w:rsidRPr="00AA3D0C">
              <w:rPr>
                <w:rFonts w:ascii="Times New Roman" w:hAnsi="Times New Roman" w:cs="Times New Roman"/>
                <w:noProof/>
              </w:rPr>
              <w:t>(Luckiesh and Guth, 1949)</w:t>
            </w:r>
            <w:r w:rsidRPr="00AA3D0C">
              <w:rPr>
                <w:rFonts w:ascii="Times New Roman" w:hAnsi="Times New Roman" w:cs="Times New Roman"/>
              </w:rPr>
              <w:fldChar w:fldCharType="end"/>
            </w:r>
            <w:r w:rsidRPr="00AA3D0C">
              <w:rPr>
                <w:rFonts w:ascii="Times New Roman" w:hAnsi="Times New Roman" w:cs="Times New Roman"/>
              </w:rPr>
              <w:t>:</w:t>
            </w:r>
          </w:p>
        </w:tc>
        <w:tc>
          <w:tcPr>
            <w:tcW w:w="1449" w:type="dxa"/>
          </w:tcPr>
          <w:p w14:paraId="63A3627C" w14:textId="77777777" w:rsidR="002B7D6E" w:rsidRPr="00AA3D0C" w:rsidRDefault="002B7D6E" w:rsidP="006F4580">
            <w:pPr>
              <w:jc w:val="both"/>
              <w:rPr>
                <w:sz w:val="22"/>
                <w:szCs w:val="22"/>
              </w:rPr>
            </w:pPr>
          </w:p>
        </w:tc>
        <w:tc>
          <w:tcPr>
            <w:tcW w:w="1368" w:type="dxa"/>
          </w:tcPr>
          <w:p w14:paraId="0E06297C" w14:textId="77777777" w:rsidR="002B7D6E" w:rsidRPr="00AA3D0C" w:rsidRDefault="002B7D6E" w:rsidP="006F4580">
            <w:pPr>
              <w:jc w:val="both"/>
              <w:rPr>
                <w:sz w:val="22"/>
                <w:szCs w:val="22"/>
              </w:rPr>
            </w:pPr>
          </w:p>
        </w:tc>
      </w:tr>
      <w:tr w:rsidR="002B7D6E" w:rsidRPr="00AA3D0C" w14:paraId="21D4E652" w14:textId="77777777" w:rsidTr="006F4580">
        <w:tc>
          <w:tcPr>
            <w:tcW w:w="5337" w:type="dxa"/>
          </w:tcPr>
          <w:p w14:paraId="3F240C8B" w14:textId="77777777" w:rsidR="002B7D6E" w:rsidRPr="00AA3D0C" w:rsidRDefault="00B030DD" w:rsidP="006F4580">
            <w:pPr>
              <w:jc w:val="both"/>
              <w:rPr>
                <w:sz w:val="22"/>
                <w:szCs w:val="22"/>
              </w:rPr>
            </w:pPr>
            <m:oMathPara>
              <m:oMathParaPr>
                <m:jc m:val="left"/>
              </m:oMathParaPr>
              <m:oMath>
                <m:func>
                  <m:funcPr>
                    <m:ctrlPr>
                      <w:rPr>
                        <w:rFonts w:ascii="Cambria Math" w:hAnsi="Cambria Math"/>
                        <w:i/>
                        <w:sz w:val="22"/>
                        <w:szCs w:val="22"/>
                      </w:rPr>
                    </m:ctrlPr>
                  </m:funcPr>
                  <m:fName>
                    <m:r>
                      <m:rPr>
                        <m:sty m:val="p"/>
                      </m:rPr>
                      <w:rPr>
                        <w:rFonts w:ascii="Cambria Math" w:hAnsi="Cambria Math"/>
                      </w:rPr>
                      <m:t>ln</m:t>
                    </m:r>
                  </m:fName>
                  <m:e>
                    <m:r>
                      <w:rPr>
                        <w:rFonts w:ascii="Cambria Math" w:hAnsi="Cambria Math"/>
                        <w:sz w:val="22"/>
                        <w:szCs w:val="22"/>
                      </w:rPr>
                      <m:t>P</m:t>
                    </m:r>
                  </m:e>
                </m:func>
                <m:r>
                  <w:rPr>
                    <w:rFonts w:ascii="Cambria Math" w:hAnsi="Cambria Math"/>
                    <w:sz w:val="22"/>
                    <w:szCs w:val="22"/>
                  </w:rPr>
                  <m:t>=</m:t>
                </m:r>
                <m:d>
                  <m:dPr>
                    <m:ctrlPr>
                      <w:rPr>
                        <w:rFonts w:ascii="Cambria Math" w:hAnsi="Cambria Math"/>
                        <w:i/>
                        <w:sz w:val="22"/>
                        <w:szCs w:val="22"/>
                      </w:rPr>
                    </m:ctrlPr>
                  </m:dPr>
                  <m:e>
                    <m:r>
                      <w:rPr>
                        <w:rFonts w:ascii="Cambria Math" w:hAnsi="Cambria Math"/>
                        <w:sz w:val="22"/>
                        <w:szCs w:val="22"/>
                      </w:rPr>
                      <m:t>35.2-0.31889τ-1.22</m:t>
                    </m:r>
                    <m:sSup>
                      <m:sSupPr>
                        <m:ctrlPr>
                          <w:rPr>
                            <w:rFonts w:ascii="Cambria Math" w:hAnsi="Cambria Math"/>
                            <w:i/>
                            <w:sz w:val="22"/>
                            <w:szCs w:val="22"/>
                          </w:rPr>
                        </m:ctrlPr>
                      </m:sSupPr>
                      <m:e>
                        <m:r>
                          <w:rPr>
                            <w:rFonts w:ascii="Cambria Math" w:hAnsi="Cambria Math"/>
                            <w:sz w:val="22"/>
                            <w:szCs w:val="22"/>
                          </w:rPr>
                          <m:t>e</m:t>
                        </m:r>
                      </m:e>
                      <m:sup>
                        <m:f>
                          <m:fPr>
                            <m:type m:val="skw"/>
                            <m:ctrlPr>
                              <w:rPr>
                                <w:rFonts w:ascii="Cambria Math" w:hAnsi="Cambria Math"/>
                                <w:i/>
                                <w:sz w:val="22"/>
                                <w:szCs w:val="22"/>
                              </w:rPr>
                            </m:ctrlPr>
                          </m:fPr>
                          <m:num>
                            <m:r>
                              <w:rPr>
                                <w:rFonts w:ascii="Cambria Math" w:hAnsi="Cambria Math"/>
                                <w:sz w:val="22"/>
                                <w:szCs w:val="22"/>
                              </w:rPr>
                              <m:t>-2τ</m:t>
                            </m:r>
                          </m:num>
                          <m:den>
                            <m:r>
                              <w:rPr>
                                <w:rFonts w:ascii="Cambria Math" w:hAnsi="Cambria Math"/>
                                <w:sz w:val="22"/>
                                <w:szCs w:val="22"/>
                              </w:rPr>
                              <m:t>9</m:t>
                            </m:r>
                          </m:den>
                        </m:f>
                      </m:sup>
                    </m:sSup>
                  </m:e>
                </m:d>
                <m:sSup>
                  <m:sSupPr>
                    <m:ctrlPr>
                      <w:rPr>
                        <w:rFonts w:ascii="Cambria Math" w:hAnsi="Cambria Math"/>
                        <w:i/>
                        <w:sz w:val="22"/>
                        <w:szCs w:val="22"/>
                      </w:rPr>
                    </m:ctrlPr>
                  </m:sSupPr>
                  <m:e>
                    <m:r>
                      <w:rPr>
                        <w:rFonts w:ascii="Cambria Math" w:hAnsi="Cambria Math"/>
                        <w:sz w:val="22"/>
                        <w:szCs w:val="22"/>
                      </w:rPr>
                      <m:t>10</m:t>
                    </m:r>
                  </m:e>
                  <m:sup>
                    <m:r>
                      <w:rPr>
                        <w:rFonts w:ascii="Cambria Math" w:hAnsi="Cambria Math"/>
                        <w:sz w:val="22"/>
                        <w:szCs w:val="22"/>
                      </w:rPr>
                      <m:t>-3</m:t>
                    </m:r>
                  </m:sup>
                </m:sSup>
                <m:r>
                  <w:rPr>
                    <w:rFonts w:ascii="Cambria Math" w:hAnsi="Cambria Math"/>
                    <w:sz w:val="22"/>
                    <w:szCs w:val="22"/>
                  </w:rPr>
                  <m:t>σ+</m:t>
                </m:r>
                <m:d>
                  <m:dPr>
                    <m:ctrlPr>
                      <w:rPr>
                        <w:rFonts w:ascii="Cambria Math" w:hAnsi="Cambria Math"/>
                        <w:i/>
                        <w:sz w:val="22"/>
                        <w:szCs w:val="22"/>
                      </w:rPr>
                    </m:ctrlPr>
                  </m:dPr>
                  <m:e>
                    <m:r>
                      <w:rPr>
                        <w:rFonts w:ascii="Cambria Math" w:hAnsi="Cambria Math"/>
                        <w:sz w:val="22"/>
                        <w:szCs w:val="22"/>
                      </w:rPr>
                      <m:t>21+0.26667τ-0.002963</m:t>
                    </m:r>
                    <m:sSup>
                      <m:sSupPr>
                        <m:ctrlPr>
                          <w:rPr>
                            <w:rFonts w:ascii="Cambria Math" w:hAnsi="Cambria Math"/>
                            <w:i/>
                            <w:sz w:val="22"/>
                            <w:szCs w:val="22"/>
                          </w:rPr>
                        </m:ctrlPr>
                      </m:sSupPr>
                      <m:e>
                        <m:r>
                          <w:rPr>
                            <w:rFonts w:ascii="Cambria Math" w:hAnsi="Cambria Math"/>
                            <w:sz w:val="22"/>
                            <w:szCs w:val="22"/>
                          </w:rPr>
                          <m:t>τ</m:t>
                        </m:r>
                      </m:e>
                      <m:sup>
                        <m:r>
                          <w:rPr>
                            <w:rFonts w:ascii="Cambria Math" w:hAnsi="Cambria Math"/>
                            <w:sz w:val="22"/>
                            <w:szCs w:val="22"/>
                          </w:rPr>
                          <m:t>2</m:t>
                        </m:r>
                      </m:sup>
                    </m:sSup>
                  </m:e>
                </m:d>
                <m:sSup>
                  <m:sSupPr>
                    <m:ctrlPr>
                      <w:rPr>
                        <w:rFonts w:ascii="Cambria Math" w:hAnsi="Cambria Math"/>
                        <w:i/>
                        <w:sz w:val="22"/>
                        <w:szCs w:val="22"/>
                      </w:rPr>
                    </m:ctrlPr>
                  </m:sSupPr>
                  <m:e>
                    <m:r>
                      <w:rPr>
                        <w:rFonts w:ascii="Cambria Math" w:hAnsi="Cambria Math"/>
                        <w:sz w:val="22"/>
                        <w:szCs w:val="22"/>
                      </w:rPr>
                      <m:t>10</m:t>
                    </m:r>
                  </m:e>
                  <m:sup>
                    <m:r>
                      <w:rPr>
                        <w:rFonts w:ascii="Cambria Math" w:hAnsi="Cambria Math"/>
                        <w:sz w:val="22"/>
                        <w:szCs w:val="22"/>
                      </w:rPr>
                      <m:t>-5</m:t>
                    </m:r>
                  </m:sup>
                </m:sSup>
                <m:sSup>
                  <m:sSupPr>
                    <m:ctrlPr>
                      <w:rPr>
                        <w:rFonts w:ascii="Cambria Math" w:hAnsi="Cambria Math"/>
                        <w:i/>
                        <w:sz w:val="22"/>
                        <w:szCs w:val="22"/>
                      </w:rPr>
                    </m:ctrlPr>
                  </m:sSupPr>
                  <m:e>
                    <m:r>
                      <w:rPr>
                        <w:rFonts w:ascii="Cambria Math" w:hAnsi="Cambria Math"/>
                        <w:sz w:val="22"/>
                        <w:szCs w:val="22"/>
                      </w:rPr>
                      <m:t>σ</m:t>
                    </m:r>
                  </m:e>
                  <m:sup>
                    <m:r>
                      <w:rPr>
                        <w:rFonts w:ascii="Cambria Math" w:hAnsi="Cambria Math"/>
                        <w:sz w:val="22"/>
                        <w:szCs w:val="22"/>
                      </w:rPr>
                      <m:t>2</m:t>
                    </m:r>
                  </m:sup>
                </m:sSup>
              </m:oMath>
            </m:oMathPara>
          </w:p>
        </w:tc>
        <w:tc>
          <w:tcPr>
            <w:tcW w:w="1449" w:type="dxa"/>
          </w:tcPr>
          <w:p w14:paraId="6502083C" w14:textId="77777777" w:rsidR="002B7D6E" w:rsidRPr="00AA3D0C" w:rsidRDefault="002B7D6E" w:rsidP="006F4580">
            <w:pPr>
              <w:jc w:val="both"/>
              <w:rPr>
                <w:sz w:val="22"/>
                <w:szCs w:val="22"/>
              </w:rPr>
            </w:pPr>
          </w:p>
          <w:p w14:paraId="1A02DA8A" w14:textId="77777777" w:rsidR="002B7D6E" w:rsidRPr="00AA3D0C" w:rsidRDefault="002B7D6E" w:rsidP="006F4580">
            <w:pPr>
              <w:jc w:val="both"/>
              <w:rPr>
                <w:sz w:val="22"/>
                <w:szCs w:val="22"/>
              </w:rPr>
            </w:pPr>
            <w:r w:rsidRPr="00AA3D0C">
              <w:rPr>
                <w:sz w:val="22"/>
                <w:szCs w:val="22"/>
              </w:rPr>
              <w:t>[-]</w:t>
            </w:r>
          </w:p>
          <w:p w14:paraId="7A869375" w14:textId="77777777" w:rsidR="002B7D6E" w:rsidRPr="00AA3D0C" w:rsidRDefault="002B7D6E" w:rsidP="006F4580">
            <w:pPr>
              <w:jc w:val="both"/>
              <w:rPr>
                <w:sz w:val="22"/>
                <w:szCs w:val="22"/>
              </w:rPr>
            </w:pPr>
          </w:p>
          <w:p w14:paraId="17D3D99B" w14:textId="77777777" w:rsidR="002B7D6E" w:rsidRPr="00AA3D0C" w:rsidRDefault="002B7D6E" w:rsidP="006F4580">
            <w:pPr>
              <w:jc w:val="both"/>
              <w:rPr>
                <w:sz w:val="22"/>
                <w:szCs w:val="22"/>
              </w:rPr>
            </w:pPr>
          </w:p>
        </w:tc>
        <w:tc>
          <w:tcPr>
            <w:tcW w:w="1368" w:type="dxa"/>
          </w:tcPr>
          <w:p w14:paraId="354FCA94" w14:textId="77777777" w:rsidR="002B7D6E" w:rsidRPr="00AA3D0C" w:rsidRDefault="002B7D6E" w:rsidP="006F4580">
            <w:pPr>
              <w:jc w:val="both"/>
              <w:rPr>
                <w:sz w:val="22"/>
                <w:szCs w:val="22"/>
              </w:rPr>
            </w:pPr>
          </w:p>
          <w:p w14:paraId="511B5D3E" w14:textId="67219619" w:rsidR="002B7D6E" w:rsidRPr="00AA3D0C" w:rsidRDefault="002B7D6E" w:rsidP="006F4580">
            <w:pPr>
              <w:jc w:val="both"/>
              <w:rPr>
                <w:sz w:val="22"/>
                <w:szCs w:val="22"/>
              </w:rPr>
            </w:pPr>
            <w:r w:rsidRPr="00AA3D0C">
              <w:rPr>
                <w:sz w:val="22"/>
                <w:szCs w:val="22"/>
              </w:rPr>
              <w:t>(</w:t>
            </w:r>
            <w:r w:rsidR="00725DB0">
              <w:rPr>
                <w:sz w:val="22"/>
                <w:szCs w:val="22"/>
              </w:rPr>
              <w:t>2</w:t>
            </w:r>
            <w:r w:rsidR="00890145">
              <w:rPr>
                <w:sz w:val="22"/>
                <w:szCs w:val="22"/>
              </w:rPr>
              <w:t>3</w:t>
            </w:r>
            <w:r w:rsidRPr="00AA3D0C">
              <w:rPr>
                <w:sz w:val="22"/>
                <w:szCs w:val="22"/>
              </w:rPr>
              <w:t>)</w:t>
            </w:r>
          </w:p>
        </w:tc>
      </w:tr>
      <w:tr w:rsidR="002B7D6E" w:rsidRPr="00AA3D0C" w14:paraId="0DBE4DD0" w14:textId="77777777" w:rsidTr="006F4580">
        <w:tc>
          <w:tcPr>
            <w:tcW w:w="5337" w:type="dxa"/>
          </w:tcPr>
          <w:p w14:paraId="7F94A69C" w14:textId="65027754" w:rsidR="002B7D6E" w:rsidRPr="00AA3D0C" w:rsidRDefault="002B7D6E" w:rsidP="00135D19">
            <w:pPr>
              <w:pStyle w:val="ListParagraph"/>
              <w:numPr>
                <w:ilvl w:val="0"/>
                <w:numId w:val="4"/>
              </w:numPr>
              <w:jc w:val="both"/>
              <w:rPr>
                <w:rFonts w:ascii="Times New Roman" w:hAnsi="Times New Roman" w:cs="Times New Roman"/>
              </w:rPr>
            </w:pPr>
            <w:r w:rsidRPr="00AA3D0C">
              <w:rPr>
                <w:rFonts w:ascii="Times New Roman" w:hAnsi="Times New Roman" w:cs="Times New Roman"/>
              </w:rPr>
              <w:t xml:space="preserve">Below the line of sight </w:t>
            </w:r>
            <w:r w:rsidRPr="00AA3D0C">
              <w:rPr>
                <w:rFonts w:ascii="Times New Roman" w:hAnsi="Times New Roman" w:cs="Times New Roman"/>
              </w:rPr>
              <w:fldChar w:fldCharType="begin" w:fldLock="1"/>
            </w:r>
            <w:r w:rsidR="005952EA">
              <w:rPr>
                <w:rFonts w:ascii="Times New Roman" w:hAnsi="Times New Roman" w:cs="Times New Roman"/>
              </w:rPr>
              <w:instrText>ADDIN CSL_CITATION { "citationItems" : [ { "id" : "ITEM-1", "itemData" : { "DOI" : "10.1177/14771535970290030801", "ISSN" : "1477-1535", "abstract" : "To measure the difference between sensitivity to glare from a source above the line of vision and that from a source below the line of vision, two subjective experiments were conducted using the adjustment method and the constant method respectively. The sensitivity to the glare caused by a source located below the line of vision was greater than the sensitivity to glare caused by a source located above the line of vision. This tendency was seen especially in elderly subjects. For vertical displacement the difference in sensitivity between sources above and below the line of vision increased with increasing angular distance between the line of vision and glare source. \ufffd 1997, Sage Publications. All rights reserved.", "author" : [ { "dropping-particle" : "", "family" : "Iwata", "given" : "T", "non-dropping-particle" : "", "parse-names" : false, "suffix" : "" }, { "dropping-particle" : "", "family" : "Tokura", "given" : "M", "non-dropping-particle" : "", "parse-names" : false, "suffix" : "" } ], "container-title" : "Lighting Research &amp; Technology", "id" : "ITEM-1", "issue" : "3", "issued" : { "date-parts" : [ [ "1997" ] ] }, "note" : "Cited By :22", "page" : "172-178", "publisher-place" : "Affiliation: National Institute of Public Health, 4-6-1 Shirokanedai, Minata-ku, Tokyo, Japan; Affiliation: Tokyo Institute of Technology, 4529 Nagatsuda-cho Midori-ku, Yokohama-shi Kanagawa, Japan", "title" : "Position Index for a glare source located below the line of vision", "type" : "article-journal", "volume" : "29" }, "uris" : [ "http://www.mendeley.com/documents/?uuid=37cb2caa-5df8-48d8-8870-633c60085b56", "http://www.mendeley.com/documents/?uuid=d3225c6a-87d1-43c7-9b27-87c47cb030da" ] } ], "mendeley" : { "formattedCitation" : "(Iwata and Tokura, 1997)", "plainTextFormattedCitation" : "(Iwata and Tokura, 1997)", "previouslyFormattedCitation" : "(Iwata and Tokura, 1997)" }, "properties" : { "noteIndex" : 0 }, "schema" : "https://github.com/citation-style-language/schema/raw/master/csl-citation.json" }</w:instrText>
            </w:r>
            <w:r w:rsidRPr="00AA3D0C">
              <w:rPr>
                <w:rFonts w:ascii="Times New Roman" w:hAnsi="Times New Roman" w:cs="Times New Roman"/>
              </w:rPr>
              <w:fldChar w:fldCharType="separate"/>
            </w:r>
            <w:r w:rsidRPr="00AA3D0C">
              <w:rPr>
                <w:rFonts w:ascii="Times New Roman" w:hAnsi="Times New Roman" w:cs="Times New Roman"/>
                <w:noProof/>
              </w:rPr>
              <w:t>(Iwata and Tokura, 1997)</w:t>
            </w:r>
            <w:r w:rsidRPr="00AA3D0C">
              <w:rPr>
                <w:rFonts w:ascii="Times New Roman" w:hAnsi="Times New Roman" w:cs="Times New Roman"/>
              </w:rPr>
              <w:fldChar w:fldCharType="end"/>
            </w:r>
            <w:r w:rsidRPr="00AA3D0C">
              <w:rPr>
                <w:rFonts w:ascii="Times New Roman" w:hAnsi="Times New Roman" w:cs="Times New Roman"/>
              </w:rPr>
              <w:t>:</w:t>
            </w:r>
          </w:p>
        </w:tc>
        <w:tc>
          <w:tcPr>
            <w:tcW w:w="1449" w:type="dxa"/>
          </w:tcPr>
          <w:p w14:paraId="04C8B22D" w14:textId="77777777" w:rsidR="002B7D6E" w:rsidRPr="00AA3D0C" w:rsidRDefault="002B7D6E" w:rsidP="006F4580">
            <w:pPr>
              <w:jc w:val="both"/>
              <w:rPr>
                <w:sz w:val="22"/>
                <w:szCs w:val="22"/>
              </w:rPr>
            </w:pPr>
          </w:p>
        </w:tc>
        <w:tc>
          <w:tcPr>
            <w:tcW w:w="1368" w:type="dxa"/>
          </w:tcPr>
          <w:p w14:paraId="2268136F" w14:textId="77777777" w:rsidR="002B7D6E" w:rsidRPr="00AA3D0C" w:rsidRDefault="002B7D6E" w:rsidP="006F4580">
            <w:pPr>
              <w:jc w:val="both"/>
              <w:rPr>
                <w:sz w:val="22"/>
                <w:szCs w:val="22"/>
              </w:rPr>
            </w:pPr>
          </w:p>
        </w:tc>
      </w:tr>
      <w:tr w:rsidR="002B7D6E" w:rsidRPr="00AA3D0C" w14:paraId="54DF9F5C" w14:textId="77777777" w:rsidTr="006F4580">
        <w:tc>
          <w:tcPr>
            <w:tcW w:w="5337" w:type="dxa"/>
          </w:tcPr>
          <w:p w14:paraId="58BBD8C9" w14:textId="77777777" w:rsidR="002B7D6E" w:rsidRPr="00AA3D0C" w:rsidRDefault="002B7D6E" w:rsidP="006F4580">
            <w:pPr>
              <w:jc w:val="both"/>
              <w:rPr>
                <w:sz w:val="22"/>
                <w:szCs w:val="22"/>
              </w:rPr>
            </w:pPr>
            <m:oMath>
              <m:r>
                <w:rPr>
                  <w:rFonts w:ascii="Cambria Math" w:hAnsi="Cambria Math"/>
                  <w:sz w:val="22"/>
                  <w:szCs w:val="22"/>
                </w:rPr>
                <m:t>P=1+0.8</m:t>
              </m:r>
              <m:f>
                <m:fPr>
                  <m:ctrlPr>
                    <w:rPr>
                      <w:rFonts w:ascii="Cambria Math" w:hAnsi="Cambria Math"/>
                      <w:i/>
                      <w:sz w:val="22"/>
                      <w:szCs w:val="22"/>
                    </w:rPr>
                  </m:ctrlPr>
                </m:fPr>
                <m:num>
                  <m:r>
                    <w:rPr>
                      <w:rFonts w:ascii="Cambria Math" w:hAnsi="Cambria Math"/>
                      <w:sz w:val="22"/>
                      <w:szCs w:val="22"/>
                    </w:rPr>
                    <m:t>R</m:t>
                  </m:r>
                </m:num>
                <m:den>
                  <m:r>
                    <w:rPr>
                      <w:rFonts w:ascii="Cambria Math" w:hAnsi="Cambria Math"/>
                      <w:sz w:val="22"/>
                      <w:szCs w:val="22"/>
                    </w:rPr>
                    <m:t>D</m:t>
                  </m:r>
                </m:den>
              </m:f>
              <m:r>
                <w:rPr>
                  <w:rFonts w:ascii="Cambria Math" w:hAnsi="Cambria Math"/>
                  <w:sz w:val="22"/>
                  <w:szCs w:val="22"/>
                </w:rPr>
                <m:t xml:space="preserve"> </m:t>
              </m:r>
            </m:oMath>
            <w:r w:rsidRPr="00AA3D0C">
              <w:rPr>
                <w:sz w:val="22"/>
                <w:szCs w:val="22"/>
              </w:rPr>
              <w:t xml:space="preserve">   , when </w:t>
            </w:r>
            <m:oMath>
              <m:r>
                <w:rPr>
                  <w:rFonts w:ascii="Cambria Math" w:hAnsi="Cambria Math"/>
                  <w:sz w:val="22"/>
                  <w:szCs w:val="22"/>
                </w:rPr>
                <m:t>R&lt;0.6D</m:t>
              </m:r>
            </m:oMath>
          </w:p>
          <w:p w14:paraId="39788803" w14:textId="77777777" w:rsidR="002B7D6E" w:rsidRPr="00AA3D0C" w:rsidRDefault="002B7D6E" w:rsidP="006F4580">
            <w:pPr>
              <w:jc w:val="both"/>
              <w:rPr>
                <w:sz w:val="22"/>
                <w:szCs w:val="22"/>
              </w:rPr>
            </w:pPr>
            <m:oMath>
              <m:r>
                <w:rPr>
                  <w:rFonts w:ascii="Cambria Math" w:hAnsi="Cambria Math"/>
                  <w:sz w:val="22"/>
                  <w:szCs w:val="22"/>
                </w:rPr>
                <m:t>P=1+1.2</m:t>
              </m:r>
              <m:f>
                <m:fPr>
                  <m:ctrlPr>
                    <w:rPr>
                      <w:rFonts w:ascii="Cambria Math" w:hAnsi="Cambria Math"/>
                      <w:i/>
                      <w:sz w:val="22"/>
                      <w:szCs w:val="22"/>
                    </w:rPr>
                  </m:ctrlPr>
                </m:fPr>
                <m:num>
                  <m:r>
                    <w:rPr>
                      <w:rFonts w:ascii="Cambria Math" w:hAnsi="Cambria Math"/>
                      <w:sz w:val="22"/>
                      <w:szCs w:val="22"/>
                    </w:rPr>
                    <m:t>R</m:t>
                  </m:r>
                </m:num>
                <m:den>
                  <m:r>
                    <w:rPr>
                      <w:rFonts w:ascii="Cambria Math" w:hAnsi="Cambria Math"/>
                      <w:sz w:val="22"/>
                      <w:szCs w:val="22"/>
                    </w:rPr>
                    <m:t>D</m:t>
                  </m:r>
                </m:den>
              </m:f>
              <m:r>
                <w:rPr>
                  <w:rFonts w:ascii="Cambria Math" w:hAnsi="Cambria Math"/>
                  <w:sz w:val="22"/>
                  <w:szCs w:val="22"/>
                </w:rPr>
                <m:t xml:space="preserve"> </m:t>
              </m:r>
            </m:oMath>
            <w:r w:rsidRPr="00AA3D0C">
              <w:rPr>
                <w:sz w:val="22"/>
                <w:szCs w:val="22"/>
              </w:rPr>
              <w:t xml:space="preserve">   , when </w:t>
            </w:r>
            <m:oMath>
              <m:r>
                <w:rPr>
                  <w:rFonts w:ascii="Cambria Math" w:hAnsi="Cambria Math"/>
                  <w:sz w:val="22"/>
                  <w:szCs w:val="22"/>
                </w:rPr>
                <m:t>R≥0.6D</m:t>
              </m:r>
            </m:oMath>
          </w:p>
          <w:p w14:paraId="6006B1A1" w14:textId="77777777" w:rsidR="002B7D6E" w:rsidRPr="00AA3D0C" w:rsidRDefault="002B7D6E" w:rsidP="006F4580">
            <w:pPr>
              <w:jc w:val="both"/>
              <w:rPr>
                <w:sz w:val="22"/>
                <w:szCs w:val="22"/>
              </w:rPr>
            </w:pPr>
          </w:p>
          <w:p w14:paraId="7BD965D2" w14:textId="77777777" w:rsidR="002B7D6E" w:rsidRPr="00AA3D0C" w:rsidRDefault="002B7D6E" w:rsidP="006F4580">
            <w:pPr>
              <w:jc w:val="both"/>
              <w:rPr>
                <w:sz w:val="22"/>
                <w:szCs w:val="22"/>
              </w:rPr>
            </w:pPr>
            <w:r w:rsidRPr="00AA3D0C">
              <w:rPr>
                <w:sz w:val="22"/>
                <w:szCs w:val="22"/>
              </w:rPr>
              <w:t xml:space="preserve">where, </w:t>
            </w:r>
            <m:oMath>
              <m:r>
                <w:rPr>
                  <w:rFonts w:ascii="Cambria Math" w:hAnsi="Cambria Math"/>
                  <w:sz w:val="22"/>
                  <w:szCs w:val="22"/>
                </w:rPr>
                <m:t>R=</m:t>
              </m:r>
              <m:rad>
                <m:radPr>
                  <m:degHide m:val="1"/>
                  <m:ctrlPr>
                    <w:rPr>
                      <w:rFonts w:ascii="Cambria Math" w:hAnsi="Cambria Math"/>
                      <w:i/>
                      <w:sz w:val="22"/>
                      <w:szCs w:val="22"/>
                    </w:rPr>
                  </m:ctrlPr>
                </m:radPr>
                <m:deg/>
                <m:e>
                  <m:sSup>
                    <m:sSupPr>
                      <m:ctrlPr>
                        <w:rPr>
                          <w:rFonts w:ascii="Cambria Math" w:hAnsi="Cambria Math"/>
                          <w:i/>
                          <w:sz w:val="22"/>
                          <w:szCs w:val="22"/>
                        </w:rPr>
                      </m:ctrlPr>
                    </m:sSupPr>
                    <m:e>
                      <m:r>
                        <w:rPr>
                          <w:rFonts w:ascii="Cambria Math" w:hAnsi="Cambria Math"/>
                          <w:sz w:val="22"/>
                          <w:szCs w:val="22"/>
                        </w:rPr>
                        <m:t>H</m:t>
                      </m:r>
                    </m:e>
                    <m:sup>
                      <m:r>
                        <w:rPr>
                          <w:rFonts w:ascii="Cambria Math" w:hAnsi="Cambria Math"/>
                          <w:sz w:val="22"/>
                          <w:szCs w:val="22"/>
                        </w:rPr>
                        <m:t>2</m:t>
                      </m:r>
                    </m:sup>
                  </m:sSup>
                  <m:r>
                    <w:rPr>
                      <w:rFonts w:ascii="Cambria Math" w:hAnsi="Cambria Math"/>
                      <w:sz w:val="22"/>
                      <w:szCs w:val="22"/>
                    </w:rPr>
                    <m:t>+</m:t>
                  </m:r>
                  <m:sSup>
                    <m:sSupPr>
                      <m:ctrlPr>
                        <w:rPr>
                          <w:rFonts w:ascii="Cambria Math" w:hAnsi="Cambria Math"/>
                          <w:i/>
                          <w:sz w:val="22"/>
                          <w:szCs w:val="22"/>
                        </w:rPr>
                      </m:ctrlPr>
                    </m:sSupPr>
                    <m:e>
                      <m:r>
                        <w:rPr>
                          <w:rFonts w:ascii="Cambria Math" w:hAnsi="Cambria Math"/>
                          <w:sz w:val="22"/>
                          <w:szCs w:val="22"/>
                        </w:rPr>
                        <m:t>Y</m:t>
                      </m:r>
                    </m:e>
                    <m:sup>
                      <m:r>
                        <w:rPr>
                          <w:rFonts w:ascii="Cambria Math" w:hAnsi="Cambria Math"/>
                          <w:sz w:val="22"/>
                          <w:szCs w:val="22"/>
                        </w:rPr>
                        <m:t>2</m:t>
                      </m:r>
                    </m:sup>
                  </m:sSup>
                </m:e>
              </m:rad>
            </m:oMath>
          </w:p>
        </w:tc>
        <w:tc>
          <w:tcPr>
            <w:tcW w:w="1449" w:type="dxa"/>
          </w:tcPr>
          <w:p w14:paraId="5E241E8D" w14:textId="77777777" w:rsidR="002B7D6E" w:rsidRPr="00AA3D0C" w:rsidRDefault="002B7D6E" w:rsidP="006F4580">
            <w:pPr>
              <w:jc w:val="both"/>
              <w:rPr>
                <w:sz w:val="22"/>
                <w:szCs w:val="22"/>
              </w:rPr>
            </w:pPr>
            <w:r w:rsidRPr="00AA3D0C">
              <w:rPr>
                <w:sz w:val="22"/>
                <w:szCs w:val="22"/>
              </w:rPr>
              <w:t>[-]</w:t>
            </w:r>
          </w:p>
          <w:p w14:paraId="2AB4EB67" w14:textId="77777777" w:rsidR="002B7D6E" w:rsidRPr="00AA3D0C" w:rsidRDefault="002B7D6E" w:rsidP="006F4580">
            <w:pPr>
              <w:jc w:val="both"/>
              <w:rPr>
                <w:sz w:val="22"/>
                <w:szCs w:val="22"/>
              </w:rPr>
            </w:pPr>
          </w:p>
          <w:p w14:paraId="79B7A2A2" w14:textId="77777777" w:rsidR="002B7D6E" w:rsidRPr="00AA3D0C" w:rsidRDefault="002B7D6E" w:rsidP="006F4580">
            <w:pPr>
              <w:jc w:val="both"/>
              <w:rPr>
                <w:sz w:val="22"/>
                <w:szCs w:val="22"/>
              </w:rPr>
            </w:pPr>
            <w:r w:rsidRPr="00AA3D0C">
              <w:rPr>
                <w:sz w:val="22"/>
                <w:szCs w:val="22"/>
              </w:rPr>
              <w:t>[-]</w:t>
            </w:r>
          </w:p>
          <w:p w14:paraId="14E7275A" w14:textId="77777777" w:rsidR="002B7D6E" w:rsidRPr="00AA3D0C" w:rsidRDefault="002B7D6E" w:rsidP="006F4580">
            <w:pPr>
              <w:jc w:val="both"/>
              <w:rPr>
                <w:sz w:val="22"/>
                <w:szCs w:val="22"/>
              </w:rPr>
            </w:pPr>
          </w:p>
          <w:p w14:paraId="02DD5CF9" w14:textId="77777777" w:rsidR="002B7D6E" w:rsidRPr="00AA3D0C" w:rsidRDefault="002B7D6E" w:rsidP="006F4580">
            <w:pPr>
              <w:jc w:val="both"/>
              <w:rPr>
                <w:sz w:val="22"/>
                <w:szCs w:val="22"/>
              </w:rPr>
            </w:pPr>
            <w:r w:rsidRPr="00AA3D0C">
              <w:rPr>
                <w:sz w:val="22"/>
                <w:szCs w:val="22"/>
              </w:rPr>
              <w:t>[m]</w:t>
            </w:r>
          </w:p>
        </w:tc>
        <w:tc>
          <w:tcPr>
            <w:tcW w:w="1368" w:type="dxa"/>
          </w:tcPr>
          <w:p w14:paraId="0144758E" w14:textId="0E881F9E" w:rsidR="002B7D6E" w:rsidRPr="00AA3D0C" w:rsidRDefault="002B7D6E" w:rsidP="006F4580">
            <w:pPr>
              <w:jc w:val="both"/>
              <w:rPr>
                <w:sz w:val="22"/>
                <w:szCs w:val="22"/>
              </w:rPr>
            </w:pPr>
            <w:r w:rsidRPr="00AA3D0C">
              <w:rPr>
                <w:sz w:val="22"/>
                <w:szCs w:val="22"/>
              </w:rPr>
              <w:t>(</w:t>
            </w:r>
            <w:r w:rsidR="00725DB0">
              <w:rPr>
                <w:sz w:val="22"/>
                <w:szCs w:val="22"/>
              </w:rPr>
              <w:t>2</w:t>
            </w:r>
            <w:r w:rsidR="00890145">
              <w:rPr>
                <w:sz w:val="22"/>
                <w:szCs w:val="22"/>
              </w:rPr>
              <w:t>4</w:t>
            </w:r>
            <w:r w:rsidRPr="00AA3D0C">
              <w:rPr>
                <w:sz w:val="22"/>
                <w:szCs w:val="22"/>
              </w:rPr>
              <w:t>)</w:t>
            </w:r>
          </w:p>
          <w:p w14:paraId="3A5E8BCD" w14:textId="77777777" w:rsidR="002B7D6E" w:rsidRPr="00AA3D0C" w:rsidRDefault="002B7D6E" w:rsidP="006F4580">
            <w:pPr>
              <w:jc w:val="both"/>
              <w:rPr>
                <w:sz w:val="22"/>
                <w:szCs w:val="22"/>
              </w:rPr>
            </w:pPr>
          </w:p>
          <w:p w14:paraId="5825FF52" w14:textId="17319E68" w:rsidR="002B7D6E" w:rsidRPr="00AA3D0C" w:rsidRDefault="002B7D6E" w:rsidP="006F4580">
            <w:pPr>
              <w:jc w:val="both"/>
              <w:rPr>
                <w:sz w:val="22"/>
                <w:szCs w:val="22"/>
              </w:rPr>
            </w:pPr>
            <w:r w:rsidRPr="00AA3D0C">
              <w:rPr>
                <w:sz w:val="22"/>
                <w:szCs w:val="22"/>
              </w:rPr>
              <w:t>(</w:t>
            </w:r>
            <w:r w:rsidR="00725DB0">
              <w:rPr>
                <w:sz w:val="22"/>
                <w:szCs w:val="22"/>
              </w:rPr>
              <w:t>2</w:t>
            </w:r>
            <w:r w:rsidR="00890145">
              <w:rPr>
                <w:sz w:val="22"/>
                <w:szCs w:val="22"/>
              </w:rPr>
              <w:t>5</w:t>
            </w:r>
            <w:r w:rsidRPr="00AA3D0C">
              <w:rPr>
                <w:sz w:val="22"/>
                <w:szCs w:val="22"/>
              </w:rPr>
              <w:t>)</w:t>
            </w:r>
          </w:p>
          <w:p w14:paraId="44C0E14D" w14:textId="77777777" w:rsidR="002B7D6E" w:rsidRPr="00AA3D0C" w:rsidRDefault="002B7D6E" w:rsidP="006F4580">
            <w:pPr>
              <w:jc w:val="both"/>
              <w:rPr>
                <w:sz w:val="22"/>
                <w:szCs w:val="22"/>
              </w:rPr>
            </w:pPr>
          </w:p>
          <w:p w14:paraId="3690321F" w14:textId="6596C37C" w:rsidR="002B7D6E" w:rsidRPr="00AA3D0C" w:rsidRDefault="002B7D6E" w:rsidP="006F4580">
            <w:pPr>
              <w:jc w:val="both"/>
              <w:rPr>
                <w:sz w:val="22"/>
                <w:szCs w:val="22"/>
              </w:rPr>
            </w:pPr>
            <w:r w:rsidRPr="00AA3D0C">
              <w:rPr>
                <w:sz w:val="22"/>
                <w:szCs w:val="22"/>
              </w:rPr>
              <w:t>(</w:t>
            </w:r>
            <w:r w:rsidR="00725DB0">
              <w:rPr>
                <w:sz w:val="22"/>
                <w:szCs w:val="22"/>
              </w:rPr>
              <w:t>2</w:t>
            </w:r>
            <w:r w:rsidR="00890145">
              <w:rPr>
                <w:sz w:val="22"/>
                <w:szCs w:val="22"/>
              </w:rPr>
              <w:t>6</w:t>
            </w:r>
            <w:r w:rsidRPr="00AA3D0C">
              <w:rPr>
                <w:sz w:val="22"/>
                <w:szCs w:val="22"/>
              </w:rPr>
              <w:t>)</w:t>
            </w:r>
          </w:p>
        </w:tc>
      </w:tr>
    </w:tbl>
    <w:p w14:paraId="21F16CEF" w14:textId="77777777" w:rsidR="002B7D6E" w:rsidRPr="00AA3D0C" w:rsidRDefault="002B7D6E" w:rsidP="002B7D6E">
      <w:pPr>
        <w:jc w:val="both"/>
        <w:rPr>
          <w:sz w:val="22"/>
          <w:szCs w:val="22"/>
        </w:rPr>
      </w:pPr>
    </w:p>
    <w:p w14:paraId="45ECBE80" w14:textId="2BA407A2" w:rsidR="00AC6AF2" w:rsidRDefault="00AC6AF2" w:rsidP="002B7D6E">
      <w:pPr>
        <w:jc w:val="both"/>
        <w:rPr>
          <w:sz w:val="22"/>
          <w:szCs w:val="22"/>
        </w:rPr>
      </w:pPr>
    </w:p>
    <w:p w14:paraId="4EC59D14" w14:textId="0E27F032" w:rsidR="00812950" w:rsidRDefault="00812950" w:rsidP="002B7D6E">
      <w:pPr>
        <w:jc w:val="both"/>
        <w:rPr>
          <w:sz w:val="22"/>
          <w:szCs w:val="22"/>
        </w:rPr>
      </w:pPr>
    </w:p>
    <w:p w14:paraId="2D365F2B" w14:textId="19EDC685" w:rsidR="00812950" w:rsidRDefault="00812950" w:rsidP="002B7D6E">
      <w:pPr>
        <w:jc w:val="both"/>
        <w:rPr>
          <w:sz w:val="22"/>
          <w:szCs w:val="22"/>
        </w:rPr>
      </w:pPr>
    </w:p>
    <w:p w14:paraId="51E5A43F" w14:textId="71DAED1C" w:rsidR="00812950" w:rsidRDefault="00812950" w:rsidP="002B7D6E">
      <w:pPr>
        <w:jc w:val="both"/>
        <w:rPr>
          <w:sz w:val="22"/>
          <w:szCs w:val="22"/>
        </w:rPr>
      </w:pPr>
    </w:p>
    <w:p w14:paraId="76C73E69" w14:textId="54B22A12" w:rsidR="00812950" w:rsidRDefault="00812950" w:rsidP="002B7D6E">
      <w:pPr>
        <w:jc w:val="both"/>
        <w:rPr>
          <w:sz w:val="22"/>
          <w:szCs w:val="22"/>
        </w:rPr>
      </w:pPr>
    </w:p>
    <w:p w14:paraId="5204CBFB" w14:textId="1D12350D" w:rsidR="00812950" w:rsidRDefault="00812950" w:rsidP="002B7D6E">
      <w:pPr>
        <w:jc w:val="both"/>
        <w:rPr>
          <w:sz w:val="22"/>
          <w:szCs w:val="22"/>
        </w:rPr>
      </w:pPr>
    </w:p>
    <w:p w14:paraId="5E89F788" w14:textId="6DEA0501" w:rsidR="00812950" w:rsidRDefault="00812950" w:rsidP="002B7D6E">
      <w:pPr>
        <w:jc w:val="both"/>
        <w:rPr>
          <w:sz w:val="22"/>
          <w:szCs w:val="22"/>
        </w:rPr>
      </w:pPr>
    </w:p>
    <w:p w14:paraId="45CEE715" w14:textId="2D83E3E0" w:rsidR="00812950" w:rsidRDefault="00812950" w:rsidP="002B7D6E">
      <w:pPr>
        <w:jc w:val="both"/>
        <w:rPr>
          <w:sz w:val="22"/>
          <w:szCs w:val="22"/>
        </w:rPr>
      </w:pPr>
    </w:p>
    <w:p w14:paraId="37C9DAA6" w14:textId="55D5D6B7" w:rsidR="00812950" w:rsidRDefault="00812950" w:rsidP="002B7D6E">
      <w:pPr>
        <w:jc w:val="both"/>
        <w:rPr>
          <w:sz w:val="22"/>
          <w:szCs w:val="22"/>
        </w:rPr>
      </w:pPr>
    </w:p>
    <w:p w14:paraId="079AFE1B" w14:textId="6012FA31" w:rsidR="00812950" w:rsidRDefault="00812950" w:rsidP="002B7D6E">
      <w:pPr>
        <w:jc w:val="both"/>
        <w:rPr>
          <w:sz w:val="22"/>
          <w:szCs w:val="22"/>
        </w:rPr>
      </w:pPr>
    </w:p>
    <w:p w14:paraId="53152655" w14:textId="77777777" w:rsidR="00812950" w:rsidRPr="00AA3D0C" w:rsidRDefault="00812950" w:rsidP="002B7D6E">
      <w:pPr>
        <w:jc w:val="both"/>
        <w:rPr>
          <w:sz w:val="22"/>
          <w:szCs w:val="22"/>
        </w:rPr>
      </w:pPr>
    </w:p>
    <w:p w14:paraId="26551EC0" w14:textId="77777777" w:rsidR="00AC6AF2" w:rsidRPr="00AA3D0C" w:rsidRDefault="00AC6AF2" w:rsidP="002B7D6E">
      <w:pPr>
        <w:jc w:val="both"/>
        <w:rPr>
          <w:sz w:val="22"/>
          <w:szCs w:val="22"/>
        </w:rPr>
      </w:pPr>
    </w:p>
    <w:p w14:paraId="2A8974F5" w14:textId="31F430C6" w:rsidR="002B7D6E" w:rsidRPr="00AA3D0C" w:rsidRDefault="002B7D6E" w:rsidP="002B7D6E">
      <w:pPr>
        <w:jc w:val="both"/>
        <w:rPr>
          <w:i/>
          <w:sz w:val="20"/>
          <w:szCs w:val="20"/>
        </w:rPr>
      </w:pPr>
      <w:r w:rsidRPr="00AA3D0C">
        <w:rPr>
          <w:i/>
          <w:sz w:val="20"/>
          <w:szCs w:val="20"/>
        </w:rPr>
        <w:lastRenderedPageBreak/>
        <w:t xml:space="preserve">Table </w:t>
      </w:r>
      <w:r w:rsidR="007310F2">
        <w:rPr>
          <w:i/>
          <w:sz w:val="20"/>
          <w:szCs w:val="20"/>
        </w:rPr>
        <w:t>7</w:t>
      </w:r>
      <w:r w:rsidRPr="00AA3D0C">
        <w:rPr>
          <w:i/>
          <w:sz w:val="20"/>
          <w:szCs w:val="20"/>
        </w:rPr>
        <w:t xml:space="preserve">: The following table presents the </w:t>
      </w:r>
      <w:proofErr w:type="spellStart"/>
      <w:r w:rsidR="00845BB7">
        <w:rPr>
          <w:i/>
          <w:sz w:val="20"/>
          <w:szCs w:val="20"/>
        </w:rPr>
        <w:t>treshold</w:t>
      </w:r>
      <w:proofErr w:type="spellEnd"/>
      <w:r w:rsidRPr="00AA3D0C">
        <w:rPr>
          <w:i/>
          <w:sz w:val="20"/>
          <w:szCs w:val="20"/>
        </w:rPr>
        <w:t xml:space="preserve"> for the examined glare metrics.</w:t>
      </w:r>
    </w:p>
    <w:p w14:paraId="7658A03C" w14:textId="77777777" w:rsidR="002B7D6E" w:rsidRPr="00AA3D0C" w:rsidRDefault="002B7D6E" w:rsidP="002B7D6E">
      <w:pPr>
        <w:jc w:val="both"/>
        <w:rPr>
          <w:sz w:val="22"/>
          <w:szCs w:val="22"/>
        </w:rPr>
      </w:pPr>
    </w:p>
    <w:tbl>
      <w:tblPr>
        <w:tblStyle w:val="TableGrid"/>
        <w:tblW w:w="8275" w:type="dxa"/>
        <w:tblBorders>
          <w:left w:val="none" w:sz="0" w:space="0" w:color="auto"/>
          <w:right w:val="none" w:sz="0" w:space="0" w:color="auto"/>
          <w:insideV w:val="none" w:sz="0" w:space="0" w:color="auto"/>
        </w:tblBorders>
        <w:tblLook w:val="04A0" w:firstRow="1" w:lastRow="0" w:firstColumn="1" w:lastColumn="0" w:noHBand="0" w:noVBand="1"/>
      </w:tblPr>
      <w:tblGrid>
        <w:gridCol w:w="1428"/>
        <w:gridCol w:w="845"/>
        <w:gridCol w:w="872"/>
        <w:gridCol w:w="842"/>
        <w:gridCol w:w="843"/>
        <w:gridCol w:w="847"/>
        <w:gridCol w:w="761"/>
        <w:gridCol w:w="850"/>
        <w:gridCol w:w="987"/>
      </w:tblGrid>
      <w:tr w:rsidR="002B7D6E" w:rsidRPr="00AA3D0C" w14:paraId="07449C05" w14:textId="77777777" w:rsidTr="006F4580">
        <w:tc>
          <w:tcPr>
            <w:tcW w:w="1427" w:type="dxa"/>
            <w:tcBorders>
              <w:right w:val="nil"/>
            </w:tcBorders>
          </w:tcPr>
          <w:p w14:paraId="410817B5" w14:textId="77777777" w:rsidR="002B7D6E" w:rsidRPr="00AA3D0C" w:rsidRDefault="002B7D6E" w:rsidP="006F4580">
            <w:pPr>
              <w:jc w:val="both"/>
              <w:rPr>
                <w:b/>
                <w:iCs/>
                <w:sz w:val="20"/>
                <w:szCs w:val="20"/>
              </w:rPr>
            </w:pPr>
            <w:r w:rsidRPr="00AA3D0C">
              <w:rPr>
                <w:b/>
                <w:i/>
                <w:sz w:val="20"/>
                <w:szCs w:val="20"/>
              </w:rPr>
              <w:t>Macro-categories</w:t>
            </w:r>
          </w:p>
          <w:p w14:paraId="6E82429C" w14:textId="77777777" w:rsidR="002B7D6E" w:rsidRPr="00AA3D0C" w:rsidRDefault="002B7D6E" w:rsidP="006F4580">
            <w:pPr>
              <w:jc w:val="both"/>
              <w:rPr>
                <w:b/>
                <w:i/>
                <w:sz w:val="20"/>
                <w:szCs w:val="20"/>
              </w:rPr>
            </w:pPr>
          </w:p>
        </w:tc>
        <w:tc>
          <w:tcPr>
            <w:tcW w:w="850" w:type="dxa"/>
            <w:tcBorders>
              <w:left w:val="nil"/>
            </w:tcBorders>
          </w:tcPr>
          <w:p w14:paraId="16423BEF" w14:textId="77777777" w:rsidR="002B7D6E" w:rsidRPr="00AA3D0C" w:rsidRDefault="002B7D6E" w:rsidP="006F4580">
            <w:pPr>
              <w:jc w:val="center"/>
              <w:rPr>
                <w:b/>
                <w:i/>
                <w:sz w:val="20"/>
                <w:szCs w:val="20"/>
              </w:rPr>
            </w:pPr>
            <w:r w:rsidRPr="00AA3D0C">
              <w:rPr>
                <w:b/>
                <w:i/>
                <w:sz w:val="20"/>
                <w:szCs w:val="20"/>
              </w:rPr>
              <w:t>VCP</w:t>
            </w:r>
          </w:p>
        </w:tc>
        <w:tc>
          <w:tcPr>
            <w:tcW w:w="861" w:type="dxa"/>
          </w:tcPr>
          <w:p w14:paraId="0601EA9D" w14:textId="77777777" w:rsidR="002B7D6E" w:rsidRPr="00AA3D0C" w:rsidRDefault="002B7D6E" w:rsidP="006F4580">
            <w:pPr>
              <w:jc w:val="center"/>
              <w:rPr>
                <w:b/>
                <w:i/>
                <w:sz w:val="20"/>
                <w:szCs w:val="20"/>
              </w:rPr>
            </w:pPr>
            <w:r w:rsidRPr="00AA3D0C">
              <w:rPr>
                <w:b/>
                <w:i/>
                <w:sz w:val="20"/>
                <w:szCs w:val="20"/>
              </w:rPr>
              <w:t>BRS/GI</w:t>
            </w:r>
          </w:p>
        </w:tc>
        <w:tc>
          <w:tcPr>
            <w:tcW w:w="848" w:type="dxa"/>
          </w:tcPr>
          <w:p w14:paraId="129231A6" w14:textId="77777777" w:rsidR="002B7D6E" w:rsidRPr="00AA3D0C" w:rsidRDefault="002B7D6E" w:rsidP="006F4580">
            <w:pPr>
              <w:jc w:val="center"/>
              <w:rPr>
                <w:b/>
                <w:i/>
                <w:sz w:val="20"/>
                <w:szCs w:val="20"/>
              </w:rPr>
            </w:pPr>
            <w:r w:rsidRPr="00AA3D0C">
              <w:rPr>
                <w:b/>
                <w:i/>
                <w:sz w:val="20"/>
                <w:szCs w:val="20"/>
              </w:rPr>
              <w:t>CGI</w:t>
            </w:r>
          </w:p>
        </w:tc>
        <w:tc>
          <w:tcPr>
            <w:tcW w:w="849" w:type="dxa"/>
          </w:tcPr>
          <w:p w14:paraId="0D877204" w14:textId="77777777" w:rsidR="002B7D6E" w:rsidRPr="00AA3D0C" w:rsidRDefault="002B7D6E" w:rsidP="006F4580">
            <w:pPr>
              <w:jc w:val="center"/>
              <w:rPr>
                <w:b/>
                <w:i/>
                <w:sz w:val="20"/>
                <w:szCs w:val="20"/>
              </w:rPr>
            </w:pPr>
            <w:r w:rsidRPr="00AA3D0C">
              <w:rPr>
                <w:b/>
                <w:i/>
                <w:sz w:val="20"/>
                <w:szCs w:val="20"/>
              </w:rPr>
              <w:t>DGI</w:t>
            </w:r>
          </w:p>
        </w:tc>
        <w:tc>
          <w:tcPr>
            <w:tcW w:w="852" w:type="dxa"/>
          </w:tcPr>
          <w:p w14:paraId="202DCC96" w14:textId="77777777" w:rsidR="002B7D6E" w:rsidRPr="00AA3D0C" w:rsidRDefault="002B7D6E" w:rsidP="006F4580">
            <w:pPr>
              <w:jc w:val="center"/>
              <w:rPr>
                <w:b/>
                <w:i/>
                <w:sz w:val="20"/>
                <w:szCs w:val="20"/>
              </w:rPr>
            </w:pPr>
            <w:r w:rsidRPr="00AA3D0C">
              <w:rPr>
                <w:b/>
                <w:i/>
                <w:sz w:val="20"/>
                <w:szCs w:val="20"/>
              </w:rPr>
              <w:t>UGR</w:t>
            </w:r>
          </w:p>
        </w:tc>
        <w:tc>
          <w:tcPr>
            <w:tcW w:w="762" w:type="dxa"/>
          </w:tcPr>
          <w:p w14:paraId="180E54C3" w14:textId="77777777" w:rsidR="002B7D6E" w:rsidRPr="00AA3D0C" w:rsidRDefault="002B7D6E" w:rsidP="006F4580">
            <w:pPr>
              <w:jc w:val="center"/>
              <w:rPr>
                <w:b/>
                <w:i/>
                <w:sz w:val="20"/>
                <w:szCs w:val="20"/>
              </w:rPr>
            </w:pPr>
            <w:r w:rsidRPr="00AA3D0C">
              <w:rPr>
                <w:b/>
                <w:i/>
                <w:sz w:val="20"/>
                <w:szCs w:val="20"/>
              </w:rPr>
              <w:t>PGSV</w:t>
            </w:r>
          </w:p>
        </w:tc>
        <w:tc>
          <w:tcPr>
            <w:tcW w:w="839" w:type="dxa"/>
          </w:tcPr>
          <w:p w14:paraId="78D66E24" w14:textId="77777777" w:rsidR="002B7D6E" w:rsidRPr="00AA3D0C" w:rsidRDefault="002B7D6E" w:rsidP="006F4580">
            <w:pPr>
              <w:jc w:val="center"/>
              <w:rPr>
                <w:b/>
                <w:iCs/>
                <w:sz w:val="20"/>
                <w:szCs w:val="20"/>
              </w:rPr>
            </w:pPr>
            <w:r w:rsidRPr="00AA3D0C">
              <w:rPr>
                <w:b/>
                <w:i/>
                <w:sz w:val="20"/>
                <w:szCs w:val="20"/>
              </w:rPr>
              <w:t>DGP</w:t>
            </w:r>
          </w:p>
          <w:p w14:paraId="554C48D9" w14:textId="77777777" w:rsidR="002B7D6E" w:rsidRPr="00AA3D0C" w:rsidRDefault="002B7D6E" w:rsidP="006F4580">
            <w:pPr>
              <w:jc w:val="center"/>
              <w:rPr>
                <w:b/>
                <w:iCs/>
                <w:sz w:val="20"/>
                <w:szCs w:val="20"/>
              </w:rPr>
            </w:pPr>
            <w:r w:rsidRPr="00AA3D0C">
              <w:rPr>
                <w:b/>
                <w:i/>
                <w:sz w:val="20"/>
                <w:szCs w:val="20"/>
              </w:rPr>
              <w:t>/DGPs</w:t>
            </w:r>
          </w:p>
          <w:p w14:paraId="6A938AB7" w14:textId="77777777" w:rsidR="002B7D6E" w:rsidRPr="00AA3D0C" w:rsidRDefault="002B7D6E" w:rsidP="006F4580">
            <w:pPr>
              <w:jc w:val="center"/>
              <w:rPr>
                <w:b/>
                <w:i/>
                <w:sz w:val="20"/>
                <w:szCs w:val="20"/>
              </w:rPr>
            </w:pPr>
            <w:r w:rsidRPr="00AA3D0C">
              <w:rPr>
                <w:b/>
                <w:i/>
                <w:sz w:val="20"/>
                <w:szCs w:val="20"/>
              </w:rPr>
              <w:t>/</w:t>
            </w:r>
            <w:proofErr w:type="spellStart"/>
            <w:r w:rsidRPr="00AA3D0C">
              <w:rPr>
                <w:b/>
                <w:i/>
                <w:sz w:val="20"/>
                <w:szCs w:val="20"/>
              </w:rPr>
              <w:t>eDGPs</w:t>
            </w:r>
            <w:proofErr w:type="spellEnd"/>
          </w:p>
        </w:tc>
        <w:tc>
          <w:tcPr>
            <w:tcW w:w="987" w:type="dxa"/>
          </w:tcPr>
          <w:p w14:paraId="393D7F2C" w14:textId="77777777" w:rsidR="002B7D6E" w:rsidRPr="00AA3D0C" w:rsidRDefault="002B7D6E" w:rsidP="006F4580">
            <w:pPr>
              <w:jc w:val="center"/>
              <w:rPr>
                <w:b/>
                <w:i/>
                <w:sz w:val="20"/>
                <w:szCs w:val="20"/>
              </w:rPr>
            </w:pPr>
            <w:proofErr w:type="spellStart"/>
            <w:r w:rsidRPr="00AA3D0C">
              <w:rPr>
                <w:b/>
                <w:i/>
                <w:color w:val="000000" w:themeColor="text1"/>
                <w:sz w:val="20"/>
                <w:szCs w:val="20"/>
              </w:rPr>
              <w:t>DGPmod</w:t>
            </w:r>
            <w:proofErr w:type="spellEnd"/>
          </w:p>
        </w:tc>
      </w:tr>
      <w:tr w:rsidR="002B7D6E" w:rsidRPr="00AA3D0C" w14:paraId="08F8EB5E" w14:textId="77777777" w:rsidTr="006F4580">
        <w:tc>
          <w:tcPr>
            <w:tcW w:w="1427" w:type="dxa"/>
            <w:tcBorders>
              <w:right w:val="nil"/>
            </w:tcBorders>
            <w:shd w:val="clear" w:color="auto" w:fill="D9D9D9" w:themeFill="background1" w:themeFillShade="D9"/>
          </w:tcPr>
          <w:p w14:paraId="6E2227E8" w14:textId="77777777" w:rsidR="002B7D6E" w:rsidRPr="00AA3D0C" w:rsidRDefault="002B7D6E" w:rsidP="006F4580">
            <w:pPr>
              <w:jc w:val="both"/>
              <w:rPr>
                <w:i/>
                <w:sz w:val="20"/>
                <w:szCs w:val="20"/>
              </w:rPr>
            </w:pPr>
            <w:r w:rsidRPr="00AA3D0C">
              <w:rPr>
                <w:i/>
                <w:sz w:val="20"/>
                <w:szCs w:val="20"/>
              </w:rPr>
              <w:t>Imperceptible</w:t>
            </w:r>
          </w:p>
          <w:p w14:paraId="2F61E30C" w14:textId="77777777" w:rsidR="002B7D6E" w:rsidRPr="00AA3D0C" w:rsidRDefault="002B7D6E" w:rsidP="006F4580">
            <w:pPr>
              <w:jc w:val="both"/>
              <w:rPr>
                <w:i/>
                <w:sz w:val="20"/>
                <w:szCs w:val="20"/>
              </w:rPr>
            </w:pPr>
          </w:p>
        </w:tc>
        <w:tc>
          <w:tcPr>
            <w:tcW w:w="850" w:type="dxa"/>
            <w:tcBorders>
              <w:left w:val="nil"/>
            </w:tcBorders>
            <w:shd w:val="clear" w:color="auto" w:fill="D9D9D9" w:themeFill="background1" w:themeFillShade="D9"/>
          </w:tcPr>
          <w:p w14:paraId="59500F43" w14:textId="77777777" w:rsidR="002B7D6E" w:rsidRPr="00AA3D0C" w:rsidRDefault="002B7D6E" w:rsidP="006F4580">
            <w:pPr>
              <w:jc w:val="center"/>
              <w:rPr>
                <w:sz w:val="20"/>
                <w:szCs w:val="20"/>
              </w:rPr>
            </w:pPr>
            <w:r w:rsidRPr="00AA3D0C">
              <w:rPr>
                <w:sz w:val="20"/>
                <w:szCs w:val="20"/>
              </w:rPr>
              <w:t>80-100</w:t>
            </w:r>
          </w:p>
        </w:tc>
        <w:tc>
          <w:tcPr>
            <w:tcW w:w="861" w:type="dxa"/>
            <w:shd w:val="clear" w:color="auto" w:fill="D9D9D9" w:themeFill="background1" w:themeFillShade="D9"/>
          </w:tcPr>
          <w:p w14:paraId="6F665740" w14:textId="77777777" w:rsidR="002B7D6E" w:rsidRPr="00AA3D0C" w:rsidRDefault="002B7D6E" w:rsidP="006F4580">
            <w:pPr>
              <w:jc w:val="center"/>
              <w:rPr>
                <w:sz w:val="20"/>
                <w:szCs w:val="20"/>
              </w:rPr>
            </w:pPr>
          </w:p>
        </w:tc>
        <w:tc>
          <w:tcPr>
            <w:tcW w:w="848" w:type="dxa"/>
            <w:shd w:val="clear" w:color="auto" w:fill="D9D9D9" w:themeFill="background1" w:themeFillShade="D9"/>
          </w:tcPr>
          <w:p w14:paraId="442E3141" w14:textId="77777777" w:rsidR="002B7D6E" w:rsidRPr="00AA3D0C" w:rsidRDefault="002B7D6E" w:rsidP="006F4580">
            <w:pPr>
              <w:jc w:val="center"/>
              <w:rPr>
                <w:sz w:val="20"/>
                <w:szCs w:val="20"/>
              </w:rPr>
            </w:pPr>
            <w:r w:rsidRPr="00AA3D0C">
              <w:rPr>
                <w:sz w:val="20"/>
                <w:szCs w:val="20"/>
              </w:rPr>
              <w:t>≥10</w:t>
            </w:r>
          </w:p>
        </w:tc>
        <w:tc>
          <w:tcPr>
            <w:tcW w:w="849" w:type="dxa"/>
            <w:shd w:val="clear" w:color="auto" w:fill="D9D9D9" w:themeFill="background1" w:themeFillShade="D9"/>
          </w:tcPr>
          <w:p w14:paraId="3B245FF5" w14:textId="77777777" w:rsidR="002B7D6E" w:rsidRPr="00AA3D0C" w:rsidRDefault="002B7D6E" w:rsidP="006F4580">
            <w:pPr>
              <w:jc w:val="center"/>
              <w:rPr>
                <w:sz w:val="20"/>
                <w:szCs w:val="20"/>
              </w:rPr>
            </w:pPr>
          </w:p>
        </w:tc>
        <w:tc>
          <w:tcPr>
            <w:tcW w:w="852" w:type="dxa"/>
            <w:shd w:val="clear" w:color="auto" w:fill="D9D9D9" w:themeFill="background1" w:themeFillShade="D9"/>
          </w:tcPr>
          <w:p w14:paraId="7D820F92" w14:textId="77777777" w:rsidR="002B7D6E" w:rsidRPr="00AA3D0C" w:rsidRDefault="002B7D6E" w:rsidP="006F4580">
            <w:pPr>
              <w:jc w:val="center"/>
              <w:rPr>
                <w:sz w:val="20"/>
                <w:szCs w:val="20"/>
              </w:rPr>
            </w:pPr>
            <w:r w:rsidRPr="00AA3D0C">
              <w:rPr>
                <w:sz w:val="20"/>
                <w:szCs w:val="20"/>
              </w:rPr>
              <w:t>≥10</w:t>
            </w:r>
          </w:p>
        </w:tc>
        <w:tc>
          <w:tcPr>
            <w:tcW w:w="762" w:type="dxa"/>
            <w:shd w:val="clear" w:color="auto" w:fill="D9D9D9" w:themeFill="background1" w:themeFillShade="D9"/>
          </w:tcPr>
          <w:p w14:paraId="019C3E84" w14:textId="77777777" w:rsidR="002B7D6E" w:rsidRPr="00AA3D0C" w:rsidRDefault="002B7D6E" w:rsidP="006F4580">
            <w:pPr>
              <w:jc w:val="center"/>
              <w:rPr>
                <w:sz w:val="20"/>
                <w:szCs w:val="20"/>
              </w:rPr>
            </w:pPr>
          </w:p>
        </w:tc>
        <w:tc>
          <w:tcPr>
            <w:tcW w:w="839" w:type="dxa"/>
            <w:shd w:val="clear" w:color="auto" w:fill="D9D9D9" w:themeFill="background1" w:themeFillShade="D9"/>
          </w:tcPr>
          <w:p w14:paraId="621705C6" w14:textId="77777777" w:rsidR="002B7D6E" w:rsidRPr="00AA3D0C" w:rsidRDefault="002B7D6E" w:rsidP="006F4580">
            <w:pPr>
              <w:jc w:val="center"/>
              <w:rPr>
                <w:sz w:val="20"/>
                <w:szCs w:val="20"/>
              </w:rPr>
            </w:pPr>
            <w:r w:rsidRPr="00AA3D0C">
              <w:rPr>
                <w:sz w:val="20"/>
                <w:szCs w:val="20"/>
              </w:rPr>
              <w:t>&lt;0.35</w:t>
            </w:r>
          </w:p>
        </w:tc>
        <w:tc>
          <w:tcPr>
            <w:tcW w:w="987" w:type="dxa"/>
            <w:shd w:val="clear" w:color="auto" w:fill="D9D9D9" w:themeFill="background1" w:themeFillShade="D9"/>
          </w:tcPr>
          <w:p w14:paraId="28456323" w14:textId="77777777" w:rsidR="002B7D6E" w:rsidRPr="00AA3D0C" w:rsidRDefault="002B7D6E" w:rsidP="006F4580">
            <w:pPr>
              <w:jc w:val="center"/>
              <w:rPr>
                <w:sz w:val="20"/>
                <w:szCs w:val="20"/>
              </w:rPr>
            </w:pPr>
            <w:r w:rsidRPr="00AA3D0C">
              <w:rPr>
                <w:sz w:val="20"/>
                <w:szCs w:val="20"/>
              </w:rPr>
              <w:t>&lt;0.35</w:t>
            </w:r>
          </w:p>
        </w:tc>
      </w:tr>
      <w:tr w:rsidR="002B7D6E" w:rsidRPr="00AA3D0C" w14:paraId="2B43F201" w14:textId="77777777" w:rsidTr="006F4580">
        <w:tc>
          <w:tcPr>
            <w:tcW w:w="1427" w:type="dxa"/>
            <w:tcBorders>
              <w:right w:val="nil"/>
            </w:tcBorders>
          </w:tcPr>
          <w:p w14:paraId="506A2AB9" w14:textId="77777777" w:rsidR="002B7D6E" w:rsidRPr="00AA3D0C" w:rsidRDefault="002B7D6E" w:rsidP="006F4580">
            <w:pPr>
              <w:jc w:val="both"/>
              <w:rPr>
                <w:i/>
                <w:sz w:val="20"/>
                <w:szCs w:val="20"/>
              </w:rPr>
            </w:pPr>
            <w:r w:rsidRPr="00AA3D0C">
              <w:rPr>
                <w:i/>
                <w:sz w:val="20"/>
                <w:szCs w:val="20"/>
              </w:rPr>
              <w:t>Just perceptible</w:t>
            </w:r>
          </w:p>
        </w:tc>
        <w:tc>
          <w:tcPr>
            <w:tcW w:w="850" w:type="dxa"/>
            <w:tcBorders>
              <w:left w:val="nil"/>
            </w:tcBorders>
          </w:tcPr>
          <w:p w14:paraId="13F5D02E" w14:textId="77777777" w:rsidR="002B7D6E" w:rsidRPr="00AA3D0C" w:rsidRDefault="002B7D6E" w:rsidP="006F4580">
            <w:pPr>
              <w:jc w:val="center"/>
              <w:rPr>
                <w:sz w:val="20"/>
                <w:szCs w:val="20"/>
              </w:rPr>
            </w:pPr>
          </w:p>
        </w:tc>
        <w:tc>
          <w:tcPr>
            <w:tcW w:w="861" w:type="dxa"/>
          </w:tcPr>
          <w:p w14:paraId="58402770" w14:textId="77777777" w:rsidR="002B7D6E" w:rsidRPr="00AA3D0C" w:rsidRDefault="002B7D6E" w:rsidP="006F4580">
            <w:pPr>
              <w:jc w:val="center"/>
              <w:rPr>
                <w:sz w:val="20"/>
                <w:szCs w:val="20"/>
              </w:rPr>
            </w:pPr>
            <w:r w:rsidRPr="00AA3D0C">
              <w:rPr>
                <w:sz w:val="20"/>
                <w:szCs w:val="20"/>
              </w:rPr>
              <w:t>10</w:t>
            </w:r>
          </w:p>
        </w:tc>
        <w:tc>
          <w:tcPr>
            <w:tcW w:w="848" w:type="dxa"/>
          </w:tcPr>
          <w:p w14:paraId="3035CC67" w14:textId="77777777" w:rsidR="002B7D6E" w:rsidRPr="00AA3D0C" w:rsidRDefault="002B7D6E" w:rsidP="006F4580">
            <w:pPr>
              <w:jc w:val="center"/>
              <w:rPr>
                <w:sz w:val="20"/>
                <w:szCs w:val="20"/>
              </w:rPr>
            </w:pPr>
            <w:r w:rsidRPr="00AA3D0C">
              <w:rPr>
                <w:sz w:val="20"/>
                <w:szCs w:val="20"/>
              </w:rPr>
              <w:t>≥13</w:t>
            </w:r>
          </w:p>
        </w:tc>
        <w:tc>
          <w:tcPr>
            <w:tcW w:w="849" w:type="dxa"/>
          </w:tcPr>
          <w:p w14:paraId="1AEF67A8" w14:textId="77777777" w:rsidR="002B7D6E" w:rsidRPr="00AA3D0C" w:rsidRDefault="002B7D6E" w:rsidP="006F4580">
            <w:pPr>
              <w:jc w:val="center"/>
              <w:rPr>
                <w:sz w:val="20"/>
                <w:szCs w:val="20"/>
              </w:rPr>
            </w:pPr>
            <w:r w:rsidRPr="00AA3D0C">
              <w:rPr>
                <w:sz w:val="20"/>
                <w:szCs w:val="20"/>
              </w:rPr>
              <w:t>&gt;16</w:t>
            </w:r>
          </w:p>
        </w:tc>
        <w:tc>
          <w:tcPr>
            <w:tcW w:w="852" w:type="dxa"/>
          </w:tcPr>
          <w:p w14:paraId="6D686282" w14:textId="77777777" w:rsidR="002B7D6E" w:rsidRPr="00AA3D0C" w:rsidRDefault="002B7D6E" w:rsidP="006F4580">
            <w:pPr>
              <w:jc w:val="center"/>
              <w:rPr>
                <w:sz w:val="20"/>
                <w:szCs w:val="20"/>
              </w:rPr>
            </w:pPr>
            <w:r w:rsidRPr="00AA3D0C">
              <w:rPr>
                <w:sz w:val="20"/>
                <w:szCs w:val="20"/>
              </w:rPr>
              <w:t>≥13</w:t>
            </w:r>
          </w:p>
        </w:tc>
        <w:tc>
          <w:tcPr>
            <w:tcW w:w="762" w:type="dxa"/>
          </w:tcPr>
          <w:p w14:paraId="58980432" w14:textId="77777777" w:rsidR="002B7D6E" w:rsidRPr="00AA3D0C" w:rsidRDefault="002B7D6E" w:rsidP="006F4580">
            <w:pPr>
              <w:jc w:val="center"/>
              <w:rPr>
                <w:sz w:val="20"/>
                <w:szCs w:val="20"/>
              </w:rPr>
            </w:pPr>
            <w:r w:rsidRPr="00AA3D0C">
              <w:rPr>
                <w:sz w:val="20"/>
                <w:szCs w:val="20"/>
              </w:rPr>
              <w:t>0</w:t>
            </w:r>
          </w:p>
        </w:tc>
        <w:tc>
          <w:tcPr>
            <w:tcW w:w="839" w:type="dxa"/>
          </w:tcPr>
          <w:p w14:paraId="5AE5CC74" w14:textId="77777777" w:rsidR="002B7D6E" w:rsidRPr="00AA3D0C" w:rsidRDefault="002B7D6E" w:rsidP="006F4580">
            <w:pPr>
              <w:jc w:val="center"/>
              <w:rPr>
                <w:sz w:val="20"/>
                <w:szCs w:val="20"/>
              </w:rPr>
            </w:pPr>
          </w:p>
        </w:tc>
        <w:tc>
          <w:tcPr>
            <w:tcW w:w="987" w:type="dxa"/>
          </w:tcPr>
          <w:p w14:paraId="3CE15342" w14:textId="77777777" w:rsidR="002B7D6E" w:rsidRPr="00AA3D0C" w:rsidRDefault="002B7D6E" w:rsidP="006F4580">
            <w:pPr>
              <w:jc w:val="center"/>
              <w:rPr>
                <w:sz w:val="20"/>
                <w:szCs w:val="20"/>
              </w:rPr>
            </w:pPr>
          </w:p>
        </w:tc>
      </w:tr>
      <w:tr w:rsidR="002B7D6E" w:rsidRPr="00AA3D0C" w14:paraId="546BC635" w14:textId="77777777" w:rsidTr="006F4580">
        <w:tc>
          <w:tcPr>
            <w:tcW w:w="1427" w:type="dxa"/>
            <w:tcBorders>
              <w:right w:val="nil"/>
            </w:tcBorders>
          </w:tcPr>
          <w:p w14:paraId="68A7E0D6" w14:textId="77777777" w:rsidR="002B7D6E" w:rsidRPr="00AA3D0C" w:rsidRDefault="002B7D6E" w:rsidP="006F4580">
            <w:pPr>
              <w:jc w:val="both"/>
              <w:rPr>
                <w:iCs/>
                <w:sz w:val="20"/>
                <w:szCs w:val="20"/>
              </w:rPr>
            </w:pPr>
            <w:r w:rsidRPr="00AA3D0C">
              <w:rPr>
                <w:i/>
                <w:sz w:val="20"/>
                <w:szCs w:val="20"/>
              </w:rPr>
              <w:t>Noticeable</w:t>
            </w:r>
          </w:p>
          <w:p w14:paraId="0B694EBB" w14:textId="77777777" w:rsidR="002B7D6E" w:rsidRPr="00AA3D0C" w:rsidRDefault="002B7D6E" w:rsidP="006F4580">
            <w:pPr>
              <w:jc w:val="both"/>
              <w:rPr>
                <w:i/>
                <w:sz w:val="20"/>
                <w:szCs w:val="20"/>
              </w:rPr>
            </w:pPr>
          </w:p>
        </w:tc>
        <w:tc>
          <w:tcPr>
            <w:tcW w:w="850" w:type="dxa"/>
            <w:tcBorders>
              <w:left w:val="nil"/>
            </w:tcBorders>
          </w:tcPr>
          <w:p w14:paraId="61FE1F5E" w14:textId="77777777" w:rsidR="002B7D6E" w:rsidRPr="00AA3D0C" w:rsidRDefault="002B7D6E" w:rsidP="006F4580">
            <w:pPr>
              <w:jc w:val="center"/>
              <w:rPr>
                <w:sz w:val="20"/>
                <w:szCs w:val="20"/>
              </w:rPr>
            </w:pPr>
          </w:p>
        </w:tc>
        <w:tc>
          <w:tcPr>
            <w:tcW w:w="861" w:type="dxa"/>
          </w:tcPr>
          <w:p w14:paraId="6D064544" w14:textId="77777777" w:rsidR="002B7D6E" w:rsidRPr="00AA3D0C" w:rsidRDefault="002B7D6E" w:rsidP="006F4580">
            <w:pPr>
              <w:jc w:val="center"/>
              <w:rPr>
                <w:sz w:val="20"/>
                <w:szCs w:val="20"/>
              </w:rPr>
            </w:pPr>
          </w:p>
        </w:tc>
        <w:tc>
          <w:tcPr>
            <w:tcW w:w="848" w:type="dxa"/>
          </w:tcPr>
          <w:p w14:paraId="249C4607" w14:textId="77777777" w:rsidR="002B7D6E" w:rsidRPr="00AA3D0C" w:rsidRDefault="002B7D6E" w:rsidP="006F4580">
            <w:pPr>
              <w:jc w:val="center"/>
              <w:rPr>
                <w:sz w:val="20"/>
                <w:szCs w:val="20"/>
              </w:rPr>
            </w:pPr>
          </w:p>
        </w:tc>
        <w:tc>
          <w:tcPr>
            <w:tcW w:w="849" w:type="dxa"/>
          </w:tcPr>
          <w:p w14:paraId="1A374BFE" w14:textId="77777777" w:rsidR="002B7D6E" w:rsidRPr="00AA3D0C" w:rsidRDefault="002B7D6E" w:rsidP="006F4580">
            <w:pPr>
              <w:jc w:val="center"/>
              <w:rPr>
                <w:sz w:val="20"/>
                <w:szCs w:val="20"/>
              </w:rPr>
            </w:pPr>
            <w:r w:rsidRPr="00AA3D0C">
              <w:rPr>
                <w:sz w:val="20"/>
                <w:szCs w:val="20"/>
              </w:rPr>
              <w:t>&gt;18</w:t>
            </w:r>
          </w:p>
        </w:tc>
        <w:tc>
          <w:tcPr>
            <w:tcW w:w="852" w:type="dxa"/>
          </w:tcPr>
          <w:p w14:paraId="566B13C2" w14:textId="77777777" w:rsidR="002B7D6E" w:rsidRPr="00AA3D0C" w:rsidRDefault="002B7D6E" w:rsidP="006F4580">
            <w:pPr>
              <w:jc w:val="center"/>
              <w:rPr>
                <w:sz w:val="20"/>
                <w:szCs w:val="20"/>
              </w:rPr>
            </w:pPr>
          </w:p>
        </w:tc>
        <w:tc>
          <w:tcPr>
            <w:tcW w:w="762" w:type="dxa"/>
          </w:tcPr>
          <w:p w14:paraId="64E1D410" w14:textId="77777777" w:rsidR="002B7D6E" w:rsidRPr="00AA3D0C" w:rsidRDefault="002B7D6E" w:rsidP="006F4580">
            <w:pPr>
              <w:jc w:val="center"/>
              <w:rPr>
                <w:sz w:val="20"/>
                <w:szCs w:val="20"/>
              </w:rPr>
            </w:pPr>
          </w:p>
        </w:tc>
        <w:tc>
          <w:tcPr>
            <w:tcW w:w="839" w:type="dxa"/>
          </w:tcPr>
          <w:p w14:paraId="46915ACE" w14:textId="77777777" w:rsidR="002B7D6E" w:rsidRPr="00AA3D0C" w:rsidRDefault="002B7D6E" w:rsidP="006F4580">
            <w:pPr>
              <w:jc w:val="center"/>
              <w:rPr>
                <w:sz w:val="20"/>
                <w:szCs w:val="20"/>
              </w:rPr>
            </w:pPr>
          </w:p>
        </w:tc>
        <w:tc>
          <w:tcPr>
            <w:tcW w:w="987" w:type="dxa"/>
          </w:tcPr>
          <w:p w14:paraId="51556761" w14:textId="77777777" w:rsidR="002B7D6E" w:rsidRPr="00AA3D0C" w:rsidRDefault="002B7D6E" w:rsidP="006F4580">
            <w:pPr>
              <w:jc w:val="center"/>
              <w:rPr>
                <w:sz w:val="20"/>
                <w:szCs w:val="20"/>
              </w:rPr>
            </w:pPr>
          </w:p>
        </w:tc>
      </w:tr>
      <w:tr w:rsidR="002B7D6E" w:rsidRPr="00AA3D0C" w14:paraId="7E0E11B5" w14:textId="77777777" w:rsidTr="006F4580">
        <w:tc>
          <w:tcPr>
            <w:tcW w:w="1427" w:type="dxa"/>
            <w:tcBorders>
              <w:right w:val="nil"/>
            </w:tcBorders>
            <w:shd w:val="clear" w:color="auto" w:fill="D9D9D9" w:themeFill="background1" w:themeFillShade="D9"/>
          </w:tcPr>
          <w:p w14:paraId="459FD484" w14:textId="77777777" w:rsidR="002B7D6E" w:rsidRPr="00AA3D0C" w:rsidRDefault="002B7D6E" w:rsidP="006F4580">
            <w:pPr>
              <w:jc w:val="both"/>
              <w:rPr>
                <w:i/>
                <w:sz w:val="20"/>
                <w:szCs w:val="20"/>
              </w:rPr>
            </w:pPr>
            <w:r w:rsidRPr="00AA3D0C">
              <w:rPr>
                <w:i/>
                <w:sz w:val="20"/>
                <w:szCs w:val="20"/>
              </w:rPr>
              <w:t>Perceptible</w:t>
            </w:r>
          </w:p>
          <w:p w14:paraId="1FA8B00F" w14:textId="77777777" w:rsidR="002B7D6E" w:rsidRPr="00AA3D0C" w:rsidRDefault="002B7D6E" w:rsidP="006F4580">
            <w:pPr>
              <w:jc w:val="both"/>
              <w:rPr>
                <w:i/>
                <w:sz w:val="20"/>
                <w:szCs w:val="20"/>
              </w:rPr>
            </w:pPr>
          </w:p>
        </w:tc>
        <w:tc>
          <w:tcPr>
            <w:tcW w:w="850" w:type="dxa"/>
            <w:tcBorders>
              <w:left w:val="nil"/>
            </w:tcBorders>
            <w:shd w:val="clear" w:color="auto" w:fill="D9D9D9" w:themeFill="background1" w:themeFillShade="D9"/>
          </w:tcPr>
          <w:p w14:paraId="2576FCB4" w14:textId="77777777" w:rsidR="002B7D6E" w:rsidRPr="00AA3D0C" w:rsidRDefault="002B7D6E" w:rsidP="006F4580">
            <w:pPr>
              <w:jc w:val="center"/>
              <w:rPr>
                <w:sz w:val="20"/>
                <w:szCs w:val="20"/>
              </w:rPr>
            </w:pPr>
            <w:r w:rsidRPr="00AA3D0C">
              <w:rPr>
                <w:sz w:val="20"/>
                <w:szCs w:val="20"/>
              </w:rPr>
              <w:t>60-80</w:t>
            </w:r>
          </w:p>
        </w:tc>
        <w:tc>
          <w:tcPr>
            <w:tcW w:w="861" w:type="dxa"/>
            <w:shd w:val="clear" w:color="auto" w:fill="D9D9D9" w:themeFill="background1" w:themeFillShade="D9"/>
          </w:tcPr>
          <w:p w14:paraId="60C94348" w14:textId="77777777" w:rsidR="002B7D6E" w:rsidRPr="00AA3D0C" w:rsidRDefault="002B7D6E" w:rsidP="006F4580">
            <w:pPr>
              <w:jc w:val="center"/>
              <w:rPr>
                <w:sz w:val="20"/>
                <w:szCs w:val="20"/>
              </w:rPr>
            </w:pPr>
            <w:r w:rsidRPr="00AA3D0C">
              <w:rPr>
                <w:sz w:val="20"/>
                <w:szCs w:val="20"/>
              </w:rPr>
              <w:t>13</w:t>
            </w:r>
          </w:p>
        </w:tc>
        <w:tc>
          <w:tcPr>
            <w:tcW w:w="848" w:type="dxa"/>
            <w:shd w:val="clear" w:color="auto" w:fill="D9D9D9" w:themeFill="background1" w:themeFillShade="D9"/>
          </w:tcPr>
          <w:p w14:paraId="2426FC59" w14:textId="77777777" w:rsidR="002B7D6E" w:rsidRPr="00AA3D0C" w:rsidRDefault="002B7D6E" w:rsidP="006F4580">
            <w:pPr>
              <w:jc w:val="center"/>
              <w:rPr>
                <w:sz w:val="20"/>
                <w:szCs w:val="20"/>
              </w:rPr>
            </w:pPr>
            <w:r w:rsidRPr="00AA3D0C">
              <w:rPr>
                <w:sz w:val="20"/>
                <w:szCs w:val="20"/>
              </w:rPr>
              <w:t>≥16</w:t>
            </w:r>
          </w:p>
        </w:tc>
        <w:tc>
          <w:tcPr>
            <w:tcW w:w="849" w:type="dxa"/>
            <w:shd w:val="clear" w:color="auto" w:fill="D9D9D9" w:themeFill="background1" w:themeFillShade="D9"/>
          </w:tcPr>
          <w:p w14:paraId="06AB97FC" w14:textId="77777777" w:rsidR="002B7D6E" w:rsidRPr="00AA3D0C" w:rsidRDefault="002B7D6E" w:rsidP="006F4580">
            <w:pPr>
              <w:jc w:val="center"/>
              <w:rPr>
                <w:sz w:val="20"/>
                <w:szCs w:val="20"/>
              </w:rPr>
            </w:pPr>
          </w:p>
        </w:tc>
        <w:tc>
          <w:tcPr>
            <w:tcW w:w="852" w:type="dxa"/>
            <w:shd w:val="clear" w:color="auto" w:fill="D9D9D9" w:themeFill="background1" w:themeFillShade="D9"/>
          </w:tcPr>
          <w:p w14:paraId="7FF2541E" w14:textId="77777777" w:rsidR="002B7D6E" w:rsidRPr="00AA3D0C" w:rsidRDefault="002B7D6E" w:rsidP="006F4580">
            <w:pPr>
              <w:jc w:val="center"/>
              <w:rPr>
                <w:sz w:val="20"/>
                <w:szCs w:val="20"/>
              </w:rPr>
            </w:pPr>
            <w:r w:rsidRPr="00AA3D0C">
              <w:rPr>
                <w:sz w:val="20"/>
                <w:szCs w:val="20"/>
              </w:rPr>
              <w:t>≥16</w:t>
            </w:r>
          </w:p>
        </w:tc>
        <w:tc>
          <w:tcPr>
            <w:tcW w:w="762" w:type="dxa"/>
            <w:shd w:val="clear" w:color="auto" w:fill="D9D9D9" w:themeFill="background1" w:themeFillShade="D9"/>
          </w:tcPr>
          <w:p w14:paraId="0E91FE3C" w14:textId="77777777" w:rsidR="002B7D6E" w:rsidRPr="00AA3D0C" w:rsidRDefault="002B7D6E" w:rsidP="006F4580">
            <w:pPr>
              <w:jc w:val="center"/>
              <w:rPr>
                <w:sz w:val="20"/>
                <w:szCs w:val="20"/>
              </w:rPr>
            </w:pPr>
          </w:p>
        </w:tc>
        <w:tc>
          <w:tcPr>
            <w:tcW w:w="839" w:type="dxa"/>
            <w:shd w:val="clear" w:color="auto" w:fill="D9D9D9" w:themeFill="background1" w:themeFillShade="D9"/>
          </w:tcPr>
          <w:p w14:paraId="11D2F6AD" w14:textId="77777777" w:rsidR="002B7D6E" w:rsidRPr="00AA3D0C" w:rsidRDefault="002B7D6E" w:rsidP="006F4580">
            <w:pPr>
              <w:jc w:val="center"/>
              <w:rPr>
                <w:sz w:val="20"/>
                <w:szCs w:val="20"/>
              </w:rPr>
            </w:pPr>
            <w:r w:rsidRPr="00AA3D0C">
              <w:rPr>
                <w:sz w:val="20"/>
                <w:szCs w:val="20"/>
              </w:rPr>
              <w:t>0.35– 0.40</w:t>
            </w:r>
          </w:p>
        </w:tc>
        <w:tc>
          <w:tcPr>
            <w:tcW w:w="987" w:type="dxa"/>
            <w:shd w:val="clear" w:color="auto" w:fill="D9D9D9" w:themeFill="background1" w:themeFillShade="D9"/>
          </w:tcPr>
          <w:p w14:paraId="654E0B22" w14:textId="77777777" w:rsidR="002B7D6E" w:rsidRPr="00AA3D0C" w:rsidRDefault="002B7D6E" w:rsidP="006F4580">
            <w:pPr>
              <w:jc w:val="center"/>
              <w:rPr>
                <w:sz w:val="20"/>
                <w:szCs w:val="20"/>
              </w:rPr>
            </w:pPr>
            <w:r w:rsidRPr="00AA3D0C">
              <w:rPr>
                <w:sz w:val="20"/>
                <w:szCs w:val="20"/>
              </w:rPr>
              <w:t>0.35– 0.44</w:t>
            </w:r>
          </w:p>
        </w:tc>
      </w:tr>
      <w:tr w:rsidR="002B7D6E" w:rsidRPr="00AA3D0C" w14:paraId="43960CAD" w14:textId="77777777" w:rsidTr="006F4580">
        <w:tc>
          <w:tcPr>
            <w:tcW w:w="1427" w:type="dxa"/>
            <w:tcBorders>
              <w:right w:val="nil"/>
            </w:tcBorders>
          </w:tcPr>
          <w:p w14:paraId="7CCA3E58" w14:textId="77777777" w:rsidR="002B7D6E" w:rsidRPr="00AA3D0C" w:rsidRDefault="002B7D6E" w:rsidP="006F4580">
            <w:pPr>
              <w:jc w:val="both"/>
              <w:rPr>
                <w:i/>
                <w:sz w:val="20"/>
                <w:szCs w:val="20"/>
              </w:rPr>
            </w:pPr>
            <w:r w:rsidRPr="00AA3D0C">
              <w:rPr>
                <w:i/>
                <w:sz w:val="20"/>
                <w:szCs w:val="20"/>
              </w:rPr>
              <w:t>Just acceptable</w:t>
            </w:r>
          </w:p>
        </w:tc>
        <w:tc>
          <w:tcPr>
            <w:tcW w:w="850" w:type="dxa"/>
            <w:tcBorders>
              <w:left w:val="nil"/>
            </w:tcBorders>
          </w:tcPr>
          <w:p w14:paraId="75C69DE4" w14:textId="77777777" w:rsidR="002B7D6E" w:rsidRPr="00AA3D0C" w:rsidRDefault="002B7D6E" w:rsidP="006F4580">
            <w:pPr>
              <w:jc w:val="center"/>
              <w:rPr>
                <w:sz w:val="20"/>
                <w:szCs w:val="20"/>
              </w:rPr>
            </w:pPr>
          </w:p>
        </w:tc>
        <w:tc>
          <w:tcPr>
            <w:tcW w:w="861" w:type="dxa"/>
          </w:tcPr>
          <w:p w14:paraId="5FA431A2" w14:textId="77777777" w:rsidR="002B7D6E" w:rsidRPr="00AA3D0C" w:rsidRDefault="002B7D6E" w:rsidP="006F4580">
            <w:pPr>
              <w:jc w:val="center"/>
              <w:rPr>
                <w:sz w:val="20"/>
                <w:szCs w:val="20"/>
              </w:rPr>
            </w:pPr>
            <w:r w:rsidRPr="00AA3D0C">
              <w:rPr>
                <w:sz w:val="20"/>
                <w:szCs w:val="20"/>
              </w:rPr>
              <w:t>16</w:t>
            </w:r>
          </w:p>
        </w:tc>
        <w:tc>
          <w:tcPr>
            <w:tcW w:w="848" w:type="dxa"/>
          </w:tcPr>
          <w:p w14:paraId="3910ECCB" w14:textId="77777777" w:rsidR="002B7D6E" w:rsidRPr="00AA3D0C" w:rsidRDefault="002B7D6E" w:rsidP="006F4580">
            <w:pPr>
              <w:jc w:val="center"/>
              <w:rPr>
                <w:sz w:val="20"/>
                <w:szCs w:val="20"/>
              </w:rPr>
            </w:pPr>
            <w:r w:rsidRPr="00AA3D0C">
              <w:rPr>
                <w:sz w:val="20"/>
                <w:szCs w:val="20"/>
              </w:rPr>
              <w:t>≥19</w:t>
            </w:r>
          </w:p>
        </w:tc>
        <w:tc>
          <w:tcPr>
            <w:tcW w:w="849" w:type="dxa"/>
          </w:tcPr>
          <w:p w14:paraId="5958F286" w14:textId="77777777" w:rsidR="002B7D6E" w:rsidRPr="00AA3D0C" w:rsidRDefault="002B7D6E" w:rsidP="006F4580">
            <w:pPr>
              <w:jc w:val="center"/>
              <w:rPr>
                <w:sz w:val="20"/>
                <w:szCs w:val="20"/>
              </w:rPr>
            </w:pPr>
            <w:r w:rsidRPr="00AA3D0C">
              <w:rPr>
                <w:sz w:val="20"/>
                <w:szCs w:val="20"/>
              </w:rPr>
              <w:t>&gt;20</w:t>
            </w:r>
          </w:p>
        </w:tc>
        <w:tc>
          <w:tcPr>
            <w:tcW w:w="852" w:type="dxa"/>
          </w:tcPr>
          <w:p w14:paraId="445CE329" w14:textId="77777777" w:rsidR="002B7D6E" w:rsidRPr="00AA3D0C" w:rsidRDefault="002B7D6E" w:rsidP="006F4580">
            <w:pPr>
              <w:jc w:val="center"/>
              <w:rPr>
                <w:sz w:val="20"/>
                <w:szCs w:val="20"/>
              </w:rPr>
            </w:pPr>
            <w:r w:rsidRPr="00AA3D0C">
              <w:rPr>
                <w:sz w:val="20"/>
                <w:szCs w:val="20"/>
              </w:rPr>
              <w:t>≥19</w:t>
            </w:r>
          </w:p>
        </w:tc>
        <w:tc>
          <w:tcPr>
            <w:tcW w:w="762" w:type="dxa"/>
          </w:tcPr>
          <w:p w14:paraId="3A8365A0" w14:textId="77777777" w:rsidR="002B7D6E" w:rsidRPr="00AA3D0C" w:rsidRDefault="002B7D6E" w:rsidP="006F4580">
            <w:pPr>
              <w:jc w:val="center"/>
              <w:rPr>
                <w:sz w:val="20"/>
                <w:szCs w:val="20"/>
              </w:rPr>
            </w:pPr>
            <w:r w:rsidRPr="00AA3D0C">
              <w:rPr>
                <w:sz w:val="20"/>
                <w:szCs w:val="20"/>
              </w:rPr>
              <w:t>1</w:t>
            </w:r>
          </w:p>
        </w:tc>
        <w:tc>
          <w:tcPr>
            <w:tcW w:w="839" w:type="dxa"/>
          </w:tcPr>
          <w:p w14:paraId="5DDE7AC6" w14:textId="77777777" w:rsidR="002B7D6E" w:rsidRPr="00AA3D0C" w:rsidRDefault="002B7D6E" w:rsidP="006F4580">
            <w:pPr>
              <w:jc w:val="center"/>
              <w:rPr>
                <w:sz w:val="20"/>
                <w:szCs w:val="20"/>
              </w:rPr>
            </w:pPr>
          </w:p>
        </w:tc>
        <w:tc>
          <w:tcPr>
            <w:tcW w:w="987" w:type="dxa"/>
          </w:tcPr>
          <w:p w14:paraId="3B18DAFE" w14:textId="77777777" w:rsidR="002B7D6E" w:rsidRPr="00AA3D0C" w:rsidRDefault="002B7D6E" w:rsidP="006F4580">
            <w:pPr>
              <w:jc w:val="center"/>
              <w:rPr>
                <w:sz w:val="20"/>
                <w:szCs w:val="20"/>
              </w:rPr>
            </w:pPr>
          </w:p>
        </w:tc>
      </w:tr>
      <w:tr w:rsidR="002B7D6E" w:rsidRPr="00AA3D0C" w14:paraId="02098131" w14:textId="77777777" w:rsidTr="006F4580">
        <w:tc>
          <w:tcPr>
            <w:tcW w:w="1427" w:type="dxa"/>
            <w:tcBorders>
              <w:right w:val="nil"/>
            </w:tcBorders>
          </w:tcPr>
          <w:p w14:paraId="6E7130D8" w14:textId="77777777" w:rsidR="002B7D6E" w:rsidRPr="00AA3D0C" w:rsidRDefault="002B7D6E" w:rsidP="006F4580">
            <w:pPr>
              <w:jc w:val="both"/>
              <w:rPr>
                <w:i/>
                <w:sz w:val="20"/>
                <w:szCs w:val="20"/>
              </w:rPr>
            </w:pPr>
            <w:r w:rsidRPr="00AA3D0C">
              <w:rPr>
                <w:i/>
                <w:sz w:val="20"/>
                <w:szCs w:val="20"/>
              </w:rPr>
              <w:t>Acceptable</w:t>
            </w:r>
          </w:p>
          <w:p w14:paraId="076BD32C" w14:textId="77777777" w:rsidR="002B7D6E" w:rsidRPr="00AA3D0C" w:rsidRDefault="002B7D6E" w:rsidP="006F4580">
            <w:pPr>
              <w:jc w:val="both"/>
              <w:rPr>
                <w:i/>
                <w:sz w:val="20"/>
                <w:szCs w:val="20"/>
              </w:rPr>
            </w:pPr>
          </w:p>
        </w:tc>
        <w:tc>
          <w:tcPr>
            <w:tcW w:w="850" w:type="dxa"/>
            <w:tcBorders>
              <w:left w:val="nil"/>
            </w:tcBorders>
          </w:tcPr>
          <w:p w14:paraId="4E90E679" w14:textId="77777777" w:rsidR="002B7D6E" w:rsidRPr="00AA3D0C" w:rsidRDefault="002B7D6E" w:rsidP="006F4580">
            <w:pPr>
              <w:jc w:val="center"/>
              <w:rPr>
                <w:sz w:val="20"/>
                <w:szCs w:val="20"/>
              </w:rPr>
            </w:pPr>
          </w:p>
        </w:tc>
        <w:tc>
          <w:tcPr>
            <w:tcW w:w="861" w:type="dxa"/>
          </w:tcPr>
          <w:p w14:paraId="27E67F3C" w14:textId="77777777" w:rsidR="002B7D6E" w:rsidRPr="00AA3D0C" w:rsidRDefault="002B7D6E" w:rsidP="006F4580">
            <w:pPr>
              <w:jc w:val="center"/>
              <w:rPr>
                <w:sz w:val="20"/>
                <w:szCs w:val="20"/>
              </w:rPr>
            </w:pPr>
            <w:r w:rsidRPr="00AA3D0C">
              <w:rPr>
                <w:sz w:val="20"/>
                <w:szCs w:val="20"/>
              </w:rPr>
              <w:t>19</w:t>
            </w:r>
          </w:p>
        </w:tc>
        <w:tc>
          <w:tcPr>
            <w:tcW w:w="848" w:type="dxa"/>
          </w:tcPr>
          <w:p w14:paraId="50ABDB04" w14:textId="77777777" w:rsidR="002B7D6E" w:rsidRPr="00AA3D0C" w:rsidRDefault="002B7D6E" w:rsidP="006F4580">
            <w:pPr>
              <w:jc w:val="center"/>
              <w:rPr>
                <w:sz w:val="20"/>
                <w:szCs w:val="20"/>
              </w:rPr>
            </w:pPr>
          </w:p>
        </w:tc>
        <w:tc>
          <w:tcPr>
            <w:tcW w:w="849" w:type="dxa"/>
          </w:tcPr>
          <w:p w14:paraId="6BFE0776" w14:textId="77777777" w:rsidR="002B7D6E" w:rsidRPr="00AA3D0C" w:rsidRDefault="002B7D6E" w:rsidP="006F4580">
            <w:pPr>
              <w:jc w:val="center"/>
              <w:rPr>
                <w:sz w:val="20"/>
                <w:szCs w:val="20"/>
              </w:rPr>
            </w:pPr>
            <w:r w:rsidRPr="00AA3D0C">
              <w:rPr>
                <w:sz w:val="20"/>
                <w:szCs w:val="20"/>
              </w:rPr>
              <w:t>&gt;22</w:t>
            </w:r>
          </w:p>
        </w:tc>
        <w:tc>
          <w:tcPr>
            <w:tcW w:w="852" w:type="dxa"/>
          </w:tcPr>
          <w:p w14:paraId="0B711FFF" w14:textId="77777777" w:rsidR="002B7D6E" w:rsidRPr="00AA3D0C" w:rsidRDefault="002B7D6E" w:rsidP="006F4580">
            <w:pPr>
              <w:jc w:val="center"/>
              <w:rPr>
                <w:sz w:val="20"/>
                <w:szCs w:val="20"/>
              </w:rPr>
            </w:pPr>
          </w:p>
        </w:tc>
        <w:tc>
          <w:tcPr>
            <w:tcW w:w="762" w:type="dxa"/>
          </w:tcPr>
          <w:p w14:paraId="0DE5434B" w14:textId="77777777" w:rsidR="002B7D6E" w:rsidRPr="00AA3D0C" w:rsidRDefault="002B7D6E" w:rsidP="006F4580">
            <w:pPr>
              <w:jc w:val="center"/>
              <w:rPr>
                <w:sz w:val="20"/>
                <w:szCs w:val="20"/>
              </w:rPr>
            </w:pPr>
          </w:p>
        </w:tc>
        <w:tc>
          <w:tcPr>
            <w:tcW w:w="839" w:type="dxa"/>
          </w:tcPr>
          <w:p w14:paraId="2F535CEE" w14:textId="77777777" w:rsidR="002B7D6E" w:rsidRPr="00AA3D0C" w:rsidRDefault="002B7D6E" w:rsidP="006F4580">
            <w:pPr>
              <w:jc w:val="center"/>
              <w:rPr>
                <w:sz w:val="20"/>
                <w:szCs w:val="20"/>
              </w:rPr>
            </w:pPr>
          </w:p>
        </w:tc>
        <w:tc>
          <w:tcPr>
            <w:tcW w:w="987" w:type="dxa"/>
          </w:tcPr>
          <w:p w14:paraId="2C20D148" w14:textId="77777777" w:rsidR="002B7D6E" w:rsidRPr="00AA3D0C" w:rsidRDefault="002B7D6E" w:rsidP="006F4580">
            <w:pPr>
              <w:jc w:val="center"/>
              <w:rPr>
                <w:sz w:val="20"/>
                <w:szCs w:val="20"/>
              </w:rPr>
            </w:pPr>
          </w:p>
        </w:tc>
      </w:tr>
      <w:tr w:rsidR="002B7D6E" w:rsidRPr="00AA3D0C" w14:paraId="5C13D386" w14:textId="77777777" w:rsidTr="006F4580">
        <w:tc>
          <w:tcPr>
            <w:tcW w:w="1427" w:type="dxa"/>
            <w:tcBorders>
              <w:right w:val="nil"/>
            </w:tcBorders>
          </w:tcPr>
          <w:p w14:paraId="41ADD399" w14:textId="77777777" w:rsidR="002B7D6E" w:rsidRPr="00AA3D0C" w:rsidRDefault="002B7D6E" w:rsidP="006F4580">
            <w:pPr>
              <w:jc w:val="both"/>
              <w:rPr>
                <w:i/>
                <w:sz w:val="20"/>
                <w:szCs w:val="20"/>
              </w:rPr>
            </w:pPr>
            <w:r w:rsidRPr="00AA3D0C">
              <w:rPr>
                <w:i/>
                <w:sz w:val="20"/>
                <w:szCs w:val="20"/>
              </w:rPr>
              <w:t>Just comfortable</w:t>
            </w:r>
          </w:p>
        </w:tc>
        <w:tc>
          <w:tcPr>
            <w:tcW w:w="850" w:type="dxa"/>
            <w:tcBorders>
              <w:left w:val="nil"/>
            </w:tcBorders>
          </w:tcPr>
          <w:p w14:paraId="449B6129" w14:textId="77777777" w:rsidR="002B7D6E" w:rsidRPr="00AA3D0C" w:rsidRDefault="002B7D6E" w:rsidP="006F4580">
            <w:pPr>
              <w:jc w:val="center"/>
              <w:rPr>
                <w:sz w:val="20"/>
                <w:szCs w:val="20"/>
              </w:rPr>
            </w:pPr>
          </w:p>
        </w:tc>
        <w:tc>
          <w:tcPr>
            <w:tcW w:w="861" w:type="dxa"/>
          </w:tcPr>
          <w:p w14:paraId="17EB44CD" w14:textId="77777777" w:rsidR="002B7D6E" w:rsidRPr="00AA3D0C" w:rsidRDefault="002B7D6E" w:rsidP="006F4580">
            <w:pPr>
              <w:jc w:val="center"/>
              <w:rPr>
                <w:sz w:val="20"/>
                <w:szCs w:val="20"/>
              </w:rPr>
            </w:pPr>
          </w:p>
        </w:tc>
        <w:tc>
          <w:tcPr>
            <w:tcW w:w="848" w:type="dxa"/>
          </w:tcPr>
          <w:p w14:paraId="37BB3D52" w14:textId="77777777" w:rsidR="002B7D6E" w:rsidRPr="00AA3D0C" w:rsidRDefault="002B7D6E" w:rsidP="006F4580">
            <w:pPr>
              <w:jc w:val="center"/>
              <w:rPr>
                <w:sz w:val="20"/>
                <w:szCs w:val="20"/>
              </w:rPr>
            </w:pPr>
          </w:p>
        </w:tc>
        <w:tc>
          <w:tcPr>
            <w:tcW w:w="849" w:type="dxa"/>
          </w:tcPr>
          <w:p w14:paraId="252C4C41" w14:textId="77777777" w:rsidR="002B7D6E" w:rsidRPr="00AA3D0C" w:rsidRDefault="002B7D6E" w:rsidP="006F4580">
            <w:pPr>
              <w:jc w:val="center"/>
              <w:rPr>
                <w:sz w:val="20"/>
                <w:szCs w:val="20"/>
              </w:rPr>
            </w:pPr>
          </w:p>
        </w:tc>
        <w:tc>
          <w:tcPr>
            <w:tcW w:w="852" w:type="dxa"/>
          </w:tcPr>
          <w:p w14:paraId="2F762ECF" w14:textId="77777777" w:rsidR="002B7D6E" w:rsidRPr="00AA3D0C" w:rsidRDefault="002B7D6E" w:rsidP="006F4580">
            <w:pPr>
              <w:jc w:val="center"/>
              <w:rPr>
                <w:sz w:val="20"/>
                <w:szCs w:val="20"/>
              </w:rPr>
            </w:pPr>
          </w:p>
        </w:tc>
        <w:tc>
          <w:tcPr>
            <w:tcW w:w="762" w:type="dxa"/>
          </w:tcPr>
          <w:p w14:paraId="63EE82D4" w14:textId="77777777" w:rsidR="002B7D6E" w:rsidRPr="00AA3D0C" w:rsidRDefault="002B7D6E" w:rsidP="006F4580">
            <w:pPr>
              <w:jc w:val="center"/>
              <w:rPr>
                <w:sz w:val="20"/>
                <w:szCs w:val="20"/>
              </w:rPr>
            </w:pPr>
            <w:r w:rsidRPr="00AA3D0C">
              <w:rPr>
                <w:sz w:val="20"/>
                <w:szCs w:val="20"/>
              </w:rPr>
              <w:t>2</w:t>
            </w:r>
          </w:p>
        </w:tc>
        <w:tc>
          <w:tcPr>
            <w:tcW w:w="839" w:type="dxa"/>
          </w:tcPr>
          <w:p w14:paraId="501DF1BB" w14:textId="77777777" w:rsidR="002B7D6E" w:rsidRPr="00AA3D0C" w:rsidRDefault="002B7D6E" w:rsidP="006F4580">
            <w:pPr>
              <w:jc w:val="center"/>
              <w:rPr>
                <w:sz w:val="20"/>
                <w:szCs w:val="20"/>
              </w:rPr>
            </w:pPr>
          </w:p>
        </w:tc>
        <w:tc>
          <w:tcPr>
            <w:tcW w:w="987" w:type="dxa"/>
          </w:tcPr>
          <w:p w14:paraId="27CF704C" w14:textId="77777777" w:rsidR="002B7D6E" w:rsidRPr="00AA3D0C" w:rsidRDefault="002B7D6E" w:rsidP="006F4580">
            <w:pPr>
              <w:jc w:val="center"/>
              <w:rPr>
                <w:sz w:val="20"/>
                <w:szCs w:val="20"/>
              </w:rPr>
            </w:pPr>
          </w:p>
        </w:tc>
      </w:tr>
      <w:tr w:rsidR="002B7D6E" w:rsidRPr="00AA3D0C" w14:paraId="0B03DBDE" w14:textId="77777777" w:rsidTr="006F4580">
        <w:tc>
          <w:tcPr>
            <w:tcW w:w="1427" w:type="dxa"/>
            <w:tcBorders>
              <w:right w:val="nil"/>
            </w:tcBorders>
          </w:tcPr>
          <w:p w14:paraId="7FA69331" w14:textId="77777777" w:rsidR="002B7D6E" w:rsidRPr="00AA3D0C" w:rsidRDefault="002B7D6E" w:rsidP="006F4580">
            <w:pPr>
              <w:jc w:val="both"/>
              <w:rPr>
                <w:iCs/>
                <w:sz w:val="20"/>
                <w:szCs w:val="20"/>
              </w:rPr>
            </w:pPr>
            <w:r w:rsidRPr="00AA3D0C">
              <w:rPr>
                <w:i/>
                <w:sz w:val="20"/>
                <w:szCs w:val="20"/>
              </w:rPr>
              <w:t>Unacceptable</w:t>
            </w:r>
          </w:p>
          <w:p w14:paraId="3469C500" w14:textId="77777777" w:rsidR="002B7D6E" w:rsidRPr="00AA3D0C" w:rsidRDefault="002B7D6E" w:rsidP="006F4580">
            <w:pPr>
              <w:jc w:val="both"/>
              <w:rPr>
                <w:i/>
                <w:sz w:val="20"/>
                <w:szCs w:val="20"/>
              </w:rPr>
            </w:pPr>
          </w:p>
        </w:tc>
        <w:tc>
          <w:tcPr>
            <w:tcW w:w="850" w:type="dxa"/>
            <w:tcBorders>
              <w:left w:val="nil"/>
            </w:tcBorders>
          </w:tcPr>
          <w:p w14:paraId="58B750C3" w14:textId="77777777" w:rsidR="002B7D6E" w:rsidRPr="00AA3D0C" w:rsidRDefault="002B7D6E" w:rsidP="006F4580">
            <w:pPr>
              <w:jc w:val="center"/>
              <w:rPr>
                <w:sz w:val="20"/>
                <w:szCs w:val="20"/>
              </w:rPr>
            </w:pPr>
          </w:p>
        </w:tc>
        <w:tc>
          <w:tcPr>
            <w:tcW w:w="861" w:type="dxa"/>
          </w:tcPr>
          <w:p w14:paraId="0BA238C9" w14:textId="77777777" w:rsidR="002B7D6E" w:rsidRPr="00AA3D0C" w:rsidRDefault="002B7D6E" w:rsidP="006F4580">
            <w:pPr>
              <w:jc w:val="center"/>
              <w:rPr>
                <w:sz w:val="20"/>
                <w:szCs w:val="20"/>
              </w:rPr>
            </w:pPr>
          </w:p>
        </w:tc>
        <w:tc>
          <w:tcPr>
            <w:tcW w:w="848" w:type="dxa"/>
          </w:tcPr>
          <w:p w14:paraId="696938BB" w14:textId="77777777" w:rsidR="002B7D6E" w:rsidRPr="00AA3D0C" w:rsidRDefault="002B7D6E" w:rsidP="006F4580">
            <w:pPr>
              <w:jc w:val="center"/>
              <w:rPr>
                <w:sz w:val="20"/>
                <w:szCs w:val="20"/>
              </w:rPr>
            </w:pPr>
            <w:r w:rsidRPr="00AA3D0C">
              <w:rPr>
                <w:sz w:val="20"/>
                <w:szCs w:val="20"/>
              </w:rPr>
              <w:t>≥22</w:t>
            </w:r>
          </w:p>
        </w:tc>
        <w:tc>
          <w:tcPr>
            <w:tcW w:w="849" w:type="dxa"/>
          </w:tcPr>
          <w:p w14:paraId="04B2433E" w14:textId="77777777" w:rsidR="002B7D6E" w:rsidRPr="00AA3D0C" w:rsidRDefault="002B7D6E" w:rsidP="006F4580">
            <w:pPr>
              <w:jc w:val="center"/>
              <w:rPr>
                <w:sz w:val="20"/>
                <w:szCs w:val="20"/>
              </w:rPr>
            </w:pPr>
          </w:p>
        </w:tc>
        <w:tc>
          <w:tcPr>
            <w:tcW w:w="852" w:type="dxa"/>
          </w:tcPr>
          <w:p w14:paraId="45CA44D1" w14:textId="77777777" w:rsidR="002B7D6E" w:rsidRPr="00AA3D0C" w:rsidRDefault="002B7D6E" w:rsidP="006F4580">
            <w:pPr>
              <w:jc w:val="center"/>
              <w:rPr>
                <w:sz w:val="20"/>
                <w:szCs w:val="20"/>
              </w:rPr>
            </w:pPr>
            <w:r w:rsidRPr="00AA3D0C">
              <w:rPr>
                <w:sz w:val="20"/>
                <w:szCs w:val="20"/>
              </w:rPr>
              <w:t>≥22</w:t>
            </w:r>
          </w:p>
        </w:tc>
        <w:tc>
          <w:tcPr>
            <w:tcW w:w="762" w:type="dxa"/>
          </w:tcPr>
          <w:p w14:paraId="7BBECE9A" w14:textId="77777777" w:rsidR="002B7D6E" w:rsidRPr="00AA3D0C" w:rsidRDefault="002B7D6E" w:rsidP="006F4580">
            <w:pPr>
              <w:jc w:val="center"/>
              <w:rPr>
                <w:sz w:val="20"/>
                <w:szCs w:val="20"/>
              </w:rPr>
            </w:pPr>
          </w:p>
        </w:tc>
        <w:tc>
          <w:tcPr>
            <w:tcW w:w="839" w:type="dxa"/>
          </w:tcPr>
          <w:p w14:paraId="6208F17D" w14:textId="77777777" w:rsidR="002B7D6E" w:rsidRPr="00AA3D0C" w:rsidRDefault="002B7D6E" w:rsidP="006F4580">
            <w:pPr>
              <w:jc w:val="center"/>
              <w:rPr>
                <w:sz w:val="20"/>
                <w:szCs w:val="20"/>
              </w:rPr>
            </w:pPr>
          </w:p>
        </w:tc>
        <w:tc>
          <w:tcPr>
            <w:tcW w:w="987" w:type="dxa"/>
          </w:tcPr>
          <w:p w14:paraId="0C2538E2" w14:textId="77777777" w:rsidR="002B7D6E" w:rsidRPr="00AA3D0C" w:rsidRDefault="002B7D6E" w:rsidP="006F4580">
            <w:pPr>
              <w:jc w:val="center"/>
              <w:rPr>
                <w:sz w:val="20"/>
                <w:szCs w:val="20"/>
              </w:rPr>
            </w:pPr>
          </w:p>
        </w:tc>
      </w:tr>
      <w:tr w:rsidR="002B7D6E" w:rsidRPr="00AA3D0C" w14:paraId="0E20F46B" w14:textId="77777777" w:rsidTr="006F4580">
        <w:tc>
          <w:tcPr>
            <w:tcW w:w="1427" w:type="dxa"/>
            <w:tcBorders>
              <w:right w:val="nil"/>
            </w:tcBorders>
          </w:tcPr>
          <w:p w14:paraId="2E169C1B" w14:textId="77777777" w:rsidR="002B7D6E" w:rsidRPr="00AA3D0C" w:rsidRDefault="002B7D6E" w:rsidP="006F4580">
            <w:pPr>
              <w:jc w:val="both"/>
              <w:rPr>
                <w:i/>
                <w:sz w:val="20"/>
                <w:szCs w:val="20"/>
              </w:rPr>
            </w:pPr>
            <w:r w:rsidRPr="00AA3D0C">
              <w:rPr>
                <w:i/>
                <w:sz w:val="20"/>
                <w:szCs w:val="20"/>
              </w:rPr>
              <w:t>Just uncomfortable</w:t>
            </w:r>
          </w:p>
        </w:tc>
        <w:tc>
          <w:tcPr>
            <w:tcW w:w="850" w:type="dxa"/>
            <w:tcBorders>
              <w:left w:val="nil"/>
            </w:tcBorders>
          </w:tcPr>
          <w:p w14:paraId="346F8416" w14:textId="77777777" w:rsidR="002B7D6E" w:rsidRPr="00AA3D0C" w:rsidRDefault="002B7D6E" w:rsidP="006F4580">
            <w:pPr>
              <w:jc w:val="center"/>
              <w:rPr>
                <w:sz w:val="20"/>
                <w:szCs w:val="20"/>
              </w:rPr>
            </w:pPr>
          </w:p>
        </w:tc>
        <w:tc>
          <w:tcPr>
            <w:tcW w:w="861" w:type="dxa"/>
          </w:tcPr>
          <w:p w14:paraId="352B1663" w14:textId="77777777" w:rsidR="002B7D6E" w:rsidRPr="00AA3D0C" w:rsidRDefault="002B7D6E" w:rsidP="006F4580">
            <w:pPr>
              <w:jc w:val="center"/>
              <w:rPr>
                <w:sz w:val="20"/>
                <w:szCs w:val="20"/>
              </w:rPr>
            </w:pPr>
            <w:r w:rsidRPr="00AA3D0C">
              <w:rPr>
                <w:sz w:val="20"/>
                <w:szCs w:val="20"/>
              </w:rPr>
              <w:t>22</w:t>
            </w:r>
          </w:p>
        </w:tc>
        <w:tc>
          <w:tcPr>
            <w:tcW w:w="848" w:type="dxa"/>
          </w:tcPr>
          <w:p w14:paraId="51069800" w14:textId="77777777" w:rsidR="002B7D6E" w:rsidRPr="00AA3D0C" w:rsidRDefault="002B7D6E" w:rsidP="006F4580">
            <w:pPr>
              <w:jc w:val="center"/>
              <w:rPr>
                <w:sz w:val="20"/>
                <w:szCs w:val="20"/>
              </w:rPr>
            </w:pPr>
            <w:r w:rsidRPr="00AA3D0C">
              <w:rPr>
                <w:sz w:val="20"/>
                <w:szCs w:val="20"/>
              </w:rPr>
              <w:t>≥25</w:t>
            </w:r>
          </w:p>
        </w:tc>
        <w:tc>
          <w:tcPr>
            <w:tcW w:w="849" w:type="dxa"/>
          </w:tcPr>
          <w:p w14:paraId="05020F25" w14:textId="77777777" w:rsidR="002B7D6E" w:rsidRPr="00AA3D0C" w:rsidRDefault="002B7D6E" w:rsidP="006F4580">
            <w:pPr>
              <w:jc w:val="center"/>
              <w:rPr>
                <w:sz w:val="20"/>
                <w:szCs w:val="20"/>
              </w:rPr>
            </w:pPr>
            <w:r w:rsidRPr="00AA3D0C">
              <w:rPr>
                <w:sz w:val="20"/>
                <w:szCs w:val="20"/>
              </w:rPr>
              <w:t>&gt;24</w:t>
            </w:r>
          </w:p>
        </w:tc>
        <w:tc>
          <w:tcPr>
            <w:tcW w:w="852" w:type="dxa"/>
          </w:tcPr>
          <w:p w14:paraId="3B0BBB6F" w14:textId="77777777" w:rsidR="002B7D6E" w:rsidRPr="00AA3D0C" w:rsidRDefault="002B7D6E" w:rsidP="006F4580">
            <w:pPr>
              <w:jc w:val="center"/>
              <w:rPr>
                <w:sz w:val="20"/>
                <w:szCs w:val="20"/>
              </w:rPr>
            </w:pPr>
            <w:r w:rsidRPr="00AA3D0C">
              <w:rPr>
                <w:sz w:val="20"/>
                <w:szCs w:val="20"/>
              </w:rPr>
              <w:t>≥25</w:t>
            </w:r>
          </w:p>
        </w:tc>
        <w:tc>
          <w:tcPr>
            <w:tcW w:w="762" w:type="dxa"/>
          </w:tcPr>
          <w:p w14:paraId="4C22659E" w14:textId="77777777" w:rsidR="002B7D6E" w:rsidRPr="00AA3D0C" w:rsidRDefault="002B7D6E" w:rsidP="006F4580">
            <w:pPr>
              <w:jc w:val="center"/>
              <w:rPr>
                <w:sz w:val="20"/>
                <w:szCs w:val="20"/>
              </w:rPr>
            </w:pPr>
          </w:p>
        </w:tc>
        <w:tc>
          <w:tcPr>
            <w:tcW w:w="839" w:type="dxa"/>
          </w:tcPr>
          <w:p w14:paraId="5EA14580" w14:textId="77777777" w:rsidR="002B7D6E" w:rsidRPr="00AA3D0C" w:rsidRDefault="002B7D6E" w:rsidP="006F4580">
            <w:pPr>
              <w:jc w:val="center"/>
              <w:rPr>
                <w:sz w:val="20"/>
                <w:szCs w:val="20"/>
              </w:rPr>
            </w:pPr>
          </w:p>
        </w:tc>
        <w:tc>
          <w:tcPr>
            <w:tcW w:w="987" w:type="dxa"/>
          </w:tcPr>
          <w:p w14:paraId="6BF416F0" w14:textId="77777777" w:rsidR="002B7D6E" w:rsidRPr="00AA3D0C" w:rsidRDefault="002B7D6E" w:rsidP="006F4580">
            <w:pPr>
              <w:jc w:val="center"/>
              <w:rPr>
                <w:sz w:val="20"/>
                <w:szCs w:val="20"/>
              </w:rPr>
            </w:pPr>
          </w:p>
        </w:tc>
      </w:tr>
      <w:tr w:rsidR="002B7D6E" w:rsidRPr="00AA3D0C" w14:paraId="7BCCC7B0" w14:textId="77777777" w:rsidTr="006F4580">
        <w:tc>
          <w:tcPr>
            <w:tcW w:w="1427" w:type="dxa"/>
            <w:tcBorders>
              <w:right w:val="nil"/>
            </w:tcBorders>
          </w:tcPr>
          <w:p w14:paraId="214D70D5" w14:textId="77777777" w:rsidR="002B7D6E" w:rsidRPr="00AA3D0C" w:rsidRDefault="002B7D6E" w:rsidP="006F4580">
            <w:pPr>
              <w:jc w:val="both"/>
              <w:rPr>
                <w:i/>
                <w:sz w:val="20"/>
                <w:szCs w:val="20"/>
              </w:rPr>
            </w:pPr>
            <w:r w:rsidRPr="00AA3D0C">
              <w:rPr>
                <w:i/>
                <w:sz w:val="20"/>
                <w:szCs w:val="20"/>
              </w:rPr>
              <w:t>Uncomfortable</w:t>
            </w:r>
          </w:p>
          <w:p w14:paraId="32EE6B8E" w14:textId="77777777" w:rsidR="002B7D6E" w:rsidRPr="00AA3D0C" w:rsidRDefault="002B7D6E" w:rsidP="006F4580">
            <w:pPr>
              <w:jc w:val="both"/>
              <w:rPr>
                <w:i/>
                <w:sz w:val="20"/>
                <w:szCs w:val="20"/>
              </w:rPr>
            </w:pPr>
          </w:p>
        </w:tc>
        <w:tc>
          <w:tcPr>
            <w:tcW w:w="850" w:type="dxa"/>
            <w:tcBorders>
              <w:left w:val="nil"/>
            </w:tcBorders>
          </w:tcPr>
          <w:p w14:paraId="7FA0E7B2" w14:textId="77777777" w:rsidR="002B7D6E" w:rsidRPr="00AA3D0C" w:rsidRDefault="002B7D6E" w:rsidP="006F4580">
            <w:pPr>
              <w:jc w:val="center"/>
              <w:rPr>
                <w:sz w:val="20"/>
                <w:szCs w:val="20"/>
              </w:rPr>
            </w:pPr>
          </w:p>
        </w:tc>
        <w:tc>
          <w:tcPr>
            <w:tcW w:w="861" w:type="dxa"/>
          </w:tcPr>
          <w:p w14:paraId="5AE591F2" w14:textId="77777777" w:rsidR="002B7D6E" w:rsidRPr="00AA3D0C" w:rsidRDefault="002B7D6E" w:rsidP="006F4580">
            <w:pPr>
              <w:jc w:val="center"/>
              <w:rPr>
                <w:sz w:val="20"/>
                <w:szCs w:val="20"/>
              </w:rPr>
            </w:pPr>
            <w:r w:rsidRPr="00AA3D0C">
              <w:rPr>
                <w:sz w:val="20"/>
                <w:szCs w:val="20"/>
              </w:rPr>
              <w:t>25</w:t>
            </w:r>
          </w:p>
        </w:tc>
        <w:tc>
          <w:tcPr>
            <w:tcW w:w="848" w:type="dxa"/>
          </w:tcPr>
          <w:p w14:paraId="341CDB8A" w14:textId="77777777" w:rsidR="002B7D6E" w:rsidRPr="00AA3D0C" w:rsidRDefault="002B7D6E" w:rsidP="006F4580">
            <w:pPr>
              <w:jc w:val="center"/>
              <w:rPr>
                <w:sz w:val="20"/>
                <w:szCs w:val="20"/>
              </w:rPr>
            </w:pPr>
            <w:r w:rsidRPr="00AA3D0C">
              <w:rPr>
                <w:sz w:val="20"/>
                <w:szCs w:val="20"/>
              </w:rPr>
              <w:t>≥28</w:t>
            </w:r>
          </w:p>
        </w:tc>
        <w:tc>
          <w:tcPr>
            <w:tcW w:w="849" w:type="dxa"/>
          </w:tcPr>
          <w:p w14:paraId="521F02D1" w14:textId="77777777" w:rsidR="002B7D6E" w:rsidRPr="00AA3D0C" w:rsidRDefault="002B7D6E" w:rsidP="006F4580">
            <w:pPr>
              <w:jc w:val="center"/>
              <w:rPr>
                <w:sz w:val="20"/>
                <w:szCs w:val="20"/>
              </w:rPr>
            </w:pPr>
            <w:r w:rsidRPr="00AA3D0C">
              <w:rPr>
                <w:sz w:val="20"/>
                <w:szCs w:val="20"/>
              </w:rPr>
              <w:t>&gt;26</w:t>
            </w:r>
          </w:p>
        </w:tc>
        <w:tc>
          <w:tcPr>
            <w:tcW w:w="852" w:type="dxa"/>
          </w:tcPr>
          <w:p w14:paraId="0ABBE2EC" w14:textId="77777777" w:rsidR="002B7D6E" w:rsidRPr="00AA3D0C" w:rsidRDefault="002B7D6E" w:rsidP="006F4580">
            <w:pPr>
              <w:jc w:val="center"/>
              <w:rPr>
                <w:sz w:val="20"/>
                <w:szCs w:val="20"/>
              </w:rPr>
            </w:pPr>
            <w:r w:rsidRPr="00AA3D0C">
              <w:rPr>
                <w:sz w:val="20"/>
                <w:szCs w:val="20"/>
              </w:rPr>
              <w:t>≥28</w:t>
            </w:r>
          </w:p>
        </w:tc>
        <w:tc>
          <w:tcPr>
            <w:tcW w:w="762" w:type="dxa"/>
          </w:tcPr>
          <w:p w14:paraId="64FD26CA" w14:textId="77777777" w:rsidR="002B7D6E" w:rsidRPr="00AA3D0C" w:rsidRDefault="002B7D6E" w:rsidP="006F4580">
            <w:pPr>
              <w:jc w:val="center"/>
              <w:rPr>
                <w:sz w:val="20"/>
                <w:szCs w:val="20"/>
              </w:rPr>
            </w:pPr>
          </w:p>
        </w:tc>
        <w:tc>
          <w:tcPr>
            <w:tcW w:w="839" w:type="dxa"/>
          </w:tcPr>
          <w:p w14:paraId="5EC5EFEB" w14:textId="77777777" w:rsidR="002B7D6E" w:rsidRPr="00AA3D0C" w:rsidRDefault="002B7D6E" w:rsidP="006F4580">
            <w:pPr>
              <w:jc w:val="center"/>
              <w:rPr>
                <w:sz w:val="20"/>
                <w:szCs w:val="20"/>
              </w:rPr>
            </w:pPr>
          </w:p>
        </w:tc>
        <w:tc>
          <w:tcPr>
            <w:tcW w:w="987" w:type="dxa"/>
          </w:tcPr>
          <w:p w14:paraId="6A91F0B9" w14:textId="77777777" w:rsidR="002B7D6E" w:rsidRPr="00AA3D0C" w:rsidRDefault="002B7D6E" w:rsidP="006F4580">
            <w:pPr>
              <w:jc w:val="center"/>
              <w:rPr>
                <w:sz w:val="20"/>
                <w:szCs w:val="20"/>
              </w:rPr>
            </w:pPr>
          </w:p>
        </w:tc>
      </w:tr>
      <w:tr w:rsidR="002B7D6E" w:rsidRPr="00AA3D0C" w14:paraId="46BA4B04" w14:textId="77777777" w:rsidTr="006F4580">
        <w:tc>
          <w:tcPr>
            <w:tcW w:w="1427" w:type="dxa"/>
            <w:tcBorders>
              <w:right w:val="nil"/>
            </w:tcBorders>
            <w:shd w:val="clear" w:color="auto" w:fill="D9D9D9" w:themeFill="background1" w:themeFillShade="D9"/>
          </w:tcPr>
          <w:p w14:paraId="7A15AD03" w14:textId="77777777" w:rsidR="002B7D6E" w:rsidRPr="00AA3D0C" w:rsidRDefault="002B7D6E" w:rsidP="006F4580">
            <w:pPr>
              <w:jc w:val="both"/>
              <w:rPr>
                <w:iCs/>
                <w:sz w:val="20"/>
                <w:szCs w:val="20"/>
              </w:rPr>
            </w:pPr>
            <w:r w:rsidRPr="00AA3D0C">
              <w:rPr>
                <w:i/>
                <w:sz w:val="20"/>
                <w:szCs w:val="20"/>
              </w:rPr>
              <w:t>Disturbing</w:t>
            </w:r>
          </w:p>
          <w:p w14:paraId="2C9B3285" w14:textId="77777777" w:rsidR="002B7D6E" w:rsidRPr="00AA3D0C" w:rsidRDefault="002B7D6E" w:rsidP="006F4580">
            <w:pPr>
              <w:jc w:val="both"/>
              <w:rPr>
                <w:i/>
                <w:sz w:val="20"/>
                <w:szCs w:val="20"/>
              </w:rPr>
            </w:pPr>
          </w:p>
        </w:tc>
        <w:tc>
          <w:tcPr>
            <w:tcW w:w="850" w:type="dxa"/>
            <w:tcBorders>
              <w:left w:val="nil"/>
            </w:tcBorders>
            <w:shd w:val="clear" w:color="auto" w:fill="D9D9D9" w:themeFill="background1" w:themeFillShade="D9"/>
          </w:tcPr>
          <w:p w14:paraId="58EDD77B" w14:textId="77777777" w:rsidR="002B7D6E" w:rsidRPr="00AA3D0C" w:rsidRDefault="002B7D6E" w:rsidP="006F4580">
            <w:pPr>
              <w:jc w:val="center"/>
              <w:rPr>
                <w:sz w:val="20"/>
                <w:szCs w:val="20"/>
              </w:rPr>
            </w:pPr>
            <w:r w:rsidRPr="00AA3D0C">
              <w:rPr>
                <w:sz w:val="20"/>
                <w:szCs w:val="20"/>
              </w:rPr>
              <w:t>40-60</w:t>
            </w:r>
          </w:p>
        </w:tc>
        <w:tc>
          <w:tcPr>
            <w:tcW w:w="861" w:type="dxa"/>
            <w:shd w:val="clear" w:color="auto" w:fill="D9D9D9" w:themeFill="background1" w:themeFillShade="D9"/>
          </w:tcPr>
          <w:p w14:paraId="3770683E" w14:textId="77777777" w:rsidR="002B7D6E" w:rsidRPr="00AA3D0C" w:rsidRDefault="002B7D6E" w:rsidP="006F4580">
            <w:pPr>
              <w:jc w:val="center"/>
              <w:rPr>
                <w:sz w:val="20"/>
                <w:szCs w:val="20"/>
              </w:rPr>
            </w:pPr>
          </w:p>
        </w:tc>
        <w:tc>
          <w:tcPr>
            <w:tcW w:w="848" w:type="dxa"/>
            <w:shd w:val="clear" w:color="auto" w:fill="D9D9D9" w:themeFill="background1" w:themeFillShade="D9"/>
          </w:tcPr>
          <w:p w14:paraId="6E5BF534" w14:textId="77777777" w:rsidR="002B7D6E" w:rsidRPr="00AA3D0C" w:rsidRDefault="002B7D6E" w:rsidP="006F4580">
            <w:pPr>
              <w:jc w:val="center"/>
              <w:rPr>
                <w:sz w:val="20"/>
                <w:szCs w:val="20"/>
              </w:rPr>
            </w:pPr>
          </w:p>
        </w:tc>
        <w:tc>
          <w:tcPr>
            <w:tcW w:w="849" w:type="dxa"/>
            <w:shd w:val="clear" w:color="auto" w:fill="D9D9D9" w:themeFill="background1" w:themeFillShade="D9"/>
          </w:tcPr>
          <w:p w14:paraId="58DAAE32" w14:textId="77777777" w:rsidR="002B7D6E" w:rsidRPr="00AA3D0C" w:rsidRDefault="002B7D6E" w:rsidP="006F4580">
            <w:pPr>
              <w:jc w:val="center"/>
              <w:rPr>
                <w:sz w:val="20"/>
                <w:szCs w:val="20"/>
              </w:rPr>
            </w:pPr>
          </w:p>
        </w:tc>
        <w:tc>
          <w:tcPr>
            <w:tcW w:w="852" w:type="dxa"/>
            <w:shd w:val="clear" w:color="auto" w:fill="D9D9D9" w:themeFill="background1" w:themeFillShade="D9"/>
          </w:tcPr>
          <w:p w14:paraId="585999FE" w14:textId="77777777" w:rsidR="002B7D6E" w:rsidRPr="00AA3D0C" w:rsidRDefault="002B7D6E" w:rsidP="006F4580">
            <w:pPr>
              <w:jc w:val="center"/>
              <w:rPr>
                <w:sz w:val="20"/>
                <w:szCs w:val="20"/>
              </w:rPr>
            </w:pPr>
          </w:p>
        </w:tc>
        <w:tc>
          <w:tcPr>
            <w:tcW w:w="762" w:type="dxa"/>
            <w:shd w:val="clear" w:color="auto" w:fill="D9D9D9" w:themeFill="background1" w:themeFillShade="D9"/>
          </w:tcPr>
          <w:p w14:paraId="00757959" w14:textId="77777777" w:rsidR="002B7D6E" w:rsidRPr="00AA3D0C" w:rsidRDefault="002B7D6E" w:rsidP="006F4580">
            <w:pPr>
              <w:jc w:val="center"/>
              <w:rPr>
                <w:sz w:val="20"/>
                <w:szCs w:val="20"/>
              </w:rPr>
            </w:pPr>
          </w:p>
        </w:tc>
        <w:tc>
          <w:tcPr>
            <w:tcW w:w="839" w:type="dxa"/>
            <w:shd w:val="clear" w:color="auto" w:fill="D9D9D9" w:themeFill="background1" w:themeFillShade="D9"/>
          </w:tcPr>
          <w:p w14:paraId="35BCF72B" w14:textId="77777777" w:rsidR="002B7D6E" w:rsidRPr="00AA3D0C" w:rsidRDefault="002B7D6E" w:rsidP="006F4580">
            <w:pPr>
              <w:jc w:val="center"/>
              <w:rPr>
                <w:sz w:val="20"/>
                <w:szCs w:val="20"/>
              </w:rPr>
            </w:pPr>
            <w:r w:rsidRPr="00AA3D0C">
              <w:rPr>
                <w:sz w:val="20"/>
                <w:szCs w:val="20"/>
              </w:rPr>
              <w:t>0.40– 0.45</w:t>
            </w:r>
          </w:p>
        </w:tc>
        <w:tc>
          <w:tcPr>
            <w:tcW w:w="987" w:type="dxa"/>
            <w:shd w:val="clear" w:color="auto" w:fill="D9D9D9" w:themeFill="background1" w:themeFillShade="D9"/>
          </w:tcPr>
          <w:p w14:paraId="2D62EA11" w14:textId="77777777" w:rsidR="002B7D6E" w:rsidRPr="00AA3D0C" w:rsidRDefault="002B7D6E" w:rsidP="006F4580">
            <w:pPr>
              <w:jc w:val="center"/>
              <w:rPr>
                <w:sz w:val="20"/>
                <w:szCs w:val="20"/>
              </w:rPr>
            </w:pPr>
            <w:r w:rsidRPr="00AA3D0C">
              <w:rPr>
                <w:sz w:val="20"/>
                <w:szCs w:val="20"/>
              </w:rPr>
              <w:t>0.44– 0.45</w:t>
            </w:r>
          </w:p>
        </w:tc>
      </w:tr>
      <w:tr w:rsidR="002B7D6E" w:rsidRPr="00AA3D0C" w14:paraId="3CCB2CF9" w14:textId="77777777" w:rsidTr="006F4580">
        <w:tc>
          <w:tcPr>
            <w:tcW w:w="1427" w:type="dxa"/>
            <w:tcBorders>
              <w:right w:val="nil"/>
            </w:tcBorders>
          </w:tcPr>
          <w:p w14:paraId="73DCC52C" w14:textId="77777777" w:rsidR="002B7D6E" w:rsidRPr="00AA3D0C" w:rsidRDefault="002B7D6E" w:rsidP="006F4580">
            <w:pPr>
              <w:jc w:val="both"/>
              <w:rPr>
                <w:i/>
                <w:sz w:val="20"/>
                <w:szCs w:val="20"/>
              </w:rPr>
            </w:pPr>
            <w:r w:rsidRPr="00AA3D0C">
              <w:rPr>
                <w:i/>
                <w:sz w:val="20"/>
                <w:szCs w:val="20"/>
              </w:rPr>
              <w:t>Just intolerable</w:t>
            </w:r>
          </w:p>
        </w:tc>
        <w:tc>
          <w:tcPr>
            <w:tcW w:w="850" w:type="dxa"/>
            <w:tcBorders>
              <w:left w:val="nil"/>
            </w:tcBorders>
          </w:tcPr>
          <w:p w14:paraId="77851853" w14:textId="77777777" w:rsidR="002B7D6E" w:rsidRPr="00AA3D0C" w:rsidRDefault="002B7D6E" w:rsidP="006F4580">
            <w:pPr>
              <w:jc w:val="center"/>
              <w:rPr>
                <w:sz w:val="20"/>
                <w:szCs w:val="20"/>
              </w:rPr>
            </w:pPr>
          </w:p>
        </w:tc>
        <w:tc>
          <w:tcPr>
            <w:tcW w:w="861" w:type="dxa"/>
          </w:tcPr>
          <w:p w14:paraId="4803255B" w14:textId="77777777" w:rsidR="002B7D6E" w:rsidRPr="00AA3D0C" w:rsidRDefault="002B7D6E" w:rsidP="006F4580">
            <w:pPr>
              <w:jc w:val="center"/>
              <w:rPr>
                <w:sz w:val="20"/>
                <w:szCs w:val="20"/>
              </w:rPr>
            </w:pPr>
            <w:r w:rsidRPr="00AA3D0C">
              <w:rPr>
                <w:sz w:val="20"/>
                <w:szCs w:val="20"/>
              </w:rPr>
              <w:t>28</w:t>
            </w:r>
          </w:p>
        </w:tc>
        <w:tc>
          <w:tcPr>
            <w:tcW w:w="848" w:type="dxa"/>
          </w:tcPr>
          <w:p w14:paraId="3BBD01FB" w14:textId="77777777" w:rsidR="002B7D6E" w:rsidRPr="00AA3D0C" w:rsidRDefault="002B7D6E" w:rsidP="006F4580">
            <w:pPr>
              <w:jc w:val="center"/>
              <w:rPr>
                <w:sz w:val="20"/>
                <w:szCs w:val="20"/>
              </w:rPr>
            </w:pPr>
          </w:p>
        </w:tc>
        <w:tc>
          <w:tcPr>
            <w:tcW w:w="849" w:type="dxa"/>
          </w:tcPr>
          <w:p w14:paraId="5D01BF91" w14:textId="77777777" w:rsidR="002B7D6E" w:rsidRPr="00AA3D0C" w:rsidRDefault="002B7D6E" w:rsidP="006F4580">
            <w:pPr>
              <w:jc w:val="center"/>
              <w:rPr>
                <w:sz w:val="20"/>
                <w:szCs w:val="20"/>
              </w:rPr>
            </w:pPr>
            <w:r w:rsidRPr="00AA3D0C">
              <w:rPr>
                <w:sz w:val="20"/>
                <w:szCs w:val="20"/>
              </w:rPr>
              <w:t>28</w:t>
            </w:r>
          </w:p>
        </w:tc>
        <w:tc>
          <w:tcPr>
            <w:tcW w:w="852" w:type="dxa"/>
          </w:tcPr>
          <w:p w14:paraId="271EFF29" w14:textId="77777777" w:rsidR="002B7D6E" w:rsidRPr="00AA3D0C" w:rsidRDefault="002B7D6E" w:rsidP="006F4580">
            <w:pPr>
              <w:jc w:val="center"/>
              <w:rPr>
                <w:sz w:val="20"/>
                <w:szCs w:val="20"/>
              </w:rPr>
            </w:pPr>
          </w:p>
        </w:tc>
        <w:tc>
          <w:tcPr>
            <w:tcW w:w="762" w:type="dxa"/>
          </w:tcPr>
          <w:p w14:paraId="6B2F876E" w14:textId="77777777" w:rsidR="002B7D6E" w:rsidRPr="00AA3D0C" w:rsidRDefault="002B7D6E" w:rsidP="006F4580">
            <w:pPr>
              <w:jc w:val="center"/>
              <w:rPr>
                <w:sz w:val="20"/>
                <w:szCs w:val="20"/>
              </w:rPr>
            </w:pPr>
            <w:r w:rsidRPr="00AA3D0C">
              <w:rPr>
                <w:sz w:val="20"/>
                <w:szCs w:val="20"/>
              </w:rPr>
              <w:t>3</w:t>
            </w:r>
          </w:p>
        </w:tc>
        <w:tc>
          <w:tcPr>
            <w:tcW w:w="839" w:type="dxa"/>
          </w:tcPr>
          <w:p w14:paraId="196B885D" w14:textId="77777777" w:rsidR="002B7D6E" w:rsidRPr="00AA3D0C" w:rsidRDefault="002B7D6E" w:rsidP="006F4580">
            <w:pPr>
              <w:jc w:val="center"/>
              <w:rPr>
                <w:sz w:val="20"/>
                <w:szCs w:val="20"/>
              </w:rPr>
            </w:pPr>
          </w:p>
        </w:tc>
        <w:tc>
          <w:tcPr>
            <w:tcW w:w="987" w:type="dxa"/>
          </w:tcPr>
          <w:p w14:paraId="4D5B25EF" w14:textId="77777777" w:rsidR="002B7D6E" w:rsidRPr="00AA3D0C" w:rsidRDefault="002B7D6E" w:rsidP="006F4580">
            <w:pPr>
              <w:jc w:val="center"/>
              <w:rPr>
                <w:sz w:val="20"/>
                <w:szCs w:val="20"/>
              </w:rPr>
            </w:pPr>
          </w:p>
        </w:tc>
      </w:tr>
      <w:tr w:rsidR="002B7D6E" w:rsidRPr="00AA3D0C" w14:paraId="37BBAE7E" w14:textId="77777777" w:rsidTr="006F4580">
        <w:tc>
          <w:tcPr>
            <w:tcW w:w="1427" w:type="dxa"/>
            <w:tcBorders>
              <w:right w:val="nil"/>
            </w:tcBorders>
            <w:shd w:val="clear" w:color="auto" w:fill="D9D9D9" w:themeFill="background1" w:themeFillShade="D9"/>
          </w:tcPr>
          <w:p w14:paraId="59891C8E" w14:textId="77777777" w:rsidR="002B7D6E" w:rsidRPr="00AA3D0C" w:rsidRDefault="002B7D6E" w:rsidP="006F4580">
            <w:pPr>
              <w:jc w:val="both"/>
              <w:rPr>
                <w:i/>
                <w:sz w:val="20"/>
                <w:szCs w:val="20"/>
              </w:rPr>
            </w:pPr>
            <w:r w:rsidRPr="00AA3D0C">
              <w:rPr>
                <w:i/>
                <w:sz w:val="20"/>
                <w:szCs w:val="20"/>
              </w:rPr>
              <w:t>Intolerable</w:t>
            </w:r>
          </w:p>
          <w:p w14:paraId="7C195417" w14:textId="77777777" w:rsidR="002B7D6E" w:rsidRPr="00AA3D0C" w:rsidRDefault="002B7D6E" w:rsidP="006F4580">
            <w:pPr>
              <w:jc w:val="both"/>
              <w:rPr>
                <w:i/>
                <w:sz w:val="20"/>
                <w:szCs w:val="20"/>
              </w:rPr>
            </w:pPr>
          </w:p>
        </w:tc>
        <w:tc>
          <w:tcPr>
            <w:tcW w:w="850" w:type="dxa"/>
            <w:tcBorders>
              <w:left w:val="nil"/>
            </w:tcBorders>
            <w:shd w:val="clear" w:color="auto" w:fill="D9D9D9" w:themeFill="background1" w:themeFillShade="D9"/>
          </w:tcPr>
          <w:p w14:paraId="72BBF4C2" w14:textId="77777777" w:rsidR="002B7D6E" w:rsidRPr="00AA3D0C" w:rsidRDefault="002B7D6E" w:rsidP="006F4580">
            <w:pPr>
              <w:jc w:val="center"/>
              <w:rPr>
                <w:sz w:val="20"/>
                <w:szCs w:val="20"/>
              </w:rPr>
            </w:pPr>
            <w:r w:rsidRPr="00AA3D0C">
              <w:rPr>
                <w:sz w:val="20"/>
                <w:szCs w:val="20"/>
              </w:rPr>
              <w:t>&lt;40</w:t>
            </w:r>
          </w:p>
        </w:tc>
        <w:tc>
          <w:tcPr>
            <w:tcW w:w="861" w:type="dxa"/>
            <w:shd w:val="clear" w:color="auto" w:fill="D9D9D9" w:themeFill="background1" w:themeFillShade="D9"/>
          </w:tcPr>
          <w:p w14:paraId="2FA9A0CD" w14:textId="77777777" w:rsidR="002B7D6E" w:rsidRPr="00AA3D0C" w:rsidRDefault="002B7D6E" w:rsidP="006F4580">
            <w:pPr>
              <w:jc w:val="center"/>
              <w:rPr>
                <w:sz w:val="20"/>
                <w:szCs w:val="20"/>
              </w:rPr>
            </w:pPr>
          </w:p>
        </w:tc>
        <w:tc>
          <w:tcPr>
            <w:tcW w:w="848" w:type="dxa"/>
            <w:shd w:val="clear" w:color="auto" w:fill="D9D9D9" w:themeFill="background1" w:themeFillShade="D9"/>
          </w:tcPr>
          <w:p w14:paraId="198AA8B9" w14:textId="77777777" w:rsidR="002B7D6E" w:rsidRPr="00AA3D0C" w:rsidRDefault="002B7D6E" w:rsidP="006F4580">
            <w:pPr>
              <w:jc w:val="center"/>
              <w:rPr>
                <w:sz w:val="20"/>
                <w:szCs w:val="20"/>
              </w:rPr>
            </w:pPr>
          </w:p>
        </w:tc>
        <w:tc>
          <w:tcPr>
            <w:tcW w:w="849" w:type="dxa"/>
            <w:shd w:val="clear" w:color="auto" w:fill="D9D9D9" w:themeFill="background1" w:themeFillShade="D9"/>
          </w:tcPr>
          <w:p w14:paraId="77778949" w14:textId="77777777" w:rsidR="002B7D6E" w:rsidRPr="00AA3D0C" w:rsidRDefault="002B7D6E" w:rsidP="006F4580">
            <w:pPr>
              <w:jc w:val="center"/>
              <w:rPr>
                <w:sz w:val="20"/>
                <w:szCs w:val="20"/>
              </w:rPr>
            </w:pPr>
            <w:r w:rsidRPr="00AA3D0C">
              <w:rPr>
                <w:sz w:val="20"/>
                <w:szCs w:val="20"/>
              </w:rPr>
              <w:t>&gt;28</w:t>
            </w:r>
          </w:p>
        </w:tc>
        <w:tc>
          <w:tcPr>
            <w:tcW w:w="852" w:type="dxa"/>
            <w:shd w:val="clear" w:color="auto" w:fill="D9D9D9" w:themeFill="background1" w:themeFillShade="D9"/>
          </w:tcPr>
          <w:p w14:paraId="3FDAABAF" w14:textId="77777777" w:rsidR="002B7D6E" w:rsidRPr="00AA3D0C" w:rsidRDefault="002B7D6E" w:rsidP="006F4580">
            <w:pPr>
              <w:jc w:val="center"/>
              <w:rPr>
                <w:sz w:val="20"/>
                <w:szCs w:val="20"/>
              </w:rPr>
            </w:pPr>
          </w:p>
        </w:tc>
        <w:tc>
          <w:tcPr>
            <w:tcW w:w="762" w:type="dxa"/>
            <w:shd w:val="clear" w:color="auto" w:fill="D9D9D9" w:themeFill="background1" w:themeFillShade="D9"/>
          </w:tcPr>
          <w:p w14:paraId="42F91D49" w14:textId="77777777" w:rsidR="002B7D6E" w:rsidRPr="00AA3D0C" w:rsidRDefault="002B7D6E" w:rsidP="006F4580">
            <w:pPr>
              <w:jc w:val="center"/>
              <w:rPr>
                <w:sz w:val="20"/>
                <w:szCs w:val="20"/>
              </w:rPr>
            </w:pPr>
          </w:p>
        </w:tc>
        <w:tc>
          <w:tcPr>
            <w:tcW w:w="839" w:type="dxa"/>
            <w:shd w:val="clear" w:color="auto" w:fill="D9D9D9" w:themeFill="background1" w:themeFillShade="D9"/>
          </w:tcPr>
          <w:p w14:paraId="69E542A6" w14:textId="77777777" w:rsidR="002B7D6E" w:rsidRPr="00AA3D0C" w:rsidRDefault="002B7D6E" w:rsidP="006F4580">
            <w:pPr>
              <w:jc w:val="center"/>
              <w:rPr>
                <w:sz w:val="20"/>
                <w:szCs w:val="20"/>
              </w:rPr>
            </w:pPr>
            <w:r w:rsidRPr="00AA3D0C">
              <w:rPr>
                <w:sz w:val="20"/>
                <w:szCs w:val="20"/>
              </w:rPr>
              <w:t>&gt;0.45</w:t>
            </w:r>
          </w:p>
        </w:tc>
        <w:tc>
          <w:tcPr>
            <w:tcW w:w="987" w:type="dxa"/>
            <w:shd w:val="clear" w:color="auto" w:fill="D9D9D9" w:themeFill="background1" w:themeFillShade="D9"/>
          </w:tcPr>
          <w:p w14:paraId="1B3ABEF0" w14:textId="77777777" w:rsidR="002B7D6E" w:rsidRPr="00AA3D0C" w:rsidRDefault="002B7D6E" w:rsidP="006F4580">
            <w:pPr>
              <w:jc w:val="center"/>
              <w:rPr>
                <w:sz w:val="20"/>
                <w:szCs w:val="20"/>
              </w:rPr>
            </w:pPr>
            <w:r w:rsidRPr="00AA3D0C">
              <w:rPr>
                <w:sz w:val="20"/>
                <w:szCs w:val="20"/>
              </w:rPr>
              <w:t>&gt;0.45</w:t>
            </w:r>
          </w:p>
        </w:tc>
      </w:tr>
    </w:tbl>
    <w:p w14:paraId="14EB17B2" w14:textId="77777777" w:rsidR="0005559E" w:rsidRPr="001B7760" w:rsidRDefault="0005559E" w:rsidP="001B7760">
      <w:pPr>
        <w:jc w:val="both"/>
        <w:rPr>
          <w:sz w:val="22"/>
          <w:szCs w:val="22"/>
        </w:rPr>
      </w:pPr>
    </w:p>
    <w:p w14:paraId="5D3EFF1C" w14:textId="2DB95AEB" w:rsidR="0005559E" w:rsidRDefault="0005559E" w:rsidP="0005559E">
      <w:pPr>
        <w:jc w:val="both"/>
        <w:rPr>
          <w:sz w:val="22"/>
          <w:szCs w:val="22"/>
        </w:rPr>
      </w:pPr>
    </w:p>
    <w:p w14:paraId="0C166B18" w14:textId="77777777" w:rsidR="00435292" w:rsidRDefault="00435292" w:rsidP="00D25426">
      <w:pPr>
        <w:jc w:val="both"/>
        <w:rPr>
          <w:sz w:val="22"/>
          <w:szCs w:val="22"/>
        </w:rPr>
      </w:pPr>
      <w:r>
        <w:rPr>
          <w:sz w:val="22"/>
          <w:szCs w:val="22"/>
        </w:rPr>
        <w:t>The glare metrics that were not eventually used were:</w:t>
      </w:r>
    </w:p>
    <w:p w14:paraId="2C608280" w14:textId="63D665BB" w:rsidR="00435292" w:rsidRDefault="00435292" w:rsidP="00D25426">
      <w:pPr>
        <w:jc w:val="both"/>
        <w:rPr>
          <w:sz w:val="22"/>
          <w:szCs w:val="22"/>
        </w:rPr>
      </w:pPr>
    </w:p>
    <w:p w14:paraId="0CEE0CEC" w14:textId="3309902D" w:rsidR="00435292" w:rsidRPr="00027E64" w:rsidRDefault="00D25426" w:rsidP="008C63D2">
      <w:pPr>
        <w:pStyle w:val="ListParagraph"/>
        <w:numPr>
          <w:ilvl w:val="0"/>
          <w:numId w:val="13"/>
        </w:numPr>
        <w:jc w:val="both"/>
      </w:pPr>
      <w:r w:rsidRPr="008C63D2">
        <w:rPr>
          <w:rFonts w:ascii="Times New Roman" w:hAnsi="Times New Roman" w:cs="Times New Roman"/>
        </w:rPr>
        <w:t>VCP, BRS, CGI, UGR and UGP</w:t>
      </w:r>
      <w:r w:rsidR="00435292" w:rsidRPr="008C63D2">
        <w:rPr>
          <w:rFonts w:ascii="Times New Roman" w:hAnsi="Times New Roman" w:cs="Times New Roman"/>
        </w:rPr>
        <w:t xml:space="preserve">, </w:t>
      </w:r>
      <w:r w:rsidRPr="008C63D2">
        <w:rPr>
          <w:rFonts w:ascii="Times New Roman" w:hAnsi="Times New Roman" w:cs="Times New Roman"/>
        </w:rPr>
        <w:t>as they would be more appropriate glare predictors under artificial lighting conditions and uniform glare sources.</w:t>
      </w:r>
    </w:p>
    <w:p w14:paraId="65644EC1" w14:textId="4F473DD8" w:rsidR="00435292" w:rsidRPr="00027E64" w:rsidRDefault="00D25426" w:rsidP="008C63D2">
      <w:pPr>
        <w:pStyle w:val="ListParagraph"/>
        <w:numPr>
          <w:ilvl w:val="0"/>
          <w:numId w:val="13"/>
        </w:numPr>
        <w:jc w:val="both"/>
      </w:pPr>
      <w:r w:rsidRPr="008C63D2">
        <w:rPr>
          <w:rFonts w:ascii="Times New Roman" w:hAnsi="Times New Roman" w:cs="Times New Roman"/>
        </w:rPr>
        <w:t>PGSV, as the parameter indicating the shape of the source, namely the modified solid angle (</w:t>
      </w:r>
      <w:proofErr w:type="spellStart"/>
      <w:r w:rsidRPr="008C63D2">
        <w:rPr>
          <w:rFonts w:ascii="Times New Roman" w:hAnsi="Times New Roman" w:cs="Times New Roman"/>
        </w:rPr>
        <w:t>Ω</w:t>
      </w:r>
      <w:r w:rsidRPr="008C63D2">
        <w:rPr>
          <w:rFonts w:ascii="Times New Roman" w:hAnsi="Times New Roman" w:cs="Times New Roman"/>
          <w:vertAlign w:val="subscript"/>
        </w:rPr>
        <w:t>s</w:t>
      </w:r>
      <w:proofErr w:type="spellEnd"/>
      <w:r w:rsidRPr="008C63D2">
        <w:rPr>
          <w:rFonts w:ascii="Times New Roman" w:hAnsi="Times New Roman" w:cs="Times New Roman"/>
        </w:rPr>
        <w:t xml:space="preserve">) used by DGI, was not included in the formula </w:t>
      </w:r>
      <w:r w:rsidRPr="008C63D2">
        <w:rPr>
          <w:rFonts w:ascii="Times New Roman" w:hAnsi="Times New Roman" w:cs="Times New Roman"/>
        </w:rPr>
        <w:fldChar w:fldCharType="begin" w:fldLock="1"/>
      </w:r>
      <w:r w:rsidR="005952EA" w:rsidRPr="008C63D2">
        <w:rPr>
          <w:rFonts w:ascii="Times New Roman" w:hAnsi="Times New Roman" w:cs="Times New Roman"/>
        </w:rPr>
        <w:instrText>ADDIN CSL_CITATION { "citationItems" : [ { "id" : "ITEM-1", "itemData" : { "DOI" : "10.1177/096032719803000205", "ISSN" : "1477-1535", "abstract" : "The limitations of predicted glare sensation vote (PGSV), which evaluates glare from windows, are examined. The following two questions were addressed: first, whether PGSV involves the same contradiction as daylight glare index; second, how great is the effect of the source shape on discomfort glare. When the size of the source increases and coincides with the whole visual field, the value of PGSV becomes independent of the background. However, FGSV shows that the effect of source size increases with increasing background luminance. Consequently a hypothesis on the transition from the 'contrast effect' to the 'grand total effect' is shown schematically. In a subjective experiment and numerical simulation it was found that he effects of the shape of the window on glare sensation are not significant. \ufffd 1998, SAGE Publications. All rights reserved.", "author" : [ { "dropping-particle" : "", "family" : "Iwata", "given" : "T", "non-dropping-particle" : "", "parse-names" : false, "suffix" : "" }, { "dropping-particle" : "", "family" : "Tokura", "given" : "M", "non-dropping-particle" : "", "parse-names" : false, "suffix" : "" } ], "container-title" : "Lighting Research &amp; Technology", "id" : "ITEM-1", "issue" : "2", "issued" : { "date-parts" : [ [ "1998" ] ] }, "note" : "Cited By :28", "page" : "81-88", "publisher-place" : "Affiliation: National Institute of Public Health, 4-6-1 Shirokanedai Minato-ku, Tokyo, Japan; Affiliation: Tokyo Institute of Technology, 4529 Nagatsuda-cho Midori-ku, Yokohams-shi Kanagawa, Japan", "title" : "Examination of the limitations of predicted glare sensation vote (PGSV) as a glare index for a large source: Towards a comprehensive development of discomfort glare evaluation", "type" : "article-journal", "volume" : "30" }, "uris" : [ "http://www.mendeley.com/documents/?uuid=29ef5796-0728-4914-837a-1fc814c4d58e", "http://www.mendeley.com/documents/?uuid=147b3e1e-3ddb-4490-ba8c-d87ee3aa2775" ] } ], "mendeley" : { "formattedCitation" : "(Iwata and Tokura, 1998)", "plainTextFormattedCitation" : "(Iwata and Tokura, 1998)", "previouslyFormattedCitation" : "(Iwata and Tokura, 1998)" }, "properties" : { "noteIndex" : 0 }, "schema" : "https://github.com/citation-style-language/schema/raw/master/csl-citation.json" }</w:instrText>
      </w:r>
      <w:r w:rsidRPr="008C63D2">
        <w:rPr>
          <w:rFonts w:ascii="Times New Roman" w:hAnsi="Times New Roman" w:cs="Times New Roman"/>
        </w:rPr>
        <w:fldChar w:fldCharType="separate"/>
      </w:r>
      <w:r w:rsidRPr="008C63D2">
        <w:rPr>
          <w:rFonts w:ascii="Times New Roman" w:hAnsi="Times New Roman" w:cs="Times New Roman"/>
          <w:noProof/>
        </w:rPr>
        <w:t>(Iwata and Tokura, 1998)</w:t>
      </w:r>
      <w:r w:rsidRPr="008C63D2">
        <w:rPr>
          <w:rFonts w:ascii="Times New Roman" w:hAnsi="Times New Roman" w:cs="Times New Roman"/>
        </w:rPr>
        <w:fldChar w:fldCharType="end"/>
      </w:r>
      <w:r w:rsidRPr="008C63D2">
        <w:rPr>
          <w:rFonts w:ascii="Times New Roman" w:hAnsi="Times New Roman" w:cs="Times New Roman"/>
        </w:rPr>
        <w:t xml:space="preserve">. This occurred due to the fact that, the PGSV assumes, that the observer would gaze straight towards the window </w:t>
      </w:r>
      <w:r w:rsidRPr="008C63D2">
        <w:rPr>
          <w:rFonts w:ascii="Times New Roman" w:hAnsi="Times New Roman" w:cs="Times New Roman"/>
        </w:rPr>
        <w:fldChar w:fldCharType="begin" w:fldLock="1"/>
      </w:r>
      <w:r w:rsidR="005952EA" w:rsidRPr="008C63D2">
        <w:rPr>
          <w:rFonts w:ascii="Times New Roman" w:hAnsi="Times New Roman" w:cs="Times New Roman"/>
        </w:rPr>
        <w:instrText>ADDIN CSL_CITATION { "citationItems" : [ { "id" : "ITEM-1", "itemData" : { "ISBN" : "9780748409501", "author" : [ { "dropping-particle" : "", "family" : "Boyce", "given" : "Peter R", "non-dropping-particle" : "", "parse-names" : false, "suffix" : "" } ], "edition" : "2. ed.", "id" : "ITEM-1", "issued" : { "date-parts" : [ [ "2003" ] ] }, "note" : "QP82.2.L5", "publisher" : "Taylor &amp; Francis", "publisher-place" : "London [u.a.]", "title" : "Human factors in lighting", "type" : "book" }, "uris" : [ "http://www.mendeley.com/documents/?uuid=a326ebff-1c95-4134-8eab-321a609a9560", "http://www.mendeley.com/documents/?uuid=10eac6a6-bbda-4b0a-96a6-c988f5373709" ] } ], "mendeley" : { "formattedCitation" : "(Boyce, 2003)", "plainTextFormattedCitation" : "(Boyce, 2003)", "previouslyFormattedCitation" : "(Boyce, 2003)" }, "properties" : { "noteIndex" : 0 }, "schema" : "https://github.com/citation-style-language/schema/raw/master/csl-citation.json" }</w:instrText>
      </w:r>
      <w:r w:rsidRPr="008C63D2">
        <w:rPr>
          <w:rFonts w:ascii="Times New Roman" w:hAnsi="Times New Roman" w:cs="Times New Roman"/>
        </w:rPr>
        <w:fldChar w:fldCharType="separate"/>
      </w:r>
      <w:r w:rsidRPr="008C63D2">
        <w:rPr>
          <w:rFonts w:ascii="Times New Roman" w:hAnsi="Times New Roman" w:cs="Times New Roman"/>
          <w:noProof/>
        </w:rPr>
        <w:t>(Boyce, 2003)</w:t>
      </w:r>
      <w:r w:rsidRPr="008C63D2">
        <w:rPr>
          <w:rFonts w:ascii="Times New Roman" w:hAnsi="Times New Roman" w:cs="Times New Roman"/>
        </w:rPr>
        <w:fldChar w:fldCharType="end"/>
      </w:r>
      <w:r w:rsidRPr="008C63D2">
        <w:rPr>
          <w:rFonts w:ascii="Times New Roman" w:hAnsi="Times New Roman" w:cs="Times New Roman"/>
        </w:rPr>
        <w:t xml:space="preserve">. </w:t>
      </w:r>
    </w:p>
    <w:p w14:paraId="0613CE0E" w14:textId="7B1C6F64" w:rsidR="00D25426" w:rsidRPr="004A2AB6" w:rsidRDefault="00D25426" w:rsidP="008C63D2">
      <w:pPr>
        <w:pStyle w:val="ListParagraph"/>
        <w:numPr>
          <w:ilvl w:val="0"/>
          <w:numId w:val="13"/>
        </w:numPr>
        <w:jc w:val="both"/>
      </w:pPr>
      <w:proofErr w:type="spellStart"/>
      <w:r w:rsidRPr="00F50542">
        <w:t>DGP</w:t>
      </w:r>
      <w:r w:rsidRPr="009244FC">
        <w:rPr>
          <w:vertAlign w:val="subscript"/>
        </w:rPr>
        <w:t>mod</w:t>
      </w:r>
      <w:proofErr w:type="spellEnd"/>
      <w:r w:rsidRPr="009244FC">
        <w:t xml:space="preserve"> were not implemented in the method, as both criteria derived after experiments specifically with ro</w:t>
      </w:r>
      <w:r w:rsidRPr="006752AA">
        <w:t>ller shades and could not be generalized for other glare control strategies.</w:t>
      </w:r>
    </w:p>
    <w:p w14:paraId="40D4AE7A" w14:textId="3DEE8001" w:rsidR="00D25426" w:rsidRPr="00027E64" w:rsidRDefault="00D25426" w:rsidP="008C63D2">
      <w:pPr>
        <w:pStyle w:val="ListParagraph"/>
        <w:numPr>
          <w:ilvl w:val="0"/>
          <w:numId w:val="13"/>
        </w:numPr>
        <w:jc w:val="both"/>
      </w:pPr>
      <w:proofErr w:type="spellStart"/>
      <w:r w:rsidRPr="008C63D2">
        <w:rPr>
          <w:rFonts w:ascii="Times New Roman" w:hAnsi="Times New Roman" w:cs="Times New Roman"/>
        </w:rPr>
        <w:t>eDGPs</w:t>
      </w:r>
      <w:proofErr w:type="spellEnd"/>
      <w:r w:rsidRPr="008C63D2">
        <w:rPr>
          <w:rFonts w:ascii="Times New Roman" w:hAnsi="Times New Roman" w:cs="Times New Roman"/>
        </w:rPr>
        <w:t xml:space="preserve"> </w:t>
      </w:r>
      <w:r w:rsidR="00F36760" w:rsidRPr="008C63D2">
        <w:rPr>
          <w:rFonts w:ascii="Times New Roman" w:hAnsi="Times New Roman" w:cs="Times New Roman"/>
        </w:rPr>
        <w:t xml:space="preserve">, as </w:t>
      </w:r>
      <w:r w:rsidRPr="008C63D2">
        <w:rPr>
          <w:rFonts w:ascii="Times New Roman" w:hAnsi="Times New Roman" w:cs="Times New Roman"/>
        </w:rPr>
        <w:t xml:space="preserve">the reduced simulation time of the </w:t>
      </w:r>
      <w:proofErr w:type="spellStart"/>
      <w:r w:rsidRPr="008C63D2">
        <w:rPr>
          <w:rFonts w:ascii="Times New Roman" w:hAnsi="Times New Roman" w:cs="Times New Roman"/>
        </w:rPr>
        <w:t>eDGPs</w:t>
      </w:r>
      <w:proofErr w:type="spellEnd"/>
      <w:r w:rsidRPr="008C63D2">
        <w:rPr>
          <w:rFonts w:ascii="Times New Roman" w:hAnsi="Times New Roman" w:cs="Times New Roman"/>
        </w:rPr>
        <w:t xml:space="preserve"> arose from the fact that, the precise ray bounces inside the tested geometry were not taken into account (-ab 0) </w:t>
      </w:r>
      <w:r w:rsidRPr="008C63D2">
        <w:rPr>
          <w:rFonts w:ascii="Times New Roman" w:hAnsi="Times New Roman" w:cs="Times New Roman"/>
        </w:rPr>
        <w:fldChar w:fldCharType="begin" w:fldLock="1"/>
      </w:r>
      <w:r w:rsidR="005952EA" w:rsidRPr="008C63D2">
        <w:rPr>
          <w:rFonts w:ascii="Times New Roman" w:hAnsi="Times New Roman" w:cs="Times New Roman"/>
        </w:rPr>
        <w:instrText>ADDIN CSL_CITATION { "citationItems" : [ { "id" : "ITEM-1", "itemData" : { "abstract" : "In non-residential buildings, comfort and energy demand for heating, cooling and lighting are significantly influenced by the fa\ufffdade. Up to now, only non-weighted luminance-based methods for calculating and evaluating annual daylight glare exist (Lee et al., 2005; Mardaljevic and Lomas., 1998). Within this paper, different methods based on the daylight glare probability DGP (Wienold and Christoffersen, 2006) for a dynamic calculation of glare are discussed and evaluated: Timestep by timestep calculation - RADIANCE reference method. Simplified daylight glare probability DGPs - DGP only based on vertical eye illuminance. Results of this method are similar to average luminance based evaluations. Enhanced simplified DGP calculation - DGP based on vertical eye illuminance and simplified images. The enhanced simplified DGP method is validated against two hour-by-hour full year calculations, using a fabric and a Venetian blinds shading system. For the yearly evaluation of dynamic glare results, a histogram analysis and a glare rating classification is proposed.", "author" : [ { "dropping-particle" : "", "family" : "Wienold", "given" : "J", "non-dropping-particle" : "", "parse-names" : false, "suffix" : "" } ], "container-title" : "IBPSA 2009 - International Building Performance Simulation Association 2009; 11th International IBPSA Conference - Building Simulation 2009, BS 2009", "id" : "ITEM-1", "issued" : { "date-parts" : [ [ "2009" ] ] }, "note" : "Conference code: 93271; Cited By :72", "page" : "944-951", "publisher-place" : "Affiliation: Fraunhofer Institute for Solar Energy Systems, Heidenhofstr. 2, D-79110 Freiburg, Germany; Correspondence Address: Wienold, J.; Fraunhofer Institute for Solar Energy Systems, Heidenhofstr. 2, D-79110 Freiburg, Germany; email: jan.wienold@ise.", "title" : "Dynamic daylight glare evaluation", "type" : "paper-conference" }, "uris" : [ "http://www.mendeley.com/documents/?uuid=b9caee6a-ab48-4bb6-89ea-0667747eda81", "http://www.mendeley.com/documents/?uuid=2be9920c-a741-4675-ad4f-2e4ae0d633b2" ] } ], "mendeley" : { "formattedCitation" : "(Wienold, 2009)", "plainTextFormattedCitation" : "(Wienold, 2009)", "previouslyFormattedCitation" : "(Wienold, 2009)" }, "properties" : { "noteIndex" : 0 }, "schema" : "https://github.com/citation-style-language/schema/raw/master/csl-citation.json" }</w:instrText>
      </w:r>
      <w:r w:rsidRPr="008C63D2">
        <w:rPr>
          <w:rFonts w:ascii="Times New Roman" w:hAnsi="Times New Roman" w:cs="Times New Roman"/>
        </w:rPr>
        <w:fldChar w:fldCharType="separate"/>
      </w:r>
      <w:r w:rsidRPr="008C63D2">
        <w:rPr>
          <w:rFonts w:ascii="Times New Roman" w:hAnsi="Times New Roman" w:cs="Times New Roman"/>
          <w:noProof/>
        </w:rPr>
        <w:t>(Wienold, 2009)</w:t>
      </w:r>
      <w:r w:rsidRPr="008C63D2">
        <w:rPr>
          <w:rFonts w:ascii="Times New Roman" w:hAnsi="Times New Roman" w:cs="Times New Roman"/>
        </w:rPr>
        <w:fldChar w:fldCharType="end"/>
      </w:r>
      <w:r w:rsidRPr="008C63D2">
        <w:rPr>
          <w:rFonts w:ascii="Times New Roman" w:hAnsi="Times New Roman" w:cs="Times New Roman"/>
        </w:rPr>
        <w:t>. Such limitation could be critical when glare control systems, such as venetian blinds, were to be investigated, leading to inaccurate results.</w:t>
      </w:r>
    </w:p>
    <w:p w14:paraId="36287985" w14:textId="28776705" w:rsidR="00810B55" w:rsidRPr="00AA3D0C" w:rsidRDefault="00812950" w:rsidP="00810B55">
      <w:pPr>
        <w:pStyle w:val="Rubrik2-Byfy"/>
        <w:numPr>
          <w:ilvl w:val="0"/>
          <w:numId w:val="0"/>
        </w:numPr>
        <w:rPr>
          <w:rFonts w:cs="Times New Roman"/>
        </w:rPr>
      </w:pPr>
      <w:bookmarkStart w:id="50" w:name="_Toc532751596"/>
      <w:r>
        <w:rPr>
          <w:rFonts w:cs="Times New Roman"/>
        </w:rPr>
        <w:lastRenderedPageBreak/>
        <w:t>A.</w:t>
      </w:r>
      <w:r w:rsidR="005A13D2">
        <w:rPr>
          <w:rFonts w:cs="Times New Roman"/>
        </w:rPr>
        <w:t>2</w:t>
      </w:r>
      <w:r>
        <w:rPr>
          <w:rFonts w:cs="Times New Roman"/>
        </w:rPr>
        <w:t xml:space="preserve"> </w:t>
      </w:r>
      <w:r w:rsidR="00810B55">
        <w:rPr>
          <w:rFonts w:cs="Times New Roman"/>
        </w:rPr>
        <w:t xml:space="preserve">Input </w:t>
      </w:r>
      <w:r w:rsidR="00810B55" w:rsidRPr="00AA3D0C">
        <w:rPr>
          <w:rFonts w:cs="Times New Roman"/>
        </w:rPr>
        <w:t>Parameters</w:t>
      </w:r>
      <w:bookmarkEnd w:id="50"/>
    </w:p>
    <w:p w14:paraId="49CABD74" w14:textId="5AA28899" w:rsidR="00810B55" w:rsidRPr="00554004" w:rsidRDefault="00810B55" w:rsidP="00810B55">
      <w:pPr>
        <w:spacing w:after="240"/>
        <w:jc w:val="both"/>
        <w:rPr>
          <w:i/>
          <w:sz w:val="20"/>
        </w:rPr>
      </w:pPr>
      <w:r w:rsidRPr="00554004">
        <w:rPr>
          <w:i/>
          <w:sz w:val="20"/>
        </w:rPr>
        <w:t>Table</w:t>
      </w:r>
      <w:r w:rsidR="008C63D2">
        <w:rPr>
          <w:i/>
          <w:sz w:val="20"/>
        </w:rPr>
        <w:t xml:space="preserve"> 8</w:t>
      </w:r>
      <w:r w:rsidRPr="00554004">
        <w:rPr>
          <w:i/>
          <w:sz w:val="20"/>
        </w:rPr>
        <w:t>: The inserted Rad Parameters.</w:t>
      </w:r>
    </w:p>
    <w:tbl>
      <w:tblPr>
        <w:tblStyle w:val="PlainTable2"/>
        <w:tblW w:w="0" w:type="auto"/>
        <w:tblLook w:val="04A0" w:firstRow="1" w:lastRow="0" w:firstColumn="1" w:lastColumn="0" w:noHBand="0" w:noVBand="1"/>
      </w:tblPr>
      <w:tblGrid>
        <w:gridCol w:w="2140"/>
        <w:gridCol w:w="2008"/>
        <w:gridCol w:w="2008"/>
        <w:gridCol w:w="2008"/>
      </w:tblGrid>
      <w:tr w:rsidR="00810B55" w:rsidRPr="00554004" w14:paraId="6F31F6F5" w14:textId="77777777" w:rsidTr="00517E71">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40" w:type="dxa"/>
          </w:tcPr>
          <w:p w14:paraId="01D2F8B1" w14:textId="77777777" w:rsidR="00810B55" w:rsidRPr="00554004" w:rsidRDefault="00810B55" w:rsidP="00517E71">
            <w:pPr>
              <w:spacing w:after="240"/>
              <w:jc w:val="both"/>
              <w:rPr>
                <w:sz w:val="20"/>
              </w:rPr>
            </w:pPr>
            <w:r w:rsidRPr="00554004">
              <w:rPr>
                <w:sz w:val="20"/>
              </w:rPr>
              <w:t>-ab</w:t>
            </w:r>
          </w:p>
        </w:tc>
        <w:tc>
          <w:tcPr>
            <w:tcW w:w="2008" w:type="dxa"/>
          </w:tcPr>
          <w:p w14:paraId="159B40D8" w14:textId="77777777" w:rsidR="00810B55" w:rsidRPr="00554004" w:rsidRDefault="00810B55" w:rsidP="00517E71">
            <w:pPr>
              <w:spacing w:after="240"/>
              <w:jc w:val="both"/>
              <w:cnfStyle w:val="100000000000" w:firstRow="1" w:lastRow="0" w:firstColumn="0" w:lastColumn="0" w:oddVBand="0" w:evenVBand="0" w:oddHBand="0" w:evenHBand="0" w:firstRowFirstColumn="0" w:firstRowLastColumn="0" w:lastRowFirstColumn="0" w:lastRowLastColumn="0"/>
              <w:rPr>
                <w:b w:val="0"/>
                <w:sz w:val="20"/>
              </w:rPr>
            </w:pPr>
            <w:r w:rsidRPr="00554004">
              <w:rPr>
                <w:b w:val="0"/>
                <w:sz w:val="20"/>
              </w:rPr>
              <w:t>6</w:t>
            </w:r>
          </w:p>
        </w:tc>
        <w:tc>
          <w:tcPr>
            <w:tcW w:w="2008" w:type="dxa"/>
          </w:tcPr>
          <w:p w14:paraId="00136E33" w14:textId="77777777" w:rsidR="00810B55" w:rsidRPr="00554004" w:rsidRDefault="00810B55" w:rsidP="00517E71">
            <w:pPr>
              <w:spacing w:after="240"/>
              <w:jc w:val="both"/>
              <w:cnfStyle w:val="100000000000" w:firstRow="1" w:lastRow="0" w:firstColumn="0" w:lastColumn="0" w:oddVBand="0" w:evenVBand="0" w:oddHBand="0" w:evenHBand="0" w:firstRowFirstColumn="0" w:firstRowLastColumn="0" w:lastRowFirstColumn="0" w:lastRowLastColumn="0"/>
              <w:rPr>
                <w:sz w:val="20"/>
              </w:rPr>
            </w:pPr>
            <w:r w:rsidRPr="00554004">
              <w:rPr>
                <w:sz w:val="20"/>
              </w:rPr>
              <w:t>-ds</w:t>
            </w:r>
          </w:p>
        </w:tc>
        <w:tc>
          <w:tcPr>
            <w:tcW w:w="2008" w:type="dxa"/>
          </w:tcPr>
          <w:p w14:paraId="047748D6" w14:textId="77777777" w:rsidR="00810B55" w:rsidRPr="00554004" w:rsidRDefault="00810B55" w:rsidP="00517E71">
            <w:pPr>
              <w:spacing w:after="240"/>
              <w:jc w:val="both"/>
              <w:cnfStyle w:val="100000000000" w:firstRow="1" w:lastRow="0" w:firstColumn="0" w:lastColumn="0" w:oddVBand="0" w:evenVBand="0" w:oddHBand="0" w:evenHBand="0" w:firstRowFirstColumn="0" w:firstRowLastColumn="0" w:lastRowFirstColumn="0" w:lastRowLastColumn="0"/>
              <w:rPr>
                <w:b w:val="0"/>
                <w:sz w:val="20"/>
              </w:rPr>
            </w:pPr>
            <w:r w:rsidRPr="00554004">
              <w:rPr>
                <w:b w:val="0"/>
                <w:sz w:val="20"/>
              </w:rPr>
              <w:t>0.15</w:t>
            </w:r>
          </w:p>
        </w:tc>
      </w:tr>
      <w:tr w:rsidR="00810B55" w:rsidRPr="00554004" w14:paraId="7988A4BA" w14:textId="77777777" w:rsidTr="00517E7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40" w:type="dxa"/>
          </w:tcPr>
          <w:p w14:paraId="6ADC0BDB" w14:textId="77777777" w:rsidR="00810B55" w:rsidRPr="00554004" w:rsidRDefault="00810B55" w:rsidP="00517E71">
            <w:pPr>
              <w:spacing w:after="240"/>
              <w:jc w:val="both"/>
              <w:rPr>
                <w:sz w:val="20"/>
              </w:rPr>
            </w:pPr>
            <w:r w:rsidRPr="00554004">
              <w:rPr>
                <w:sz w:val="20"/>
              </w:rPr>
              <w:t>-ad</w:t>
            </w:r>
          </w:p>
        </w:tc>
        <w:tc>
          <w:tcPr>
            <w:tcW w:w="2008" w:type="dxa"/>
          </w:tcPr>
          <w:p w14:paraId="16BFCC1E" w14:textId="77777777" w:rsidR="00810B55" w:rsidRPr="00554004" w:rsidRDefault="00810B55" w:rsidP="00517E71">
            <w:pPr>
              <w:spacing w:after="240"/>
              <w:jc w:val="both"/>
              <w:cnfStyle w:val="000000100000" w:firstRow="0" w:lastRow="0" w:firstColumn="0" w:lastColumn="0" w:oddVBand="0" w:evenVBand="0" w:oddHBand="1" w:evenHBand="0" w:firstRowFirstColumn="0" w:firstRowLastColumn="0" w:lastRowFirstColumn="0" w:lastRowLastColumn="0"/>
              <w:rPr>
                <w:sz w:val="20"/>
              </w:rPr>
            </w:pPr>
            <w:r w:rsidRPr="00554004">
              <w:rPr>
                <w:sz w:val="20"/>
              </w:rPr>
              <w:t>2048</w:t>
            </w:r>
          </w:p>
        </w:tc>
        <w:tc>
          <w:tcPr>
            <w:tcW w:w="2008" w:type="dxa"/>
          </w:tcPr>
          <w:p w14:paraId="5706629B" w14:textId="77777777" w:rsidR="00810B55" w:rsidRPr="00554004" w:rsidRDefault="00810B55" w:rsidP="00517E71">
            <w:pPr>
              <w:spacing w:after="240"/>
              <w:jc w:val="both"/>
              <w:cnfStyle w:val="000000100000" w:firstRow="0" w:lastRow="0" w:firstColumn="0" w:lastColumn="0" w:oddVBand="0" w:evenVBand="0" w:oddHBand="1" w:evenHBand="0" w:firstRowFirstColumn="0" w:firstRowLastColumn="0" w:lastRowFirstColumn="0" w:lastRowLastColumn="0"/>
              <w:rPr>
                <w:b/>
                <w:sz w:val="20"/>
              </w:rPr>
            </w:pPr>
            <w:r w:rsidRPr="00554004">
              <w:rPr>
                <w:b/>
                <w:sz w:val="20"/>
              </w:rPr>
              <w:t>-dt</w:t>
            </w:r>
          </w:p>
        </w:tc>
        <w:tc>
          <w:tcPr>
            <w:tcW w:w="2008" w:type="dxa"/>
          </w:tcPr>
          <w:p w14:paraId="2B01A7A1" w14:textId="77777777" w:rsidR="00810B55" w:rsidRPr="00554004" w:rsidRDefault="00810B55" w:rsidP="00517E71">
            <w:pPr>
              <w:spacing w:after="240"/>
              <w:jc w:val="both"/>
              <w:cnfStyle w:val="000000100000" w:firstRow="0" w:lastRow="0" w:firstColumn="0" w:lastColumn="0" w:oddVBand="0" w:evenVBand="0" w:oddHBand="1" w:evenHBand="0" w:firstRowFirstColumn="0" w:firstRowLastColumn="0" w:lastRowFirstColumn="0" w:lastRowLastColumn="0"/>
              <w:rPr>
                <w:sz w:val="20"/>
              </w:rPr>
            </w:pPr>
            <w:r w:rsidRPr="00554004">
              <w:rPr>
                <w:sz w:val="20"/>
              </w:rPr>
              <w:t>0.05</w:t>
            </w:r>
          </w:p>
        </w:tc>
      </w:tr>
      <w:tr w:rsidR="00810B55" w:rsidRPr="00554004" w14:paraId="30C53CED" w14:textId="77777777" w:rsidTr="00517E71">
        <w:tc>
          <w:tcPr>
            <w:cnfStyle w:val="001000000000" w:firstRow="0" w:lastRow="0" w:firstColumn="1" w:lastColumn="0" w:oddVBand="0" w:evenVBand="0" w:oddHBand="0" w:evenHBand="0" w:firstRowFirstColumn="0" w:firstRowLastColumn="0" w:lastRowFirstColumn="0" w:lastRowLastColumn="0"/>
            <w:tcW w:w="2140" w:type="dxa"/>
          </w:tcPr>
          <w:p w14:paraId="0A245A3A" w14:textId="77777777" w:rsidR="00810B55" w:rsidRPr="00554004" w:rsidRDefault="00810B55" w:rsidP="00517E71">
            <w:pPr>
              <w:spacing w:after="240"/>
              <w:jc w:val="both"/>
              <w:rPr>
                <w:sz w:val="20"/>
              </w:rPr>
            </w:pPr>
            <w:r w:rsidRPr="00554004">
              <w:rPr>
                <w:sz w:val="20"/>
              </w:rPr>
              <w:t>-as</w:t>
            </w:r>
          </w:p>
        </w:tc>
        <w:tc>
          <w:tcPr>
            <w:tcW w:w="2008" w:type="dxa"/>
          </w:tcPr>
          <w:p w14:paraId="2FA610DA" w14:textId="77777777" w:rsidR="00810B55" w:rsidRPr="00554004" w:rsidRDefault="00810B55" w:rsidP="00517E71">
            <w:pPr>
              <w:spacing w:after="240"/>
              <w:jc w:val="both"/>
              <w:cnfStyle w:val="000000000000" w:firstRow="0" w:lastRow="0" w:firstColumn="0" w:lastColumn="0" w:oddVBand="0" w:evenVBand="0" w:oddHBand="0" w:evenHBand="0" w:firstRowFirstColumn="0" w:firstRowLastColumn="0" w:lastRowFirstColumn="0" w:lastRowLastColumn="0"/>
              <w:rPr>
                <w:sz w:val="20"/>
              </w:rPr>
            </w:pPr>
            <w:r w:rsidRPr="00554004">
              <w:rPr>
                <w:sz w:val="20"/>
              </w:rPr>
              <w:t>1024</w:t>
            </w:r>
          </w:p>
        </w:tc>
        <w:tc>
          <w:tcPr>
            <w:tcW w:w="2008" w:type="dxa"/>
          </w:tcPr>
          <w:p w14:paraId="10E1545D" w14:textId="77777777" w:rsidR="00810B55" w:rsidRPr="00554004" w:rsidRDefault="00810B55" w:rsidP="00517E71">
            <w:pPr>
              <w:spacing w:after="240"/>
              <w:jc w:val="both"/>
              <w:cnfStyle w:val="000000000000" w:firstRow="0" w:lastRow="0" w:firstColumn="0" w:lastColumn="0" w:oddVBand="0" w:evenVBand="0" w:oddHBand="0" w:evenHBand="0" w:firstRowFirstColumn="0" w:firstRowLastColumn="0" w:lastRowFirstColumn="0" w:lastRowLastColumn="0"/>
              <w:rPr>
                <w:b/>
                <w:sz w:val="20"/>
              </w:rPr>
            </w:pPr>
            <w:r w:rsidRPr="00554004">
              <w:rPr>
                <w:b/>
                <w:sz w:val="20"/>
              </w:rPr>
              <w:t>-dc</w:t>
            </w:r>
          </w:p>
        </w:tc>
        <w:tc>
          <w:tcPr>
            <w:tcW w:w="2008" w:type="dxa"/>
          </w:tcPr>
          <w:p w14:paraId="2F6E2D1B" w14:textId="77777777" w:rsidR="00810B55" w:rsidRPr="00554004" w:rsidRDefault="00810B55" w:rsidP="00517E71">
            <w:pPr>
              <w:spacing w:after="240"/>
              <w:jc w:val="both"/>
              <w:cnfStyle w:val="000000000000" w:firstRow="0" w:lastRow="0" w:firstColumn="0" w:lastColumn="0" w:oddVBand="0" w:evenVBand="0" w:oddHBand="0" w:evenHBand="0" w:firstRowFirstColumn="0" w:firstRowLastColumn="0" w:lastRowFirstColumn="0" w:lastRowLastColumn="0"/>
              <w:rPr>
                <w:sz w:val="20"/>
              </w:rPr>
            </w:pPr>
            <w:r w:rsidRPr="00554004">
              <w:rPr>
                <w:sz w:val="20"/>
              </w:rPr>
              <w:t>0.75</w:t>
            </w:r>
          </w:p>
        </w:tc>
      </w:tr>
      <w:tr w:rsidR="00810B55" w:rsidRPr="00554004" w14:paraId="179CD9D7" w14:textId="77777777" w:rsidTr="00517E7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40" w:type="dxa"/>
          </w:tcPr>
          <w:p w14:paraId="19BF1AF4" w14:textId="77777777" w:rsidR="00810B55" w:rsidRPr="00554004" w:rsidRDefault="00810B55" w:rsidP="00517E71">
            <w:pPr>
              <w:spacing w:after="240"/>
              <w:jc w:val="both"/>
              <w:rPr>
                <w:sz w:val="20"/>
              </w:rPr>
            </w:pPr>
            <w:r w:rsidRPr="00554004">
              <w:rPr>
                <w:sz w:val="20"/>
              </w:rPr>
              <w:t>-</w:t>
            </w:r>
            <w:proofErr w:type="spellStart"/>
            <w:r w:rsidRPr="00554004">
              <w:rPr>
                <w:sz w:val="20"/>
              </w:rPr>
              <w:t>ar</w:t>
            </w:r>
            <w:proofErr w:type="spellEnd"/>
          </w:p>
        </w:tc>
        <w:tc>
          <w:tcPr>
            <w:tcW w:w="2008" w:type="dxa"/>
          </w:tcPr>
          <w:p w14:paraId="5379C7B9" w14:textId="77777777" w:rsidR="00810B55" w:rsidRPr="00554004" w:rsidRDefault="00810B55" w:rsidP="00517E71">
            <w:pPr>
              <w:spacing w:after="240"/>
              <w:jc w:val="both"/>
              <w:cnfStyle w:val="000000100000" w:firstRow="0" w:lastRow="0" w:firstColumn="0" w:lastColumn="0" w:oddVBand="0" w:evenVBand="0" w:oddHBand="1" w:evenHBand="0" w:firstRowFirstColumn="0" w:firstRowLastColumn="0" w:lastRowFirstColumn="0" w:lastRowLastColumn="0"/>
              <w:rPr>
                <w:sz w:val="20"/>
              </w:rPr>
            </w:pPr>
            <w:r w:rsidRPr="00554004">
              <w:rPr>
                <w:sz w:val="20"/>
              </w:rPr>
              <w:t>512</w:t>
            </w:r>
          </w:p>
        </w:tc>
        <w:tc>
          <w:tcPr>
            <w:tcW w:w="2008" w:type="dxa"/>
          </w:tcPr>
          <w:p w14:paraId="01EFF02F" w14:textId="77777777" w:rsidR="00810B55" w:rsidRPr="00554004" w:rsidRDefault="00810B55" w:rsidP="00517E71">
            <w:pPr>
              <w:spacing w:after="240"/>
              <w:jc w:val="both"/>
              <w:cnfStyle w:val="000000100000" w:firstRow="0" w:lastRow="0" w:firstColumn="0" w:lastColumn="0" w:oddVBand="0" w:evenVBand="0" w:oddHBand="1" w:evenHBand="0" w:firstRowFirstColumn="0" w:firstRowLastColumn="0" w:lastRowFirstColumn="0" w:lastRowLastColumn="0"/>
              <w:rPr>
                <w:b/>
                <w:sz w:val="20"/>
              </w:rPr>
            </w:pPr>
            <w:r w:rsidRPr="00554004">
              <w:rPr>
                <w:b/>
                <w:sz w:val="20"/>
              </w:rPr>
              <w:t>-</w:t>
            </w:r>
            <w:proofErr w:type="spellStart"/>
            <w:r w:rsidRPr="00554004">
              <w:rPr>
                <w:b/>
                <w:sz w:val="20"/>
              </w:rPr>
              <w:t>dr</w:t>
            </w:r>
            <w:proofErr w:type="spellEnd"/>
          </w:p>
        </w:tc>
        <w:tc>
          <w:tcPr>
            <w:tcW w:w="2008" w:type="dxa"/>
          </w:tcPr>
          <w:p w14:paraId="6CDDE4BB" w14:textId="77777777" w:rsidR="00810B55" w:rsidRPr="00554004" w:rsidRDefault="00810B55" w:rsidP="00517E71">
            <w:pPr>
              <w:spacing w:after="240"/>
              <w:jc w:val="both"/>
              <w:cnfStyle w:val="000000100000" w:firstRow="0" w:lastRow="0" w:firstColumn="0" w:lastColumn="0" w:oddVBand="0" w:evenVBand="0" w:oddHBand="1" w:evenHBand="0" w:firstRowFirstColumn="0" w:firstRowLastColumn="0" w:lastRowFirstColumn="0" w:lastRowLastColumn="0"/>
              <w:rPr>
                <w:sz w:val="20"/>
              </w:rPr>
            </w:pPr>
            <w:r w:rsidRPr="00554004">
              <w:rPr>
                <w:sz w:val="20"/>
              </w:rPr>
              <w:t>3</w:t>
            </w:r>
          </w:p>
        </w:tc>
      </w:tr>
      <w:tr w:rsidR="00810B55" w:rsidRPr="00554004" w14:paraId="61D6D636" w14:textId="77777777" w:rsidTr="00517E71">
        <w:tc>
          <w:tcPr>
            <w:cnfStyle w:val="001000000000" w:firstRow="0" w:lastRow="0" w:firstColumn="1" w:lastColumn="0" w:oddVBand="0" w:evenVBand="0" w:oddHBand="0" w:evenHBand="0" w:firstRowFirstColumn="0" w:firstRowLastColumn="0" w:lastRowFirstColumn="0" w:lastRowLastColumn="0"/>
            <w:tcW w:w="2140" w:type="dxa"/>
          </w:tcPr>
          <w:p w14:paraId="775DD9E7" w14:textId="77777777" w:rsidR="00810B55" w:rsidRPr="00554004" w:rsidRDefault="00810B55" w:rsidP="00517E71">
            <w:pPr>
              <w:spacing w:after="240"/>
              <w:jc w:val="both"/>
              <w:rPr>
                <w:sz w:val="20"/>
              </w:rPr>
            </w:pPr>
            <w:r w:rsidRPr="00554004">
              <w:rPr>
                <w:sz w:val="20"/>
              </w:rPr>
              <w:t>-aa</w:t>
            </w:r>
          </w:p>
        </w:tc>
        <w:tc>
          <w:tcPr>
            <w:tcW w:w="2008" w:type="dxa"/>
          </w:tcPr>
          <w:p w14:paraId="667D7A16" w14:textId="77777777" w:rsidR="00810B55" w:rsidRPr="00554004" w:rsidRDefault="00810B55" w:rsidP="00517E71">
            <w:pPr>
              <w:spacing w:after="240"/>
              <w:jc w:val="both"/>
              <w:cnfStyle w:val="000000000000" w:firstRow="0" w:lastRow="0" w:firstColumn="0" w:lastColumn="0" w:oddVBand="0" w:evenVBand="0" w:oddHBand="0" w:evenHBand="0" w:firstRowFirstColumn="0" w:firstRowLastColumn="0" w:lastRowFirstColumn="0" w:lastRowLastColumn="0"/>
              <w:rPr>
                <w:sz w:val="20"/>
              </w:rPr>
            </w:pPr>
            <w:r w:rsidRPr="00554004">
              <w:rPr>
                <w:sz w:val="20"/>
              </w:rPr>
              <w:t>0.1</w:t>
            </w:r>
          </w:p>
        </w:tc>
        <w:tc>
          <w:tcPr>
            <w:tcW w:w="2008" w:type="dxa"/>
          </w:tcPr>
          <w:p w14:paraId="76C191E7" w14:textId="77777777" w:rsidR="00810B55" w:rsidRPr="00554004" w:rsidRDefault="00810B55" w:rsidP="00517E71">
            <w:pPr>
              <w:spacing w:after="240"/>
              <w:jc w:val="both"/>
              <w:cnfStyle w:val="000000000000" w:firstRow="0" w:lastRow="0" w:firstColumn="0" w:lastColumn="0" w:oddVBand="0" w:evenVBand="0" w:oddHBand="0" w:evenHBand="0" w:firstRowFirstColumn="0" w:firstRowLastColumn="0" w:lastRowFirstColumn="0" w:lastRowLastColumn="0"/>
              <w:rPr>
                <w:b/>
                <w:sz w:val="20"/>
              </w:rPr>
            </w:pPr>
            <w:r w:rsidRPr="00554004">
              <w:rPr>
                <w:b/>
                <w:sz w:val="20"/>
              </w:rPr>
              <w:t>-</w:t>
            </w:r>
            <w:proofErr w:type="spellStart"/>
            <w:r w:rsidRPr="00554004">
              <w:rPr>
                <w:b/>
                <w:sz w:val="20"/>
              </w:rPr>
              <w:t>dp</w:t>
            </w:r>
            <w:proofErr w:type="spellEnd"/>
          </w:p>
        </w:tc>
        <w:tc>
          <w:tcPr>
            <w:tcW w:w="2008" w:type="dxa"/>
          </w:tcPr>
          <w:p w14:paraId="7B074B0B" w14:textId="77777777" w:rsidR="00810B55" w:rsidRPr="00554004" w:rsidRDefault="00810B55" w:rsidP="00517E71">
            <w:pPr>
              <w:spacing w:after="240"/>
              <w:jc w:val="both"/>
              <w:cnfStyle w:val="000000000000" w:firstRow="0" w:lastRow="0" w:firstColumn="0" w:lastColumn="0" w:oddVBand="0" w:evenVBand="0" w:oddHBand="0" w:evenHBand="0" w:firstRowFirstColumn="0" w:firstRowLastColumn="0" w:lastRowFirstColumn="0" w:lastRowLastColumn="0"/>
              <w:rPr>
                <w:sz w:val="20"/>
              </w:rPr>
            </w:pPr>
            <w:r w:rsidRPr="00554004">
              <w:rPr>
                <w:sz w:val="20"/>
              </w:rPr>
              <w:t>512</w:t>
            </w:r>
          </w:p>
        </w:tc>
      </w:tr>
      <w:tr w:rsidR="00810B55" w:rsidRPr="00554004" w14:paraId="74062B4C" w14:textId="77777777" w:rsidTr="00517E7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40" w:type="dxa"/>
          </w:tcPr>
          <w:p w14:paraId="09E4C125" w14:textId="77777777" w:rsidR="00810B55" w:rsidRPr="00554004" w:rsidRDefault="00810B55" w:rsidP="00517E71">
            <w:pPr>
              <w:spacing w:after="240"/>
              <w:jc w:val="both"/>
              <w:rPr>
                <w:sz w:val="20"/>
              </w:rPr>
            </w:pPr>
            <w:r w:rsidRPr="00554004">
              <w:rPr>
                <w:sz w:val="20"/>
              </w:rPr>
              <w:t>-</w:t>
            </w:r>
            <w:proofErr w:type="spellStart"/>
            <w:r w:rsidRPr="00554004">
              <w:rPr>
                <w:sz w:val="20"/>
              </w:rPr>
              <w:t>ps</w:t>
            </w:r>
            <w:proofErr w:type="spellEnd"/>
          </w:p>
        </w:tc>
        <w:tc>
          <w:tcPr>
            <w:tcW w:w="2008" w:type="dxa"/>
          </w:tcPr>
          <w:p w14:paraId="27D24EA8" w14:textId="77777777" w:rsidR="00810B55" w:rsidRPr="00554004" w:rsidRDefault="00810B55" w:rsidP="00517E71">
            <w:pPr>
              <w:spacing w:after="240"/>
              <w:jc w:val="both"/>
              <w:cnfStyle w:val="000000100000" w:firstRow="0" w:lastRow="0" w:firstColumn="0" w:lastColumn="0" w:oddVBand="0" w:evenVBand="0" w:oddHBand="1" w:evenHBand="0" w:firstRowFirstColumn="0" w:firstRowLastColumn="0" w:lastRowFirstColumn="0" w:lastRowLastColumn="0"/>
              <w:rPr>
                <w:sz w:val="20"/>
              </w:rPr>
            </w:pPr>
            <w:r w:rsidRPr="00554004">
              <w:rPr>
                <w:sz w:val="20"/>
              </w:rPr>
              <w:t>2</w:t>
            </w:r>
          </w:p>
        </w:tc>
        <w:tc>
          <w:tcPr>
            <w:tcW w:w="2008" w:type="dxa"/>
          </w:tcPr>
          <w:p w14:paraId="4A204EEF" w14:textId="77777777" w:rsidR="00810B55" w:rsidRPr="00554004" w:rsidRDefault="00810B55" w:rsidP="00517E71">
            <w:pPr>
              <w:spacing w:after="240"/>
              <w:jc w:val="both"/>
              <w:cnfStyle w:val="000000100000" w:firstRow="0" w:lastRow="0" w:firstColumn="0" w:lastColumn="0" w:oddVBand="0" w:evenVBand="0" w:oddHBand="1" w:evenHBand="0" w:firstRowFirstColumn="0" w:firstRowLastColumn="0" w:lastRowFirstColumn="0" w:lastRowLastColumn="0"/>
              <w:rPr>
                <w:b/>
                <w:sz w:val="20"/>
              </w:rPr>
            </w:pPr>
            <w:r w:rsidRPr="00554004">
              <w:rPr>
                <w:b/>
                <w:sz w:val="20"/>
              </w:rPr>
              <w:t>-</w:t>
            </w:r>
            <w:proofErr w:type="spellStart"/>
            <w:r w:rsidRPr="00554004">
              <w:rPr>
                <w:b/>
                <w:sz w:val="20"/>
              </w:rPr>
              <w:t>st</w:t>
            </w:r>
            <w:proofErr w:type="spellEnd"/>
          </w:p>
        </w:tc>
        <w:tc>
          <w:tcPr>
            <w:tcW w:w="2008" w:type="dxa"/>
          </w:tcPr>
          <w:p w14:paraId="548100BD" w14:textId="77777777" w:rsidR="00810B55" w:rsidRPr="00554004" w:rsidRDefault="00810B55" w:rsidP="00517E71">
            <w:pPr>
              <w:spacing w:after="240"/>
              <w:jc w:val="both"/>
              <w:cnfStyle w:val="000000100000" w:firstRow="0" w:lastRow="0" w:firstColumn="0" w:lastColumn="0" w:oddVBand="0" w:evenVBand="0" w:oddHBand="1" w:evenHBand="0" w:firstRowFirstColumn="0" w:firstRowLastColumn="0" w:lastRowFirstColumn="0" w:lastRowLastColumn="0"/>
              <w:rPr>
                <w:sz w:val="20"/>
              </w:rPr>
            </w:pPr>
            <w:r w:rsidRPr="00554004">
              <w:rPr>
                <w:sz w:val="20"/>
              </w:rPr>
              <w:t>0.15</w:t>
            </w:r>
          </w:p>
        </w:tc>
      </w:tr>
      <w:tr w:rsidR="00810B55" w:rsidRPr="00554004" w14:paraId="0EF59969" w14:textId="77777777" w:rsidTr="00517E71">
        <w:tc>
          <w:tcPr>
            <w:cnfStyle w:val="001000000000" w:firstRow="0" w:lastRow="0" w:firstColumn="1" w:lastColumn="0" w:oddVBand="0" w:evenVBand="0" w:oddHBand="0" w:evenHBand="0" w:firstRowFirstColumn="0" w:firstRowLastColumn="0" w:lastRowFirstColumn="0" w:lastRowLastColumn="0"/>
            <w:tcW w:w="2140" w:type="dxa"/>
          </w:tcPr>
          <w:p w14:paraId="2BB7FE3E" w14:textId="77777777" w:rsidR="00810B55" w:rsidRPr="00554004" w:rsidRDefault="00810B55" w:rsidP="00517E71">
            <w:pPr>
              <w:spacing w:after="240"/>
              <w:jc w:val="both"/>
              <w:rPr>
                <w:sz w:val="20"/>
              </w:rPr>
            </w:pPr>
            <w:r w:rsidRPr="00554004">
              <w:rPr>
                <w:sz w:val="20"/>
              </w:rPr>
              <w:t>-</w:t>
            </w:r>
            <w:proofErr w:type="spellStart"/>
            <w:r w:rsidRPr="00554004">
              <w:rPr>
                <w:sz w:val="20"/>
              </w:rPr>
              <w:t>pt</w:t>
            </w:r>
            <w:proofErr w:type="spellEnd"/>
          </w:p>
        </w:tc>
        <w:tc>
          <w:tcPr>
            <w:tcW w:w="2008" w:type="dxa"/>
          </w:tcPr>
          <w:p w14:paraId="4CA15F46" w14:textId="77777777" w:rsidR="00810B55" w:rsidRPr="00554004" w:rsidRDefault="00810B55" w:rsidP="00517E71">
            <w:pPr>
              <w:spacing w:after="240"/>
              <w:jc w:val="both"/>
              <w:cnfStyle w:val="000000000000" w:firstRow="0" w:lastRow="0" w:firstColumn="0" w:lastColumn="0" w:oddVBand="0" w:evenVBand="0" w:oddHBand="0" w:evenHBand="0" w:firstRowFirstColumn="0" w:firstRowLastColumn="0" w:lastRowFirstColumn="0" w:lastRowLastColumn="0"/>
              <w:rPr>
                <w:sz w:val="20"/>
              </w:rPr>
            </w:pPr>
            <w:r w:rsidRPr="00554004">
              <w:rPr>
                <w:sz w:val="20"/>
              </w:rPr>
              <w:t>0.05</w:t>
            </w:r>
          </w:p>
        </w:tc>
        <w:tc>
          <w:tcPr>
            <w:tcW w:w="2008" w:type="dxa"/>
          </w:tcPr>
          <w:p w14:paraId="65D0D698" w14:textId="77777777" w:rsidR="00810B55" w:rsidRPr="00554004" w:rsidRDefault="00810B55" w:rsidP="00517E71">
            <w:pPr>
              <w:spacing w:after="240"/>
              <w:jc w:val="both"/>
              <w:cnfStyle w:val="000000000000" w:firstRow="0" w:lastRow="0" w:firstColumn="0" w:lastColumn="0" w:oddVBand="0" w:evenVBand="0" w:oddHBand="0" w:evenHBand="0" w:firstRowFirstColumn="0" w:firstRowLastColumn="0" w:lastRowFirstColumn="0" w:lastRowLastColumn="0"/>
              <w:rPr>
                <w:b/>
                <w:sz w:val="20"/>
              </w:rPr>
            </w:pPr>
            <w:r w:rsidRPr="00554004">
              <w:rPr>
                <w:b/>
                <w:sz w:val="20"/>
              </w:rPr>
              <w:t>-</w:t>
            </w:r>
            <w:proofErr w:type="spellStart"/>
            <w:r w:rsidRPr="00554004">
              <w:rPr>
                <w:b/>
                <w:sz w:val="20"/>
              </w:rPr>
              <w:t>lr</w:t>
            </w:r>
            <w:proofErr w:type="spellEnd"/>
          </w:p>
        </w:tc>
        <w:tc>
          <w:tcPr>
            <w:tcW w:w="2008" w:type="dxa"/>
          </w:tcPr>
          <w:p w14:paraId="17C58114" w14:textId="77777777" w:rsidR="00810B55" w:rsidRPr="00554004" w:rsidRDefault="00810B55" w:rsidP="00517E71">
            <w:pPr>
              <w:spacing w:after="240"/>
              <w:jc w:val="both"/>
              <w:cnfStyle w:val="000000000000" w:firstRow="0" w:lastRow="0" w:firstColumn="0" w:lastColumn="0" w:oddVBand="0" w:evenVBand="0" w:oddHBand="0" w:evenHBand="0" w:firstRowFirstColumn="0" w:firstRowLastColumn="0" w:lastRowFirstColumn="0" w:lastRowLastColumn="0"/>
              <w:rPr>
                <w:sz w:val="20"/>
              </w:rPr>
            </w:pPr>
            <w:r w:rsidRPr="00554004">
              <w:rPr>
                <w:sz w:val="20"/>
              </w:rPr>
              <w:t>8</w:t>
            </w:r>
          </w:p>
        </w:tc>
      </w:tr>
      <w:tr w:rsidR="00810B55" w:rsidRPr="00554004" w14:paraId="557A1A9D" w14:textId="77777777" w:rsidTr="00517E7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40" w:type="dxa"/>
          </w:tcPr>
          <w:p w14:paraId="7F0B0D02" w14:textId="77777777" w:rsidR="00810B55" w:rsidRPr="00554004" w:rsidRDefault="00810B55" w:rsidP="00517E71">
            <w:pPr>
              <w:spacing w:after="240"/>
              <w:jc w:val="both"/>
              <w:rPr>
                <w:sz w:val="20"/>
              </w:rPr>
            </w:pPr>
            <w:r w:rsidRPr="00554004">
              <w:rPr>
                <w:sz w:val="20"/>
              </w:rPr>
              <w:t>-</w:t>
            </w:r>
            <w:proofErr w:type="spellStart"/>
            <w:r w:rsidRPr="00554004">
              <w:rPr>
                <w:sz w:val="20"/>
              </w:rPr>
              <w:t>pj</w:t>
            </w:r>
            <w:proofErr w:type="spellEnd"/>
          </w:p>
        </w:tc>
        <w:tc>
          <w:tcPr>
            <w:tcW w:w="2008" w:type="dxa"/>
          </w:tcPr>
          <w:p w14:paraId="65FF0AF2" w14:textId="77777777" w:rsidR="00810B55" w:rsidRPr="00554004" w:rsidRDefault="00810B55" w:rsidP="00517E71">
            <w:pPr>
              <w:spacing w:after="240"/>
              <w:jc w:val="both"/>
              <w:cnfStyle w:val="000000100000" w:firstRow="0" w:lastRow="0" w:firstColumn="0" w:lastColumn="0" w:oddVBand="0" w:evenVBand="0" w:oddHBand="1" w:evenHBand="0" w:firstRowFirstColumn="0" w:firstRowLastColumn="0" w:lastRowFirstColumn="0" w:lastRowLastColumn="0"/>
              <w:rPr>
                <w:sz w:val="20"/>
              </w:rPr>
            </w:pPr>
            <w:r w:rsidRPr="00554004">
              <w:rPr>
                <w:sz w:val="20"/>
              </w:rPr>
              <w:t>0.9</w:t>
            </w:r>
          </w:p>
        </w:tc>
        <w:tc>
          <w:tcPr>
            <w:tcW w:w="2008" w:type="dxa"/>
          </w:tcPr>
          <w:p w14:paraId="0453E49F" w14:textId="77777777" w:rsidR="00810B55" w:rsidRPr="00554004" w:rsidRDefault="00810B55" w:rsidP="00517E71">
            <w:pPr>
              <w:spacing w:after="240"/>
              <w:jc w:val="both"/>
              <w:cnfStyle w:val="000000100000" w:firstRow="0" w:lastRow="0" w:firstColumn="0" w:lastColumn="0" w:oddVBand="0" w:evenVBand="0" w:oddHBand="1" w:evenHBand="0" w:firstRowFirstColumn="0" w:firstRowLastColumn="0" w:lastRowFirstColumn="0" w:lastRowLastColumn="0"/>
              <w:rPr>
                <w:b/>
                <w:sz w:val="20"/>
              </w:rPr>
            </w:pPr>
            <w:r w:rsidRPr="00554004">
              <w:rPr>
                <w:b/>
                <w:sz w:val="20"/>
              </w:rPr>
              <w:t>-</w:t>
            </w:r>
            <w:proofErr w:type="spellStart"/>
            <w:r w:rsidRPr="00554004">
              <w:rPr>
                <w:b/>
                <w:sz w:val="20"/>
              </w:rPr>
              <w:t>lw</w:t>
            </w:r>
            <w:proofErr w:type="spellEnd"/>
          </w:p>
        </w:tc>
        <w:tc>
          <w:tcPr>
            <w:tcW w:w="2008" w:type="dxa"/>
          </w:tcPr>
          <w:p w14:paraId="21766129" w14:textId="77777777" w:rsidR="00810B55" w:rsidRPr="00554004" w:rsidRDefault="00810B55" w:rsidP="00517E71">
            <w:pPr>
              <w:spacing w:after="240"/>
              <w:jc w:val="both"/>
              <w:cnfStyle w:val="000000100000" w:firstRow="0" w:lastRow="0" w:firstColumn="0" w:lastColumn="0" w:oddVBand="0" w:evenVBand="0" w:oddHBand="1" w:evenHBand="0" w:firstRowFirstColumn="0" w:firstRowLastColumn="0" w:lastRowFirstColumn="0" w:lastRowLastColumn="0"/>
              <w:rPr>
                <w:sz w:val="20"/>
              </w:rPr>
            </w:pPr>
            <w:r w:rsidRPr="00554004">
              <w:rPr>
                <w:sz w:val="20"/>
              </w:rPr>
              <w:t>0.005</w:t>
            </w:r>
          </w:p>
        </w:tc>
      </w:tr>
      <w:tr w:rsidR="00810B55" w:rsidRPr="00554004" w14:paraId="189BCD68" w14:textId="77777777" w:rsidTr="00517E71">
        <w:tc>
          <w:tcPr>
            <w:cnfStyle w:val="001000000000" w:firstRow="0" w:lastRow="0" w:firstColumn="1" w:lastColumn="0" w:oddVBand="0" w:evenVBand="0" w:oddHBand="0" w:evenHBand="0" w:firstRowFirstColumn="0" w:firstRowLastColumn="0" w:lastRowFirstColumn="0" w:lastRowLastColumn="0"/>
            <w:tcW w:w="2140" w:type="dxa"/>
          </w:tcPr>
          <w:p w14:paraId="485BE621" w14:textId="77777777" w:rsidR="00810B55" w:rsidRPr="00554004" w:rsidRDefault="00810B55" w:rsidP="00517E71">
            <w:pPr>
              <w:spacing w:after="240"/>
              <w:jc w:val="both"/>
              <w:rPr>
                <w:sz w:val="20"/>
              </w:rPr>
            </w:pPr>
            <w:r w:rsidRPr="00554004">
              <w:rPr>
                <w:sz w:val="20"/>
              </w:rPr>
              <w:t>-</w:t>
            </w:r>
            <w:proofErr w:type="spellStart"/>
            <w:r w:rsidRPr="00554004">
              <w:rPr>
                <w:sz w:val="20"/>
              </w:rPr>
              <w:t>dj</w:t>
            </w:r>
            <w:proofErr w:type="spellEnd"/>
          </w:p>
        </w:tc>
        <w:tc>
          <w:tcPr>
            <w:tcW w:w="2008" w:type="dxa"/>
          </w:tcPr>
          <w:p w14:paraId="08986BD0" w14:textId="77777777" w:rsidR="00810B55" w:rsidRPr="00554004" w:rsidRDefault="00810B55" w:rsidP="00517E71">
            <w:pPr>
              <w:spacing w:after="240"/>
              <w:jc w:val="both"/>
              <w:cnfStyle w:val="000000000000" w:firstRow="0" w:lastRow="0" w:firstColumn="0" w:lastColumn="0" w:oddVBand="0" w:evenVBand="0" w:oddHBand="0" w:evenHBand="0" w:firstRowFirstColumn="0" w:firstRowLastColumn="0" w:lastRowFirstColumn="0" w:lastRowLastColumn="0"/>
              <w:rPr>
                <w:sz w:val="20"/>
              </w:rPr>
            </w:pPr>
            <w:r w:rsidRPr="00554004">
              <w:rPr>
                <w:sz w:val="20"/>
              </w:rPr>
              <w:t>0.7</w:t>
            </w:r>
          </w:p>
        </w:tc>
        <w:tc>
          <w:tcPr>
            <w:tcW w:w="2008" w:type="dxa"/>
          </w:tcPr>
          <w:p w14:paraId="5A6CCCA6" w14:textId="77777777" w:rsidR="00810B55" w:rsidRPr="00554004" w:rsidRDefault="00810B55" w:rsidP="00517E71">
            <w:pPr>
              <w:spacing w:after="240"/>
              <w:jc w:val="both"/>
              <w:cnfStyle w:val="000000000000" w:firstRow="0" w:lastRow="0" w:firstColumn="0" w:lastColumn="0" w:oddVBand="0" w:evenVBand="0" w:oddHBand="0" w:evenHBand="0" w:firstRowFirstColumn="0" w:firstRowLastColumn="0" w:lastRowFirstColumn="0" w:lastRowLastColumn="0"/>
              <w:rPr>
                <w:b/>
                <w:sz w:val="20"/>
              </w:rPr>
            </w:pPr>
          </w:p>
        </w:tc>
        <w:tc>
          <w:tcPr>
            <w:tcW w:w="2008" w:type="dxa"/>
          </w:tcPr>
          <w:p w14:paraId="1AF3DE17" w14:textId="77777777" w:rsidR="00810B55" w:rsidRPr="00554004" w:rsidRDefault="00810B55" w:rsidP="00517E71">
            <w:pPr>
              <w:spacing w:after="240"/>
              <w:jc w:val="both"/>
              <w:cnfStyle w:val="000000000000" w:firstRow="0" w:lastRow="0" w:firstColumn="0" w:lastColumn="0" w:oddVBand="0" w:evenVBand="0" w:oddHBand="0" w:evenHBand="0" w:firstRowFirstColumn="0" w:firstRowLastColumn="0" w:lastRowFirstColumn="0" w:lastRowLastColumn="0"/>
              <w:rPr>
                <w:sz w:val="20"/>
              </w:rPr>
            </w:pPr>
          </w:p>
        </w:tc>
      </w:tr>
    </w:tbl>
    <w:p w14:paraId="2C23D956" w14:textId="77777777" w:rsidR="00810B55" w:rsidRPr="00554004" w:rsidRDefault="00810B55" w:rsidP="00810B55">
      <w:pPr>
        <w:jc w:val="both"/>
        <w:rPr>
          <w:sz w:val="20"/>
        </w:rPr>
      </w:pPr>
    </w:p>
    <w:p w14:paraId="6F211A4D" w14:textId="77777777" w:rsidR="0005559E" w:rsidRDefault="0005559E" w:rsidP="0005559E">
      <w:pPr>
        <w:jc w:val="both"/>
        <w:rPr>
          <w:sz w:val="22"/>
          <w:szCs w:val="22"/>
        </w:rPr>
      </w:pPr>
    </w:p>
    <w:p w14:paraId="2BBA50B0" w14:textId="4E35652D" w:rsidR="0005559E" w:rsidRDefault="0005559E" w:rsidP="0005559E">
      <w:pPr>
        <w:jc w:val="both"/>
        <w:rPr>
          <w:sz w:val="22"/>
          <w:szCs w:val="22"/>
        </w:rPr>
      </w:pPr>
    </w:p>
    <w:p w14:paraId="71774B48" w14:textId="0890047E" w:rsidR="005A13D2" w:rsidRDefault="005A13D2" w:rsidP="0005559E">
      <w:pPr>
        <w:jc w:val="both"/>
        <w:rPr>
          <w:sz w:val="22"/>
          <w:szCs w:val="22"/>
        </w:rPr>
      </w:pPr>
    </w:p>
    <w:p w14:paraId="180908A7" w14:textId="2D9DAEF5" w:rsidR="005A13D2" w:rsidRDefault="005A13D2" w:rsidP="0005559E">
      <w:pPr>
        <w:jc w:val="both"/>
        <w:rPr>
          <w:sz w:val="22"/>
          <w:szCs w:val="22"/>
        </w:rPr>
      </w:pPr>
    </w:p>
    <w:p w14:paraId="154DC100" w14:textId="62F1E83A" w:rsidR="005A13D2" w:rsidRDefault="005A13D2" w:rsidP="0005559E">
      <w:pPr>
        <w:jc w:val="both"/>
        <w:rPr>
          <w:sz w:val="22"/>
          <w:szCs w:val="22"/>
        </w:rPr>
      </w:pPr>
    </w:p>
    <w:p w14:paraId="7566E0FE" w14:textId="06D26E02" w:rsidR="005A13D2" w:rsidRDefault="005A13D2" w:rsidP="0005559E">
      <w:pPr>
        <w:jc w:val="both"/>
        <w:rPr>
          <w:sz w:val="22"/>
          <w:szCs w:val="22"/>
        </w:rPr>
      </w:pPr>
    </w:p>
    <w:p w14:paraId="51D2EE69" w14:textId="24110804" w:rsidR="005A13D2" w:rsidRDefault="005A13D2" w:rsidP="0005559E">
      <w:pPr>
        <w:jc w:val="both"/>
        <w:rPr>
          <w:sz w:val="22"/>
          <w:szCs w:val="22"/>
        </w:rPr>
      </w:pPr>
    </w:p>
    <w:p w14:paraId="3C6D3B13" w14:textId="45801587" w:rsidR="005A13D2" w:rsidRDefault="005A13D2" w:rsidP="0005559E">
      <w:pPr>
        <w:jc w:val="both"/>
        <w:rPr>
          <w:sz w:val="22"/>
          <w:szCs w:val="22"/>
        </w:rPr>
      </w:pPr>
    </w:p>
    <w:p w14:paraId="5DC6BCC6" w14:textId="2C44E4E0" w:rsidR="005A13D2" w:rsidRDefault="005A13D2" w:rsidP="0005559E">
      <w:pPr>
        <w:jc w:val="both"/>
        <w:rPr>
          <w:sz w:val="22"/>
          <w:szCs w:val="22"/>
        </w:rPr>
      </w:pPr>
    </w:p>
    <w:p w14:paraId="6A0D4342" w14:textId="19DA2BAC" w:rsidR="005A13D2" w:rsidRDefault="005A13D2" w:rsidP="0005559E">
      <w:pPr>
        <w:jc w:val="both"/>
        <w:rPr>
          <w:sz w:val="22"/>
          <w:szCs w:val="22"/>
        </w:rPr>
      </w:pPr>
    </w:p>
    <w:p w14:paraId="61CA2027" w14:textId="22405AA0" w:rsidR="005A13D2" w:rsidRDefault="005A13D2" w:rsidP="0005559E">
      <w:pPr>
        <w:jc w:val="both"/>
        <w:rPr>
          <w:sz w:val="22"/>
          <w:szCs w:val="22"/>
        </w:rPr>
      </w:pPr>
    </w:p>
    <w:p w14:paraId="19E17987" w14:textId="79FFFBDE" w:rsidR="005A13D2" w:rsidRDefault="005A13D2" w:rsidP="0005559E">
      <w:pPr>
        <w:jc w:val="both"/>
        <w:rPr>
          <w:sz w:val="22"/>
          <w:szCs w:val="22"/>
        </w:rPr>
      </w:pPr>
    </w:p>
    <w:p w14:paraId="6C6E6CF4" w14:textId="6356CFD7" w:rsidR="005A13D2" w:rsidRDefault="005A13D2" w:rsidP="0005559E">
      <w:pPr>
        <w:jc w:val="both"/>
        <w:rPr>
          <w:sz w:val="22"/>
          <w:szCs w:val="22"/>
        </w:rPr>
      </w:pPr>
    </w:p>
    <w:p w14:paraId="1470470C" w14:textId="326245F7" w:rsidR="005A13D2" w:rsidRDefault="005A13D2" w:rsidP="0005559E">
      <w:pPr>
        <w:jc w:val="both"/>
        <w:rPr>
          <w:sz w:val="22"/>
          <w:szCs w:val="22"/>
        </w:rPr>
      </w:pPr>
    </w:p>
    <w:p w14:paraId="7F22EDD1" w14:textId="7A0A6A00" w:rsidR="005A13D2" w:rsidRDefault="005A13D2" w:rsidP="0005559E">
      <w:pPr>
        <w:jc w:val="both"/>
        <w:rPr>
          <w:sz w:val="22"/>
          <w:szCs w:val="22"/>
        </w:rPr>
      </w:pPr>
    </w:p>
    <w:p w14:paraId="7C918499" w14:textId="7598D27F" w:rsidR="005A13D2" w:rsidRDefault="005A13D2" w:rsidP="0005559E">
      <w:pPr>
        <w:jc w:val="both"/>
        <w:rPr>
          <w:sz w:val="22"/>
          <w:szCs w:val="22"/>
        </w:rPr>
      </w:pPr>
    </w:p>
    <w:p w14:paraId="02D04827" w14:textId="0B6CB6F2" w:rsidR="005A13D2" w:rsidRDefault="005A13D2" w:rsidP="0005559E">
      <w:pPr>
        <w:jc w:val="both"/>
        <w:rPr>
          <w:sz w:val="22"/>
          <w:szCs w:val="22"/>
        </w:rPr>
      </w:pPr>
    </w:p>
    <w:p w14:paraId="64B30CEC" w14:textId="4403B49C" w:rsidR="005A13D2" w:rsidRDefault="005A13D2" w:rsidP="0005559E">
      <w:pPr>
        <w:jc w:val="both"/>
        <w:rPr>
          <w:sz w:val="22"/>
          <w:szCs w:val="22"/>
        </w:rPr>
      </w:pPr>
    </w:p>
    <w:p w14:paraId="5D348B07" w14:textId="77777777" w:rsidR="005A13D2" w:rsidRDefault="005A13D2" w:rsidP="0005559E">
      <w:pPr>
        <w:jc w:val="both"/>
        <w:rPr>
          <w:sz w:val="22"/>
          <w:szCs w:val="22"/>
        </w:rPr>
      </w:pPr>
    </w:p>
    <w:p w14:paraId="4F8554D2" w14:textId="77777777" w:rsidR="0005559E" w:rsidRPr="00C160B2" w:rsidRDefault="0005559E" w:rsidP="00C160B2">
      <w:pPr>
        <w:jc w:val="both"/>
        <w:rPr>
          <w:sz w:val="22"/>
          <w:szCs w:val="22"/>
        </w:rPr>
      </w:pPr>
    </w:p>
    <w:p w14:paraId="1BFA133E" w14:textId="7CA1A62C" w:rsidR="0005559E" w:rsidRPr="00AA3D0C" w:rsidRDefault="002B7D6E" w:rsidP="002B7D6E">
      <w:pPr>
        <w:pStyle w:val="Rubrik1-Byfy"/>
        <w:numPr>
          <w:ilvl w:val="0"/>
          <w:numId w:val="0"/>
        </w:numPr>
      </w:pPr>
      <w:bookmarkStart w:id="51" w:name="_Toc532751597"/>
      <w:r w:rsidRPr="00AA3D0C">
        <w:lastRenderedPageBreak/>
        <w:t>APPENDIX B</w:t>
      </w:r>
      <w:bookmarkEnd w:id="51"/>
    </w:p>
    <w:p w14:paraId="44750069" w14:textId="3073528C" w:rsidR="009563A0" w:rsidRPr="00AA3D0C" w:rsidRDefault="002B7D6E" w:rsidP="009563A0">
      <w:pPr>
        <w:pStyle w:val="Rubrik2-Byfy"/>
        <w:numPr>
          <w:ilvl w:val="0"/>
          <w:numId w:val="0"/>
        </w:numPr>
        <w:rPr>
          <w:rFonts w:cs="Times New Roman"/>
        </w:rPr>
      </w:pPr>
      <w:bookmarkStart w:id="52" w:name="_Toc532751598"/>
      <w:r w:rsidRPr="00AA3D0C">
        <w:rPr>
          <w:rFonts w:cs="Times New Roman"/>
        </w:rPr>
        <w:t xml:space="preserve">B.1 </w:t>
      </w:r>
      <w:r w:rsidR="009563A0" w:rsidRPr="00AA3D0C">
        <w:rPr>
          <w:rFonts w:cs="Times New Roman"/>
        </w:rPr>
        <w:t>Base case analysis</w:t>
      </w:r>
      <w:bookmarkEnd w:id="52"/>
    </w:p>
    <w:p w14:paraId="579D948F" w14:textId="1BBB89C4" w:rsidR="009563A0" w:rsidRPr="00AA3D0C" w:rsidRDefault="009563A0" w:rsidP="009563A0">
      <w:pPr>
        <w:spacing w:after="240"/>
        <w:jc w:val="both"/>
        <w:rPr>
          <w:sz w:val="22"/>
          <w:szCs w:val="22"/>
        </w:rPr>
      </w:pPr>
      <w:r w:rsidRPr="00AA3D0C">
        <w:rPr>
          <w:sz w:val="22"/>
          <w:szCs w:val="22"/>
        </w:rPr>
        <w:t>The base case analysis helped in finding the periods at higher glare risk, for which the proposed method was applied. This operation supports a reduction of the number of simulations to be performed and</w:t>
      </w:r>
      <w:r w:rsidR="00446D50">
        <w:rPr>
          <w:sz w:val="22"/>
          <w:szCs w:val="22"/>
        </w:rPr>
        <w:t xml:space="preserve"> </w:t>
      </w:r>
      <w:r w:rsidRPr="00AA3D0C">
        <w:rPr>
          <w:sz w:val="22"/>
          <w:szCs w:val="22"/>
        </w:rPr>
        <w:t>reduces the computational time.</w:t>
      </w:r>
      <w:r w:rsidR="0046458A">
        <w:rPr>
          <w:sz w:val="22"/>
          <w:szCs w:val="22"/>
        </w:rPr>
        <w:t xml:space="preserve"> </w:t>
      </w:r>
      <w:r>
        <w:rPr>
          <w:sz w:val="22"/>
          <w:szCs w:val="22"/>
        </w:rPr>
        <w:t xml:space="preserve">Figure </w:t>
      </w:r>
      <w:r w:rsidR="0046458A">
        <w:rPr>
          <w:sz w:val="22"/>
          <w:szCs w:val="22"/>
        </w:rPr>
        <w:t>1</w:t>
      </w:r>
      <w:r>
        <w:rPr>
          <w:sz w:val="22"/>
          <w:szCs w:val="22"/>
        </w:rPr>
        <w:t>8 presents the percentage of the studied space with direct sunlight per hour throughout a year for two orientations, South and West. T</w:t>
      </w:r>
      <w:r w:rsidRPr="00AA3D0C">
        <w:rPr>
          <w:sz w:val="22"/>
          <w:szCs w:val="22"/>
        </w:rPr>
        <w:t>he 5th of March, as well as, the 21</w:t>
      </w:r>
      <w:r w:rsidRPr="00AA3D0C">
        <w:rPr>
          <w:sz w:val="22"/>
          <w:szCs w:val="22"/>
          <w:vertAlign w:val="superscript"/>
        </w:rPr>
        <w:t>st</w:t>
      </w:r>
      <w:r w:rsidRPr="00AA3D0C">
        <w:rPr>
          <w:sz w:val="22"/>
          <w:szCs w:val="22"/>
        </w:rPr>
        <w:t xml:space="preserve"> of June and the possible worst case scenario of the 21</w:t>
      </w:r>
      <w:r w:rsidRPr="00AA3D0C">
        <w:rPr>
          <w:sz w:val="22"/>
          <w:szCs w:val="22"/>
          <w:vertAlign w:val="superscript"/>
        </w:rPr>
        <w:t>st</w:t>
      </w:r>
      <w:r w:rsidRPr="00AA3D0C">
        <w:rPr>
          <w:sz w:val="22"/>
          <w:szCs w:val="22"/>
        </w:rPr>
        <w:t xml:space="preserve"> of December were </w:t>
      </w:r>
      <w:r>
        <w:rPr>
          <w:sz w:val="22"/>
          <w:szCs w:val="22"/>
        </w:rPr>
        <w:t>studied</w:t>
      </w:r>
      <w:r w:rsidRPr="00AA3D0C">
        <w:rPr>
          <w:sz w:val="22"/>
          <w:szCs w:val="22"/>
        </w:rPr>
        <w:t xml:space="preserve">, in agreement with Dubois </w:t>
      </w:r>
      <w:r w:rsidRPr="00AA3D0C">
        <w:rPr>
          <w:sz w:val="22"/>
          <w:szCs w:val="22"/>
        </w:rPr>
        <w:fldChar w:fldCharType="begin" w:fldLock="1"/>
      </w:r>
      <w:r w:rsidR="005952EA">
        <w:rPr>
          <w:sz w:val="22"/>
          <w:szCs w:val="22"/>
        </w:rPr>
        <w:instrText>ADDIN CSL_CITATION { "citationItems" : [ { "id" : "ITEM-1", "itemData" : { "author" : [ { "dropping-particle" : "", "family" : "Dubois", "given" : "Marie-Claude", "non-dropping-particle" : "", "parse-names" : false, "suffix" : "" } ], "id" : "ITEM-1", "issued" : { "date-parts" : [ [ "2001" ] ] }, "publisher" : "Lund University, Division of Energy and Building Design", "publisher-place" : "Lund", "title" : "Impact of Shading Devices on Daylight Quality in Offices: Simulations with Radiance", "type" : "thesis" }, "uris" : [ "http://www.mendeley.com/documents/?uuid=e4278df5-8526-4c43-b78c-632cfa414a29", "http://www.mendeley.com/documents/?uuid=05169287-c056-4cbd-ac25-f0ae02850a4f" ] } ], "mendeley" : { "formattedCitation" : "(Dubois, 2001)", "manualFormatting" : "(2001)", "plainTextFormattedCitation" : "(Dubois, 2001)", "previouslyFormattedCitation" : "(Dubois, 2001)" }, "properties" : { "noteIndex" : 0 }, "schema" : "https://github.com/citation-style-language/schema/raw/master/csl-citation.json" }</w:instrText>
      </w:r>
      <w:r w:rsidRPr="00AA3D0C">
        <w:rPr>
          <w:sz w:val="22"/>
          <w:szCs w:val="22"/>
        </w:rPr>
        <w:fldChar w:fldCharType="separate"/>
      </w:r>
      <w:r w:rsidRPr="00AA3D0C">
        <w:rPr>
          <w:noProof/>
          <w:sz w:val="22"/>
          <w:szCs w:val="22"/>
        </w:rPr>
        <w:t>(2001)</w:t>
      </w:r>
      <w:r w:rsidRPr="00AA3D0C">
        <w:rPr>
          <w:sz w:val="22"/>
          <w:szCs w:val="22"/>
        </w:rPr>
        <w:fldChar w:fldCharType="end"/>
      </w:r>
      <w:r w:rsidRPr="00AA3D0C">
        <w:rPr>
          <w:sz w:val="22"/>
          <w:szCs w:val="22"/>
        </w:rPr>
        <w:t xml:space="preserve">. The South orientation was </w:t>
      </w:r>
      <w:r>
        <w:rPr>
          <w:sz w:val="22"/>
          <w:szCs w:val="22"/>
        </w:rPr>
        <w:t>chosen as</w:t>
      </w:r>
      <w:r w:rsidRPr="00AA3D0C">
        <w:rPr>
          <w:sz w:val="22"/>
          <w:szCs w:val="22"/>
        </w:rPr>
        <w:t xml:space="preserve"> it received in total more hours of direct sunlight compared to the West. </w:t>
      </w:r>
      <w:r w:rsidR="00332784">
        <w:rPr>
          <w:sz w:val="22"/>
          <w:szCs w:val="22"/>
        </w:rPr>
        <w:t>No</w:t>
      </w:r>
      <w:r w:rsidRPr="00AA3D0C">
        <w:rPr>
          <w:sz w:val="22"/>
          <w:szCs w:val="22"/>
        </w:rPr>
        <w:t xml:space="preserve"> glare risk </w:t>
      </w:r>
      <w:r>
        <w:rPr>
          <w:sz w:val="22"/>
          <w:szCs w:val="22"/>
        </w:rPr>
        <w:t xml:space="preserve">was found </w:t>
      </w:r>
      <w:r w:rsidRPr="00AA3D0C">
        <w:rPr>
          <w:sz w:val="22"/>
          <w:szCs w:val="22"/>
        </w:rPr>
        <w:t xml:space="preserve">under overcast sky conditions (Figure </w:t>
      </w:r>
      <w:r w:rsidR="0046458A">
        <w:rPr>
          <w:sz w:val="22"/>
          <w:szCs w:val="22"/>
        </w:rPr>
        <w:t>1</w:t>
      </w:r>
      <w:r>
        <w:rPr>
          <w:sz w:val="22"/>
          <w:szCs w:val="22"/>
        </w:rPr>
        <w:t>9</w:t>
      </w:r>
      <w:r w:rsidRPr="00AA3D0C">
        <w:rPr>
          <w:sz w:val="22"/>
          <w:szCs w:val="22"/>
        </w:rPr>
        <w:t xml:space="preserve">). </w:t>
      </w:r>
      <w:r>
        <w:rPr>
          <w:sz w:val="22"/>
          <w:szCs w:val="22"/>
        </w:rPr>
        <w:t>The risk for glare was also reduced u</w:t>
      </w:r>
      <w:r w:rsidRPr="00AA3D0C">
        <w:rPr>
          <w:sz w:val="22"/>
          <w:szCs w:val="22"/>
        </w:rPr>
        <w:t>nder clear sky with sun</w:t>
      </w:r>
      <w:r>
        <w:rPr>
          <w:sz w:val="22"/>
          <w:szCs w:val="22"/>
        </w:rPr>
        <w:t xml:space="preserve"> </w:t>
      </w:r>
      <w:r w:rsidRPr="00AA3D0C">
        <w:rPr>
          <w:sz w:val="22"/>
          <w:szCs w:val="22"/>
        </w:rPr>
        <w:t>during 17:00-19:00 (21/6) and 17:00 (5/3)</w:t>
      </w:r>
      <w:r>
        <w:rPr>
          <w:sz w:val="22"/>
          <w:szCs w:val="22"/>
        </w:rPr>
        <w:t xml:space="preserve"> </w:t>
      </w:r>
      <w:r w:rsidRPr="00AA3D0C">
        <w:rPr>
          <w:sz w:val="22"/>
          <w:szCs w:val="22"/>
        </w:rPr>
        <w:t xml:space="preserve">(Figure </w:t>
      </w:r>
      <w:r w:rsidR="0046458A">
        <w:rPr>
          <w:sz w:val="22"/>
          <w:szCs w:val="22"/>
        </w:rPr>
        <w:t>2</w:t>
      </w:r>
      <w:r>
        <w:rPr>
          <w:sz w:val="22"/>
          <w:szCs w:val="22"/>
        </w:rPr>
        <w:t>0</w:t>
      </w:r>
      <w:r w:rsidRPr="00AA3D0C">
        <w:rPr>
          <w:sz w:val="22"/>
          <w:szCs w:val="22"/>
        </w:rPr>
        <w:t>). Thus, those cases were excluded from the study.</w:t>
      </w:r>
    </w:p>
    <w:p w14:paraId="006C4CB6" w14:textId="43846EDC" w:rsidR="00BA2789" w:rsidRDefault="00E72419" w:rsidP="00E72419">
      <w:pPr>
        <w:jc w:val="both"/>
        <w:rPr>
          <w:i/>
          <w:sz w:val="20"/>
          <w:szCs w:val="20"/>
        </w:rPr>
      </w:pPr>
      <w:r>
        <w:rPr>
          <w:noProof/>
        </w:rPr>
        <w:drawing>
          <wp:inline distT="0" distB="0" distL="0" distR="0" wp14:anchorId="6DF4FEB0" wp14:editId="7035BB35">
            <wp:extent cx="5184775" cy="2431415"/>
            <wp:effectExtent l="0" t="0" r="0" b="6985"/>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5184775" cy="2431415"/>
                    </a:xfrm>
                    <a:prstGeom prst="rect">
                      <a:avLst/>
                    </a:prstGeom>
                    <a:noFill/>
                    <a:ln>
                      <a:noFill/>
                    </a:ln>
                  </pic:spPr>
                </pic:pic>
              </a:graphicData>
            </a:graphic>
          </wp:inline>
        </w:drawing>
      </w:r>
      <w:r w:rsidR="009563A0">
        <w:rPr>
          <w:i/>
          <w:sz w:val="20"/>
          <w:szCs w:val="20"/>
        </w:rPr>
        <w:t>F</w:t>
      </w:r>
      <w:r w:rsidR="009563A0" w:rsidRPr="00AA3D0C">
        <w:rPr>
          <w:i/>
          <w:sz w:val="20"/>
          <w:szCs w:val="20"/>
        </w:rPr>
        <w:t xml:space="preserve">igure </w:t>
      </w:r>
      <w:r w:rsidR="007216EF">
        <w:rPr>
          <w:i/>
          <w:sz w:val="20"/>
          <w:szCs w:val="20"/>
        </w:rPr>
        <w:t>1</w:t>
      </w:r>
      <w:r w:rsidR="002E74F4">
        <w:rPr>
          <w:i/>
          <w:sz w:val="20"/>
          <w:szCs w:val="20"/>
        </w:rPr>
        <w:t>8</w:t>
      </w:r>
      <w:r w:rsidR="009563A0" w:rsidRPr="00AA3D0C">
        <w:rPr>
          <w:i/>
          <w:sz w:val="20"/>
          <w:szCs w:val="20"/>
        </w:rPr>
        <w:t>: Diagram presenting the percent of floor in direct sun (%) per hour throughout the year.</w:t>
      </w:r>
    </w:p>
    <w:p w14:paraId="2821A4EF" w14:textId="77777777" w:rsidR="00E72419" w:rsidRDefault="00E72419" w:rsidP="00E72419">
      <w:pPr>
        <w:jc w:val="both"/>
        <w:rPr>
          <w:i/>
          <w:sz w:val="20"/>
          <w:szCs w:val="20"/>
        </w:rPr>
      </w:pPr>
    </w:p>
    <w:p w14:paraId="13F074C2" w14:textId="7B1B6C41" w:rsidR="00E72419" w:rsidRPr="00BA2789" w:rsidRDefault="00E72419" w:rsidP="008C63D2">
      <w:pPr>
        <w:jc w:val="both"/>
        <w:rPr>
          <w:i/>
          <w:color w:val="FF0000"/>
          <w:sz w:val="20"/>
          <w:szCs w:val="20"/>
        </w:rPr>
      </w:pPr>
      <w:r>
        <w:rPr>
          <w:i/>
          <w:noProof/>
          <w:color w:val="FF0000"/>
          <w:sz w:val="20"/>
          <w:szCs w:val="20"/>
        </w:rPr>
        <w:drawing>
          <wp:inline distT="0" distB="0" distL="0" distR="0" wp14:anchorId="4AA3131C" wp14:editId="7C6CF5B7">
            <wp:extent cx="5174615" cy="2180590"/>
            <wp:effectExtent l="0" t="0" r="6985"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5174615" cy="2180590"/>
                    </a:xfrm>
                    <a:prstGeom prst="rect">
                      <a:avLst/>
                    </a:prstGeom>
                    <a:noFill/>
                    <a:ln>
                      <a:noFill/>
                    </a:ln>
                  </pic:spPr>
                </pic:pic>
              </a:graphicData>
            </a:graphic>
          </wp:inline>
        </w:drawing>
      </w:r>
    </w:p>
    <w:p w14:paraId="5997FBB5" w14:textId="73F6BDEF" w:rsidR="009563A0" w:rsidRDefault="009563A0" w:rsidP="009563A0">
      <w:pPr>
        <w:jc w:val="both"/>
        <w:rPr>
          <w:noProof/>
        </w:rPr>
      </w:pPr>
      <w:r w:rsidRPr="00AA3D0C">
        <w:rPr>
          <w:i/>
          <w:sz w:val="20"/>
          <w:szCs w:val="20"/>
        </w:rPr>
        <w:t xml:space="preserve">Figure </w:t>
      </w:r>
      <w:r w:rsidR="007216EF">
        <w:rPr>
          <w:i/>
          <w:sz w:val="20"/>
          <w:szCs w:val="20"/>
        </w:rPr>
        <w:t>1</w:t>
      </w:r>
      <w:r w:rsidR="000E29BB">
        <w:rPr>
          <w:i/>
          <w:sz w:val="20"/>
          <w:szCs w:val="20"/>
        </w:rPr>
        <w:t>9</w:t>
      </w:r>
      <w:r w:rsidRPr="00AA3D0C">
        <w:rPr>
          <w:i/>
          <w:sz w:val="20"/>
          <w:szCs w:val="20"/>
        </w:rPr>
        <w:t>: The percentage of all the directional glare predictions with increased glare risk (≥0.35, 18) per tested hour under overcast sky.</w:t>
      </w:r>
      <w:r w:rsidRPr="00EE0C31">
        <w:rPr>
          <w:noProof/>
        </w:rPr>
        <w:t xml:space="preserve"> </w:t>
      </w:r>
    </w:p>
    <w:p w14:paraId="361215F0" w14:textId="42622ED9" w:rsidR="009563A0" w:rsidRPr="00AA3D0C" w:rsidRDefault="00E72419" w:rsidP="008C63D2">
      <w:r>
        <w:rPr>
          <w:noProof/>
        </w:rPr>
        <w:lastRenderedPageBreak/>
        <w:drawing>
          <wp:inline distT="0" distB="0" distL="0" distR="0" wp14:anchorId="3146F09B" wp14:editId="2F6F9662">
            <wp:extent cx="5184775" cy="2964180"/>
            <wp:effectExtent l="0" t="0" r="0" b="762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5184775" cy="2964180"/>
                    </a:xfrm>
                    <a:prstGeom prst="rect">
                      <a:avLst/>
                    </a:prstGeom>
                    <a:noFill/>
                    <a:ln>
                      <a:noFill/>
                    </a:ln>
                  </pic:spPr>
                </pic:pic>
              </a:graphicData>
            </a:graphic>
          </wp:inline>
        </w:drawing>
      </w:r>
      <w:r w:rsidR="009563A0" w:rsidRPr="00AA3D0C">
        <w:rPr>
          <w:i/>
          <w:sz w:val="20"/>
          <w:szCs w:val="20"/>
        </w:rPr>
        <w:t xml:space="preserve">Figure </w:t>
      </w:r>
      <w:r w:rsidR="000E29BB">
        <w:rPr>
          <w:i/>
          <w:sz w:val="20"/>
          <w:szCs w:val="20"/>
        </w:rPr>
        <w:t>20</w:t>
      </w:r>
      <w:r w:rsidR="009563A0" w:rsidRPr="00AA3D0C">
        <w:rPr>
          <w:i/>
          <w:sz w:val="20"/>
          <w:szCs w:val="20"/>
        </w:rPr>
        <w:t>: Graphs presenting the percentage of all the directional glare predictions with increased glare risk (≥0.35) per tested hour.</w:t>
      </w:r>
    </w:p>
    <w:p w14:paraId="6EE06D27" w14:textId="77777777" w:rsidR="009563A0" w:rsidRPr="00AA3D0C" w:rsidRDefault="009563A0" w:rsidP="009563A0"/>
    <w:p w14:paraId="530C706D" w14:textId="262B7EEE" w:rsidR="009563A0" w:rsidRDefault="009563A0" w:rsidP="009563A0">
      <w:pPr>
        <w:jc w:val="both"/>
        <w:rPr>
          <w:sz w:val="22"/>
          <w:szCs w:val="22"/>
        </w:rPr>
      </w:pPr>
      <w:r w:rsidRPr="00AA3D0C">
        <w:rPr>
          <w:sz w:val="22"/>
          <w:szCs w:val="22"/>
        </w:rPr>
        <w:t xml:space="preserve">Figure </w:t>
      </w:r>
      <w:r w:rsidR="0046458A">
        <w:rPr>
          <w:sz w:val="22"/>
          <w:szCs w:val="22"/>
        </w:rPr>
        <w:t>21</w:t>
      </w:r>
      <w:r w:rsidRPr="00AA3D0C">
        <w:rPr>
          <w:sz w:val="22"/>
          <w:szCs w:val="22"/>
        </w:rPr>
        <w:t xml:space="preserve"> present</w:t>
      </w:r>
      <w:r>
        <w:rPr>
          <w:sz w:val="22"/>
          <w:szCs w:val="22"/>
        </w:rPr>
        <w:t>s</w:t>
      </w:r>
      <w:r w:rsidRPr="00AA3D0C">
        <w:rPr>
          <w:sz w:val="22"/>
          <w:szCs w:val="22"/>
        </w:rPr>
        <w:t xml:space="preserve"> the glare risk prediction per hour for two critical observer positions during the 12/21. The first tested point was in front of the window and the second 5m from the window. The tested gaze was directed towards the window.</w:t>
      </w:r>
    </w:p>
    <w:p w14:paraId="1F41F252" w14:textId="77777777" w:rsidR="009563A0" w:rsidRDefault="009563A0" w:rsidP="009563A0">
      <w:pPr>
        <w:jc w:val="both"/>
        <w:rPr>
          <w:sz w:val="22"/>
          <w:szCs w:val="22"/>
        </w:rPr>
      </w:pPr>
    </w:p>
    <w:p w14:paraId="47AAC3F2" w14:textId="3F8143F1" w:rsidR="009563A0" w:rsidRDefault="00E72419" w:rsidP="00E72419">
      <w:pPr>
        <w:rPr>
          <w:i/>
          <w:sz w:val="20"/>
          <w:szCs w:val="20"/>
        </w:rPr>
      </w:pPr>
      <w:r>
        <w:rPr>
          <w:noProof/>
        </w:rPr>
        <w:drawing>
          <wp:inline distT="0" distB="0" distL="0" distR="0" wp14:anchorId="52113565" wp14:editId="26EDE829">
            <wp:extent cx="5174615" cy="2813685"/>
            <wp:effectExtent l="0" t="0" r="6985" b="5715"/>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5174615" cy="2813685"/>
                    </a:xfrm>
                    <a:prstGeom prst="rect">
                      <a:avLst/>
                    </a:prstGeom>
                    <a:noFill/>
                    <a:ln>
                      <a:noFill/>
                    </a:ln>
                  </pic:spPr>
                </pic:pic>
              </a:graphicData>
            </a:graphic>
          </wp:inline>
        </w:drawing>
      </w:r>
      <w:r w:rsidR="009563A0" w:rsidRPr="00AA3D0C">
        <w:rPr>
          <w:i/>
          <w:sz w:val="20"/>
          <w:szCs w:val="20"/>
        </w:rPr>
        <w:t xml:space="preserve">Figure </w:t>
      </w:r>
      <w:r w:rsidR="000E29BB">
        <w:rPr>
          <w:i/>
          <w:sz w:val="20"/>
          <w:szCs w:val="20"/>
        </w:rPr>
        <w:t>21</w:t>
      </w:r>
      <w:r w:rsidR="009563A0" w:rsidRPr="00AA3D0C">
        <w:rPr>
          <w:i/>
          <w:sz w:val="20"/>
          <w:szCs w:val="20"/>
        </w:rPr>
        <w:t>: Graphs indicating the difference between the glare metrics in the 2 tested positions.</w:t>
      </w:r>
    </w:p>
    <w:p w14:paraId="0FC45A98" w14:textId="77777777" w:rsidR="00E72419" w:rsidRPr="008C63D2" w:rsidRDefault="00E72419" w:rsidP="008C63D2">
      <w:pPr>
        <w:rPr>
          <w:sz w:val="20"/>
          <w:szCs w:val="20"/>
        </w:rPr>
      </w:pPr>
    </w:p>
    <w:p w14:paraId="7D2BF19A" w14:textId="184D414A" w:rsidR="009563A0" w:rsidRPr="00AA3D0C" w:rsidRDefault="00C160B2" w:rsidP="00C160B2">
      <w:pPr>
        <w:pStyle w:val="Rubrik2-Byfy"/>
        <w:numPr>
          <w:ilvl w:val="0"/>
          <w:numId w:val="0"/>
        </w:numPr>
        <w:rPr>
          <w:rFonts w:cs="Times New Roman"/>
        </w:rPr>
      </w:pPr>
      <w:bookmarkStart w:id="53" w:name="_Toc532751599"/>
      <w:r>
        <w:rPr>
          <w:rFonts w:cs="Times New Roman"/>
        </w:rPr>
        <w:lastRenderedPageBreak/>
        <w:t xml:space="preserve">B.2 </w:t>
      </w:r>
      <w:r w:rsidR="009563A0" w:rsidRPr="00AA3D0C">
        <w:rPr>
          <w:rFonts w:cs="Times New Roman"/>
        </w:rPr>
        <w:t>Shading Systems</w:t>
      </w:r>
      <w:bookmarkEnd w:id="53"/>
    </w:p>
    <w:p w14:paraId="19E0A738" w14:textId="71E6FEB5" w:rsidR="009563A0" w:rsidRDefault="009563A0" w:rsidP="009563A0">
      <w:pPr>
        <w:jc w:val="both"/>
        <w:rPr>
          <w:sz w:val="22"/>
          <w:szCs w:val="22"/>
        </w:rPr>
      </w:pPr>
      <w:r w:rsidRPr="00AA3D0C">
        <w:rPr>
          <w:sz w:val="22"/>
          <w:szCs w:val="22"/>
        </w:rPr>
        <w:t xml:space="preserve">A parametric study was conducted for the </w:t>
      </w:r>
      <w:r w:rsidRPr="00886D69">
        <w:rPr>
          <w:sz w:val="22"/>
          <w:szCs w:val="22"/>
        </w:rPr>
        <w:t xml:space="preserve">selection of the appropriate fixed slat angle and operational length for the venetian blinds. </w:t>
      </w:r>
      <w:r w:rsidR="00332784" w:rsidRPr="00AA3D0C">
        <w:rPr>
          <w:sz w:val="22"/>
          <w:szCs w:val="22"/>
        </w:rPr>
        <w:t xml:space="preserve">The scope was not an optimization of the used shading system but the selection of such geometry that would seemingly result in less glare risk when accounting only the illuminances as a criterion. </w:t>
      </w:r>
      <w:r w:rsidRPr="00886D69">
        <w:rPr>
          <w:sz w:val="22"/>
          <w:szCs w:val="22"/>
        </w:rPr>
        <w:t xml:space="preserve">Figure </w:t>
      </w:r>
      <w:r w:rsidR="007216EF">
        <w:rPr>
          <w:sz w:val="22"/>
          <w:szCs w:val="22"/>
        </w:rPr>
        <w:t>2</w:t>
      </w:r>
      <w:r w:rsidR="0046458A">
        <w:rPr>
          <w:sz w:val="22"/>
          <w:szCs w:val="22"/>
        </w:rPr>
        <w:t>2</w:t>
      </w:r>
      <w:r w:rsidRPr="00886D69">
        <w:rPr>
          <w:sz w:val="22"/>
          <w:szCs w:val="22"/>
        </w:rPr>
        <w:t xml:space="preserve"> present</w:t>
      </w:r>
      <w:r w:rsidR="00E72419">
        <w:rPr>
          <w:sz w:val="22"/>
          <w:szCs w:val="22"/>
        </w:rPr>
        <w:t>s</w:t>
      </w:r>
      <w:r w:rsidRPr="00886D69">
        <w:rPr>
          <w:sz w:val="22"/>
          <w:szCs w:val="22"/>
        </w:rPr>
        <w:t xml:space="preserve"> the effect on the illuminance levels, due to the changed slat angle during 21/6, when different lengths were implemented. The chosen geometry, illustrated in Figure </w:t>
      </w:r>
      <w:r w:rsidR="007216EF">
        <w:rPr>
          <w:sz w:val="22"/>
          <w:szCs w:val="22"/>
        </w:rPr>
        <w:t>2</w:t>
      </w:r>
      <w:r w:rsidR="0046458A">
        <w:rPr>
          <w:sz w:val="22"/>
          <w:szCs w:val="22"/>
        </w:rPr>
        <w:t>3</w:t>
      </w:r>
      <w:r w:rsidRPr="00886D69">
        <w:rPr>
          <w:sz w:val="22"/>
          <w:szCs w:val="22"/>
        </w:rPr>
        <w:t>, presented low percentages above 3000lx and below 30</w:t>
      </w:r>
      <w:r w:rsidRPr="00AA3D0C">
        <w:rPr>
          <w:sz w:val="22"/>
          <w:szCs w:val="22"/>
        </w:rPr>
        <w:t>0lx.</w:t>
      </w:r>
    </w:p>
    <w:p w14:paraId="07E917D7" w14:textId="77777777" w:rsidR="00A65187" w:rsidRDefault="00A65187" w:rsidP="009563A0">
      <w:pPr>
        <w:jc w:val="both"/>
        <w:rPr>
          <w:sz w:val="22"/>
          <w:szCs w:val="22"/>
        </w:rPr>
      </w:pPr>
    </w:p>
    <w:p w14:paraId="5A7BD600" w14:textId="7FC7014C" w:rsidR="009563A0" w:rsidRPr="00AA3D0C" w:rsidRDefault="00A65187" w:rsidP="009563A0">
      <w:r>
        <w:rPr>
          <w:noProof/>
        </w:rPr>
        <w:drawing>
          <wp:inline distT="0" distB="0" distL="0" distR="0" wp14:anchorId="48DA3DFA" wp14:editId="7D5C5319">
            <wp:extent cx="5184775" cy="2572385"/>
            <wp:effectExtent l="0" t="0" r="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5184775" cy="2572385"/>
                    </a:xfrm>
                    <a:prstGeom prst="rect">
                      <a:avLst/>
                    </a:prstGeom>
                    <a:noFill/>
                    <a:ln>
                      <a:noFill/>
                    </a:ln>
                  </pic:spPr>
                </pic:pic>
              </a:graphicData>
            </a:graphic>
          </wp:inline>
        </w:drawing>
      </w:r>
    </w:p>
    <w:p w14:paraId="6BDB9DCF" w14:textId="0333B86C" w:rsidR="009563A0" w:rsidRPr="00AA3D0C" w:rsidRDefault="009563A0" w:rsidP="009563A0">
      <w:pPr>
        <w:spacing w:after="240"/>
        <w:jc w:val="both"/>
        <w:rPr>
          <w:i/>
          <w:sz w:val="20"/>
          <w:szCs w:val="20"/>
        </w:rPr>
      </w:pPr>
      <w:r w:rsidRPr="00AA3D0C">
        <w:rPr>
          <w:i/>
          <w:sz w:val="20"/>
          <w:szCs w:val="20"/>
        </w:rPr>
        <w:t xml:space="preserve">Figure </w:t>
      </w:r>
      <w:r w:rsidR="007216EF">
        <w:rPr>
          <w:i/>
          <w:sz w:val="20"/>
          <w:szCs w:val="20"/>
        </w:rPr>
        <w:t>2</w:t>
      </w:r>
      <w:r w:rsidR="000E29BB">
        <w:rPr>
          <w:i/>
          <w:sz w:val="20"/>
          <w:szCs w:val="20"/>
        </w:rPr>
        <w:t>2</w:t>
      </w:r>
      <w:r w:rsidRPr="00AA3D0C">
        <w:rPr>
          <w:i/>
          <w:sz w:val="20"/>
          <w:szCs w:val="20"/>
        </w:rPr>
        <w:t>: Percentage of the Illuminance levels on the tested section and the effect of the changed length and slat angle of the venetian blinds.</w:t>
      </w:r>
    </w:p>
    <w:p w14:paraId="29600A2F" w14:textId="6311D959" w:rsidR="009563A0" w:rsidRDefault="00A65187" w:rsidP="009563A0">
      <w:pPr>
        <w:spacing w:after="240"/>
        <w:jc w:val="both"/>
        <w:rPr>
          <w:sz w:val="22"/>
          <w:szCs w:val="22"/>
        </w:rPr>
      </w:pPr>
      <w:r>
        <w:rPr>
          <w:noProof/>
          <w:sz w:val="22"/>
          <w:szCs w:val="22"/>
        </w:rPr>
        <w:drawing>
          <wp:inline distT="0" distB="0" distL="0" distR="0" wp14:anchorId="41005C13" wp14:editId="657B35CF">
            <wp:extent cx="5174615" cy="1778635"/>
            <wp:effectExtent l="0" t="0" r="6985"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5174615" cy="1778635"/>
                    </a:xfrm>
                    <a:prstGeom prst="rect">
                      <a:avLst/>
                    </a:prstGeom>
                    <a:noFill/>
                    <a:ln>
                      <a:noFill/>
                    </a:ln>
                  </pic:spPr>
                </pic:pic>
              </a:graphicData>
            </a:graphic>
          </wp:inline>
        </w:drawing>
      </w:r>
      <w:r w:rsidR="009563A0" w:rsidRPr="00AA3D0C">
        <w:rPr>
          <w:i/>
          <w:sz w:val="20"/>
          <w:szCs w:val="20"/>
        </w:rPr>
        <w:t xml:space="preserve">Figure </w:t>
      </w:r>
      <w:r w:rsidR="007216EF">
        <w:rPr>
          <w:i/>
          <w:sz w:val="20"/>
          <w:szCs w:val="20"/>
        </w:rPr>
        <w:t>2</w:t>
      </w:r>
      <w:r w:rsidR="000E29BB">
        <w:rPr>
          <w:i/>
          <w:sz w:val="20"/>
          <w:szCs w:val="20"/>
        </w:rPr>
        <w:t>3</w:t>
      </w:r>
      <w:r w:rsidR="009563A0" w:rsidRPr="00AA3D0C">
        <w:rPr>
          <w:i/>
          <w:sz w:val="20"/>
          <w:szCs w:val="20"/>
        </w:rPr>
        <w:t xml:space="preserve">: </w:t>
      </w:r>
      <w:r w:rsidR="009563A0">
        <w:rPr>
          <w:i/>
          <w:sz w:val="20"/>
          <w:szCs w:val="20"/>
        </w:rPr>
        <w:t>The chosen geometry of the venetian blinds in operation.</w:t>
      </w:r>
    </w:p>
    <w:p w14:paraId="6E66A2F8" w14:textId="3924FEA6" w:rsidR="00BA2789" w:rsidRPr="00AA3D0C" w:rsidRDefault="00332784" w:rsidP="009563A0">
      <w:pPr>
        <w:spacing w:after="240"/>
        <w:jc w:val="both"/>
        <w:rPr>
          <w:sz w:val="22"/>
          <w:szCs w:val="22"/>
        </w:rPr>
      </w:pPr>
      <w:r>
        <w:rPr>
          <w:sz w:val="22"/>
          <w:szCs w:val="22"/>
        </w:rPr>
        <w:t>The</w:t>
      </w:r>
      <w:r w:rsidR="009563A0" w:rsidRPr="00AA3D0C">
        <w:rPr>
          <w:sz w:val="22"/>
          <w:szCs w:val="22"/>
        </w:rPr>
        <w:t xml:space="preserve"> possible performance regarding glare risk of the 2m length venetian blinds was tested. For this, the specular </w:t>
      </w:r>
      <w:proofErr w:type="spellStart"/>
      <w:r w:rsidR="009563A0" w:rsidRPr="00AA3D0C">
        <w:rPr>
          <w:sz w:val="22"/>
          <w:szCs w:val="22"/>
        </w:rPr>
        <w:t>reflectances</w:t>
      </w:r>
      <w:proofErr w:type="spellEnd"/>
      <w:r w:rsidR="009563A0" w:rsidRPr="00AA3D0C">
        <w:rPr>
          <w:sz w:val="22"/>
          <w:szCs w:val="22"/>
        </w:rPr>
        <w:t xml:space="preserve"> falling on different areas of the space were examined during the 21/12 with the slat angles being changed (Figure </w:t>
      </w:r>
      <w:r w:rsidR="007216EF">
        <w:rPr>
          <w:sz w:val="22"/>
          <w:szCs w:val="22"/>
        </w:rPr>
        <w:t>2</w:t>
      </w:r>
      <w:r w:rsidR="0046458A">
        <w:rPr>
          <w:sz w:val="22"/>
          <w:szCs w:val="22"/>
        </w:rPr>
        <w:t>4</w:t>
      </w:r>
      <w:r w:rsidR="009563A0" w:rsidRPr="00AA3D0C">
        <w:rPr>
          <w:sz w:val="22"/>
          <w:szCs w:val="22"/>
        </w:rPr>
        <w:t>). The 40° outperformed in this case, as well, presenting a combination of decreased levels on the critical visual field and an increased number of direct rays gathered towards the ceiling.</w:t>
      </w:r>
    </w:p>
    <w:p w14:paraId="522C314D" w14:textId="3876AEBE" w:rsidR="009563A0" w:rsidRPr="00AA3D0C" w:rsidRDefault="00A65187" w:rsidP="008C63D2">
      <w:pPr>
        <w:jc w:val="both"/>
        <w:rPr>
          <w:sz w:val="28"/>
          <w:szCs w:val="28"/>
        </w:rPr>
      </w:pPr>
      <w:r>
        <w:rPr>
          <w:noProof/>
          <w:sz w:val="28"/>
          <w:szCs w:val="28"/>
        </w:rPr>
        <w:lastRenderedPageBreak/>
        <w:drawing>
          <wp:inline distT="0" distB="0" distL="0" distR="0" wp14:anchorId="225937CF" wp14:editId="166193FB">
            <wp:extent cx="5184775" cy="1768475"/>
            <wp:effectExtent l="0" t="0" r="0" b="3175"/>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5184775" cy="1768475"/>
                    </a:xfrm>
                    <a:prstGeom prst="rect">
                      <a:avLst/>
                    </a:prstGeom>
                    <a:noFill/>
                    <a:ln>
                      <a:noFill/>
                    </a:ln>
                  </pic:spPr>
                </pic:pic>
              </a:graphicData>
            </a:graphic>
          </wp:inline>
        </w:drawing>
      </w:r>
    </w:p>
    <w:p w14:paraId="48B8436F" w14:textId="31B8D464" w:rsidR="009563A0" w:rsidRPr="009563A0" w:rsidRDefault="009563A0" w:rsidP="009563A0">
      <w:pPr>
        <w:spacing w:after="240"/>
        <w:jc w:val="both"/>
        <w:rPr>
          <w:i/>
          <w:sz w:val="20"/>
          <w:szCs w:val="20"/>
        </w:rPr>
      </w:pPr>
      <w:r w:rsidRPr="00AA3D0C">
        <w:rPr>
          <w:i/>
          <w:sz w:val="20"/>
          <w:szCs w:val="20"/>
        </w:rPr>
        <w:t xml:space="preserve">Figure </w:t>
      </w:r>
      <w:r w:rsidR="007216EF">
        <w:rPr>
          <w:i/>
          <w:sz w:val="20"/>
          <w:szCs w:val="20"/>
        </w:rPr>
        <w:t>2</w:t>
      </w:r>
      <w:r w:rsidR="000E29BB">
        <w:rPr>
          <w:i/>
          <w:sz w:val="20"/>
          <w:szCs w:val="20"/>
        </w:rPr>
        <w:t>4</w:t>
      </w:r>
      <w:r w:rsidRPr="00AA3D0C">
        <w:rPr>
          <w:i/>
          <w:sz w:val="20"/>
          <w:szCs w:val="20"/>
        </w:rPr>
        <w:t xml:space="preserve">: Percentage of specular </w:t>
      </w:r>
      <w:proofErr w:type="spellStart"/>
      <w:r w:rsidRPr="00AA3D0C">
        <w:rPr>
          <w:i/>
          <w:sz w:val="20"/>
          <w:szCs w:val="20"/>
        </w:rPr>
        <w:t>reflectances</w:t>
      </w:r>
      <w:proofErr w:type="spellEnd"/>
      <w:r w:rsidRPr="00AA3D0C">
        <w:rPr>
          <w:i/>
          <w:sz w:val="20"/>
          <w:szCs w:val="20"/>
        </w:rPr>
        <w:t xml:space="preserve"> (2</w:t>
      </w:r>
      <w:r w:rsidRPr="009563A0">
        <w:rPr>
          <w:i/>
          <w:sz w:val="20"/>
          <w:szCs w:val="20"/>
        </w:rPr>
        <w:t>nd</w:t>
      </w:r>
      <w:r w:rsidRPr="00AA3D0C">
        <w:rPr>
          <w:i/>
          <w:sz w:val="20"/>
          <w:szCs w:val="20"/>
        </w:rPr>
        <w:t xml:space="preserve"> bounce) reaching the different areas of visual fields and space.</w:t>
      </w:r>
    </w:p>
    <w:p w14:paraId="5F4F245E" w14:textId="77777777" w:rsidR="00A65187" w:rsidRDefault="00A65187" w:rsidP="002B7D6E">
      <w:pPr>
        <w:jc w:val="both"/>
        <w:rPr>
          <w:sz w:val="22"/>
        </w:rPr>
      </w:pPr>
    </w:p>
    <w:p w14:paraId="4355690A" w14:textId="697C4425" w:rsidR="002B7D6E" w:rsidRPr="008C63D2" w:rsidRDefault="0046458A" w:rsidP="002B7D6E">
      <w:pPr>
        <w:jc w:val="both"/>
        <w:rPr>
          <w:sz w:val="22"/>
        </w:rPr>
      </w:pPr>
      <w:r w:rsidRPr="008C63D2">
        <w:rPr>
          <w:sz w:val="22"/>
        </w:rPr>
        <w:t>Figure 25 present</w:t>
      </w:r>
      <w:r w:rsidR="00E72419">
        <w:rPr>
          <w:sz w:val="22"/>
        </w:rPr>
        <w:t>s</w:t>
      </w:r>
      <w:r w:rsidRPr="008C63D2">
        <w:rPr>
          <w:sz w:val="22"/>
        </w:rPr>
        <w:t xml:space="preserve"> the </w:t>
      </w:r>
      <w:r w:rsidR="00AF64E2" w:rsidRPr="008C63D2">
        <w:rPr>
          <w:sz w:val="22"/>
        </w:rPr>
        <w:t>chosen BSDF files of the two roller shades that were eventually tested with the proposed methodology of this thesis.</w:t>
      </w:r>
    </w:p>
    <w:p w14:paraId="76157891" w14:textId="6615B0A2" w:rsidR="0046458A" w:rsidRPr="00AA3D0C" w:rsidRDefault="00A65187" w:rsidP="002B7D6E">
      <w:pPr>
        <w:jc w:val="both"/>
      </w:pPr>
      <w:r>
        <w:rPr>
          <w:noProof/>
        </w:rPr>
        <w:drawing>
          <wp:inline distT="0" distB="0" distL="0" distR="0" wp14:anchorId="2F9F7524" wp14:editId="126FCCEF">
            <wp:extent cx="5174615" cy="2653030"/>
            <wp:effectExtent l="0" t="0" r="6985"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5174615" cy="2653030"/>
                    </a:xfrm>
                    <a:prstGeom prst="rect">
                      <a:avLst/>
                    </a:prstGeom>
                    <a:noFill/>
                    <a:ln>
                      <a:noFill/>
                    </a:ln>
                  </pic:spPr>
                </pic:pic>
              </a:graphicData>
            </a:graphic>
          </wp:inline>
        </w:drawing>
      </w:r>
    </w:p>
    <w:p w14:paraId="0F18C95E" w14:textId="0C69EEA6" w:rsidR="005873F2" w:rsidRPr="00AA3D0C" w:rsidRDefault="005873F2" w:rsidP="00F36800">
      <w:pPr>
        <w:spacing w:after="200" w:line="276" w:lineRule="auto"/>
        <w:jc w:val="both"/>
        <w:rPr>
          <w:rFonts w:cs="Arial"/>
          <w:b/>
          <w:bCs/>
          <w:kern w:val="32"/>
        </w:rPr>
      </w:pPr>
      <w:r w:rsidRPr="00AA3D0C">
        <w:rPr>
          <w:i/>
          <w:sz w:val="20"/>
          <w:szCs w:val="20"/>
        </w:rPr>
        <w:t xml:space="preserve">Figure </w:t>
      </w:r>
      <w:r w:rsidR="009538AC">
        <w:rPr>
          <w:i/>
          <w:sz w:val="20"/>
          <w:szCs w:val="20"/>
        </w:rPr>
        <w:t>2</w:t>
      </w:r>
      <w:r w:rsidR="000E29BB">
        <w:rPr>
          <w:i/>
          <w:sz w:val="20"/>
          <w:szCs w:val="20"/>
        </w:rPr>
        <w:t>5</w:t>
      </w:r>
      <w:r w:rsidRPr="00AA3D0C">
        <w:rPr>
          <w:i/>
          <w:sz w:val="20"/>
          <w:szCs w:val="20"/>
        </w:rPr>
        <w:t xml:space="preserve">: </w:t>
      </w:r>
      <w:r w:rsidR="00F36800" w:rsidRPr="00AA3D0C">
        <w:rPr>
          <w:i/>
          <w:sz w:val="20"/>
          <w:szCs w:val="20"/>
        </w:rPr>
        <w:t xml:space="preserve">The tested BSDF files as presented by the </w:t>
      </w:r>
      <w:proofErr w:type="spellStart"/>
      <w:r w:rsidR="00F36800" w:rsidRPr="00AA3D0C">
        <w:rPr>
          <w:i/>
          <w:sz w:val="20"/>
          <w:szCs w:val="20"/>
        </w:rPr>
        <w:t>BSDFviewer</w:t>
      </w:r>
      <w:proofErr w:type="spellEnd"/>
      <w:r w:rsidR="00F36800" w:rsidRPr="00AA3D0C">
        <w:rPr>
          <w:i/>
          <w:sz w:val="20"/>
          <w:szCs w:val="20"/>
        </w:rPr>
        <w:t>.</w:t>
      </w:r>
    </w:p>
    <w:p w14:paraId="068E2ED9" w14:textId="77777777" w:rsidR="00AC66D7" w:rsidRPr="00AA3D0C" w:rsidRDefault="00AC66D7" w:rsidP="002B7D6E">
      <w:pPr>
        <w:spacing w:after="200" w:line="276" w:lineRule="auto"/>
        <w:rPr>
          <w:rFonts w:cs="Arial"/>
          <w:b/>
          <w:bCs/>
          <w:kern w:val="32"/>
        </w:rPr>
      </w:pPr>
    </w:p>
    <w:p w14:paraId="22202AD8" w14:textId="77777777" w:rsidR="00AC6AF2" w:rsidRPr="00AA3D0C" w:rsidRDefault="00AC6AF2" w:rsidP="002B7D6E">
      <w:pPr>
        <w:spacing w:after="200" w:line="276" w:lineRule="auto"/>
        <w:rPr>
          <w:rFonts w:cs="Arial"/>
          <w:b/>
          <w:bCs/>
          <w:kern w:val="32"/>
        </w:rPr>
      </w:pPr>
    </w:p>
    <w:p w14:paraId="47187164" w14:textId="77777777" w:rsidR="00AC6AF2" w:rsidRPr="00AA3D0C" w:rsidRDefault="00AC6AF2" w:rsidP="002B7D6E">
      <w:pPr>
        <w:spacing w:after="200" w:line="276" w:lineRule="auto"/>
        <w:rPr>
          <w:rFonts w:cs="Arial"/>
          <w:b/>
          <w:bCs/>
          <w:kern w:val="32"/>
        </w:rPr>
      </w:pPr>
    </w:p>
    <w:p w14:paraId="0FC2E9C4" w14:textId="77777777" w:rsidR="00AC6AF2" w:rsidRPr="00AA3D0C" w:rsidRDefault="00AC6AF2" w:rsidP="002B7D6E">
      <w:pPr>
        <w:spacing w:after="200" w:line="276" w:lineRule="auto"/>
        <w:rPr>
          <w:rFonts w:cs="Arial"/>
          <w:b/>
          <w:bCs/>
          <w:kern w:val="32"/>
        </w:rPr>
      </w:pPr>
    </w:p>
    <w:p w14:paraId="438EAEEA" w14:textId="77777777" w:rsidR="00AC6AF2" w:rsidRPr="00AA3D0C" w:rsidRDefault="00AC6AF2" w:rsidP="002B7D6E">
      <w:pPr>
        <w:spacing w:after="200" w:line="276" w:lineRule="auto"/>
        <w:rPr>
          <w:rFonts w:cs="Arial"/>
          <w:b/>
          <w:bCs/>
          <w:kern w:val="32"/>
        </w:rPr>
      </w:pPr>
    </w:p>
    <w:p w14:paraId="53D90F03" w14:textId="77777777" w:rsidR="00AC6AF2" w:rsidRPr="00AA3D0C" w:rsidRDefault="00AC6AF2" w:rsidP="002B7D6E">
      <w:pPr>
        <w:spacing w:after="200" w:line="276" w:lineRule="auto"/>
        <w:rPr>
          <w:rFonts w:cs="Arial"/>
          <w:b/>
          <w:bCs/>
          <w:kern w:val="32"/>
        </w:rPr>
      </w:pPr>
    </w:p>
    <w:p w14:paraId="549B35EE" w14:textId="77777777" w:rsidR="00F57F91" w:rsidRDefault="00F57F91" w:rsidP="00303EFE">
      <w:pPr>
        <w:spacing w:after="200" w:line="276" w:lineRule="auto"/>
        <w:rPr>
          <w:rFonts w:cs="Arial"/>
          <w:b/>
          <w:bCs/>
          <w:kern w:val="32"/>
        </w:rPr>
      </w:pPr>
      <w:bookmarkStart w:id="54" w:name="_Toc41476155"/>
      <w:bookmarkStart w:id="55" w:name="_Toc378660966"/>
    </w:p>
    <w:p w14:paraId="78F67E47" w14:textId="103AFC85" w:rsidR="00C94B1B" w:rsidRPr="00C94B1B" w:rsidRDefault="00C94B1B" w:rsidP="00C94B1B">
      <w:pPr>
        <w:spacing w:after="200" w:line="276" w:lineRule="auto"/>
        <w:rPr>
          <w:i/>
          <w:sz w:val="20"/>
          <w:szCs w:val="20"/>
        </w:rPr>
        <w:sectPr w:rsidR="00C94B1B" w:rsidRPr="00C94B1B" w:rsidSect="00B5154C">
          <w:headerReference w:type="default" r:id="rId38"/>
          <w:footerReference w:type="default" r:id="rId39"/>
          <w:pgSz w:w="10319" w:h="14572" w:code="13"/>
          <w:pgMar w:top="1134" w:right="1021" w:bottom="1134" w:left="1134" w:header="510" w:footer="397" w:gutter="0"/>
          <w:pgNumType w:start="1"/>
          <w:cols w:space="708"/>
          <w:titlePg/>
          <w:docGrid w:linePitch="360"/>
        </w:sectPr>
      </w:pPr>
    </w:p>
    <w:bookmarkEnd w:id="54"/>
    <w:bookmarkEnd w:id="55"/>
    <w:p w14:paraId="2FB403BA" w14:textId="27FFCCF7" w:rsidR="007216EF" w:rsidRDefault="007216EF" w:rsidP="00B817E8">
      <w:pPr>
        <w:spacing w:after="200" w:line="276" w:lineRule="auto"/>
        <w:rPr>
          <w:rFonts w:cs="Arial"/>
          <w:b/>
          <w:bCs/>
          <w:kern w:val="32"/>
          <w:sz w:val="32"/>
          <w:szCs w:val="32"/>
        </w:rPr>
      </w:pPr>
    </w:p>
    <w:p w14:paraId="1B66E3C5" w14:textId="77777777" w:rsidR="007216EF" w:rsidRPr="00AA3D0C" w:rsidRDefault="007216EF" w:rsidP="00B817E8">
      <w:pPr>
        <w:spacing w:after="200" w:line="276" w:lineRule="auto"/>
        <w:rPr>
          <w:rFonts w:cs="Arial"/>
          <w:b/>
          <w:bCs/>
          <w:kern w:val="32"/>
          <w:sz w:val="32"/>
          <w:szCs w:val="32"/>
        </w:rPr>
      </w:pPr>
    </w:p>
    <w:p w14:paraId="679C1AA5" w14:textId="77777777" w:rsidR="006E1524" w:rsidRPr="00AA3D0C" w:rsidRDefault="006E1524" w:rsidP="00B817E8">
      <w:pPr>
        <w:spacing w:after="200" w:line="276" w:lineRule="auto"/>
        <w:rPr>
          <w:rFonts w:cs="Arial"/>
          <w:b/>
          <w:bCs/>
          <w:kern w:val="32"/>
          <w:sz w:val="32"/>
          <w:szCs w:val="32"/>
        </w:rPr>
      </w:pPr>
    </w:p>
    <w:p w14:paraId="6AB7233A" w14:textId="77777777" w:rsidR="006E1524" w:rsidRPr="00AA3D0C" w:rsidRDefault="006E1524" w:rsidP="00B817E8">
      <w:pPr>
        <w:spacing w:after="200" w:line="276" w:lineRule="auto"/>
        <w:rPr>
          <w:rFonts w:cs="Arial"/>
          <w:b/>
          <w:bCs/>
          <w:kern w:val="32"/>
          <w:sz w:val="32"/>
          <w:szCs w:val="32"/>
        </w:rPr>
      </w:pPr>
    </w:p>
    <w:p w14:paraId="0ECF4882" w14:textId="77777777" w:rsidR="006E1524" w:rsidRPr="00AA3D0C" w:rsidRDefault="006E1524" w:rsidP="00B817E8">
      <w:pPr>
        <w:spacing w:after="200" w:line="276" w:lineRule="auto"/>
        <w:rPr>
          <w:rFonts w:cs="Arial"/>
          <w:b/>
          <w:bCs/>
          <w:kern w:val="32"/>
          <w:sz w:val="32"/>
          <w:szCs w:val="32"/>
        </w:rPr>
      </w:pPr>
    </w:p>
    <w:p w14:paraId="411D4DF0" w14:textId="77777777" w:rsidR="006E1524" w:rsidRPr="00AA3D0C" w:rsidRDefault="006E1524" w:rsidP="00B817E8">
      <w:pPr>
        <w:spacing w:after="200" w:line="276" w:lineRule="auto"/>
        <w:rPr>
          <w:rFonts w:cs="Arial"/>
          <w:b/>
          <w:bCs/>
          <w:kern w:val="32"/>
          <w:sz w:val="32"/>
          <w:szCs w:val="32"/>
        </w:rPr>
      </w:pPr>
    </w:p>
    <w:p w14:paraId="1C43B832" w14:textId="77777777" w:rsidR="006E1524" w:rsidRPr="00AA3D0C" w:rsidRDefault="006E1524" w:rsidP="00B817E8">
      <w:pPr>
        <w:spacing w:after="200" w:line="276" w:lineRule="auto"/>
        <w:rPr>
          <w:rFonts w:cs="Arial"/>
          <w:b/>
          <w:bCs/>
          <w:kern w:val="32"/>
          <w:sz w:val="32"/>
          <w:szCs w:val="32"/>
        </w:rPr>
      </w:pPr>
    </w:p>
    <w:p w14:paraId="6CFE1EFE" w14:textId="77777777" w:rsidR="006E1524" w:rsidRPr="00AA3D0C" w:rsidRDefault="006E1524" w:rsidP="00B817E8">
      <w:pPr>
        <w:spacing w:after="200" w:line="276" w:lineRule="auto"/>
        <w:rPr>
          <w:rFonts w:cs="Arial"/>
          <w:b/>
          <w:bCs/>
          <w:kern w:val="32"/>
          <w:sz w:val="32"/>
          <w:szCs w:val="32"/>
        </w:rPr>
      </w:pPr>
    </w:p>
    <w:p w14:paraId="6BF7E564" w14:textId="77777777" w:rsidR="00982B7E" w:rsidRPr="00AA3D0C" w:rsidRDefault="00982B7E" w:rsidP="00B817E8">
      <w:pPr>
        <w:spacing w:after="200" w:line="276" w:lineRule="auto"/>
        <w:rPr>
          <w:rFonts w:cs="Arial"/>
          <w:b/>
          <w:bCs/>
          <w:kern w:val="32"/>
          <w:sz w:val="32"/>
          <w:szCs w:val="32"/>
        </w:rPr>
      </w:pPr>
    </w:p>
    <w:p w14:paraId="2028158E" w14:textId="77777777" w:rsidR="006E1524" w:rsidRPr="00AA3D0C" w:rsidRDefault="006E1524" w:rsidP="00B817E8">
      <w:pPr>
        <w:spacing w:after="200" w:line="276" w:lineRule="auto"/>
        <w:rPr>
          <w:rFonts w:cs="Arial"/>
          <w:b/>
          <w:bCs/>
          <w:kern w:val="32"/>
          <w:sz w:val="32"/>
          <w:szCs w:val="32"/>
        </w:rPr>
      </w:pPr>
    </w:p>
    <w:p w14:paraId="3CCFB58A" w14:textId="77777777" w:rsidR="00B5154C" w:rsidRPr="00AA3D0C" w:rsidRDefault="00B5154C">
      <w:pPr>
        <w:spacing w:after="200" w:line="276" w:lineRule="auto"/>
        <w:rPr>
          <w:rFonts w:cs="Arial"/>
          <w:b/>
          <w:bCs/>
          <w:kern w:val="32"/>
          <w:sz w:val="32"/>
          <w:szCs w:val="32"/>
        </w:rPr>
      </w:pPr>
      <w:r w:rsidRPr="00AA3D0C">
        <w:rPr>
          <w:rFonts w:cs="Arial"/>
          <w:b/>
          <w:bCs/>
          <w:kern w:val="32"/>
          <w:sz w:val="32"/>
          <w:szCs w:val="32"/>
        </w:rPr>
        <w:br w:type="page"/>
      </w:r>
    </w:p>
    <w:p w14:paraId="07743784" w14:textId="77777777" w:rsidR="00192024" w:rsidRPr="00AA3D0C" w:rsidRDefault="00F5433C" w:rsidP="006E1524">
      <w:pPr>
        <w:spacing w:after="200" w:line="276" w:lineRule="auto"/>
        <w:jc w:val="center"/>
        <w:rPr>
          <w:rFonts w:cs="Arial"/>
          <w:b/>
          <w:bCs/>
          <w:kern w:val="32"/>
          <w:sz w:val="32"/>
          <w:szCs w:val="32"/>
        </w:rPr>
      </w:pPr>
      <w:r w:rsidRPr="00AA3D0C">
        <w:rPr>
          <w:noProof/>
          <w:lang w:eastAsia="en-GB"/>
        </w:rPr>
        <w:lastRenderedPageBreak/>
        <mc:AlternateContent>
          <mc:Choice Requires="wps">
            <w:drawing>
              <wp:anchor distT="0" distB="0" distL="114300" distR="114300" simplePos="0" relativeHeight="251647488" behindDoc="1" locked="0" layoutInCell="1" allowOverlap="1" wp14:anchorId="06BC1236" wp14:editId="5759CBB0">
                <wp:simplePos x="0" y="0"/>
                <wp:positionH relativeFrom="column">
                  <wp:posOffset>-752363</wp:posOffset>
                </wp:positionH>
                <wp:positionV relativeFrom="paragraph">
                  <wp:posOffset>-758825</wp:posOffset>
                </wp:positionV>
                <wp:extent cx="6573296" cy="9299836"/>
                <wp:effectExtent l="0" t="0" r="18415" b="15875"/>
                <wp:wrapNone/>
                <wp:docPr id="1518" name="Rectangle 1518"/>
                <wp:cNvGraphicFramePr/>
                <a:graphic xmlns:a="http://schemas.openxmlformats.org/drawingml/2006/main">
                  <a:graphicData uri="http://schemas.microsoft.com/office/word/2010/wordprocessingShape">
                    <wps:wsp>
                      <wps:cNvSpPr/>
                      <wps:spPr>
                        <a:xfrm>
                          <a:off x="0" y="0"/>
                          <a:ext cx="6573296" cy="9299836"/>
                        </a:xfrm>
                        <a:prstGeom prst="rect">
                          <a:avLst/>
                        </a:prstGeom>
                        <a:solidFill>
                          <a:srgbClr val="D7BF95">
                            <a:alpha val="25000"/>
                          </a:srgbClr>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27AE65E" id="Rectangle 1518" o:spid="_x0000_s1026" style="position:absolute;margin-left:-59.25pt;margin-top:-59.75pt;width:517.6pt;height:732.25pt;z-index:-251668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" fillcolor="#d7bf95" strokecolor="#243f60 [1604]" strokeweight="2pt">
                <v:fill opacity="16448f"/>
              </v:rect>
            </w:pict>
          </mc:Fallback>
        </mc:AlternateContent>
      </w:r>
      <w:r w:rsidR="00B5154C" w:rsidRPr="00AA3D0C">
        <w:rPr>
          <w:rFonts w:cs="Arial"/>
          <w:b/>
          <w:bCs/>
          <w:kern w:val="32"/>
          <w:sz w:val="32"/>
          <w:szCs w:val="32"/>
        </w:rPr>
        <w:br/>
      </w:r>
      <w:r w:rsidR="00B5154C" w:rsidRPr="00AA3D0C">
        <w:rPr>
          <w:rFonts w:cs="Arial"/>
          <w:b/>
          <w:bCs/>
          <w:kern w:val="32"/>
          <w:sz w:val="32"/>
          <w:szCs w:val="32"/>
        </w:rPr>
        <w:br/>
      </w:r>
      <w:r w:rsidR="00B5154C" w:rsidRPr="00AA3D0C">
        <w:rPr>
          <w:rFonts w:cs="Arial"/>
          <w:b/>
          <w:bCs/>
          <w:kern w:val="32"/>
          <w:sz w:val="32"/>
          <w:szCs w:val="32"/>
        </w:rPr>
        <w:br/>
      </w:r>
      <w:r w:rsidR="00B5154C" w:rsidRPr="00AA3D0C">
        <w:rPr>
          <w:rFonts w:cs="Arial"/>
          <w:b/>
          <w:bCs/>
          <w:kern w:val="32"/>
          <w:sz w:val="32"/>
          <w:szCs w:val="32"/>
        </w:rPr>
        <w:br/>
      </w:r>
      <w:r w:rsidR="00B5154C" w:rsidRPr="00AA3D0C">
        <w:rPr>
          <w:rFonts w:cs="Arial"/>
          <w:b/>
          <w:bCs/>
          <w:kern w:val="32"/>
          <w:sz w:val="32"/>
          <w:szCs w:val="32"/>
        </w:rPr>
        <w:br/>
      </w:r>
      <w:r w:rsidR="00B5154C" w:rsidRPr="00AA3D0C">
        <w:rPr>
          <w:rFonts w:cs="Arial"/>
          <w:b/>
          <w:bCs/>
          <w:kern w:val="32"/>
          <w:sz w:val="32"/>
          <w:szCs w:val="32"/>
        </w:rPr>
        <w:br/>
      </w:r>
      <w:r w:rsidR="00B5154C" w:rsidRPr="00AA3D0C">
        <w:rPr>
          <w:rFonts w:cs="Arial"/>
          <w:b/>
          <w:bCs/>
          <w:kern w:val="32"/>
          <w:sz w:val="32"/>
          <w:szCs w:val="32"/>
        </w:rPr>
        <w:br/>
      </w:r>
      <w:r w:rsidR="00B5154C" w:rsidRPr="00AA3D0C">
        <w:rPr>
          <w:rFonts w:cs="Arial"/>
          <w:b/>
          <w:bCs/>
          <w:kern w:val="32"/>
          <w:sz w:val="32"/>
          <w:szCs w:val="32"/>
        </w:rPr>
        <w:br/>
      </w:r>
      <w:r w:rsidR="00B5154C" w:rsidRPr="00AA3D0C">
        <w:rPr>
          <w:rFonts w:cs="Arial"/>
          <w:b/>
          <w:bCs/>
          <w:kern w:val="32"/>
          <w:sz w:val="32"/>
          <w:szCs w:val="32"/>
        </w:rPr>
        <w:br/>
      </w:r>
    </w:p>
    <w:p w14:paraId="10828844" w14:textId="77777777" w:rsidR="00192024" w:rsidRPr="00AA3D0C" w:rsidRDefault="00192024" w:rsidP="006E1524">
      <w:pPr>
        <w:spacing w:after="200" w:line="276" w:lineRule="auto"/>
        <w:jc w:val="center"/>
        <w:rPr>
          <w:rFonts w:cs="Arial"/>
          <w:b/>
          <w:bCs/>
          <w:kern w:val="32"/>
          <w:sz w:val="32"/>
          <w:szCs w:val="32"/>
        </w:rPr>
      </w:pPr>
    </w:p>
    <w:p w14:paraId="7AB24CDA" w14:textId="77777777" w:rsidR="00192024" w:rsidRPr="00AA3D0C" w:rsidRDefault="00192024" w:rsidP="007B067D">
      <w:pPr>
        <w:spacing w:after="200" w:line="276" w:lineRule="auto"/>
        <w:rPr>
          <w:rFonts w:cs="Arial"/>
          <w:b/>
          <w:bCs/>
          <w:kern w:val="32"/>
          <w:sz w:val="32"/>
          <w:szCs w:val="32"/>
        </w:rPr>
      </w:pPr>
    </w:p>
    <w:p w14:paraId="253B3139" w14:textId="77777777" w:rsidR="00192024" w:rsidRPr="00AA3D0C" w:rsidRDefault="00192024" w:rsidP="006E1524">
      <w:pPr>
        <w:spacing w:after="200" w:line="276" w:lineRule="auto"/>
        <w:jc w:val="center"/>
        <w:rPr>
          <w:rFonts w:cs="Arial"/>
          <w:b/>
          <w:bCs/>
          <w:kern w:val="32"/>
          <w:sz w:val="32"/>
          <w:szCs w:val="32"/>
        </w:rPr>
      </w:pPr>
    </w:p>
    <w:p w14:paraId="6ADC0C14" w14:textId="77777777" w:rsidR="000F781A" w:rsidRPr="00AA3D0C" w:rsidRDefault="000F781A" w:rsidP="006E1524">
      <w:pPr>
        <w:spacing w:after="200" w:line="276" w:lineRule="auto"/>
        <w:jc w:val="center"/>
        <w:rPr>
          <w:rFonts w:cs="Arial"/>
          <w:b/>
          <w:bCs/>
          <w:kern w:val="32"/>
          <w:sz w:val="32"/>
          <w:szCs w:val="32"/>
        </w:rPr>
      </w:pPr>
    </w:p>
    <w:p w14:paraId="16C85A32" w14:textId="77777777" w:rsidR="00982B7E" w:rsidRPr="00AA3D0C" w:rsidRDefault="00B5154C" w:rsidP="006E1524">
      <w:pPr>
        <w:spacing w:after="200" w:line="276" w:lineRule="auto"/>
        <w:jc w:val="center"/>
        <w:rPr>
          <w:rFonts w:cs="Arial"/>
          <w:b/>
          <w:bCs/>
          <w:kern w:val="32"/>
          <w:sz w:val="32"/>
          <w:szCs w:val="32"/>
        </w:rPr>
      </w:pPr>
      <w:r w:rsidRPr="00AA3D0C">
        <w:rPr>
          <w:rFonts w:cs="Arial"/>
          <w:b/>
          <w:bCs/>
          <w:kern w:val="32"/>
          <w:sz w:val="32"/>
          <w:szCs w:val="32"/>
        </w:rPr>
        <w:br/>
      </w:r>
      <w:r w:rsidRPr="00AA3D0C">
        <w:rPr>
          <w:rFonts w:cs="Arial"/>
          <w:b/>
          <w:bCs/>
          <w:kern w:val="32"/>
          <w:sz w:val="32"/>
          <w:szCs w:val="32"/>
        </w:rPr>
        <w:br/>
      </w:r>
      <w:r w:rsidRPr="00AA3D0C">
        <w:rPr>
          <w:rFonts w:cs="Arial"/>
          <w:b/>
          <w:bCs/>
          <w:kern w:val="32"/>
          <w:sz w:val="32"/>
          <w:szCs w:val="32"/>
        </w:rPr>
        <w:br/>
      </w:r>
      <w:r w:rsidR="00192024" w:rsidRPr="00AA3D0C">
        <w:rPr>
          <w:rFonts w:cs="Arial"/>
          <w:b/>
          <w:bCs/>
          <w:noProof/>
          <w:kern w:val="32"/>
          <w:sz w:val="32"/>
          <w:szCs w:val="32"/>
          <w:lang w:eastAsia="en-GB"/>
        </w:rPr>
        <w:drawing>
          <wp:inline distT="0" distB="0" distL="0" distR="0" wp14:anchorId="1A049C43" wp14:editId="3DEB7A00">
            <wp:extent cx="2964976" cy="1951630"/>
            <wp:effectExtent l="0" t="0" r="6985"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undUniversity_C_BLACK-[Converted].jpg"/>
                    <pic:cNvPicPr/>
                  </pic:nvPicPr>
                  <pic:blipFill rotWithShape="1">
                    <a:blip r:embed="rId40" cstate="print">
                      <a:extLst>
                        <a:ext uri="{28A0092B-C50C-407E-A947-70E740481C1C}">
                          <a14:useLocalDpi xmlns:a14="http://schemas.microsoft.com/office/drawing/2010/main" val="0"/>
                        </a:ext>
                      </a:extLst>
                    </a:blip>
                    <a:srcRect l="30789" t="27917" r="27632" b="33373"/>
                    <a:stretch/>
                  </pic:blipFill>
                  <pic:spPr bwMode="auto">
                    <a:xfrm>
                      <a:off x="0" y="0"/>
                      <a:ext cx="2963828" cy="1950874"/>
                    </a:xfrm>
                    <a:prstGeom prst="rect">
                      <a:avLst/>
                    </a:prstGeom>
                    <a:ln>
                      <a:noFill/>
                    </a:ln>
                    <a:extLst>
                      <a:ext uri="{53640926-AAD7-44D8-BBD7-CCE9431645EC}">
                        <a14:shadowObscured xmlns:a14="http://schemas.microsoft.com/office/drawing/2010/main"/>
                      </a:ext>
                    </a:extLst>
                  </pic:spPr>
                </pic:pic>
              </a:graphicData>
            </a:graphic>
          </wp:inline>
        </w:drawing>
      </w:r>
    </w:p>
    <w:p w14:paraId="1F38FE9E" w14:textId="77777777" w:rsidR="00982B7E" w:rsidRPr="00AA3D0C" w:rsidRDefault="00982B7E" w:rsidP="006E1524">
      <w:pPr>
        <w:jc w:val="center"/>
        <w:rPr>
          <w:rFonts w:cs="Arial"/>
          <w:bCs/>
          <w:kern w:val="32"/>
          <w:sz w:val="16"/>
          <w:szCs w:val="16"/>
        </w:rPr>
      </w:pPr>
      <w:r w:rsidRPr="00AA3D0C">
        <w:rPr>
          <w:rFonts w:cs="Arial"/>
          <w:bCs/>
          <w:kern w:val="32"/>
          <w:sz w:val="16"/>
          <w:szCs w:val="16"/>
        </w:rPr>
        <w:t>Dept of Architecture and Built Environment: Division of Energy and Building Design</w:t>
      </w:r>
    </w:p>
    <w:p w14:paraId="688CADB1" w14:textId="77777777" w:rsidR="00982B7E" w:rsidRPr="00AA3D0C" w:rsidRDefault="00982B7E" w:rsidP="006E1524">
      <w:pPr>
        <w:jc w:val="center"/>
        <w:rPr>
          <w:rFonts w:cs="Arial"/>
          <w:bCs/>
          <w:kern w:val="32"/>
          <w:sz w:val="16"/>
          <w:szCs w:val="16"/>
        </w:rPr>
      </w:pPr>
      <w:r w:rsidRPr="00AA3D0C">
        <w:rPr>
          <w:rFonts w:cs="Arial"/>
          <w:bCs/>
          <w:kern w:val="32"/>
          <w:sz w:val="16"/>
          <w:szCs w:val="16"/>
        </w:rPr>
        <w:t>Dept of Building and Environmental Technology: Divisions of Building Physics and Building Services</w:t>
      </w:r>
    </w:p>
    <w:sectPr w:rsidR="00982B7E" w:rsidRPr="00AA3D0C" w:rsidSect="00F56E3A">
      <w:headerReference w:type="even" r:id="rId41"/>
      <w:headerReference w:type="default" r:id="rId42"/>
      <w:footerReference w:type="even" r:id="rId43"/>
      <w:footerReference w:type="default" r:id="rId44"/>
      <w:headerReference w:type="first" r:id="rId45"/>
      <w:footerReference w:type="first" r:id="rId46"/>
      <w:type w:val="oddPage"/>
      <w:pgSz w:w="10319" w:h="14572" w:code="13"/>
      <w:pgMar w:top="1134" w:right="1021" w:bottom="1134" w:left="1134" w:header="510" w:footer="397"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75E550EA" w14:textId="77777777" w:rsidR="00B030DD" w:rsidRDefault="00B030DD" w:rsidP="005C4EE4">
      <w:r>
        <w:separator/>
      </w:r>
    </w:p>
  </w:endnote>
  <w:endnote w:type="continuationSeparator" w:id="0">
    <w:p w14:paraId="2AC28B3A" w14:textId="77777777" w:rsidR="00B030DD" w:rsidRDefault="00B030DD" w:rsidP="005C4EE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A1"/>
    <w:family w:val="roman"/>
    <w:pitch w:val="variable"/>
    <w:sig w:usb0="E0002EFF" w:usb1="C000785B" w:usb2="00000009" w:usb3="00000000" w:csb0="000001FF" w:csb1="00000000"/>
  </w:font>
  <w:font w:name="Courier New">
    <w:panose1 w:val="02070309020205020404"/>
    <w:charset w:val="A1"/>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A1"/>
    <w:family w:val="swiss"/>
    <w:pitch w:val="variable"/>
    <w:sig w:usb0="E0002AFF" w:usb1="C000247B" w:usb2="00000009" w:usb3="00000000" w:csb0="000001FF" w:csb1="00000000"/>
  </w:font>
  <w:font w:name="Arial">
    <w:panose1 w:val="020B0604020202020204"/>
    <w:charset w:val="A1"/>
    <w:family w:val="swiss"/>
    <w:pitch w:val="variable"/>
    <w:sig w:usb0="E0002EFF" w:usb1="C000785B" w:usb2="00000009" w:usb3="00000000" w:csb0="000001FF" w:csb1="00000000"/>
  </w:font>
  <w:font w:name="Tahoma">
    <w:panose1 w:val="020B0604030504040204"/>
    <w:charset w:val="A1"/>
    <w:family w:val="swiss"/>
    <w:pitch w:val="variable"/>
    <w:sig w:usb0="E1002EFF" w:usb1="C000605B" w:usb2="00000029" w:usb3="00000000" w:csb0="000101FF" w:csb1="00000000"/>
  </w:font>
  <w:font w:name="Cambria">
    <w:panose1 w:val="02040503050406030204"/>
    <w:charset w:val="A1"/>
    <w:family w:val="roman"/>
    <w:pitch w:val="variable"/>
    <w:sig w:usb0="E00006FF" w:usb1="420024FF" w:usb2="02000000" w:usb3="00000000" w:csb0="0000019F" w:csb1="00000000"/>
  </w:font>
  <w:font w:name="Adobe Garamond Pro">
    <w:panose1 w:val="02020502060506020403"/>
    <w:charset w:val="00"/>
    <w:family w:val="roman"/>
    <w:notTrueType/>
    <w:pitch w:val="variable"/>
    <w:sig w:usb0="00000007" w:usb1="00000001" w:usb2="00000000" w:usb3="00000000" w:csb0="00000093" w:csb1="00000000"/>
  </w:font>
  <w:font w:name="Cambria Math">
    <w:panose1 w:val="02040503050406030204"/>
    <w:charset w:val="A1"/>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976204426"/>
      <w:docPartObj>
        <w:docPartGallery w:val="Page Numbers (Bottom of Page)"/>
        <w:docPartUnique/>
      </w:docPartObj>
    </w:sdtPr>
    <w:sdtEndPr>
      <w:rPr>
        <w:noProof/>
      </w:rPr>
    </w:sdtEndPr>
    <w:sdtContent>
      <w:p w14:paraId="3A2D003A" w14:textId="61FD1B87" w:rsidR="00D22D7F" w:rsidRDefault="00D22D7F">
        <w:pPr>
          <w:pStyle w:val="Footer"/>
          <w:jc w:val="center"/>
        </w:pPr>
        <w:r>
          <w:fldChar w:fldCharType="begin"/>
        </w:r>
        <w:r>
          <w:instrText xml:space="preserve"> PAGE   \* MERGEFORMAT </w:instrText>
        </w:r>
        <w:r>
          <w:fldChar w:fldCharType="separate"/>
        </w:r>
        <w:r>
          <w:rPr>
            <w:noProof/>
          </w:rPr>
          <w:t>38</w:t>
        </w:r>
        <w:r>
          <w:rPr>
            <w:noProof/>
          </w:rPr>
          <w:fldChar w:fldCharType="end"/>
        </w:r>
      </w:p>
    </w:sdtContent>
  </w:sdt>
  <w:p w14:paraId="6B6E9685" w14:textId="77777777" w:rsidR="00D22D7F" w:rsidRDefault="00D22D7F">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DBA184F" w14:textId="77777777" w:rsidR="00D22D7F" w:rsidRDefault="00D22D7F">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11C7BA7" w14:textId="77777777" w:rsidR="00D22D7F" w:rsidRDefault="00D22D7F">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699722F" w14:textId="77777777" w:rsidR="00D22D7F" w:rsidRDefault="00D22D7F">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B681A30" w14:textId="77777777" w:rsidR="00B030DD" w:rsidRDefault="00B030DD" w:rsidP="005C4EE4">
      <w:r>
        <w:separator/>
      </w:r>
    </w:p>
  </w:footnote>
  <w:footnote w:type="continuationSeparator" w:id="0">
    <w:p w14:paraId="50A801B2" w14:textId="77777777" w:rsidR="00B030DD" w:rsidRDefault="00B030DD" w:rsidP="005C4EE4">
      <w:r>
        <w:continuationSeparator/>
      </w:r>
    </w:p>
  </w:footnote>
  <w:footnote w:id="1">
    <w:p w14:paraId="0F5B6170" w14:textId="77777777" w:rsidR="00D22D7F" w:rsidRPr="00464E73" w:rsidRDefault="00D22D7F">
      <w:pPr>
        <w:pStyle w:val="FootnoteText"/>
        <w:rPr>
          <w:lang w:val="sv-SE"/>
        </w:rPr>
      </w:pPr>
      <w:r>
        <w:rPr>
          <w:rStyle w:val="FootnoteReference"/>
        </w:rPr>
        <w:footnoteRef/>
      </w:r>
      <w:r>
        <w:t xml:space="preserve"> </w:t>
      </w:r>
      <w:r>
        <w:rPr>
          <w:lang w:val="sv-SE"/>
        </w:rPr>
        <w:t>e.g. contrast, extreme brightness, dim situations.</w:t>
      </w:r>
    </w:p>
  </w:footnote>
  <w:footnote w:id="2">
    <w:p w14:paraId="3FB5AFA6" w14:textId="77777777" w:rsidR="00D22D7F" w:rsidRPr="00464E73" w:rsidRDefault="00D22D7F">
      <w:pPr>
        <w:pStyle w:val="FootnoteText"/>
        <w:rPr>
          <w:lang w:val="sv-SE"/>
        </w:rPr>
      </w:pPr>
      <w:r>
        <w:rPr>
          <w:rStyle w:val="FootnoteReference"/>
        </w:rPr>
        <w:footnoteRef/>
      </w:r>
      <w:r>
        <w:t xml:space="preserve"> </w:t>
      </w:r>
      <w:r>
        <w:rPr>
          <w:sz w:val="22"/>
          <w:szCs w:val="22"/>
        </w:rPr>
        <w:t>E</w:t>
      </w:r>
      <w:r w:rsidRPr="00464E73">
        <w:t>xcluding the future European Standard EN17037.</w:t>
      </w:r>
    </w:p>
  </w:footnote>
  <w:footnote w:id="3">
    <w:p w14:paraId="3820425B" w14:textId="5F27C5EE" w:rsidR="00D22D7F" w:rsidRPr="00A71E98" w:rsidRDefault="00D22D7F">
      <w:pPr>
        <w:pStyle w:val="FootnoteText"/>
        <w:rPr>
          <w:lang w:val="sv-SE"/>
        </w:rPr>
      </w:pPr>
      <w:r>
        <w:rPr>
          <w:rStyle w:val="FootnoteReference"/>
        </w:rPr>
        <w:footnoteRef/>
      </w:r>
      <w:r>
        <w:t xml:space="preserve"> The</w:t>
      </w:r>
      <w:r w:rsidRPr="009D31B0">
        <w:t xml:space="preserve"> entire equation of VCP metric can be found in APPENDIX A.</w:t>
      </w:r>
      <w:r>
        <w:t>1</w:t>
      </w:r>
      <w:r w:rsidRPr="009D31B0">
        <w:t>.</w:t>
      </w:r>
    </w:p>
  </w:footnote>
  <w:footnote w:id="4">
    <w:p w14:paraId="489E68BC" w14:textId="40EECF1F" w:rsidR="00D22D7F" w:rsidRPr="00A71E98" w:rsidRDefault="00D22D7F">
      <w:pPr>
        <w:pStyle w:val="FootnoteText"/>
        <w:rPr>
          <w:lang w:val="sv-SE"/>
        </w:rPr>
      </w:pPr>
      <w:r>
        <w:rPr>
          <w:rStyle w:val="FootnoteReference"/>
        </w:rPr>
        <w:footnoteRef/>
      </w:r>
      <w:r>
        <w:t xml:space="preserve"> T</w:t>
      </w:r>
      <w:r w:rsidRPr="009D31B0">
        <w:t>he UGP formula can be found in APPENDIX A.</w:t>
      </w:r>
      <w:r>
        <w:t>1</w:t>
      </w:r>
      <w:r w:rsidRPr="009D31B0">
        <w:t>.</w:t>
      </w:r>
    </w:p>
  </w:footnote>
  <w:footnote w:id="5">
    <w:p w14:paraId="442BEFE5" w14:textId="77777777" w:rsidR="00D22D7F" w:rsidRDefault="00D22D7F" w:rsidP="009D70BD">
      <w:pPr>
        <w:pStyle w:val="FootnoteText"/>
      </w:pPr>
      <w:r>
        <w:rPr>
          <w:rStyle w:val="FootnoteReference"/>
        </w:rPr>
        <w:footnoteRef/>
      </w:r>
      <w:r>
        <w:t xml:space="preserve"> The different equations for the description of the P</w:t>
      </w:r>
      <w:r w:rsidRPr="007F1193">
        <w:rPr>
          <w:vertAlign w:val="subscript"/>
        </w:rPr>
        <w:t>i</w:t>
      </w:r>
      <w:r>
        <w:t xml:space="preserve"> can be found in APPENDIX A.1.</w:t>
      </w:r>
    </w:p>
  </w:footnote>
  <w:footnote w:id="6">
    <w:p w14:paraId="0024DFAC" w14:textId="77777777" w:rsidR="00D22D7F" w:rsidRDefault="00D22D7F">
      <w:pPr>
        <w:pStyle w:val="FootnoteText"/>
      </w:pPr>
      <w:r>
        <w:rPr>
          <w:rStyle w:val="FootnoteReference"/>
        </w:rPr>
        <w:footnoteRef/>
      </w:r>
      <w:r>
        <w:t xml:space="preserve"> 55% for 2 credits and 75% for 3 credits in an often-used area.</w:t>
      </w:r>
    </w:p>
  </w:footnote>
  <w:footnote w:id="7">
    <w:p w14:paraId="53AEFA60" w14:textId="77777777" w:rsidR="00D22D7F" w:rsidRPr="000A70A3" w:rsidRDefault="00D22D7F" w:rsidP="001D2E5A">
      <w:pPr>
        <w:pStyle w:val="FootnoteText"/>
        <w:rPr>
          <w:lang w:val="sv-SE"/>
        </w:rPr>
      </w:pPr>
      <w:r>
        <w:rPr>
          <w:rStyle w:val="FootnoteReference"/>
        </w:rPr>
        <w:footnoteRef/>
      </w:r>
      <w:r>
        <w:t xml:space="preserve"> </w:t>
      </w:r>
      <w:r>
        <w:rPr>
          <w:lang w:val="sv-SE"/>
        </w:rPr>
        <w:t>The reason that other glare metrics were not used can be found in APPENDIX A.1.</w:t>
      </w:r>
    </w:p>
  </w:footnote>
  <w:footnote w:id="8">
    <w:p w14:paraId="6BAA40D1" w14:textId="77777777" w:rsidR="00D22D7F" w:rsidRPr="00CA3600" w:rsidRDefault="00D22D7F" w:rsidP="00093CA7">
      <w:pPr>
        <w:pStyle w:val="FootnoteText"/>
        <w:rPr>
          <w:lang w:val="en-US"/>
        </w:rPr>
      </w:pPr>
      <w:r>
        <w:rPr>
          <w:rStyle w:val="FootnoteReference"/>
        </w:rPr>
        <w:footnoteRef/>
      </w:r>
      <w:r w:rsidRPr="002B7D6E">
        <w:rPr>
          <w:lang w:val="en-US"/>
        </w:rPr>
        <w:t xml:space="preserve"> </w:t>
      </w:r>
      <w:r>
        <w:rPr>
          <w:lang w:val="en-US"/>
        </w:rPr>
        <w:t xml:space="preserve">The specific DGI rating was based on McNeil and Burrell study </w:t>
      </w:r>
      <w:r w:rsidRPr="004C037A">
        <w:rPr>
          <w:lang w:val="en-US"/>
        </w:rPr>
        <w:fldChar w:fldCharType="begin" w:fldLock="1"/>
      </w:r>
      <w:r>
        <w:rPr>
          <w:lang w:val="en-US"/>
        </w:rPr>
        <w:instrText>ADDIN CSL_CITATION { "citationItems" : [ { "id" : "ITEM-1", "itemData" : { "author" : [ { "dropping-particle" : "", "family" : "McNeil", "given" : "Andrew", "non-dropping-particle" : "", "parse-names" : false, "suffix" : "" }, { "dropping-particle" : "", "family" : "Burrell", "given" : "Galen", "non-dropping-particle" : "", "parse-names" : false, "suffix" : "" } ], "container-title" : "Proceedings of SimBuild", "id" : "ITEM-1", "issue" : "1", "issued" : { "date-parts" : [ [ "2016" ] ] }, "title" : "Applicability of DGP and DGI for evaluating glare in a brightly daylit space", "type" : "article-journal", "volume" : "6" }, "uris" : [ "http://www.mendeley.com/documents/?uuid=a0f266c9-e8ef-4e29-a15b-89ece279b03c", "http://www.mendeley.com/documents/?uuid=4a0a69b8-d208-4095-9573-2fd629eb989c" ] } ], "mendeley" : { "formattedCitation" : "(McNeil and Burrell, 2016)", "manualFormatting" : "(2016)", "plainTextFormattedCitation" : "(McNeil and Burrell, 2016)", "previouslyFormattedCitation" : "(McNeil and Burrell, 2016)" }, "properties" : { "noteIndex" : 0 }, "schema" : "https://github.com/citation-style-language/schema/raw/master/csl-citation.json" }</w:instrText>
      </w:r>
      <w:r w:rsidRPr="004C037A">
        <w:rPr>
          <w:lang w:val="en-US"/>
        </w:rPr>
        <w:fldChar w:fldCharType="separate"/>
      </w:r>
      <w:r w:rsidRPr="004C037A">
        <w:rPr>
          <w:noProof/>
          <w:lang w:val="en-US"/>
        </w:rPr>
        <w:t>(2016)</w:t>
      </w:r>
      <w:r w:rsidRPr="004C037A">
        <w:rPr>
          <w:lang w:val="en-US"/>
        </w:rPr>
        <w:fldChar w:fldCharType="end"/>
      </w:r>
      <w:r>
        <w:rPr>
          <w:lang w:val="en-US"/>
        </w:rPr>
        <w:t>, in order to be compared with DGP and DGPs.</w:t>
      </w:r>
    </w:p>
  </w:footnote>
  <w:footnote w:id="9">
    <w:p w14:paraId="3C5D71C9" w14:textId="77777777" w:rsidR="00D22D7F" w:rsidRDefault="00D22D7F">
      <w:pPr>
        <w:pStyle w:val="FootnoteText"/>
      </w:pPr>
      <w:r>
        <w:rPr>
          <w:rStyle w:val="FootnoteReference"/>
        </w:rPr>
        <w:footnoteRef/>
      </w:r>
      <w:r>
        <w:t xml:space="preserve"> The values for the credits were arbitrary, based on the increased severity of the glare risk.</w:t>
      </w:r>
    </w:p>
  </w:footnote>
  <w:footnote w:id="10">
    <w:p w14:paraId="67E31285" w14:textId="77777777" w:rsidR="00D22D7F" w:rsidRPr="002B7D6E" w:rsidRDefault="00D22D7F" w:rsidP="00421CF9">
      <w:pPr>
        <w:pStyle w:val="FootnoteText"/>
        <w:rPr>
          <w:lang w:val="en-US"/>
        </w:rPr>
      </w:pPr>
      <w:r>
        <w:rPr>
          <w:rStyle w:val="FootnoteReference"/>
        </w:rPr>
        <w:footnoteRef/>
      </w:r>
      <w:r w:rsidRPr="002B7D6E">
        <w:rPr>
          <w:lang w:val="en-US"/>
        </w:rPr>
        <w:t xml:space="preserve"> All t</w:t>
      </w:r>
      <w:r>
        <w:rPr>
          <w:lang w:val="en-US"/>
        </w:rPr>
        <w:t>he resulted DGI values were divided by 100 in order to be compared with DGP-DGPs as percentage of 100.</w:t>
      </w:r>
    </w:p>
  </w:footnote>
  <w:footnote w:id="11">
    <w:p w14:paraId="0D4A64BE" w14:textId="172D38FB" w:rsidR="00D22D7F" w:rsidRDefault="00D22D7F">
      <w:pPr>
        <w:pStyle w:val="FootnoteText"/>
      </w:pPr>
      <w:r w:rsidRPr="001818DA">
        <w:rPr>
          <w:rStyle w:val="FootnoteReference"/>
        </w:rPr>
        <w:footnoteRef/>
      </w:r>
      <w:r w:rsidRPr="001818DA">
        <w:t xml:space="preserve"> APPENDIX </w:t>
      </w:r>
      <w:r>
        <w:t>B</w:t>
      </w:r>
      <w:r w:rsidRPr="001818DA">
        <w:t>.</w:t>
      </w:r>
      <w:r>
        <w:t>1</w:t>
      </w:r>
      <w:r w:rsidRPr="001818DA">
        <w:t xml:space="preserve"> for t</w:t>
      </w:r>
      <w:r w:rsidRPr="001818DA">
        <w:rPr>
          <w:lang w:val="sv-SE"/>
        </w:rPr>
        <w:t>he analysis</w:t>
      </w:r>
      <w:r>
        <w:rPr>
          <w:lang w:val="sv-SE"/>
        </w:rPr>
        <w:t xml:space="preserve"> of the different studied days and the occuring </w:t>
      </w:r>
      <w:r>
        <w:rPr>
          <w:lang w:val="sv-SE"/>
        </w:rPr>
        <w:t>period of time (</w:t>
      </w:r>
      <w:r>
        <w:rPr>
          <w:lang w:val="el-GR"/>
        </w:rPr>
        <w:t>ω</w:t>
      </w:r>
      <w:r>
        <w:t>)</w:t>
      </w:r>
      <w:r>
        <w:rPr>
          <w:lang w:val="sv-SE"/>
        </w:rPr>
        <w:t>.</w:t>
      </w:r>
    </w:p>
  </w:footnote>
  <w:footnote w:id="12">
    <w:p w14:paraId="32259AF5" w14:textId="77777777" w:rsidR="00D22D7F" w:rsidRDefault="00D22D7F" w:rsidP="004F26FE">
      <w:pPr>
        <w:pStyle w:val="FootnoteText"/>
      </w:pPr>
      <w:r>
        <w:rPr>
          <w:rStyle w:val="FootnoteReference"/>
        </w:rPr>
        <w:footnoteRef/>
      </w:r>
      <w:r>
        <w:t xml:space="preserve"> The shape of the room was chosen to be elongated (having the highest width </w:t>
      </w:r>
      <w:r w:rsidRPr="007451B9">
        <w:t>lengthwise the façade</w:t>
      </w:r>
      <w:r>
        <w:t>) in order to present both dimed situations and daylit spaces.</w:t>
      </w:r>
    </w:p>
  </w:footnote>
  <w:footnote w:id="13">
    <w:p w14:paraId="7A077A21" w14:textId="711C81F5" w:rsidR="00D22D7F" w:rsidRPr="0079527B" w:rsidRDefault="00D22D7F">
      <w:pPr>
        <w:pStyle w:val="FootnoteText"/>
        <w:rPr>
          <w:lang w:val="en-US"/>
        </w:rPr>
      </w:pPr>
      <w:r>
        <w:rPr>
          <w:rStyle w:val="FootnoteReference"/>
        </w:rPr>
        <w:footnoteRef/>
      </w:r>
      <w:r w:rsidRPr="0079527B">
        <w:rPr>
          <w:lang w:val="en-US"/>
        </w:rPr>
        <w:t xml:space="preserve"> </w:t>
      </w:r>
      <w:r>
        <w:rPr>
          <w:lang w:val="en-US"/>
        </w:rPr>
        <w:t>The pictures of the tested BSDF could be found in APPENDIX B.2.</w:t>
      </w:r>
    </w:p>
  </w:footnote>
  <w:footnote w:id="14">
    <w:p w14:paraId="53640C68" w14:textId="4B99BBB3" w:rsidR="00D22D7F" w:rsidRPr="009563A0" w:rsidRDefault="00D22D7F">
      <w:pPr>
        <w:pStyle w:val="FootnoteText"/>
        <w:rPr>
          <w:sz w:val="18"/>
          <w:lang w:val="en-US"/>
        </w:rPr>
      </w:pPr>
      <w:r>
        <w:rPr>
          <w:rStyle w:val="FootnoteReference"/>
        </w:rPr>
        <w:footnoteRef/>
      </w:r>
      <w:r>
        <w:t xml:space="preserve"> </w:t>
      </w:r>
      <w:r w:rsidRPr="009563A0">
        <w:rPr>
          <w:szCs w:val="22"/>
        </w:rPr>
        <w:t xml:space="preserve">The initial analysis of the base case and the shading systems can be </w:t>
      </w:r>
      <w:r w:rsidRPr="008833B3">
        <w:rPr>
          <w:szCs w:val="22"/>
        </w:rPr>
        <w:t>found in A</w:t>
      </w:r>
      <w:r>
        <w:rPr>
          <w:szCs w:val="22"/>
        </w:rPr>
        <w:t>PPENDIX</w:t>
      </w:r>
      <w:r w:rsidRPr="008833B3">
        <w:rPr>
          <w:szCs w:val="22"/>
        </w:rPr>
        <w:t xml:space="preserve"> B.1</w:t>
      </w:r>
      <w:r>
        <w:rPr>
          <w:szCs w:val="22"/>
        </w:rPr>
        <w:t xml:space="preserve"> and B.2.</w:t>
      </w:r>
    </w:p>
  </w:footnote>
  <w:footnote w:id="15">
    <w:p w14:paraId="0BE52B2B" w14:textId="1F8C1AF7" w:rsidR="00D22D7F" w:rsidRDefault="00D22D7F">
      <w:pPr>
        <w:pStyle w:val="FootnoteText"/>
      </w:pPr>
      <w:r>
        <w:rPr>
          <w:rStyle w:val="FootnoteReference"/>
        </w:rPr>
        <w:footnoteRef/>
      </w:r>
      <w:r>
        <w:t xml:space="preserve"> The plan, being presented here as a diagram for illustration purposes, is elongated towards South-North so that the results would be visible (see Figure 10a-b). The tested plan was not used as a scale for the pattern.</w:t>
      </w:r>
    </w:p>
  </w:footnote>
  <w:footnote w:id="16">
    <w:p w14:paraId="226E81DF" w14:textId="224250EE" w:rsidR="00D22D7F" w:rsidRPr="00AC2CA5" w:rsidRDefault="00D22D7F">
      <w:pPr>
        <w:pStyle w:val="FootnoteText"/>
        <w:rPr>
          <w:lang w:val="en-US"/>
        </w:rPr>
      </w:pPr>
      <w:r>
        <w:rPr>
          <w:rStyle w:val="FootnoteReference"/>
        </w:rPr>
        <w:footnoteRef/>
      </w:r>
      <w:r>
        <w:t xml:space="preserve"> In Figure 15 the values of the DGPs were not presented as DGPs underestimated the risk for glare when compared to DGP and DGI during the TPG analysis.</w:t>
      </w:r>
    </w:p>
  </w:footnote>
  <w:footnote w:id="17">
    <w:p w14:paraId="71B5C8BD" w14:textId="77777777" w:rsidR="00D22D7F" w:rsidRPr="004264E6" w:rsidRDefault="00D22D7F" w:rsidP="002B7D6E">
      <w:pPr>
        <w:pStyle w:val="FootnoteText"/>
        <w:rPr>
          <w:lang w:val="en-US"/>
        </w:rPr>
      </w:pPr>
      <w:r>
        <w:rPr>
          <w:rStyle w:val="FootnoteReference"/>
        </w:rPr>
        <w:footnoteRef/>
      </w:r>
      <w:r w:rsidRPr="002B7D6E">
        <w:rPr>
          <w:lang w:val="en-US"/>
        </w:rPr>
        <w:t xml:space="preserve"> </w:t>
      </w:r>
      <w:r>
        <w:rPr>
          <w:lang w:val="en-US"/>
        </w:rPr>
        <w:t>In the framework of</w:t>
      </w:r>
      <w:r w:rsidRPr="004264E6">
        <w:rPr>
          <w:lang w:val="en-US"/>
        </w:rPr>
        <w:t xml:space="preserve"> glare p</w:t>
      </w:r>
      <w:r>
        <w:rPr>
          <w:lang w:val="en-US"/>
        </w:rPr>
        <w:t>rotection.</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D090378" w14:textId="77777777" w:rsidR="00D22D7F" w:rsidRDefault="00D22D7F" w:rsidP="006F4580">
    <w:pPr>
      <w:pStyle w:val="Header"/>
      <w:pBdr>
        <w:bottom w:val="single" w:sz="4" w:space="1" w:color="auto"/>
      </w:pBdr>
      <w:jc w:val="center"/>
      <w:rPr>
        <w:sz w:val="16"/>
        <w:szCs w:val="16"/>
      </w:rPr>
    </w:pPr>
  </w:p>
  <w:p w14:paraId="2DD6CAB7" w14:textId="77777777" w:rsidR="00D22D7F" w:rsidRPr="006F4580" w:rsidRDefault="00D22D7F" w:rsidP="006F4580">
    <w:pPr>
      <w:pStyle w:val="Header"/>
      <w:pBdr>
        <w:bottom w:val="single" w:sz="4" w:space="1" w:color="auto"/>
      </w:pBdr>
      <w:jc w:val="center"/>
      <w:rPr>
        <w:sz w:val="16"/>
        <w:szCs w:val="16"/>
        <w:lang w:val="en-US"/>
      </w:rPr>
    </w:pPr>
    <w:r w:rsidRPr="006F4580">
      <w:rPr>
        <w:sz w:val="16"/>
        <w:szCs w:val="16"/>
        <w:lang w:val="en-US"/>
      </w:rPr>
      <w:t>Towards a dynamic daylight glare e</w:t>
    </w:r>
    <w:r>
      <w:rPr>
        <w:sz w:val="16"/>
        <w:szCs w:val="16"/>
        <w:lang w:val="en-US"/>
      </w:rPr>
      <w:t>valuation</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1A6BFF1" w14:textId="77777777" w:rsidR="00D22D7F" w:rsidRDefault="00D22D7F">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AC04601" w14:textId="77777777" w:rsidR="00D22D7F" w:rsidRDefault="00D22D7F">
    <w:pPr>
      <w:pStyle w:val="Heade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BED895B" w14:textId="77777777" w:rsidR="00D22D7F" w:rsidRDefault="00D22D7F">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9A4998"/>
    <w:multiLevelType w:val="hybridMultilevel"/>
    <w:tmpl w:val="82928EB0"/>
    <w:lvl w:ilvl="0" w:tplc="08090001">
      <w:start w:val="1"/>
      <w:numFmt w:val="bullet"/>
      <w:lvlText w:val=""/>
      <w:lvlJc w:val="left"/>
      <w:pPr>
        <w:ind w:left="1664" w:hanging="360"/>
      </w:pPr>
      <w:rPr>
        <w:rFonts w:ascii="Symbol" w:hAnsi="Symbol" w:hint="default"/>
      </w:rPr>
    </w:lvl>
    <w:lvl w:ilvl="1" w:tplc="08090019" w:tentative="1">
      <w:start w:val="1"/>
      <w:numFmt w:val="lowerLetter"/>
      <w:lvlText w:val="%2."/>
      <w:lvlJc w:val="left"/>
      <w:pPr>
        <w:ind w:left="2384" w:hanging="360"/>
      </w:pPr>
    </w:lvl>
    <w:lvl w:ilvl="2" w:tplc="0809001B" w:tentative="1">
      <w:start w:val="1"/>
      <w:numFmt w:val="lowerRoman"/>
      <w:lvlText w:val="%3."/>
      <w:lvlJc w:val="right"/>
      <w:pPr>
        <w:ind w:left="3104" w:hanging="180"/>
      </w:pPr>
    </w:lvl>
    <w:lvl w:ilvl="3" w:tplc="0809000F" w:tentative="1">
      <w:start w:val="1"/>
      <w:numFmt w:val="decimal"/>
      <w:lvlText w:val="%4."/>
      <w:lvlJc w:val="left"/>
      <w:pPr>
        <w:ind w:left="3824" w:hanging="360"/>
      </w:pPr>
    </w:lvl>
    <w:lvl w:ilvl="4" w:tplc="08090019" w:tentative="1">
      <w:start w:val="1"/>
      <w:numFmt w:val="lowerLetter"/>
      <w:lvlText w:val="%5."/>
      <w:lvlJc w:val="left"/>
      <w:pPr>
        <w:ind w:left="4544" w:hanging="360"/>
      </w:pPr>
    </w:lvl>
    <w:lvl w:ilvl="5" w:tplc="0809001B" w:tentative="1">
      <w:start w:val="1"/>
      <w:numFmt w:val="lowerRoman"/>
      <w:lvlText w:val="%6."/>
      <w:lvlJc w:val="right"/>
      <w:pPr>
        <w:ind w:left="5264" w:hanging="180"/>
      </w:pPr>
    </w:lvl>
    <w:lvl w:ilvl="6" w:tplc="0809000F" w:tentative="1">
      <w:start w:val="1"/>
      <w:numFmt w:val="decimal"/>
      <w:lvlText w:val="%7."/>
      <w:lvlJc w:val="left"/>
      <w:pPr>
        <w:ind w:left="5984" w:hanging="360"/>
      </w:pPr>
    </w:lvl>
    <w:lvl w:ilvl="7" w:tplc="08090019" w:tentative="1">
      <w:start w:val="1"/>
      <w:numFmt w:val="lowerLetter"/>
      <w:lvlText w:val="%8."/>
      <w:lvlJc w:val="left"/>
      <w:pPr>
        <w:ind w:left="6704" w:hanging="360"/>
      </w:pPr>
    </w:lvl>
    <w:lvl w:ilvl="8" w:tplc="0809001B" w:tentative="1">
      <w:start w:val="1"/>
      <w:numFmt w:val="lowerRoman"/>
      <w:lvlText w:val="%9."/>
      <w:lvlJc w:val="right"/>
      <w:pPr>
        <w:ind w:left="7424" w:hanging="180"/>
      </w:pPr>
    </w:lvl>
  </w:abstractNum>
  <w:abstractNum w:abstractNumId="1" w15:restartNumberingAfterBreak="0">
    <w:nsid w:val="01D279B1"/>
    <w:multiLevelType w:val="hybridMultilevel"/>
    <w:tmpl w:val="C270F05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1AC6459A"/>
    <w:multiLevelType w:val="hybridMultilevel"/>
    <w:tmpl w:val="EC22731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2B3C5B82"/>
    <w:multiLevelType w:val="hybridMultilevel"/>
    <w:tmpl w:val="B4AE02C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3B1E1E82"/>
    <w:multiLevelType w:val="multilevel"/>
    <w:tmpl w:val="0436C752"/>
    <w:lvl w:ilvl="0">
      <w:start w:val="1"/>
      <w:numFmt w:val="decimal"/>
      <w:pStyle w:val="Heading1"/>
      <w:lvlText w:val="%1"/>
      <w:lvlJc w:val="left"/>
      <w:pPr>
        <w:tabs>
          <w:tab w:val="num" w:pos="432"/>
        </w:tabs>
        <w:ind w:left="432" w:hanging="432"/>
      </w:pPr>
    </w:lvl>
    <w:lvl w:ilvl="1">
      <w:start w:val="1"/>
      <w:numFmt w:val="decimal"/>
      <w:pStyle w:val="Heading2"/>
      <w:lvlText w:val="%1.%2"/>
      <w:lvlJc w:val="left"/>
      <w:pPr>
        <w:tabs>
          <w:tab w:val="num" w:pos="576"/>
        </w:tabs>
        <w:ind w:left="576" w:hanging="576"/>
      </w:pPr>
    </w:lvl>
    <w:lvl w:ilvl="2">
      <w:start w:val="1"/>
      <w:numFmt w:val="decimal"/>
      <w:pStyle w:val="Heading3"/>
      <w:lvlText w:val="%1.%2.%3"/>
      <w:lvlJc w:val="left"/>
      <w:pPr>
        <w:tabs>
          <w:tab w:val="num" w:pos="720"/>
        </w:tabs>
        <w:ind w:left="720" w:hanging="720"/>
      </w:pPr>
    </w:lvl>
    <w:lvl w:ilvl="3">
      <w:start w:val="1"/>
      <w:numFmt w:val="decimal"/>
      <w:pStyle w:val="Heading4"/>
      <w:lvlText w:val="%1.%2.%3.%4"/>
      <w:lvlJc w:val="left"/>
      <w:pPr>
        <w:tabs>
          <w:tab w:val="num" w:pos="864"/>
        </w:tabs>
        <w:ind w:left="864" w:hanging="864"/>
      </w:pPr>
      <w:rPr>
        <w:sz w:val="24"/>
      </w:rPr>
    </w:lvl>
    <w:lvl w:ilvl="4">
      <w:start w:val="1"/>
      <w:numFmt w:val="decimal"/>
      <w:pStyle w:val="Heading5"/>
      <w:lvlText w:val="%1.%2.%3.%4.%5"/>
      <w:lvlJc w:val="left"/>
      <w:pPr>
        <w:tabs>
          <w:tab w:val="num" w:pos="1008"/>
        </w:tabs>
        <w:ind w:left="1008" w:hanging="1008"/>
      </w:pPr>
    </w:lvl>
    <w:lvl w:ilvl="5">
      <w:start w:val="1"/>
      <w:numFmt w:val="decimal"/>
      <w:pStyle w:val="Heading6"/>
      <w:lvlText w:val="%1.%2.%3.%4.%5.%6"/>
      <w:lvlJc w:val="left"/>
      <w:pPr>
        <w:tabs>
          <w:tab w:val="num" w:pos="1152"/>
        </w:tabs>
        <w:ind w:left="1152" w:hanging="1152"/>
      </w:pPr>
    </w:lvl>
    <w:lvl w:ilvl="6">
      <w:start w:val="1"/>
      <w:numFmt w:val="decimal"/>
      <w:pStyle w:val="Heading7"/>
      <w:lvlText w:val="%1.%2.%3.%4.%5.%6.%7"/>
      <w:lvlJc w:val="left"/>
      <w:pPr>
        <w:tabs>
          <w:tab w:val="num" w:pos="1296"/>
        </w:tabs>
        <w:ind w:left="1296" w:hanging="1296"/>
      </w:pPr>
    </w:lvl>
    <w:lvl w:ilvl="7">
      <w:start w:val="1"/>
      <w:numFmt w:val="decimal"/>
      <w:pStyle w:val="Heading8"/>
      <w:lvlText w:val="%1.%2.%3.%4.%5.%6.%7.%8"/>
      <w:lvlJc w:val="left"/>
      <w:pPr>
        <w:tabs>
          <w:tab w:val="num" w:pos="1440"/>
        </w:tabs>
        <w:ind w:left="1440" w:hanging="1440"/>
      </w:pPr>
    </w:lvl>
    <w:lvl w:ilvl="8">
      <w:start w:val="1"/>
      <w:numFmt w:val="decimal"/>
      <w:pStyle w:val="Heading9"/>
      <w:lvlText w:val="%1.%2.%3.%4.%5.%6.%7.%8.%9"/>
      <w:lvlJc w:val="left"/>
      <w:pPr>
        <w:tabs>
          <w:tab w:val="num" w:pos="1584"/>
        </w:tabs>
        <w:ind w:left="1584" w:hanging="1584"/>
      </w:pPr>
    </w:lvl>
  </w:abstractNum>
  <w:abstractNum w:abstractNumId="5" w15:restartNumberingAfterBreak="0">
    <w:nsid w:val="3FA27762"/>
    <w:multiLevelType w:val="hybridMultilevel"/>
    <w:tmpl w:val="61021C2E"/>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6" w15:restartNumberingAfterBreak="0">
    <w:nsid w:val="5A02490E"/>
    <w:multiLevelType w:val="hybridMultilevel"/>
    <w:tmpl w:val="DEA288E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603C2A90"/>
    <w:multiLevelType w:val="hybridMultilevel"/>
    <w:tmpl w:val="439AD61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643D4A7D"/>
    <w:multiLevelType w:val="hybridMultilevel"/>
    <w:tmpl w:val="C368E05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66C56F1A"/>
    <w:multiLevelType w:val="hybridMultilevel"/>
    <w:tmpl w:val="FC2497B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6ACA0F14"/>
    <w:multiLevelType w:val="hybridMultilevel"/>
    <w:tmpl w:val="743202E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6F5A1783"/>
    <w:multiLevelType w:val="hybridMultilevel"/>
    <w:tmpl w:val="4E0CBA7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7F0C3742"/>
    <w:multiLevelType w:val="hybridMultilevel"/>
    <w:tmpl w:val="4B7AECF2"/>
    <w:lvl w:ilvl="0" w:tplc="0408000F">
      <w:start w:val="1"/>
      <w:numFmt w:val="decimal"/>
      <w:lvlText w:val="%1."/>
      <w:lvlJc w:val="left"/>
      <w:pPr>
        <w:ind w:left="360" w:hanging="360"/>
      </w:pPr>
      <w:rPr>
        <w:rFonts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abstractNumId w:val="4"/>
  </w:num>
  <w:num w:numId="2">
    <w:abstractNumId w:val="1"/>
  </w:num>
  <w:num w:numId="3">
    <w:abstractNumId w:val="10"/>
  </w:num>
  <w:num w:numId="4">
    <w:abstractNumId w:val="8"/>
  </w:num>
  <w:num w:numId="5">
    <w:abstractNumId w:val="7"/>
  </w:num>
  <w:num w:numId="6">
    <w:abstractNumId w:val="5"/>
  </w:num>
  <w:num w:numId="7">
    <w:abstractNumId w:val="0"/>
  </w:num>
  <w:num w:numId="8">
    <w:abstractNumId w:val="11"/>
  </w:num>
  <w:num w:numId="9">
    <w:abstractNumId w:val="9"/>
  </w:num>
  <w:num w:numId="10">
    <w:abstractNumId w:val="12"/>
  </w:num>
  <w:num w:numId="11">
    <w:abstractNumId w:val="3"/>
  </w:num>
  <w:num w:numId="12">
    <w:abstractNumId w:val="2"/>
  </w:num>
  <w:num w:numId="13">
    <w:abstractNumId w:val="6"/>
  </w:num>
  <w:numIdMacAtCleanup w:val="1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1304"/>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C4EE4"/>
    <w:rsid w:val="000007E9"/>
    <w:rsid w:val="00000809"/>
    <w:rsid w:val="000036EF"/>
    <w:rsid w:val="000066A9"/>
    <w:rsid w:val="0001153B"/>
    <w:rsid w:val="00013982"/>
    <w:rsid w:val="0001465B"/>
    <w:rsid w:val="00020D19"/>
    <w:rsid w:val="00023DE8"/>
    <w:rsid w:val="000268E3"/>
    <w:rsid w:val="00027E64"/>
    <w:rsid w:val="0003459D"/>
    <w:rsid w:val="00035B9F"/>
    <w:rsid w:val="000368A0"/>
    <w:rsid w:val="00037797"/>
    <w:rsid w:val="000378E6"/>
    <w:rsid w:val="00044F3E"/>
    <w:rsid w:val="00045105"/>
    <w:rsid w:val="00050882"/>
    <w:rsid w:val="00053E43"/>
    <w:rsid w:val="0005559E"/>
    <w:rsid w:val="00060C3E"/>
    <w:rsid w:val="00061A61"/>
    <w:rsid w:val="00077A9A"/>
    <w:rsid w:val="00082AEB"/>
    <w:rsid w:val="000862CE"/>
    <w:rsid w:val="000868D0"/>
    <w:rsid w:val="00087309"/>
    <w:rsid w:val="00090A8E"/>
    <w:rsid w:val="00090FC2"/>
    <w:rsid w:val="00092248"/>
    <w:rsid w:val="00093CA7"/>
    <w:rsid w:val="0009516E"/>
    <w:rsid w:val="000A2C47"/>
    <w:rsid w:val="000A2D7F"/>
    <w:rsid w:val="000A33CF"/>
    <w:rsid w:val="000A390F"/>
    <w:rsid w:val="000A56A3"/>
    <w:rsid w:val="000A70A3"/>
    <w:rsid w:val="000B2220"/>
    <w:rsid w:val="000B2994"/>
    <w:rsid w:val="000D21A5"/>
    <w:rsid w:val="000D5C0D"/>
    <w:rsid w:val="000E083A"/>
    <w:rsid w:val="000E1326"/>
    <w:rsid w:val="000E2467"/>
    <w:rsid w:val="000E29BB"/>
    <w:rsid w:val="000E5203"/>
    <w:rsid w:val="000F01BD"/>
    <w:rsid w:val="000F310C"/>
    <w:rsid w:val="000F781A"/>
    <w:rsid w:val="00103B8D"/>
    <w:rsid w:val="001171EE"/>
    <w:rsid w:val="001311BB"/>
    <w:rsid w:val="00133ACF"/>
    <w:rsid w:val="00134669"/>
    <w:rsid w:val="00135D19"/>
    <w:rsid w:val="0015664A"/>
    <w:rsid w:val="001576BF"/>
    <w:rsid w:val="00160436"/>
    <w:rsid w:val="00160ECB"/>
    <w:rsid w:val="00162159"/>
    <w:rsid w:val="00166DCE"/>
    <w:rsid w:val="001718B9"/>
    <w:rsid w:val="001745AF"/>
    <w:rsid w:val="00174873"/>
    <w:rsid w:val="00176E1E"/>
    <w:rsid w:val="001818DA"/>
    <w:rsid w:val="00182156"/>
    <w:rsid w:val="00186679"/>
    <w:rsid w:val="001866B1"/>
    <w:rsid w:val="00187BFE"/>
    <w:rsid w:val="00191E30"/>
    <w:rsid w:val="00192001"/>
    <w:rsid w:val="00192024"/>
    <w:rsid w:val="00193296"/>
    <w:rsid w:val="00196EBB"/>
    <w:rsid w:val="001B055D"/>
    <w:rsid w:val="001B7760"/>
    <w:rsid w:val="001C337A"/>
    <w:rsid w:val="001C6847"/>
    <w:rsid w:val="001D137C"/>
    <w:rsid w:val="001D2E5A"/>
    <w:rsid w:val="001D31D5"/>
    <w:rsid w:val="001E19FB"/>
    <w:rsid w:val="001F0C42"/>
    <w:rsid w:val="001F50C7"/>
    <w:rsid w:val="001F6C5B"/>
    <w:rsid w:val="0020462E"/>
    <w:rsid w:val="00204F19"/>
    <w:rsid w:val="002203C9"/>
    <w:rsid w:val="00224636"/>
    <w:rsid w:val="0023116D"/>
    <w:rsid w:val="00233291"/>
    <w:rsid w:val="00233921"/>
    <w:rsid w:val="00233FEB"/>
    <w:rsid w:val="0024290F"/>
    <w:rsid w:val="0024418B"/>
    <w:rsid w:val="00245B0B"/>
    <w:rsid w:val="002470DE"/>
    <w:rsid w:val="00252256"/>
    <w:rsid w:val="00254CFE"/>
    <w:rsid w:val="00271939"/>
    <w:rsid w:val="00271A7C"/>
    <w:rsid w:val="00273DF4"/>
    <w:rsid w:val="00274BD5"/>
    <w:rsid w:val="002755BD"/>
    <w:rsid w:val="002837E7"/>
    <w:rsid w:val="00285E7C"/>
    <w:rsid w:val="0028610B"/>
    <w:rsid w:val="00296357"/>
    <w:rsid w:val="00297B8B"/>
    <w:rsid w:val="002A1747"/>
    <w:rsid w:val="002A17DA"/>
    <w:rsid w:val="002A20CE"/>
    <w:rsid w:val="002A305C"/>
    <w:rsid w:val="002A5ECB"/>
    <w:rsid w:val="002A6622"/>
    <w:rsid w:val="002B0EF3"/>
    <w:rsid w:val="002B149C"/>
    <w:rsid w:val="002B343A"/>
    <w:rsid w:val="002B45CA"/>
    <w:rsid w:val="002B7D6E"/>
    <w:rsid w:val="002C19DB"/>
    <w:rsid w:val="002C3C6A"/>
    <w:rsid w:val="002C4976"/>
    <w:rsid w:val="002C5A3C"/>
    <w:rsid w:val="002C6102"/>
    <w:rsid w:val="002C62DC"/>
    <w:rsid w:val="002C79F0"/>
    <w:rsid w:val="002D7E1D"/>
    <w:rsid w:val="002E0103"/>
    <w:rsid w:val="002E2986"/>
    <w:rsid w:val="002E2F19"/>
    <w:rsid w:val="002E74F4"/>
    <w:rsid w:val="002F1110"/>
    <w:rsid w:val="002F1D8A"/>
    <w:rsid w:val="002F33D0"/>
    <w:rsid w:val="002F6EA3"/>
    <w:rsid w:val="00300AAF"/>
    <w:rsid w:val="00303EFE"/>
    <w:rsid w:val="00304019"/>
    <w:rsid w:val="00304543"/>
    <w:rsid w:val="00307436"/>
    <w:rsid w:val="00312A56"/>
    <w:rsid w:val="003139E5"/>
    <w:rsid w:val="00316A55"/>
    <w:rsid w:val="0032201F"/>
    <w:rsid w:val="00323536"/>
    <w:rsid w:val="00323FCF"/>
    <w:rsid w:val="00324C29"/>
    <w:rsid w:val="00325F07"/>
    <w:rsid w:val="003314E6"/>
    <w:rsid w:val="00332784"/>
    <w:rsid w:val="003334DE"/>
    <w:rsid w:val="00341CB3"/>
    <w:rsid w:val="003478CA"/>
    <w:rsid w:val="00350424"/>
    <w:rsid w:val="00350EA5"/>
    <w:rsid w:val="00350F23"/>
    <w:rsid w:val="00351674"/>
    <w:rsid w:val="003527C8"/>
    <w:rsid w:val="00357B28"/>
    <w:rsid w:val="0036034E"/>
    <w:rsid w:val="00361E4F"/>
    <w:rsid w:val="00365D14"/>
    <w:rsid w:val="003751FB"/>
    <w:rsid w:val="00375B46"/>
    <w:rsid w:val="00376D78"/>
    <w:rsid w:val="00383C68"/>
    <w:rsid w:val="00391916"/>
    <w:rsid w:val="00394C76"/>
    <w:rsid w:val="003A2E3B"/>
    <w:rsid w:val="003A4B37"/>
    <w:rsid w:val="003A583D"/>
    <w:rsid w:val="003A5E86"/>
    <w:rsid w:val="003A6CE6"/>
    <w:rsid w:val="003B24D0"/>
    <w:rsid w:val="003B29E0"/>
    <w:rsid w:val="003B59F5"/>
    <w:rsid w:val="003D202E"/>
    <w:rsid w:val="003D3207"/>
    <w:rsid w:val="003D3F9F"/>
    <w:rsid w:val="003E17E3"/>
    <w:rsid w:val="003E3145"/>
    <w:rsid w:val="003F14F9"/>
    <w:rsid w:val="003F64C2"/>
    <w:rsid w:val="00400C8F"/>
    <w:rsid w:val="004046FE"/>
    <w:rsid w:val="00405C0B"/>
    <w:rsid w:val="00415488"/>
    <w:rsid w:val="00421CF9"/>
    <w:rsid w:val="00435292"/>
    <w:rsid w:val="00440BEA"/>
    <w:rsid w:val="00443705"/>
    <w:rsid w:val="0044689F"/>
    <w:rsid w:val="00446D50"/>
    <w:rsid w:val="0045197E"/>
    <w:rsid w:val="00456364"/>
    <w:rsid w:val="0046458A"/>
    <w:rsid w:val="00464DF5"/>
    <w:rsid w:val="00464E73"/>
    <w:rsid w:val="0046770D"/>
    <w:rsid w:val="00475B76"/>
    <w:rsid w:val="004777FA"/>
    <w:rsid w:val="0048086E"/>
    <w:rsid w:val="00480A7E"/>
    <w:rsid w:val="00485A16"/>
    <w:rsid w:val="004926F3"/>
    <w:rsid w:val="00492E03"/>
    <w:rsid w:val="004934D8"/>
    <w:rsid w:val="00493F84"/>
    <w:rsid w:val="00495124"/>
    <w:rsid w:val="004A11BD"/>
    <w:rsid w:val="004A1FD0"/>
    <w:rsid w:val="004A2AB6"/>
    <w:rsid w:val="004B6B5F"/>
    <w:rsid w:val="004C4150"/>
    <w:rsid w:val="004C4E78"/>
    <w:rsid w:val="004C6D89"/>
    <w:rsid w:val="004D305A"/>
    <w:rsid w:val="004D7AE1"/>
    <w:rsid w:val="004E3849"/>
    <w:rsid w:val="004F26FE"/>
    <w:rsid w:val="004F6DB7"/>
    <w:rsid w:val="00504449"/>
    <w:rsid w:val="00504C58"/>
    <w:rsid w:val="00510657"/>
    <w:rsid w:val="00511D23"/>
    <w:rsid w:val="0051218A"/>
    <w:rsid w:val="00514A6D"/>
    <w:rsid w:val="00515066"/>
    <w:rsid w:val="00515A2B"/>
    <w:rsid w:val="00516F07"/>
    <w:rsid w:val="00517E71"/>
    <w:rsid w:val="005204D2"/>
    <w:rsid w:val="0052141B"/>
    <w:rsid w:val="00523D4F"/>
    <w:rsid w:val="00523DDE"/>
    <w:rsid w:val="00524E1B"/>
    <w:rsid w:val="00532E33"/>
    <w:rsid w:val="00536846"/>
    <w:rsid w:val="00544390"/>
    <w:rsid w:val="00544F4E"/>
    <w:rsid w:val="005457CA"/>
    <w:rsid w:val="00550A2E"/>
    <w:rsid w:val="00554004"/>
    <w:rsid w:val="00554F35"/>
    <w:rsid w:val="005558F3"/>
    <w:rsid w:val="005559CC"/>
    <w:rsid w:val="00556B54"/>
    <w:rsid w:val="00556F49"/>
    <w:rsid w:val="005570B7"/>
    <w:rsid w:val="00557AD7"/>
    <w:rsid w:val="00565E03"/>
    <w:rsid w:val="00566A54"/>
    <w:rsid w:val="00567AFC"/>
    <w:rsid w:val="00567E13"/>
    <w:rsid w:val="005767FC"/>
    <w:rsid w:val="005770F4"/>
    <w:rsid w:val="005802A3"/>
    <w:rsid w:val="005873F2"/>
    <w:rsid w:val="0059245A"/>
    <w:rsid w:val="0059331F"/>
    <w:rsid w:val="00594510"/>
    <w:rsid w:val="005952EA"/>
    <w:rsid w:val="00597F7C"/>
    <w:rsid w:val="005A12BB"/>
    <w:rsid w:val="005A1301"/>
    <w:rsid w:val="005A13D2"/>
    <w:rsid w:val="005A3DE6"/>
    <w:rsid w:val="005A3FDD"/>
    <w:rsid w:val="005A4C0A"/>
    <w:rsid w:val="005A62FA"/>
    <w:rsid w:val="005B0757"/>
    <w:rsid w:val="005B1725"/>
    <w:rsid w:val="005B4720"/>
    <w:rsid w:val="005C1BBE"/>
    <w:rsid w:val="005C454F"/>
    <w:rsid w:val="005C4BE3"/>
    <w:rsid w:val="005C4EE4"/>
    <w:rsid w:val="005D44FA"/>
    <w:rsid w:val="005D5C81"/>
    <w:rsid w:val="005D7766"/>
    <w:rsid w:val="005E3A76"/>
    <w:rsid w:val="005E3E95"/>
    <w:rsid w:val="005E487D"/>
    <w:rsid w:val="005E6FFA"/>
    <w:rsid w:val="005F3A04"/>
    <w:rsid w:val="005F3CEC"/>
    <w:rsid w:val="005F6130"/>
    <w:rsid w:val="005F7193"/>
    <w:rsid w:val="005F7215"/>
    <w:rsid w:val="00603BDA"/>
    <w:rsid w:val="00606717"/>
    <w:rsid w:val="006109C0"/>
    <w:rsid w:val="00613E1A"/>
    <w:rsid w:val="00617814"/>
    <w:rsid w:val="00623F5F"/>
    <w:rsid w:val="00625D19"/>
    <w:rsid w:val="006355B4"/>
    <w:rsid w:val="00637B37"/>
    <w:rsid w:val="00641078"/>
    <w:rsid w:val="00644AF6"/>
    <w:rsid w:val="0065115B"/>
    <w:rsid w:val="00654353"/>
    <w:rsid w:val="006564BA"/>
    <w:rsid w:val="00660AFC"/>
    <w:rsid w:val="00663EDB"/>
    <w:rsid w:val="0066483D"/>
    <w:rsid w:val="006723A7"/>
    <w:rsid w:val="006737C7"/>
    <w:rsid w:val="00674545"/>
    <w:rsid w:val="006748D0"/>
    <w:rsid w:val="006752AA"/>
    <w:rsid w:val="00675AE8"/>
    <w:rsid w:val="00677770"/>
    <w:rsid w:val="00683932"/>
    <w:rsid w:val="006949F4"/>
    <w:rsid w:val="006A4FC0"/>
    <w:rsid w:val="006A69C5"/>
    <w:rsid w:val="006A787C"/>
    <w:rsid w:val="006B07E2"/>
    <w:rsid w:val="006B0D29"/>
    <w:rsid w:val="006B567E"/>
    <w:rsid w:val="006B56D3"/>
    <w:rsid w:val="006C11B8"/>
    <w:rsid w:val="006C172B"/>
    <w:rsid w:val="006C1D5E"/>
    <w:rsid w:val="006C3CE8"/>
    <w:rsid w:val="006C7092"/>
    <w:rsid w:val="006D21FD"/>
    <w:rsid w:val="006D2422"/>
    <w:rsid w:val="006D39EF"/>
    <w:rsid w:val="006E1524"/>
    <w:rsid w:val="006E41A6"/>
    <w:rsid w:val="006E44F3"/>
    <w:rsid w:val="006F3EDA"/>
    <w:rsid w:val="006F42F7"/>
    <w:rsid w:val="006F4580"/>
    <w:rsid w:val="0070018B"/>
    <w:rsid w:val="0070712B"/>
    <w:rsid w:val="0071181F"/>
    <w:rsid w:val="007143FB"/>
    <w:rsid w:val="007216EF"/>
    <w:rsid w:val="00725DB0"/>
    <w:rsid w:val="00726230"/>
    <w:rsid w:val="007267D6"/>
    <w:rsid w:val="00727810"/>
    <w:rsid w:val="007310F2"/>
    <w:rsid w:val="007343BA"/>
    <w:rsid w:val="00736277"/>
    <w:rsid w:val="007451B9"/>
    <w:rsid w:val="007468AE"/>
    <w:rsid w:val="007476DB"/>
    <w:rsid w:val="007531C9"/>
    <w:rsid w:val="0075405C"/>
    <w:rsid w:val="00755A79"/>
    <w:rsid w:val="00760F8A"/>
    <w:rsid w:val="00762818"/>
    <w:rsid w:val="007638E8"/>
    <w:rsid w:val="007664EA"/>
    <w:rsid w:val="0077040A"/>
    <w:rsid w:val="0077382C"/>
    <w:rsid w:val="00777F72"/>
    <w:rsid w:val="0078206C"/>
    <w:rsid w:val="0079066F"/>
    <w:rsid w:val="007915F9"/>
    <w:rsid w:val="0079527B"/>
    <w:rsid w:val="0079706A"/>
    <w:rsid w:val="007A2CEC"/>
    <w:rsid w:val="007A3EBE"/>
    <w:rsid w:val="007A4C29"/>
    <w:rsid w:val="007A55CE"/>
    <w:rsid w:val="007A67B8"/>
    <w:rsid w:val="007B067D"/>
    <w:rsid w:val="007B1FF8"/>
    <w:rsid w:val="007B2A5E"/>
    <w:rsid w:val="007B3FD9"/>
    <w:rsid w:val="007B418A"/>
    <w:rsid w:val="007B64E9"/>
    <w:rsid w:val="007B7159"/>
    <w:rsid w:val="007B7347"/>
    <w:rsid w:val="007C4AD1"/>
    <w:rsid w:val="007D3859"/>
    <w:rsid w:val="007D3D51"/>
    <w:rsid w:val="007D45C0"/>
    <w:rsid w:val="007D4A46"/>
    <w:rsid w:val="007D76FD"/>
    <w:rsid w:val="007E630A"/>
    <w:rsid w:val="007E6661"/>
    <w:rsid w:val="007F0B2F"/>
    <w:rsid w:val="007F1193"/>
    <w:rsid w:val="007F7012"/>
    <w:rsid w:val="00801546"/>
    <w:rsid w:val="00810B55"/>
    <w:rsid w:val="00812950"/>
    <w:rsid w:val="0081453E"/>
    <w:rsid w:val="0081528B"/>
    <w:rsid w:val="008153BB"/>
    <w:rsid w:val="00835137"/>
    <w:rsid w:val="008364F2"/>
    <w:rsid w:val="0084026A"/>
    <w:rsid w:val="0084124E"/>
    <w:rsid w:val="00842740"/>
    <w:rsid w:val="00842E09"/>
    <w:rsid w:val="00845BB7"/>
    <w:rsid w:val="008529D8"/>
    <w:rsid w:val="00853C7E"/>
    <w:rsid w:val="00854C42"/>
    <w:rsid w:val="0085676D"/>
    <w:rsid w:val="00857B0D"/>
    <w:rsid w:val="00865C2D"/>
    <w:rsid w:val="00872A6F"/>
    <w:rsid w:val="00880043"/>
    <w:rsid w:val="00882B38"/>
    <w:rsid w:val="008833B3"/>
    <w:rsid w:val="008845E4"/>
    <w:rsid w:val="00884D91"/>
    <w:rsid w:val="00886D69"/>
    <w:rsid w:val="00887B11"/>
    <w:rsid w:val="00890145"/>
    <w:rsid w:val="008901F9"/>
    <w:rsid w:val="008A1DCD"/>
    <w:rsid w:val="008A78F1"/>
    <w:rsid w:val="008B0A83"/>
    <w:rsid w:val="008B1626"/>
    <w:rsid w:val="008C197A"/>
    <w:rsid w:val="008C1D67"/>
    <w:rsid w:val="008C4947"/>
    <w:rsid w:val="008C63D2"/>
    <w:rsid w:val="008C7A0F"/>
    <w:rsid w:val="008D37B5"/>
    <w:rsid w:val="008D3E5E"/>
    <w:rsid w:val="008E2835"/>
    <w:rsid w:val="008E6602"/>
    <w:rsid w:val="008E6951"/>
    <w:rsid w:val="008F19BB"/>
    <w:rsid w:val="008F66F1"/>
    <w:rsid w:val="00903E34"/>
    <w:rsid w:val="00905BC1"/>
    <w:rsid w:val="009105D5"/>
    <w:rsid w:val="00911A4E"/>
    <w:rsid w:val="00914CBA"/>
    <w:rsid w:val="009244FC"/>
    <w:rsid w:val="009246CE"/>
    <w:rsid w:val="009264D0"/>
    <w:rsid w:val="0093112C"/>
    <w:rsid w:val="00937F52"/>
    <w:rsid w:val="00942A8C"/>
    <w:rsid w:val="00944F1B"/>
    <w:rsid w:val="00947461"/>
    <w:rsid w:val="009503DB"/>
    <w:rsid w:val="009538AC"/>
    <w:rsid w:val="009563A0"/>
    <w:rsid w:val="009603B9"/>
    <w:rsid w:val="009627E9"/>
    <w:rsid w:val="00965FBB"/>
    <w:rsid w:val="0096675E"/>
    <w:rsid w:val="00971B15"/>
    <w:rsid w:val="0097263A"/>
    <w:rsid w:val="00975DD1"/>
    <w:rsid w:val="00976023"/>
    <w:rsid w:val="009762B9"/>
    <w:rsid w:val="009778A1"/>
    <w:rsid w:val="0098029F"/>
    <w:rsid w:val="009823D0"/>
    <w:rsid w:val="00982B7E"/>
    <w:rsid w:val="00982D78"/>
    <w:rsid w:val="00983028"/>
    <w:rsid w:val="0098599E"/>
    <w:rsid w:val="009863C6"/>
    <w:rsid w:val="0098662A"/>
    <w:rsid w:val="00987BD3"/>
    <w:rsid w:val="00987D37"/>
    <w:rsid w:val="0099093A"/>
    <w:rsid w:val="00991867"/>
    <w:rsid w:val="009921A7"/>
    <w:rsid w:val="0099291D"/>
    <w:rsid w:val="009933AC"/>
    <w:rsid w:val="009935BC"/>
    <w:rsid w:val="00996EBB"/>
    <w:rsid w:val="009A47DF"/>
    <w:rsid w:val="009A4D84"/>
    <w:rsid w:val="009B3841"/>
    <w:rsid w:val="009B3BB4"/>
    <w:rsid w:val="009B6A90"/>
    <w:rsid w:val="009B6D98"/>
    <w:rsid w:val="009B72A7"/>
    <w:rsid w:val="009C5D3A"/>
    <w:rsid w:val="009C7740"/>
    <w:rsid w:val="009D12E2"/>
    <w:rsid w:val="009D2CF1"/>
    <w:rsid w:val="009D31B0"/>
    <w:rsid w:val="009D63F8"/>
    <w:rsid w:val="009D70BD"/>
    <w:rsid w:val="009E3CC7"/>
    <w:rsid w:val="009F4402"/>
    <w:rsid w:val="00A022D7"/>
    <w:rsid w:val="00A04BF5"/>
    <w:rsid w:val="00A21399"/>
    <w:rsid w:val="00A21803"/>
    <w:rsid w:val="00A21EDC"/>
    <w:rsid w:val="00A23774"/>
    <w:rsid w:val="00A23FC6"/>
    <w:rsid w:val="00A345D6"/>
    <w:rsid w:val="00A466BC"/>
    <w:rsid w:val="00A46BAD"/>
    <w:rsid w:val="00A5455C"/>
    <w:rsid w:val="00A551B3"/>
    <w:rsid w:val="00A57870"/>
    <w:rsid w:val="00A64D2D"/>
    <w:rsid w:val="00A65187"/>
    <w:rsid w:val="00A674D7"/>
    <w:rsid w:val="00A71E98"/>
    <w:rsid w:val="00A72689"/>
    <w:rsid w:val="00A73BE1"/>
    <w:rsid w:val="00A769BD"/>
    <w:rsid w:val="00A87F2C"/>
    <w:rsid w:val="00A929FF"/>
    <w:rsid w:val="00A95CB4"/>
    <w:rsid w:val="00AA2A63"/>
    <w:rsid w:val="00AA3D0C"/>
    <w:rsid w:val="00AA57B8"/>
    <w:rsid w:val="00AA78E6"/>
    <w:rsid w:val="00AB2294"/>
    <w:rsid w:val="00AB2FAB"/>
    <w:rsid w:val="00AB4BAC"/>
    <w:rsid w:val="00AB4C7D"/>
    <w:rsid w:val="00AC0623"/>
    <w:rsid w:val="00AC2CA5"/>
    <w:rsid w:val="00AC66D7"/>
    <w:rsid w:val="00AC6AF2"/>
    <w:rsid w:val="00AD266F"/>
    <w:rsid w:val="00AD5E20"/>
    <w:rsid w:val="00AD6A3A"/>
    <w:rsid w:val="00AD7826"/>
    <w:rsid w:val="00AE5939"/>
    <w:rsid w:val="00AE5EBA"/>
    <w:rsid w:val="00AE6A81"/>
    <w:rsid w:val="00AF37D8"/>
    <w:rsid w:val="00AF64E2"/>
    <w:rsid w:val="00B00725"/>
    <w:rsid w:val="00B00B30"/>
    <w:rsid w:val="00B0308A"/>
    <w:rsid w:val="00B030DD"/>
    <w:rsid w:val="00B06ACB"/>
    <w:rsid w:val="00B06F33"/>
    <w:rsid w:val="00B14CF2"/>
    <w:rsid w:val="00B16B6B"/>
    <w:rsid w:val="00B244CA"/>
    <w:rsid w:val="00B3191F"/>
    <w:rsid w:val="00B35ED1"/>
    <w:rsid w:val="00B4361C"/>
    <w:rsid w:val="00B50FCC"/>
    <w:rsid w:val="00B5154C"/>
    <w:rsid w:val="00B556BF"/>
    <w:rsid w:val="00B55DC5"/>
    <w:rsid w:val="00B5719A"/>
    <w:rsid w:val="00B57F0B"/>
    <w:rsid w:val="00B613C0"/>
    <w:rsid w:val="00B675AD"/>
    <w:rsid w:val="00B67786"/>
    <w:rsid w:val="00B74AB2"/>
    <w:rsid w:val="00B77EFC"/>
    <w:rsid w:val="00B817E8"/>
    <w:rsid w:val="00B84AA2"/>
    <w:rsid w:val="00B84BA5"/>
    <w:rsid w:val="00B8793F"/>
    <w:rsid w:val="00B9322C"/>
    <w:rsid w:val="00B934DE"/>
    <w:rsid w:val="00B93C7B"/>
    <w:rsid w:val="00B9796C"/>
    <w:rsid w:val="00B97FFE"/>
    <w:rsid w:val="00BA0945"/>
    <w:rsid w:val="00BA2789"/>
    <w:rsid w:val="00BB023C"/>
    <w:rsid w:val="00BB477D"/>
    <w:rsid w:val="00BB5421"/>
    <w:rsid w:val="00BB595B"/>
    <w:rsid w:val="00BC2EC7"/>
    <w:rsid w:val="00BC32AE"/>
    <w:rsid w:val="00BC36B5"/>
    <w:rsid w:val="00BC6BBC"/>
    <w:rsid w:val="00BC7912"/>
    <w:rsid w:val="00BD0EAA"/>
    <w:rsid w:val="00BD11AD"/>
    <w:rsid w:val="00BD1A7A"/>
    <w:rsid w:val="00BD5CF6"/>
    <w:rsid w:val="00BE1EF1"/>
    <w:rsid w:val="00BE257F"/>
    <w:rsid w:val="00BE5234"/>
    <w:rsid w:val="00BF0CDF"/>
    <w:rsid w:val="00BF5C51"/>
    <w:rsid w:val="00BF6408"/>
    <w:rsid w:val="00BF689D"/>
    <w:rsid w:val="00C0059C"/>
    <w:rsid w:val="00C0079E"/>
    <w:rsid w:val="00C03183"/>
    <w:rsid w:val="00C0463D"/>
    <w:rsid w:val="00C05626"/>
    <w:rsid w:val="00C05701"/>
    <w:rsid w:val="00C10976"/>
    <w:rsid w:val="00C11F65"/>
    <w:rsid w:val="00C126C8"/>
    <w:rsid w:val="00C13EDC"/>
    <w:rsid w:val="00C160B2"/>
    <w:rsid w:val="00C2148E"/>
    <w:rsid w:val="00C22425"/>
    <w:rsid w:val="00C226AD"/>
    <w:rsid w:val="00C30224"/>
    <w:rsid w:val="00C32CBE"/>
    <w:rsid w:val="00C33459"/>
    <w:rsid w:val="00C34F96"/>
    <w:rsid w:val="00C4323D"/>
    <w:rsid w:val="00C44231"/>
    <w:rsid w:val="00C511F4"/>
    <w:rsid w:val="00C51946"/>
    <w:rsid w:val="00C52CA9"/>
    <w:rsid w:val="00C61A75"/>
    <w:rsid w:val="00C62E81"/>
    <w:rsid w:val="00C63426"/>
    <w:rsid w:val="00C63942"/>
    <w:rsid w:val="00C65213"/>
    <w:rsid w:val="00C7533D"/>
    <w:rsid w:val="00C8089F"/>
    <w:rsid w:val="00C80940"/>
    <w:rsid w:val="00C83AB2"/>
    <w:rsid w:val="00C87A32"/>
    <w:rsid w:val="00C91DC9"/>
    <w:rsid w:val="00C94B1B"/>
    <w:rsid w:val="00C95157"/>
    <w:rsid w:val="00C9646B"/>
    <w:rsid w:val="00CB5441"/>
    <w:rsid w:val="00CB5F69"/>
    <w:rsid w:val="00CB737C"/>
    <w:rsid w:val="00CC07DB"/>
    <w:rsid w:val="00CC1DDD"/>
    <w:rsid w:val="00CC2D0A"/>
    <w:rsid w:val="00CC62AB"/>
    <w:rsid w:val="00CC6DEA"/>
    <w:rsid w:val="00CC727F"/>
    <w:rsid w:val="00CD0E97"/>
    <w:rsid w:val="00CD29E6"/>
    <w:rsid w:val="00CD416B"/>
    <w:rsid w:val="00CE1BEF"/>
    <w:rsid w:val="00CF1716"/>
    <w:rsid w:val="00D00FF3"/>
    <w:rsid w:val="00D031C0"/>
    <w:rsid w:val="00D03FE3"/>
    <w:rsid w:val="00D07970"/>
    <w:rsid w:val="00D11A2A"/>
    <w:rsid w:val="00D15107"/>
    <w:rsid w:val="00D15CAD"/>
    <w:rsid w:val="00D16484"/>
    <w:rsid w:val="00D22D7F"/>
    <w:rsid w:val="00D2303C"/>
    <w:rsid w:val="00D24588"/>
    <w:rsid w:val="00D249D1"/>
    <w:rsid w:val="00D25426"/>
    <w:rsid w:val="00D25558"/>
    <w:rsid w:val="00D25674"/>
    <w:rsid w:val="00D31482"/>
    <w:rsid w:val="00D31BBE"/>
    <w:rsid w:val="00D320AD"/>
    <w:rsid w:val="00D32358"/>
    <w:rsid w:val="00D331AB"/>
    <w:rsid w:val="00D445CD"/>
    <w:rsid w:val="00D4545D"/>
    <w:rsid w:val="00D458E4"/>
    <w:rsid w:val="00D47640"/>
    <w:rsid w:val="00D47927"/>
    <w:rsid w:val="00D47C4E"/>
    <w:rsid w:val="00D47E6B"/>
    <w:rsid w:val="00D51B34"/>
    <w:rsid w:val="00D51C0D"/>
    <w:rsid w:val="00D551FA"/>
    <w:rsid w:val="00D618E2"/>
    <w:rsid w:val="00D62FF2"/>
    <w:rsid w:val="00D72504"/>
    <w:rsid w:val="00D72600"/>
    <w:rsid w:val="00D73F8E"/>
    <w:rsid w:val="00D75186"/>
    <w:rsid w:val="00D80562"/>
    <w:rsid w:val="00D909BF"/>
    <w:rsid w:val="00D941D6"/>
    <w:rsid w:val="00D97A6F"/>
    <w:rsid w:val="00DA42A0"/>
    <w:rsid w:val="00DB0EE9"/>
    <w:rsid w:val="00DB1005"/>
    <w:rsid w:val="00DB18CC"/>
    <w:rsid w:val="00DB1F57"/>
    <w:rsid w:val="00DB21D7"/>
    <w:rsid w:val="00DB7AB1"/>
    <w:rsid w:val="00DD53A4"/>
    <w:rsid w:val="00DD73A6"/>
    <w:rsid w:val="00DD7E15"/>
    <w:rsid w:val="00DE3418"/>
    <w:rsid w:val="00DE4429"/>
    <w:rsid w:val="00DE690C"/>
    <w:rsid w:val="00DE71FD"/>
    <w:rsid w:val="00DF09C8"/>
    <w:rsid w:val="00DF2219"/>
    <w:rsid w:val="00E00861"/>
    <w:rsid w:val="00E071B0"/>
    <w:rsid w:val="00E10866"/>
    <w:rsid w:val="00E12907"/>
    <w:rsid w:val="00E15017"/>
    <w:rsid w:val="00E15A55"/>
    <w:rsid w:val="00E16D90"/>
    <w:rsid w:val="00E21E2C"/>
    <w:rsid w:val="00E22D27"/>
    <w:rsid w:val="00E242A8"/>
    <w:rsid w:val="00E3197E"/>
    <w:rsid w:val="00E36FC9"/>
    <w:rsid w:val="00E36FCF"/>
    <w:rsid w:val="00E37D00"/>
    <w:rsid w:val="00E4179F"/>
    <w:rsid w:val="00E418EC"/>
    <w:rsid w:val="00E45A64"/>
    <w:rsid w:val="00E475F6"/>
    <w:rsid w:val="00E51F0F"/>
    <w:rsid w:val="00E57480"/>
    <w:rsid w:val="00E5755D"/>
    <w:rsid w:val="00E60C59"/>
    <w:rsid w:val="00E71337"/>
    <w:rsid w:val="00E72419"/>
    <w:rsid w:val="00E74E2A"/>
    <w:rsid w:val="00E771FC"/>
    <w:rsid w:val="00E77D7F"/>
    <w:rsid w:val="00E81446"/>
    <w:rsid w:val="00E872C3"/>
    <w:rsid w:val="00E92247"/>
    <w:rsid w:val="00E97B2E"/>
    <w:rsid w:val="00EA42AB"/>
    <w:rsid w:val="00EB2DF4"/>
    <w:rsid w:val="00EB49CA"/>
    <w:rsid w:val="00EB5A22"/>
    <w:rsid w:val="00EB749D"/>
    <w:rsid w:val="00EC2BB0"/>
    <w:rsid w:val="00EC3C9E"/>
    <w:rsid w:val="00EC5103"/>
    <w:rsid w:val="00EC768A"/>
    <w:rsid w:val="00ED2A10"/>
    <w:rsid w:val="00EE0C31"/>
    <w:rsid w:val="00EE2108"/>
    <w:rsid w:val="00EF0113"/>
    <w:rsid w:val="00EF02D3"/>
    <w:rsid w:val="00EF0B8D"/>
    <w:rsid w:val="00EF34E0"/>
    <w:rsid w:val="00EF5B43"/>
    <w:rsid w:val="00EF7F9C"/>
    <w:rsid w:val="00F01332"/>
    <w:rsid w:val="00F01336"/>
    <w:rsid w:val="00F06603"/>
    <w:rsid w:val="00F116F0"/>
    <w:rsid w:val="00F20E35"/>
    <w:rsid w:val="00F252B9"/>
    <w:rsid w:val="00F32B59"/>
    <w:rsid w:val="00F336C7"/>
    <w:rsid w:val="00F36760"/>
    <w:rsid w:val="00F36800"/>
    <w:rsid w:val="00F41753"/>
    <w:rsid w:val="00F43EA9"/>
    <w:rsid w:val="00F50542"/>
    <w:rsid w:val="00F52A2B"/>
    <w:rsid w:val="00F5433C"/>
    <w:rsid w:val="00F55E46"/>
    <w:rsid w:val="00F56E33"/>
    <w:rsid w:val="00F56E3A"/>
    <w:rsid w:val="00F5705F"/>
    <w:rsid w:val="00F57F91"/>
    <w:rsid w:val="00F64A43"/>
    <w:rsid w:val="00F65460"/>
    <w:rsid w:val="00F65D54"/>
    <w:rsid w:val="00F7217C"/>
    <w:rsid w:val="00F73C7D"/>
    <w:rsid w:val="00F7461F"/>
    <w:rsid w:val="00F800CC"/>
    <w:rsid w:val="00F9122B"/>
    <w:rsid w:val="00FA29AB"/>
    <w:rsid w:val="00FA4751"/>
    <w:rsid w:val="00FA5DCF"/>
    <w:rsid w:val="00FA7FC3"/>
    <w:rsid w:val="00FB1DB6"/>
    <w:rsid w:val="00FB2821"/>
    <w:rsid w:val="00FB6703"/>
    <w:rsid w:val="00FB733E"/>
    <w:rsid w:val="00FC0352"/>
    <w:rsid w:val="00FC1D18"/>
    <w:rsid w:val="00FC2C6C"/>
    <w:rsid w:val="00FC2E56"/>
    <w:rsid w:val="00FC3294"/>
    <w:rsid w:val="00FD025B"/>
    <w:rsid w:val="00FD2315"/>
    <w:rsid w:val="00FD2D84"/>
    <w:rsid w:val="00FE1554"/>
    <w:rsid w:val="00FE49D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2BA747F"/>
  <w15:docId w15:val="{5B23C7CA-AE0F-4C42-8542-249D86AC315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sv-SE" w:eastAsia="en-US"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5C4EE4"/>
    <w:pPr>
      <w:spacing w:after="0" w:line="240" w:lineRule="auto"/>
    </w:pPr>
    <w:rPr>
      <w:rFonts w:ascii="Times New Roman" w:eastAsia="Times New Roman" w:hAnsi="Times New Roman" w:cs="Times New Roman"/>
      <w:sz w:val="24"/>
      <w:szCs w:val="24"/>
      <w:lang w:val="en-GB" w:eastAsia="sv-SE"/>
    </w:rPr>
  </w:style>
  <w:style w:type="paragraph" w:styleId="Heading1">
    <w:name w:val="heading 1"/>
    <w:basedOn w:val="Normal"/>
    <w:next w:val="Normal"/>
    <w:link w:val="Heading1Char"/>
    <w:qFormat/>
    <w:rsid w:val="005C4EE4"/>
    <w:pPr>
      <w:keepNext/>
      <w:numPr>
        <w:numId w:val="1"/>
      </w:numPr>
      <w:spacing w:after="240"/>
      <w:ind w:left="431" w:hanging="431"/>
      <w:outlineLvl w:val="0"/>
    </w:pPr>
    <w:rPr>
      <w:rFonts w:cs="Arial"/>
      <w:b/>
      <w:bCs/>
      <w:kern w:val="32"/>
      <w:sz w:val="32"/>
      <w:szCs w:val="32"/>
    </w:rPr>
  </w:style>
  <w:style w:type="paragraph" w:styleId="Heading2">
    <w:name w:val="heading 2"/>
    <w:basedOn w:val="Heading1"/>
    <w:next w:val="Normal"/>
    <w:link w:val="Heading2Char"/>
    <w:qFormat/>
    <w:rsid w:val="005C4EE4"/>
    <w:pPr>
      <w:numPr>
        <w:ilvl w:val="1"/>
      </w:numPr>
      <w:spacing w:before="120"/>
      <w:ind w:left="578" w:hanging="578"/>
      <w:outlineLvl w:val="1"/>
    </w:pPr>
    <w:rPr>
      <w:bCs w:val="0"/>
      <w:iCs/>
      <w:sz w:val="28"/>
      <w:szCs w:val="28"/>
    </w:rPr>
  </w:style>
  <w:style w:type="paragraph" w:styleId="Heading3">
    <w:name w:val="heading 3"/>
    <w:basedOn w:val="Normal"/>
    <w:next w:val="Normal"/>
    <w:link w:val="Heading3Char"/>
    <w:qFormat/>
    <w:rsid w:val="005C4EE4"/>
    <w:pPr>
      <w:keepNext/>
      <w:numPr>
        <w:ilvl w:val="2"/>
        <w:numId w:val="1"/>
      </w:numPr>
      <w:spacing w:before="120" w:after="120"/>
      <w:outlineLvl w:val="2"/>
    </w:pPr>
    <w:rPr>
      <w:rFonts w:ascii="Arial" w:hAnsi="Arial" w:cs="Arial"/>
      <w:b/>
      <w:bCs/>
      <w:sz w:val="26"/>
      <w:szCs w:val="26"/>
    </w:rPr>
  </w:style>
  <w:style w:type="paragraph" w:styleId="Heading4">
    <w:name w:val="heading 4"/>
    <w:basedOn w:val="Normal"/>
    <w:next w:val="Normal"/>
    <w:link w:val="Heading4Char"/>
    <w:qFormat/>
    <w:rsid w:val="005C4EE4"/>
    <w:pPr>
      <w:keepNext/>
      <w:numPr>
        <w:ilvl w:val="3"/>
        <w:numId w:val="1"/>
      </w:numPr>
      <w:spacing w:before="240" w:after="60"/>
      <w:outlineLvl w:val="3"/>
    </w:pPr>
    <w:rPr>
      <w:b/>
      <w:bCs/>
      <w:sz w:val="28"/>
      <w:szCs w:val="28"/>
    </w:rPr>
  </w:style>
  <w:style w:type="paragraph" w:styleId="Heading5">
    <w:name w:val="heading 5"/>
    <w:basedOn w:val="Normal"/>
    <w:next w:val="Normal"/>
    <w:link w:val="Heading5Char"/>
    <w:qFormat/>
    <w:rsid w:val="005C4EE4"/>
    <w:pPr>
      <w:numPr>
        <w:ilvl w:val="4"/>
        <w:numId w:val="1"/>
      </w:numPr>
      <w:spacing w:before="240" w:after="60"/>
      <w:outlineLvl w:val="4"/>
    </w:pPr>
    <w:rPr>
      <w:b/>
      <w:bCs/>
      <w:i/>
      <w:iCs/>
      <w:sz w:val="26"/>
      <w:szCs w:val="26"/>
    </w:rPr>
  </w:style>
  <w:style w:type="paragraph" w:styleId="Heading6">
    <w:name w:val="heading 6"/>
    <w:basedOn w:val="Normal"/>
    <w:next w:val="Normal"/>
    <w:link w:val="Heading6Char"/>
    <w:qFormat/>
    <w:rsid w:val="005C4EE4"/>
    <w:pPr>
      <w:numPr>
        <w:ilvl w:val="5"/>
        <w:numId w:val="1"/>
      </w:numPr>
      <w:spacing w:before="240" w:after="60"/>
      <w:outlineLvl w:val="5"/>
    </w:pPr>
    <w:rPr>
      <w:b/>
      <w:bCs/>
      <w:sz w:val="22"/>
      <w:szCs w:val="22"/>
    </w:rPr>
  </w:style>
  <w:style w:type="paragraph" w:styleId="Heading7">
    <w:name w:val="heading 7"/>
    <w:basedOn w:val="Normal"/>
    <w:next w:val="Normal"/>
    <w:link w:val="Heading7Char"/>
    <w:qFormat/>
    <w:rsid w:val="005C4EE4"/>
    <w:pPr>
      <w:numPr>
        <w:ilvl w:val="6"/>
        <w:numId w:val="1"/>
      </w:numPr>
      <w:spacing w:before="240" w:after="60"/>
      <w:outlineLvl w:val="6"/>
    </w:pPr>
  </w:style>
  <w:style w:type="paragraph" w:styleId="Heading8">
    <w:name w:val="heading 8"/>
    <w:basedOn w:val="Normal"/>
    <w:next w:val="Normal"/>
    <w:link w:val="Heading8Char"/>
    <w:qFormat/>
    <w:rsid w:val="005C4EE4"/>
    <w:pPr>
      <w:numPr>
        <w:ilvl w:val="7"/>
        <w:numId w:val="1"/>
      </w:numPr>
      <w:spacing w:before="240" w:after="60"/>
      <w:outlineLvl w:val="7"/>
    </w:pPr>
    <w:rPr>
      <w:i/>
      <w:iCs/>
    </w:rPr>
  </w:style>
  <w:style w:type="paragraph" w:styleId="Heading9">
    <w:name w:val="heading 9"/>
    <w:basedOn w:val="Normal"/>
    <w:next w:val="Normal"/>
    <w:link w:val="Heading9Char"/>
    <w:qFormat/>
    <w:rsid w:val="005C4EE4"/>
    <w:pPr>
      <w:numPr>
        <w:ilvl w:val="8"/>
        <w:numId w:val="1"/>
      </w:numPr>
      <w:spacing w:before="240" w:after="60"/>
      <w:outlineLvl w:val="8"/>
    </w:pPr>
    <w:rPr>
      <w:rFonts w:ascii="Arial" w:hAnsi="Arial" w:cs="Arial"/>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5C4EE4"/>
    <w:rPr>
      <w:rFonts w:ascii="Times New Roman" w:eastAsia="Times New Roman" w:hAnsi="Times New Roman" w:cs="Arial"/>
      <w:b/>
      <w:bCs/>
      <w:kern w:val="32"/>
      <w:sz w:val="32"/>
      <w:szCs w:val="32"/>
      <w:lang w:val="en-GB" w:eastAsia="sv-SE"/>
    </w:rPr>
  </w:style>
  <w:style w:type="character" w:customStyle="1" w:styleId="Heading2Char">
    <w:name w:val="Heading 2 Char"/>
    <w:basedOn w:val="DefaultParagraphFont"/>
    <w:link w:val="Heading2"/>
    <w:rsid w:val="005C4EE4"/>
    <w:rPr>
      <w:rFonts w:ascii="Times New Roman" w:eastAsia="Times New Roman" w:hAnsi="Times New Roman" w:cs="Arial"/>
      <w:b/>
      <w:iCs/>
      <w:kern w:val="32"/>
      <w:sz w:val="28"/>
      <w:szCs w:val="28"/>
      <w:lang w:val="en-GB" w:eastAsia="sv-SE"/>
    </w:rPr>
  </w:style>
  <w:style w:type="character" w:customStyle="1" w:styleId="Heading3Char">
    <w:name w:val="Heading 3 Char"/>
    <w:basedOn w:val="DefaultParagraphFont"/>
    <w:link w:val="Heading3"/>
    <w:rsid w:val="005C4EE4"/>
    <w:rPr>
      <w:rFonts w:ascii="Arial" w:eastAsia="Times New Roman" w:hAnsi="Arial" w:cs="Arial"/>
      <w:b/>
      <w:bCs/>
      <w:sz w:val="26"/>
      <w:szCs w:val="26"/>
      <w:lang w:val="en-GB" w:eastAsia="sv-SE"/>
    </w:rPr>
  </w:style>
  <w:style w:type="character" w:customStyle="1" w:styleId="Heading4Char">
    <w:name w:val="Heading 4 Char"/>
    <w:basedOn w:val="DefaultParagraphFont"/>
    <w:link w:val="Heading4"/>
    <w:rsid w:val="005C4EE4"/>
    <w:rPr>
      <w:rFonts w:ascii="Times New Roman" w:eastAsia="Times New Roman" w:hAnsi="Times New Roman" w:cs="Times New Roman"/>
      <w:b/>
      <w:bCs/>
      <w:sz w:val="28"/>
      <w:szCs w:val="28"/>
      <w:lang w:val="en-GB" w:eastAsia="sv-SE"/>
    </w:rPr>
  </w:style>
  <w:style w:type="character" w:customStyle="1" w:styleId="Heading5Char">
    <w:name w:val="Heading 5 Char"/>
    <w:basedOn w:val="DefaultParagraphFont"/>
    <w:link w:val="Heading5"/>
    <w:rsid w:val="005C4EE4"/>
    <w:rPr>
      <w:rFonts w:ascii="Times New Roman" w:eastAsia="Times New Roman" w:hAnsi="Times New Roman" w:cs="Times New Roman"/>
      <w:b/>
      <w:bCs/>
      <w:i/>
      <w:iCs/>
      <w:sz w:val="26"/>
      <w:szCs w:val="26"/>
      <w:lang w:val="en-GB" w:eastAsia="sv-SE"/>
    </w:rPr>
  </w:style>
  <w:style w:type="character" w:customStyle="1" w:styleId="Heading6Char">
    <w:name w:val="Heading 6 Char"/>
    <w:basedOn w:val="DefaultParagraphFont"/>
    <w:link w:val="Heading6"/>
    <w:rsid w:val="005C4EE4"/>
    <w:rPr>
      <w:rFonts w:ascii="Times New Roman" w:eastAsia="Times New Roman" w:hAnsi="Times New Roman" w:cs="Times New Roman"/>
      <w:b/>
      <w:bCs/>
      <w:lang w:val="en-GB" w:eastAsia="sv-SE"/>
    </w:rPr>
  </w:style>
  <w:style w:type="character" w:customStyle="1" w:styleId="Heading7Char">
    <w:name w:val="Heading 7 Char"/>
    <w:basedOn w:val="DefaultParagraphFont"/>
    <w:link w:val="Heading7"/>
    <w:rsid w:val="005C4EE4"/>
    <w:rPr>
      <w:rFonts w:ascii="Times New Roman" w:eastAsia="Times New Roman" w:hAnsi="Times New Roman" w:cs="Times New Roman"/>
      <w:sz w:val="24"/>
      <w:szCs w:val="24"/>
      <w:lang w:val="en-GB" w:eastAsia="sv-SE"/>
    </w:rPr>
  </w:style>
  <w:style w:type="character" w:customStyle="1" w:styleId="Heading8Char">
    <w:name w:val="Heading 8 Char"/>
    <w:basedOn w:val="DefaultParagraphFont"/>
    <w:link w:val="Heading8"/>
    <w:rsid w:val="005C4EE4"/>
    <w:rPr>
      <w:rFonts w:ascii="Times New Roman" w:eastAsia="Times New Roman" w:hAnsi="Times New Roman" w:cs="Times New Roman"/>
      <w:i/>
      <w:iCs/>
      <w:sz w:val="24"/>
      <w:szCs w:val="24"/>
      <w:lang w:val="en-GB" w:eastAsia="sv-SE"/>
    </w:rPr>
  </w:style>
  <w:style w:type="character" w:customStyle="1" w:styleId="Heading9Char">
    <w:name w:val="Heading 9 Char"/>
    <w:basedOn w:val="DefaultParagraphFont"/>
    <w:link w:val="Heading9"/>
    <w:rsid w:val="005C4EE4"/>
    <w:rPr>
      <w:rFonts w:ascii="Arial" w:eastAsia="Times New Roman" w:hAnsi="Arial" w:cs="Arial"/>
      <w:lang w:val="en-GB" w:eastAsia="sv-SE"/>
    </w:rPr>
  </w:style>
  <w:style w:type="paragraph" w:styleId="Footer">
    <w:name w:val="footer"/>
    <w:basedOn w:val="Normal"/>
    <w:link w:val="FooterChar"/>
    <w:uiPriority w:val="99"/>
    <w:rsid w:val="005C4EE4"/>
    <w:pPr>
      <w:tabs>
        <w:tab w:val="center" w:pos="4536"/>
        <w:tab w:val="right" w:pos="9072"/>
      </w:tabs>
    </w:pPr>
  </w:style>
  <w:style w:type="character" w:customStyle="1" w:styleId="FooterChar">
    <w:name w:val="Footer Char"/>
    <w:basedOn w:val="DefaultParagraphFont"/>
    <w:link w:val="Footer"/>
    <w:uiPriority w:val="99"/>
    <w:rsid w:val="005C4EE4"/>
    <w:rPr>
      <w:rFonts w:ascii="Times New Roman" w:eastAsia="Times New Roman" w:hAnsi="Times New Roman" w:cs="Times New Roman"/>
      <w:sz w:val="24"/>
      <w:szCs w:val="24"/>
      <w:lang w:eastAsia="sv-SE"/>
    </w:rPr>
  </w:style>
  <w:style w:type="character" w:styleId="PageNumber">
    <w:name w:val="page number"/>
    <w:basedOn w:val="DefaultParagraphFont"/>
    <w:rsid w:val="005C4EE4"/>
  </w:style>
  <w:style w:type="paragraph" w:styleId="Header">
    <w:name w:val="header"/>
    <w:basedOn w:val="Normal"/>
    <w:link w:val="HeaderChar"/>
    <w:uiPriority w:val="99"/>
    <w:rsid w:val="005C4EE4"/>
    <w:pPr>
      <w:tabs>
        <w:tab w:val="center" w:pos="4536"/>
        <w:tab w:val="right" w:pos="9072"/>
      </w:tabs>
    </w:pPr>
  </w:style>
  <w:style w:type="character" w:customStyle="1" w:styleId="HeaderChar">
    <w:name w:val="Header Char"/>
    <w:basedOn w:val="DefaultParagraphFont"/>
    <w:link w:val="Header"/>
    <w:uiPriority w:val="99"/>
    <w:rsid w:val="005C4EE4"/>
    <w:rPr>
      <w:rFonts w:ascii="Times New Roman" w:eastAsia="Times New Roman" w:hAnsi="Times New Roman" w:cs="Times New Roman"/>
      <w:sz w:val="24"/>
      <w:szCs w:val="24"/>
      <w:lang w:eastAsia="sv-SE"/>
    </w:rPr>
  </w:style>
  <w:style w:type="paragraph" w:customStyle="1" w:styleId="Normal-Byfy">
    <w:name w:val="Normal-Byfy"/>
    <w:basedOn w:val="Normal"/>
    <w:rsid w:val="005C4EE4"/>
    <w:pPr>
      <w:spacing w:after="240"/>
    </w:pPr>
    <w:rPr>
      <w:sz w:val="22"/>
      <w:szCs w:val="22"/>
    </w:rPr>
  </w:style>
  <w:style w:type="paragraph" w:customStyle="1" w:styleId="Figurtext-Byfy">
    <w:name w:val="Figurtext-Byfy"/>
    <w:basedOn w:val="Normal"/>
    <w:rsid w:val="005C4EE4"/>
    <w:pPr>
      <w:tabs>
        <w:tab w:val="left" w:pos="1021"/>
        <w:tab w:val="left" w:pos="1077"/>
      </w:tabs>
      <w:spacing w:before="120" w:after="240"/>
      <w:ind w:left="1021" w:hanging="1021"/>
    </w:pPr>
    <w:rPr>
      <w:i/>
      <w:sz w:val="20"/>
      <w:szCs w:val="20"/>
    </w:rPr>
  </w:style>
  <w:style w:type="table" w:styleId="TableGrid">
    <w:name w:val="Table Grid"/>
    <w:basedOn w:val="TableNormal"/>
    <w:rsid w:val="005C4EE4"/>
    <w:pPr>
      <w:spacing w:after="0" w:line="240" w:lineRule="auto"/>
    </w:pPr>
    <w:rPr>
      <w:rFonts w:ascii="Times New Roman" w:eastAsia="Times New Roman" w:hAnsi="Times New Roman" w:cs="Times New Roman"/>
      <w:sz w:val="20"/>
      <w:szCs w:val="20"/>
      <w:lang w:eastAsia="sv-S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abelltext-Byfy">
    <w:name w:val="Tabelltext-Byfy"/>
    <w:basedOn w:val="Figurtext-Byfy"/>
    <w:rsid w:val="005C4EE4"/>
    <w:pPr>
      <w:keepNext/>
      <w:keepLines/>
    </w:pPr>
  </w:style>
  <w:style w:type="paragraph" w:customStyle="1" w:styleId="Rubrik1-Byfy">
    <w:name w:val="Rubrik 1-Byfy"/>
    <w:basedOn w:val="Heading1"/>
    <w:rsid w:val="005C4EE4"/>
    <w:pPr>
      <w:ind w:left="432" w:hanging="432"/>
    </w:pPr>
  </w:style>
  <w:style w:type="paragraph" w:customStyle="1" w:styleId="Rubrik2-Byfy">
    <w:name w:val="Rubrik 2-Byfy"/>
    <w:basedOn w:val="Heading2"/>
    <w:rsid w:val="005C4EE4"/>
    <w:pPr>
      <w:spacing w:before="0"/>
    </w:pPr>
  </w:style>
  <w:style w:type="paragraph" w:customStyle="1" w:styleId="Rubrik3-Byfy">
    <w:name w:val="Rubrik 3-Byfy"/>
    <w:basedOn w:val="Heading3"/>
    <w:rsid w:val="005C4EE4"/>
    <w:pPr>
      <w:spacing w:before="0"/>
    </w:pPr>
    <w:rPr>
      <w:rFonts w:ascii="Times New Roman" w:hAnsi="Times New Roman" w:cs="Times New Roman"/>
    </w:rPr>
  </w:style>
  <w:style w:type="paragraph" w:customStyle="1" w:styleId="Rubrik4-Byfy">
    <w:name w:val="Rubrik 4-Byfy"/>
    <w:basedOn w:val="Heading4"/>
    <w:rsid w:val="005C4EE4"/>
    <w:pPr>
      <w:spacing w:before="0" w:after="120"/>
      <w:ind w:left="862" w:hanging="862"/>
    </w:pPr>
    <w:rPr>
      <w:sz w:val="24"/>
      <w:szCs w:val="24"/>
    </w:rPr>
  </w:style>
  <w:style w:type="paragraph" w:customStyle="1" w:styleId="Rubrik5-Byfy">
    <w:name w:val="Rubrik 5-Byfy"/>
    <w:basedOn w:val="Heading5"/>
    <w:rsid w:val="005C4EE4"/>
    <w:pPr>
      <w:keepNext/>
      <w:keepLines/>
      <w:spacing w:before="0"/>
      <w:ind w:left="1009" w:hanging="1009"/>
    </w:pPr>
    <w:rPr>
      <w:sz w:val="22"/>
      <w:szCs w:val="22"/>
    </w:rPr>
  </w:style>
  <w:style w:type="paragraph" w:customStyle="1" w:styleId="Ekvation-Byfy">
    <w:name w:val="Ekvation-Byfy"/>
    <w:basedOn w:val="Normal-Byfy"/>
    <w:rsid w:val="005C4EE4"/>
    <w:pPr>
      <w:tabs>
        <w:tab w:val="left" w:pos="851"/>
      </w:tabs>
    </w:pPr>
  </w:style>
  <w:style w:type="paragraph" w:styleId="TOC2">
    <w:name w:val="toc 2"/>
    <w:aliases w:val="Innehåll 2-Byfy"/>
    <w:basedOn w:val="Normal"/>
    <w:next w:val="Normal"/>
    <w:autoRedefine/>
    <w:uiPriority w:val="39"/>
    <w:rsid w:val="005C4EE4"/>
    <w:pPr>
      <w:tabs>
        <w:tab w:val="left" w:pos="794"/>
        <w:tab w:val="right" w:pos="6974"/>
      </w:tabs>
      <w:ind w:left="227"/>
    </w:pPr>
    <w:rPr>
      <w:sz w:val="22"/>
    </w:rPr>
  </w:style>
  <w:style w:type="paragraph" w:styleId="TOC1">
    <w:name w:val="toc 1"/>
    <w:aliases w:val="Innehåll 1-Byfy"/>
    <w:basedOn w:val="Normal"/>
    <w:next w:val="Normal"/>
    <w:autoRedefine/>
    <w:uiPriority w:val="39"/>
    <w:rsid w:val="005C4EE4"/>
    <w:pPr>
      <w:tabs>
        <w:tab w:val="left" w:pos="454"/>
        <w:tab w:val="right" w:leader="dot" w:pos="6974"/>
      </w:tabs>
    </w:pPr>
    <w:rPr>
      <w:sz w:val="22"/>
    </w:rPr>
  </w:style>
  <w:style w:type="paragraph" w:styleId="TOC3">
    <w:name w:val="toc 3"/>
    <w:aliases w:val="Innehåll 3-Byfy"/>
    <w:basedOn w:val="Normal"/>
    <w:next w:val="Normal"/>
    <w:autoRedefine/>
    <w:uiPriority w:val="39"/>
    <w:rsid w:val="005C4EE4"/>
    <w:pPr>
      <w:tabs>
        <w:tab w:val="left" w:pos="1191"/>
        <w:tab w:val="right" w:pos="6974"/>
      </w:tabs>
      <w:ind w:left="454"/>
    </w:pPr>
    <w:rPr>
      <w:sz w:val="22"/>
    </w:rPr>
  </w:style>
  <w:style w:type="paragraph" w:styleId="TOC4">
    <w:name w:val="toc 4"/>
    <w:aliases w:val="Innehåll 4-Byfy"/>
    <w:basedOn w:val="Normal"/>
    <w:next w:val="Normal"/>
    <w:autoRedefine/>
    <w:uiPriority w:val="39"/>
    <w:rsid w:val="005C4EE4"/>
    <w:pPr>
      <w:tabs>
        <w:tab w:val="left" w:pos="680"/>
        <w:tab w:val="right" w:pos="6974"/>
      </w:tabs>
      <w:ind w:left="680"/>
    </w:pPr>
    <w:rPr>
      <w:sz w:val="22"/>
    </w:rPr>
  </w:style>
  <w:style w:type="paragraph" w:styleId="TOC5">
    <w:name w:val="toc 5"/>
    <w:aliases w:val="Innehåll 5-Byfy"/>
    <w:basedOn w:val="Normal"/>
    <w:next w:val="Normal"/>
    <w:autoRedefine/>
    <w:uiPriority w:val="39"/>
    <w:rsid w:val="005C4EE4"/>
    <w:pPr>
      <w:tabs>
        <w:tab w:val="left" w:pos="2098"/>
        <w:tab w:val="right" w:pos="6974"/>
      </w:tabs>
      <w:ind w:left="907"/>
    </w:pPr>
    <w:rPr>
      <w:sz w:val="22"/>
    </w:rPr>
  </w:style>
  <w:style w:type="character" w:styleId="Hyperlink">
    <w:name w:val="Hyperlink"/>
    <w:basedOn w:val="DefaultParagraphFont"/>
    <w:uiPriority w:val="99"/>
    <w:rsid w:val="005C4EE4"/>
    <w:rPr>
      <w:color w:val="0000FF"/>
      <w:u w:val="single"/>
    </w:rPr>
  </w:style>
  <w:style w:type="character" w:styleId="FootnoteReference">
    <w:name w:val="footnote reference"/>
    <w:basedOn w:val="DefaultParagraphFont"/>
    <w:semiHidden/>
    <w:rsid w:val="005C4EE4"/>
    <w:rPr>
      <w:vertAlign w:val="superscript"/>
    </w:rPr>
  </w:style>
  <w:style w:type="paragraph" w:customStyle="1" w:styleId="Fotnotstext-Byfy">
    <w:name w:val="Fotnotstext-Byfy"/>
    <w:basedOn w:val="FootnoteText"/>
    <w:rsid w:val="005C4EE4"/>
    <w:pPr>
      <w:ind w:left="153" w:hanging="153"/>
    </w:pPr>
    <w:rPr>
      <w:sz w:val="16"/>
      <w:szCs w:val="16"/>
    </w:rPr>
  </w:style>
  <w:style w:type="paragraph" w:styleId="FootnoteText">
    <w:name w:val="footnote text"/>
    <w:basedOn w:val="Normal"/>
    <w:link w:val="FootnoteTextChar"/>
    <w:uiPriority w:val="99"/>
    <w:semiHidden/>
    <w:unhideWhenUsed/>
    <w:rsid w:val="005C4EE4"/>
    <w:rPr>
      <w:sz w:val="20"/>
      <w:szCs w:val="20"/>
    </w:rPr>
  </w:style>
  <w:style w:type="character" w:customStyle="1" w:styleId="FootnoteTextChar">
    <w:name w:val="Footnote Text Char"/>
    <w:basedOn w:val="DefaultParagraphFont"/>
    <w:link w:val="FootnoteText"/>
    <w:uiPriority w:val="99"/>
    <w:semiHidden/>
    <w:rsid w:val="005C4EE4"/>
    <w:rPr>
      <w:rFonts w:ascii="Times New Roman" w:eastAsia="Times New Roman" w:hAnsi="Times New Roman" w:cs="Times New Roman"/>
      <w:sz w:val="20"/>
      <w:szCs w:val="20"/>
      <w:lang w:eastAsia="sv-SE"/>
    </w:rPr>
  </w:style>
  <w:style w:type="paragraph" w:styleId="BalloonText">
    <w:name w:val="Balloon Text"/>
    <w:basedOn w:val="Normal"/>
    <w:link w:val="BalloonTextChar"/>
    <w:uiPriority w:val="99"/>
    <w:semiHidden/>
    <w:unhideWhenUsed/>
    <w:rsid w:val="00160436"/>
    <w:rPr>
      <w:rFonts w:ascii="Tahoma" w:hAnsi="Tahoma" w:cs="Tahoma"/>
      <w:sz w:val="16"/>
      <w:szCs w:val="16"/>
    </w:rPr>
  </w:style>
  <w:style w:type="character" w:customStyle="1" w:styleId="BalloonTextChar">
    <w:name w:val="Balloon Text Char"/>
    <w:basedOn w:val="DefaultParagraphFont"/>
    <w:link w:val="BalloonText"/>
    <w:uiPriority w:val="99"/>
    <w:semiHidden/>
    <w:rsid w:val="00160436"/>
    <w:rPr>
      <w:rFonts w:ascii="Tahoma" w:eastAsia="Times New Roman" w:hAnsi="Tahoma" w:cs="Tahoma"/>
      <w:sz w:val="16"/>
      <w:szCs w:val="16"/>
      <w:lang w:eastAsia="sv-SE"/>
    </w:rPr>
  </w:style>
  <w:style w:type="character" w:styleId="EndnoteReference">
    <w:name w:val="endnote reference"/>
    <w:basedOn w:val="DefaultParagraphFont"/>
    <w:uiPriority w:val="99"/>
    <w:semiHidden/>
    <w:unhideWhenUsed/>
    <w:rsid w:val="002B7D6E"/>
    <w:rPr>
      <w:vertAlign w:val="superscript"/>
    </w:rPr>
  </w:style>
  <w:style w:type="paragraph" w:styleId="ListParagraph">
    <w:name w:val="List Paragraph"/>
    <w:basedOn w:val="Normal"/>
    <w:uiPriority w:val="34"/>
    <w:qFormat/>
    <w:rsid w:val="002B7D6E"/>
    <w:pPr>
      <w:spacing w:after="200" w:line="276" w:lineRule="auto"/>
      <w:ind w:left="720"/>
      <w:contextualSpacing/>
    </w:pPr>
    <w:rPr>
      <w:rFonts w:asciiTheme="minorHAnsi" w:eastAsiaTheme="minorHAnsi" w:hAnsiTheme="minorHAnsi" w:cstheme="minorBidi"/>
      <w:sz w:val="22"/>
      <w:szCs w:val="22"/>
      <w:lang w:eastAsia="en-US"/>
    </w:rPr>
  </w:style>
  <w:style w:type="paragraph" w:styleId="NormalWeb">
    <w:name w:val="Normal (Web)"/>
    <w:basedOn w:val="Normal"/>
    <w:uiPriority w:val="99"/>
    <w:unhideWhenUsed/>
    <w:rsid w:val="002B7D6E"/>
    <w:pPr>
      <w:spacing w:before="100" w:beforeAutospacing="1" w:after="100" w:afterAutospacing="1"/>
    </w:pPr>
    <w:rPr>
      <w:lang w:val="en-US" w:eastAsia="en-US"/>
    </w:rPr>
  </w:style>
  <w:style w:type="character" w:styleId="PlaceholderText">
    <w:name w:val="Placeholder Text"/>
    <w:basedOn w:val="DefaultParagraphFont"/>
    <w:uiPriority w:val="99"/>
    <w:semiHidden/>
    <w:rsid w:val="002B7D6E"/>
    <w:rPr>
      <w:color w:val="808080"/>
    </w:rPr>
  </w:style>
  <w:style w:type="table" w:styleId="PlainTable2">
    <w:name w:val="Plain Table 2"/>
    <w:basedOn w:val="TableNormal"/>
    <w:uiPriority w:val="42"/>
    <w:rsid w:val="002B7D6E"/>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styleId="PlainTable5">
    <w:name w:val="Plain Table 5"/>
    <w:basedOn w:val="TableNormal"/>
    <w:uiPriority w:val="45"/>
    <w:rsid w:val="002B7D6E"/>
    <w:pPr>
      <w:spacing w:after="0" w:line="240" w:lineRule="auto"/>
    </w:p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character" w:styleId="CommentReference">
    <w:name w:val="annotation reference"/>
    <w:basedOn w:val="DefaultParagraphFont"/>
    <w:uiPriority w:val="99"/>
    <w:semiHidden/>
    <w:unhideWhenUsed/>
    <w:rsid w:val="002B7D6E"/>
    <w:rPr>
      <w:sz w:val="16"/>
      <w:szCs w:val="16"/>
    </w:rPr>
  </w:style>
  <w:style w:type="paragraph" w:styleId="CommentText">
    <w:name w:val="annotation text"/>
    <w:basedOn w:val="Normal"/>
    <w:link w:val="CommentTextChar"/>
    <w:uiPriority w:val="99"/>
    <w:unhideWhenUsed/>
    <w:rsid w:val="002B7D6E"/>
    <w:rPr>
      <w:sz w:val="20"/>
      <w:szCs w:val="20"/>
    </w:rPr>
  </w:style>
  <w:style w:type="character" w:customStyle="1" w:styleId="CommentTextChar">
    <w:name w:val="Comment Text Char"/>
    <w:basedOn w:val="DefaultParagraphFont"/>
    <w:link w:val="CommentText"/>
    <w:uiPriority w:val="99"/>
    <w:rsid w:val="002B7D6E"/>
    <w:rPr>
      <w:rFonts w:ascii="Times New Roman" w:eastAsia="Times New Roman" w:hAnsi="Times New Roman" w:cs="Times New Roman"/>
      <w:sz w:val="20"/>
      <w:szCs w:val="20"/>
      <w:lang w:val="en-GB" w:eastAsia="sv-SE"/>
    </w:rPr>
  </w:style>
  <w:style w:type="paragraph" w:styleId="CommentSubject">
    <w:name w:val="annotation subject"/>
    <w:basedOn w:val="CommentText"/>
    <w:next w:val="CommentText"/>
    <w:link w:val="CommentSubjectChar"/>
    <w:uiPriority w:val="99"/>
    <w:semiHidden/>
    <w:unhideWhenUsed/>
    <w:rsid w:val="002B7D6E"/>
    <w:rPr>
      <w:b/>
      <w:bCs/>
    </w:rPr>
  </w:style>
  <w:style w:type="character" w:customStyle="1" w:styleId="CommentSubjectChar">
    <w:name w:val="Comment Subject Char"/>
    <w:basedOn w:val="CommentTextChar"/>
    <w:link w:val="CommentSubject"/>
    <w:uiPriority w:val="99"/>
    <w:semiHidden/>
    <w:rsid w:val="002B7D6E"/>
    <w:rPr>
      <w:rFonts w:ascii="Times New Roman" w:eastAsia="Times New Roman" w:hAnsi="Times New Roman" w:cs="Times New Roman"/>
      <w:b/>
      <w:bCs/>
      <w:sz w:val="20"/>
      <w:szCs w:val="20"/>
      <w:lang w:val="en-GB" w:eastAsia="sv-SE"/>
    </w:rPr>
  </w:style>
  <w:style w:type="character" w:customStyle="1" w:styleId="y0nh2b">
    <w:name w:val="y0nh2b"/>
    <w:basedOn w:val="DefaultParagraphFont"/>
    <w:rsid w:val="002B7D6E"/>
  </w:style>
  <w:style w:type="character" w:styleId="Emphasis">
    <w:name w:val="Emphasis"/>
    <w:basedOn w:val="DefaultParagraphFont"/>
    <w:uiPriority w:val="20"/>
    <w:qFormat/>
    <w:rsid w:val="005C454F"/>
    <w:rPr>
      <w:i/>
      <w:iCs/>
    </w:rPr>
  </w:style>
  <w:style w:type="character" w:styleId="Strong">
    <w:name w:val="Strong"/>
    <w:basedOn w:val="DefaultParagraphFont"/>
    <w:uiPriority w:val="22"/>
    <w:qFormat/>
    <w:rsid w:val="005C454F"/>
    <w:rPr>
      <w:b/>
      <w:bCs/>
    </w:rPr>
  </w:style>
  <w:style w:type="paragraph" w:styleId="Revision">
    <w:name w:val="Revision"/>
    <w:hidden/>
    <w:uiPriority w:val="99"/>
    <w:semiHidden/>
    <w:rsid w:val="00854C42"/>
    <w:pPr>
      <w:spacing w:after="0" w:line="240" w:lineRule="auto"/>
    </w:pPr>
    <w:rPr>
      <w:rFonts w:ascii="Times New Roman" w:eastAsia="Times New Roman" w:hAnsi="Times New Roman" w:cs="Times New Roman"/>
      <w:sz w:val="24"/>
      <w:szCs w:val="24"/>
      <w:lang w:val="en-GB" w:eastAsia="sv-S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893274307">
      <w:bodyDiv w:val="1"/>
      <w:marLeft w:val="0"/>
      <w:marRight w:val="0"/>
      <w:marTop w:val="0"/>
      <w:marBottom w:val="0"/>
      <w:divBdr>
        <w:top w:val="none" w:sz="0" w:space="0" w:color="auto"/>
        <w:left w:val="none" w:sz="0" w:space="0" w:color="auto"/>
        <w:bottom w:val="none" w:sz="0" w:space="0" w:color="auto"/>
        <w:right w:val="none" w:sz="0" w:space="0" w:color="auto"/>
      </w:divBdr>
      <w:divsChild>
        <w:div w:id="1696149932">
          <w:marLeft w:val="0"/>
          <w:marRight w:val="0"/>
          <w:marTop w:val="0"/>
          <w:marBottom w:val="0"/>
          <w:divBdr>
            <w:top w:val="none" w:sz="0" w:space="0" w:color="auto"/>
            <w:left w:val="none" w:sz="0" w:space="0" w:color="auto"/>
            <w:bottom w:val="none" w:sz="0" w:space="0" w:color="auto"/>
            <w:right w:val="none" w:sz="0" w:space="0" w:color="auto"/>
          </w:divBdr>
        </w:div>
      </w:divsChild>
    </w:div>
    <w:div w:id="18493683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eg"/><Relationship Id="rId18" Type="http://schemas.openxmlformats.org/officeDocument/2006/relationships/image" Target="media/image8.jpeg"/><Relationship Id="rId26" Type="http://schemas.openxmlformats.org/officeDocument/2006/relationships/image" Target="media/image16.jpeg"/><Relationship Id="rId39" Type="http://schemas.openxmlformats.org/officeDocument/2006/relationships/footer" Target="footer1.xml"/><Relationship Id="rId3" Type="http://schemas.openxmlformats.org/officeDocument/2006/relationships/customXml" Target="../customXml/item3.xml"/><Relationship Id="rId21" Type="http://schemas.openxmlformats.org/officeDocument/2006/relationships/image" Target="media/image11.jpeg"/><Relationship Id="rId34" Type="http://schemas.openxmlformats.org/officeDocument/2006/relationships/image" Target="media/image24.jpeg"/><Relationship Id="rId42" Type="http://schemas.openxmlformats.org/officeDocument/2006/relationships/header" Target="header3.xml"/><Relationship Id="rId47" Type="http://schemas.openxmlformats.org/officeDocument/2006/relationships/fontTable" Target="fontTable.xml"/><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image" Target="media/image7.jpeg"/><Relationship Id="rId25" Type="http://schemas.openxmlformats.org/officeDocument/2006/relationships/image" Target="media/image15.jpeg"/><Relationship Id="rId33" Type="http://schemas.openxmlformats.org/officeDocument/2006/relationships/image" Target="media/image23.jpeg"/><Relationship Id="rId38" Type="http://schemas.openxmlformats.org/officeDocument/2006/relationships/header" Target="header1.xml"/><Relationship Id="rId46" Type="http://schemas.openxmlformats.org/officeDocument/2006/relationships/footer" Target="footer4.xml"/><Relationship Id="rId2" Type="http://schemas.openxmlformats.org/officeDocument/2006/relationships/customXml" Target="../customXml/item2.xml"/><Relationship Id="rId16" Type="http://schemas.openxmlformats.org/officeDocument/2006/relationships/image" Target="media/image6.jpeg"/><Relationship Id="rId20" Type="http://schemas.openxmlformats.org/officeDocument/2006/relationships/image" Target="media/image10.jpeg"/><Relationship Id="rId29" Type="http://schemas.openxmlformats.org/officeDocument/2006/relationships/image" Target="media/image19.jpeg"/><Relationship Id="rId41"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image" Target="media/image14.jpeg"/><Relationship Id="rId32" Type="http://schemas.openxmlformats.org/officeDocument/2006/relationships/image" Target="media/image22.jpeg"/><Relationship Id="rId37" Type="http://schemas.openxmlformats.org/officeDocument/2006/relationships/image" Target="media/image27.jpeg"/><Relationship Id="rId40" Type="http://schemas.openxmlformats.org/officeDocument/2006/relationships/image" Target="media/image28.jpeg"/><Relationship Id="rId45" Type="http://schemas.openxmlformats.org/officeDocument/2006/relationships/header" Target="header4.xml"/><Relationship Id="rId5" Type="http://schemas.openxmlformats.org/officeDocument/2006/relationships/numbering" Target="numbering.xml"/><Relationship Id="rId15" Type="http://schemas.openxmlformats.org/officeDocument/2006/relationships/image" Target="media/image5.jpeg"/><Relationship Id="rId23" Type="http://schemas.openxmlformats.org/officeDocument/2006/relationships/image" Target="media/image13.jpeg"/><Relationship Id="rId28" Type="http://schemas.openxmlformats.org/officeDocument/2006/relationships/image" Target="media/image18.jpeg"/><Relationship Id="rId36" Type="http://schemas.openxmlformats.org/officeDocument/2006/relationships/image" Target="media/image26.jpeg"/><Relationship Id="rId10" Type="http://schemas.openxmlformats.org/officeDocument/2006/relationships/endnotes" Target="endnotes.xml"/><Relationship Id="rId19" Type="http://schemas.openxmlformats.org/officeDocument/2006/relationships/image" Target="media/image9.jpeg"/><Relationship Id="rId31" Type="http://schemas.openxmlformats.org/officeDocument/2006/relationships/image" Target="media/image21.jpeg"/><Relationship Id="rId44" Type="http://schemas.openxmlformats.org/officeDocument/2006/relationships/footer" Target="footer3.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jpeg"/><Relationship Id="rId22" Type="http://schemas.openxmlformats.org/officeDocument/2006/relationships/image" Target="media/image12.jpeg"/><Relationship Id="rId27" Type="http://schemas.openxmlformats.org/officeDocument/2006/relationships/image" Target="media/image17.jpeg"/><Relationship Id="rId30" Type="http://schemas.openxmlformats.org/officeDocument/2006/relationships/image" Target="media/image20.jpeg"/><Relationship Id="rId35" Type="http://schemas.openxmlformats.org/officeDocument/2006/relationships/image" Target="media/image25.jpeg"/><Relationship Id="rId43" Type="http://schemas.openxmlformats.org/officeDocument/2006/relationships/footer" Target="footer2.xml"/><Relationship Id="rId48" Type="http://schemas.openxmlformats.org/officeDocument/2006/relationships/theme" Target="theme/theme1.xml"/></Relationships>
</file>

<file path=word/theme/theme1.xml><?xml version="1.0" encoding="utf-8"?>
<a:theme xmlns:a="http://schemas.openxmlformats.org/drawingml/2006/main" name="Office-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CourseDocumentsCT" ma:contentTypeID="0x0101004052DF9ABE204045A104DC221265583100421A3427776ED44585155F685D93085E" ma:contentTypeVersion="0" ma:contentTypeDescription="My Content Type" ma:contentTypeScope="" ma:versionID="272860bc034db41e71294151cfc15440">
  <xsd:schema xmlns:xsd="http://www.w3.org/2001/XMLSchema" xmlns:xs="http://www.w3.org/2001/XMLSchema" xmlns:p="http://schemas.microsoft.com/office/2006/metadata/properties" xmlns:ns1="http://schemas.microsoft.com/sharepoint/v3" targetNamespace="http://schemas.microsoft.com/office/2006/metadata/properties" ma:root="true" ma:fieldsID="35188db40f6cab19c376fe977d0a8789" ns1:_="">
    <xsd:import namespace="http://schemas.microsoft.com/sharepoint/v3"/>
    <xsd:element name="properties">
      <xsd:complexType>
        <xsd:sequence>
          <xsd:element name="documentManagement">
            <xsd:complexType>
              <xsd:all>
                <xsd:element ref="ns1:ShowOnStartPag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ShowOnStartPage" ma:index="8" nillable="true" ma:displayName="Show on startpage" ma:default="Yes" ma:format="RadioButtons" ma:internalName="ShowOnStartPage" ma:readOnly="true">
      <xsd:simpleType>
        <xsd:restriction base="dms:Choice">
          <xsd:enumeration value="Yes"/>
          <xsd:enumeration value="No"/>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BB9824B-3C6D-4993-BE3E-097A21CF576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531AA0A5-036F-48E6-8C99-07179968F956}">
  <ds:schemaRefs>
    <ds:schemaRef ds:uri="http://schemas.microsoft.com/sharepoint/v3/contenttype/forms"/>
  </ds:schemaRefs>
</ds:datastoreItem>
</file>

<file path=customXml/itemProps3.xml><?xml version="1.0" encoding="utf-8"?>
<ds:datastoreItem xmlns:ds="http://schemas.openxmlformats.org/officeDocument/2006/customXml" ds:itemID="{41CE7AA6-CBAE-45BB-B9C0-4239F53E2AD7}">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096E1E9B-C11B-4940-8D94-6949A5453FC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70</TotalTime>
  <Pages>1</Pages>
  <Words>40469</Words>
  <Characters>230674</Characters>
  <Application>Microsoft Office Word</Application>
  <DocSecurity>0</DocSecurity>
  <Lines>1922</Lines>
  <Paragraphs>541</Paragraphs>
  <ScaleCrop>false</ScaleCrop>
  <HeadingPairs>
    <vt:vector size="4" baseType="variant">
      <vt:variant>
        <vt:lpstr>Title</vt:lpstr>
      </vt:variant>
      <vt:variant>
        <vt:i4>1</vt:i4>
      </vt:variant>
      <vt:variant>
        <vt:lpstr>Rubrik</vt:lpstr>
      </vt:variant>
      <vt:variant>
        <vt:i4>1</vt:i4>
      </vt:variant>
    </vt:vector>
  </HeadingPairs>
  <TitlesOfParts>
    <vt:vector size="2" baseType="lpstr">
      <vt:lpstr/>
      <vt:lpstr/>
    </vt:vector>
  </TitlesOfParts>
  <Company>Ramböll</Company>
  <LinksUpToDate>false</LinksUpToDate>
  <CharactersWithSpaces>270602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Kaisa Svennberg</dc:creator>
  <cp:lastModifiedBy>Efthymia Eirini Tsianaka</cp:lastModifiedBy>
  <cp:revision>18</cp:revision>
  <cp:lastPrinted>2018-12-16T18:29:00Z</cp:lastPrinted>
  <dcterms:created xsi:type="dcterms:W3CDTF">2018-09-25T17:58:00Z</dcterms:created>
  <dcterms:modified xsi:type="dcterms:W3CDTF">2018-12-16T18:29:00Z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0x0101004052DF9ABE204045A104DC221265583100421A3427776ED44585155F685D93085E</vt:lpwstr>
  </property>
  <property fmtid="{D5CDD505-2E9C-101B-9397-08002B2CF9AE}" pid="3" name="Mendeley Recent Style Id 0_1">
    <vt:lpwstr>http://www.zotero.org/styles/apa</vt:lpwstr>
  </property>
  <property fmtid="{D5CDD505-2E9C-101B-9397-08002B2CF9AE}" pid="4" name="Mendeley Recent Style Name 0_1">
    <vt:lpwstr>American Psychological Association 6th edition</vt:lpwstr>
  </property>
  <property fmtid="{D5CDD505-2E9C-101B-9397-08002B2CF9AE}" pid="5" name="Mendeley Recent Style Id 1_1">
    <vt:lpwstr>http://www.zotero.org/styles/american-sociological-association</vt:lpwstr>
  </property>
  <property fmtid="{D5CDD505-2E9C-101B-9397-08002B2CF9AE}" pid="6" name="Mendeley Recent Style Name 1_1">
    <vt:lpwstr>American Sociological Association</vt:lpwstr>
  </property>
  <property fmtid="{D5CDD505-2E9C-101B-9397-08002B2CF9AE}" pid="7" name="Mendeley Recent Style Id 2_1">
    <vt:lpwstr>http://www.zotero.org/styles/building-and-environment</vt:lpwstr>
  </property>
  <property fmtid="{D5CDD505-2E9C-101B-9397-08002B2CF9AE}" pid="8" name="Mendeley Recent Style Name 2_1">
    <vt:lpwstr>Building and Environment</vt:lpwstr>
  </property>
  <property fmtid="{D5CDD505-2E9C-101B-9397-08002B2CF9AE}" pid="9" name="Mendeley Recent Style Id 3_1">
    <vt:lpwstr>http://www.zotero.org/styles/chicago-author-date</vt:lpwstr>
  </property>
  <property fmtid="{D5CDD505-2E9C-101B-9397-08002B2CF9AE}" pid="10" name="Mendeley Recent Style Name 3_1">
    <vt:lpwstr>Chicago Manual of Style 16th edition (author-date)</vt:lpwstr>
  </property>
  <property fmtid="{D5CDD505-2E9C-101B-9397-08002B2CF9AE}" pid="11" name="Mendeley Recent Style Id 4_1">
    <vt:lpwstr>http://www.zotero.org/styles/energy-and-buildings</vt:lpwstr>
  </property>
  <property fmtid="{D5CDD505-2E9C-101B-9397-08002B2CF9AE}" pid="12" name="Mendeley Recent Style Name 4_1">
    <vt:lpwstr>Energy &amp; Buildings</vt:lpwstr>
  </property>
  <property fmtid="{D5CDD505-2E9C-101B-9397-08002B2CF9AE}" pid="13" name="Mendeley Recent Style Id 5_1">
    <vt:lpwstr>http://www.zotero.org/styles/harvard-cite-them-right</vt:lpwstr>
  </property>
  <property fmtid="{D5CDD505-2E9C-101B-9397-08002B2CF9AE}" pid="14" name="Mendeley Recent Style Name 5_1">
    <vt:lpwstr>Harvard - Cite Them Right 9th edition</vt:lpwstr>
  </property>
  <property fmtid="{D5CDD505-2E9C-101B-9397-08002B2CF9AE}" pid="15" name="Mendeley Recent Style Id 6_1">
    <vt:lpwstr>http://www.zotero.org/styles/harvard1</vt:lpwstr>
  </property>
  <property fmtid="{D5CDD505-2E9C-101B-9397-08002B2CF9AE}" pid="16" name="Mendeley Recent Style Name 6_1">
    <vt:lpwstr>Harvard Reference format 1 (author-date)</vt:lpwstr>
  </property>
  <property fmtid="{D5CDD505-2E9C-101B-9397-08002B2CF9AE}" pid="17" name="Mendeley Recent Style Id 7_1">
    <vt:lpwstr>http://www.zotero.org/styles/ieee</vt:lpwstr>
  </property>
  <property fmtid="{D5CDD505-2E9C-101B-9397-08002B2CF9AE}" pid="18" name="Mendeley Recent Style Name 7_1">
    <vt:lpwstr>IEEE</vt:lpwstr>
  </property>
  <property fmtid="{D5CDD505-2E9C-101B-9397-08002B2CF9AE}" pid="19" name="Mendeley Recent Style Id 8_1">
    <vt:lpwstr>http://www.zotero.org/styles/modern-language-association</vt:lpwstr>
  </property>
  <property fmtid="{D5CDD505-2E9C-101B-9397-08002B2CF9AE}" pid="20" name="Mendeley Recent Style Name 8_1">
    <vt:lpwstr>Modern Language Association 7th edition</vt:lpwstr>
  </property>
  <property fmtid="{D5CDD505-2E9C-101B-9397-08002B2CF9AE}" pid="21" name="Mendeley Recent Style Id 9_1">
    <vt:lpwstr>http://www.zotero.org/styles/renewable-and-sustainable-energy-reviews</vt:lpwstr>
  </property>
  <property fmtid="{D5CDD505-2E9C-101B-9397-08002B2CF9AE}" pid="22" name="Mendeley Recent Style Name 9_1">
    <vt:lpwstr>Renewable and Sustainable Energy Reviews</vt:lpwstr>
  </property>
  <property fmtid="{D5CDD505-2E9C-101B-9397-08002B2CF9AE}" pid="23" name="Mendeley Document_1">
    <vt:lpwstr>True</vt:lpwstr>
  </property>
  <property fmtid="{D5CDD505-2E9C-101B-9397-08002B2CF9AE}" pid="24" name="Mendeley Unique User Id_1">
    <vt:lpwstr>Self UUID Temp</vt:lpwstr>
  </property>
  <property fmtid="{D5CDD505-2E9C-101B-9397-08002B2CF9AE}" pid="25" name="Mendeley Citation Style_1">
    <vt:lpwstr>http://www.zotero.org/styles/harvard1</vt:lpwstr>
  </property>
</Properties>
</file>