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2C39883" w14:textId="24499B36" w:rsidR="00B60616" w:rsidRDefault="00B60616">
      <w:pPr>
        <w:jc w:val="center"/>
        <w:rPr>
          <w:sz w:val="36"/>
          <w:szCs w:val="36"/>
        </w:rPr>
      </w:pPr>
      <w:r w:rsidRPr="00B60616">
        <w:rPr>
          <w:noProof/>
          <w:sz w:val="36"/>
          <w:szCs w:val="36"/>
        </w:rPr>
        <w:drawing>
          <wp:anchor distT="0" distB="0" distL="114300" distR="114300" simplePos="0" relativeHeight="251662336" behindDoc="1" locked="0" layoutInCell="1" allowOverlap="1" wp14:anchorId="508B3EDD" wp14:editId="4AE54709">
            <wp:simplePos x="0" y="0"/>
            <wp:positionH relativeFrom="margin">
              <wp:align>center</wp:align>
            </wp:positionH>
            <wp:positionV relativeFrom="paragraph">
              <wp:posOffset>0</wp:posOffset>
            </wp:positionV>
            <wp:extent cx="1685925" cy="1706880"/>
            <wp:effectExtent l="0" t="0" r="9525" b="7620"/>
            <wp:wrapTight wrapText="bothSides">
              <wp:wrapPolygon edited="0">
                <wp:start x="0" y="0"/>
                <wp:lineTo x="0" y="21455"/>
                <wp:lineTo x="21478" y="21455"/>
                <wp:lineTo x="21478" y="0"/>
                <wp:lineTo x="0" y="0"/>
              </wp:wrapPolygon>
            </wp:wrapTight>
            <wp:docPr id="9" name="Picture 9" descr="Logotyp | Medarbetarwebb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typ | Medarbetarwebben"/>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9828" t="2237" r="30402" b="37365"/>
                    <a:stretch/>
                  </pic:blipFill>
                  <pic:spPr bwMode="auto">
                    <a:xfrm>
                      <a:off x="0" y="0"/>
                      <a:ext cx="1685925" cy="17068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2E8F666" w14:textId="25400697" w:rsidR="00542DEC" w:rsidRDefault="00542DEC">
      <w:pPr>
        <w:jc w:val="center"/>
        <w:rPr>
          <w:sz w:val="36"/>
          <w:szCs w:val="36"/>
        </w:rPr>
      </w:pPr>
    </w:p>
    <w:p w14:paraId="0084E5A4" w14:textId="77777777" w:rsidR="00B60616" w:rsidRDefault="00B60616" w:rsidP="00B60616">
      <w:pPr>
        <w:rPr>
          <w:sz w:val="36"/>
          <w:szCs w:val="36"/>
        </w:rPr>
      </w:pPr>
    </w:p>
    <w:p w14:paraId="7F035267" w14:textId="77777777" w:rsidR="006761C9" w:rsidRPr="00C35B7C" w:rsidRDefault="000B6FC7" w:rsidP="00082A69">
      <w:pPr>
        <w:jc w:val="center"/>
        <w:rPr>
          <w:sz w:val="36"/>
          <w:szCs w:val="36"/>
        </w:rPr>
      </w:pPr>
      <w:r w:rsidRPr="00C35B7C">
        <w:rPr>
          <w:sz w:val="36"/>
          <w:szCs w:val="36"/>
        </w:rPr>
        <w:t xml:space="preserve">BACHELOR’S THESIS IN ECONOMICS   </w:t>
      </w:r>
    </w:p>
    <w:p w14:paraId="01CC4D0D" w14:textId="6A332B1A" w:rsidR="000B6FC7" w:rsidRPr="006761C9" w:rsidRDefault="006761C9" w:rsidP="00082A69">
      <w:pPr>
        <w:jc w:val="center"/>
        <w:rPr>
          <w:sz w:val="36"/>
          <w:szCs w:val="36"/>
        </w:rPr>
      </w:pPr>
      <w:r w:rsidRPr="006761C9">
        <w:rPr>
          <w:sz w:val="36"/>
          <w:szCs w:val="36"/>
        </w:rPr>
        <w:t xml:space="preserve">Lund University </w:t>
      </w:r>
    </w:p>
    <w:p w14:paraId="278E4F23" w14:textId="2E5FAEC3" w:rsidR="00082A69" w:rsidRPr="00082A69" w:rsidRDefault="001E7790" w:rsidP="00082A69">
      <w:pPr>
        <w:jc w:val="center"/>
        <w:rPr>
          <w:sz w:val="36"/>
          <w:szCs w:val="36"/>
        </w:rPr>
      </w:pPr>
      <w:r>
        <w:rPr>
          <w:noProof/>
          <w:sz w:val="36"/>
          <w:szCs w:val="36"/>
        </w:rPr>
        <w:pict w14:anchorId="5642B678">
          <v:rect id="_x0000_i1025" alt="" style="width:451.3pt;height:.05pt;mso-width-percent:0;mso-height-percent:0;mso-width-percent:0;mso-height-percent:0" o:hralign="center" o:hrstd="t" o:hr="t" fillcolor="#a0a0a0" stroked="f"/>
        </w:pict>
      </w:r>
    </w:p>
    <w:p w14:paraId="604D15E4" w14:textId="197EBE85" w:rsidR="00082A69" w:rsidRPr="00082A69" w:rsidRDefault="000B6FC7" w:rsidP="00082A69">
      <w:pPr>
        <w:jc w:val="center"/>
        <w:rPr>
          <w:sz w:val="52"/>
          <w:szCs w:val="52"/>
        </w:rPr>
      </w:pPr>
      <w:r w:rsidRPr="00082A69">
        <w:rPr>
          <w:sz w:val="52"/>
          <w:szCs w:val="52"/>
        </w:rPr>
        <w:t>Clean and green, but what does it mean?</w:t>
      </w:r>
    </w:p>
    <w:p w14:paraId="482C1302" w14:textId="34852813" w:rsidR="00542DEC" w:rsidRPr="00082A69" w:rsidRDefault="000B6FC7">
      <w:pPr>
        <w:jc w:val="center"/>
        <w:rPr>
          <w:sz w:val="32"/>
          <w:szCs w:val="32"/>
        </w:rPr>
      </w:pPr>
      <w:r w:rsidRPr="00082A69">
        <w:rPr>
          <w:sz w:val="32"/>
          <w:szCs w:val="32"/>
        </w:rPr>
        <w:t>An empirical study on the effects of ESG-commitment</w:t>
      </w:r>
      <w:r w:rsidR="00D679A3">
        <w:rPr>
          <w:sz w:val="32"/>
          <w:szCs w:val="32"/>
        </w:rPr>
        <w:t>s</w:t>
      </w:r>
      <w:r w:rsidRPr="00082A69">
        <w:rPr>
          <w:sz w:val="32"/>
          <w:szCs w:val="32"/>
        </w:rPr>
        <w:t xml:space="preserve"> on bid premiums in mergers and acquisitions</w:t>
      </w:r>
    </w:p>
    <w:p w14:paraId="0CFE1758" w14:textId="77777777" w:rsidR="002A3AEF" w:rsidRDefault="002A3AEF" w:rsidP="00B60616">
      <w:pPr>
        <w:jc w:val="center"/>
        <w:rPr>
          <w:i/>
          <w:sz w:val="26"/>
          <w:szCs w:val="26"/>
        </w:rPr>
      </w:pPr>
    </w:p>
    <w:p w14:paraId="7B3E3376" w14:textId="260AF24C" w:rsidR="00542DEC" w:rsidRPr="00B60616" w:rsidRDefault="000B6FC7" w:rsidP="00B60616">
      <w:pPr>
        <w:jc w:val="center"/>
        <w:rPr>
          <w:sz w:val="40"/>
          <w:szCs w:val="40"/>
        </w:rPr>
      </w:pPr>
      <w:r>
        <w:rPr>
          <w:i/>
          <w:sz w:val="26"/>
          <w:szCs w:val="26"/>
        </w:rPr>
        <w:t>January 202</w:t>
      </w:r>
      <w:r w:rsidR="006E1FCA">
        <w:rPr>
          <w:i/>
          <w:sz w:val="26"/>
          <w:szCs w:val="26"/>
        </w:rPr>
        <w:t>1</w:t>
      </w:r>
      <w:r>
        <w:rPr>
          <w:sz w:val="40"/>
          <w:szCs w:val="40"/>
        </w:rPr>
        <w:t xml:space="preserve"> </w:t>
      </w:r>
      <w:r>
        <w:t xml:space="preserve"> </w:t>
      </w:r>
    </w:p>
    <w:p w14:paraId="3675DA00" w14:textId="77777777" w:rsidR="00B60616" w:rsidRDefault="00B60616" w:rsidP="00B60616"/>
    <w:tbl>
      <w:tblPr>
        <w:tblStyle w:val="TableGrid"/>
        <w:tblpPr w:leftFromText="180" w:rightFromText="180" w:vertAnchor="page" w:horzAnchor="margin" w:tblpXSpec="center" w:tblpY="14206"/>
        <w:tblW w:w="102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21"/>
        <w:gridCol w:w="3680"/>
      </w:tblGrid>
      <w:tr w:rsidR="00B60616" w14:paraId="2402EFB8" w14:textId="77777777" w:rsidTr="00B60616">
        <w:trPr>
          <w:trHeight w:val="284"/>
        </w:trPr>
        <w:tc>
          <w:tcPr>
            <w:tcW w:w="6521" w:type="dxa"/>
            <w:vAlign w:val="center"/>
          </w:tcPr>
          <w:p w14:paraId="26279236" w14:textId="712B83FB" w:rsidR="00B60616" w:rsidRPr="00B60616" w:rsidRDefault="00082A69" w:rsidP="00B60616">
            <w:pPr>
              <w:jc w:val="left"/>
            </w:pPr>
            <w:r>
              <w:t>Written by</w:t>
            </w:r>
            <w:r w:rsidR="00B60616" w:rsidRPr="00B60616">
              <w:t xml:space="preserve"> Erik </w:t>
            </w:r>
            <w:proofErr w:type="spellStart"/>
            <w:r w:rsidR="00B60616" w:rsidRPr="00B60616">
              <w:t>Konstenius</w:t>
            </w:r>
            <w:proofErr w:type="spellEnd"/>
            <w:r w:rsidR="00B60616" w:rsidRPr="00B60616">
              <w:t xml:space="preserve"> &amp; Henning </w:t>
            </w:r>
            <w:proofErr w:type="spellStart"/>
            <w:r w:rsidR="00B60616" w:rsidRPr="00B60616">
              <w:t>Welin</w:t>
            </w:r>
            <w:proofErr w:type="spellEnd"/>
          </w:p>
        </w:tc>
        <w:tc>
          <w:tcPr>
            <w:tcW w:w="3680" w:type="dxa"/>
            <w:vAlign w:val="center"/>
          </w:tcPr>
          <w:p w14:paraId="5720E520" w14:textId="77777777" w:rsidR="00B60616" w:rsidRPr="00B60616" w:rsidRDefault="00B60616" w:rsidP="00B60616">
            <w:pPr>
              <w:jc w:val="right"/>
            </w:pPr>
            <w:r w:rsidRPr="00B60616">
              <w:t>LUND UNIVERSITY</w:t>
            </w:r>
          </w:p>
        </w:tc>
      </w:tr>
      <w:tr w:rsidR="00B60616" w14:paraId="7152F841" w14:textId="77777777" w:rsidTr="00B60616">
        <w:tc>
          <w:tcPr>
            <w:tcW w:w="6521" w:type="dxa"/>
            <w:vAlign w:val="center"/>
          </w:tcPr>
          <w:p w14:paraId="1FB31952" w14:textId="77777777" w:rsidR="00B60616" w:rsidRPr="00B60616" w:rsidRDefault="00B60616" w:rsidP="00B60616">
            <w:pPr>
              <w:jc w:val="left"/>
            </w:pPr>
            <w:r w:rsidRPr="00B60616">
              <w:t xml:space="preserve">Supervisor: Anders </w:t>
            </w:r>
            <w:proofErr w:type="spellStart"/>
            <w:r w:rsidRPr="00B60616">
              <w:t>Vilhelmsson</w:t>
            </w:r>
            <w:proofErr w:type="spellEnd"/>
          </w:p>
        </w:tc>
        <w:tc>
          <w:tcPr>
            <w:tcW w:w="3680" w:type="dxa"/>
            <w:vAlign w:val="center"/>
          </w:tcPr>
          <w:p w14:paraId="34DF3076" w14:textId="77777777" w:rsidR="00B60616" w:rsidRPr="00B60616" w:rsidRDefault="00B60616" w:rsidP="00B60616">
            <w:pPr>
              <w:jc w:val="right"/>
            </w:pPr>
            <w:r w:rsidRPr="00B60616">
              <w:t>DEPARTMENT OF ECONOMICS</w:t>
            </w:r>
          </w:p>
        </w:tc>
      </w:tr>
    </w:tbl>
    <w:p w14:paraId="61B5FEB6" w14:textId="0CFE5157" w:rsidR="00542DEC" w:rsidRPr="00B60616" w:rsidRDefault="000B6FC7" w:rsidP="00B60616">
      <w:r>
        <w:br w:type="page"/>
      </w:r>
    </w:p>
    <w:p w14:paraId="1DF977A4" w14:textId="77777777" w:rsidR="00542DEC" w:rsidRDefault="000B6FC7">
      <w:pPr>
        <w:jc w:val="center"/>
      </w:pPr>
      <w:r>
        <w:rPr>
          <w:b/>
        </w:rPr>
        <w:lastRenderedPageBreak/>
        <w:t>Abstract</w:t>
      </w:r>
    </w:p>
    <w:p w14:paraId="066F9B29" w14:textId="77777777" w:rsidR="00542DEC" w:rsidRDefault="000B6FC7">
      <w:r>
        <w:t>The aim of this paper is to study what role sustainability commitments of the target company have on merger strategies by studying bid premiums determinants between the years 2000 and 2020. The paper uses multivariable regression models that include, among other variables, the degree the target company commits to sustainability and the difference in how much the target and the acquirer commit to sustainability. The paper uses a group of ESG-ratings to evaluate how much a company commits to sustainability. The results show that there exists a statistically significant negative relationship between a target company’s ESG-rating and the bid premium. A higher ESG-rating of the target company appears to result in a lower bid premium. The results also indicate that the difference in how much the target and the acquirer commit to ESG has no significant effect on the bid premium.</w:t>
      </w:r>
    </w:p>
    <w:p w14:paraId="02A01970" w14:textId="5BA1843A" w:rsidR="00542DEC" w:rsidRDefault="000B6FC7">
      <w:r>
        <w:rPr>
          <w:b/>
        </w:rPr>
        <w:t>Keywords:</w:t>
      </w:r>
      <w:r>
        <w:t xml:space="preserve"> </w:t>
      </w:r>
      <w:r w:rsidR="00352F45">
        <w:t>Socially responsible</w:t>
      </w:r>
      <w:r>
        <w:t xml:space="preserve"> investing, ESG-ratings, M&amp;A, merger strategy, multivariate regression</w:t>
      </w:r>
    </w:p>
    <w:p w14:paraId="52FC913D" w14:textId="77777777" w:rsidR="00542DEC" w:rsidRDefault="00542DEC">
      <w:pPr>
        <w:rPr>
          <w:sz w:val="30"/>
          <w:szCs w:val="30"/>
        </w:rPr>
      </w:pPr>
    </w:p>
    <w:p w14:paraId="3E5CA9CE" w14:textId="5E5A9B3B" w:rsidR="00542DEC" w:rsidRDefault="000B6FC7">
      <w:pPr>
        <w:jc w:val="center"/>
        <w:rPr>
          <w:sz w:val="30"/>
          <w:szCs w:val="30"/>
        </w:rPr>
      </w:pPr>
      <w:r>
        <w:rPr>
          <w:sz w:val="30"/>
          <w:szCs w:val="30"/>
        </w:rPr>
        <w:br/>
      </w:r>
      <w:r>
        <w:rPr>
          <w:sz w:val="30"/>
          <w:szCs w:val="30"/>
        </w:rPr>
        <w:br/>
      </w:r>
      <w:r>
        <w:rPr>
          <w:sz w:val="30"/>
          <w:szCs w:val="30"/>
        </w:rPr>
        <w:br/>
      </w:r>
      <w:r>
        <w:rPr>
          <w:sz w:val="30"/>
          <w:szCs w:val="30"/>
        </w:rPr>
        <w:br/>
      </w:r>
      <w:r>
        <w:rPr>
          <w:sz w:val="30"/>
          <w:szCs w:val="30"/>
        </w:rPr>
        <w:br/>
      </w:r>
      <w:r>
        <w:rPr>
          <w:sz w:val="30"/>
          <w:szCs w:val="30"/>
        </w:rPr>
        <w:br/>
      </w:r>
      <w:r>
        <w:rPr>
          <w:sz w:val="30"/>
          <w:szCs w:val="30"/>
        </w:rPr>
        <w:br/>
      </w:r>
      <w:r>
        <w:rPr>
          <w:sz w:val="30"/>
          <w:szCs w:val="30"/>
        </w:rPr>
        <w:br/>
      </w:r>
      <w:r>
        <w:rPr>
          <w:sz w:val="30"/>
          <w:szCs w:val="30"/>
        </w:rPr>
        <w:br/>
      </w:r>
      <w:r>
        <w:rPr>
          <w:sz w:val="30"/>
          <w:szCs w:val="30"/>
        </w:rPr>
        <w:br/>
      </w:r>
      <w:r>
        <w:rPr>
          <w:sz w:val="30"/>
          <w:szCs w:val="30"/>
        </w:rPr>
        <w:br/>
      </w:r>
    </w:p>
    <w:sdt>
      <w:sdtPr>
        <w:rPr>
          <w:rFonts w:ascii="Times New Roman" w:eastAsia="Times New Roman" w:hAnsi="Times New Roman" w:cs="Times New Roman"/>
          <w:color w:val="auto"/>
          <w:sz w:val="24"/>
          <w:szCs w:val="24"/>
          <w:lang w:val="en" w:eastAsia="en-SE"/>
        </w:rPr>
        <w:id w:val="1194966007"/>
        <w:docPartObj>
          <w:docPartGallery w:val="Table of Contents"/>
          <w:docPartUnique/>
        </w:docPartObj>
      </w:sdtPr>
      <w:sdtEndPr>
        <w:rPr>
          <w:b/>
          <w:bCs/>
          <w:noProof/>
        </w:rPr>
      </w:sdtEndPr>
      <w:sdtContent>
        <w:p w14:paraId="61C59FF2" w14:textId="239198BC" w:rsidR="0026582E" w:rsidRPr="0026582E" w:rsidRDefault="0026582E" w:rsidP="0026582E">
          <w:pPr>
            <w:pStyle w:val="TOCHeading"/>
            <w:jc w:val="center"/>
            <w:rPr>
              <w:rFonts w:ascii="Times New Roman" w:hAnsi="Times New Roman" w:cs="Times New Roman"/>
              <w:color w:val="000000" w:themeColor="text1"/>
              <w:sz w:val="36"/>
              <w:szCs w:val="36"/>
            </w:rPr>
          </w:pPr>
          <w:r w:rsidRPr="0026582E">
            <w:rPr>
              <w:rFonts w:ascii="Times New Roman" w:hAnsi="Times New Roman" w:cs="Times New Roman"/>
              <w:color w:val="000000" w:themeColor="text1"/>
              <w:sz w:val="36"/>
              <w:szCs w:val="36"/>
            </w:rPr>
            <w:t>Table of Contents</w:t>
          </w:r>
        </w:p>
        <w:p w14:paraId="4A7E21CC" w14:textId="05A1EE71" w:rsidR="0026582E" w:rsidRPr="0026582E" w:rsidRDefault="0026582E">
          <w:pPr>
            <w:pStyle w:val="TOC1"/>
            <w:tabs>
              <w:tab w:val="right" w:pos="9042"/>
            </w:tabs>
            <w:rPr>
              <w:rFonts w:ascii="Times New Roman" w:eastAsiaTheme="minorEastAsia" w:hAnsi="Times New Roman"/>
              <w:b w:val="0"/>
              <w:bCs w:val="0"/>
              <w:noProof/>
              <w:sz w:val="24"/>
              <w:szCs w:val="24"/>
              <w:lang w:val="en-SE"/>
            </w:rPr>
          </w:pPr>
          <w:r>
            <w:fldChar w:fldCharType="begin"/>
          </w:r>
          <w:r>
            <w:instrText xml:space="preserve"> TOC \o "1-3" \u </w:instrText>
          </w:r>
          <w:r>
            <w:fldChar w:fldCharType="separate"/>
          </w:r>
          <w:r w:rsidRPr="0026582E">
            <w:rPr>
              <w:rFonts w:ascii="Times New Roman" w:hAnsi="Times New Roman"/>
              <w:noProof/>
              <w:sz w:val="24"/>
              <w:szCs w:val="24"/>
            </w:rPr>
            <w:t>1. Introduction</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_Toc61126673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4</w:t>
          </w:r>
          <w:r w:rsidRPr="0026582E">
            <w:rPr>
              <w:rFonts w:ascii="Times New Roman" w:hAnsi="Times New Roman"/>
              <w:noProof/>
              <w:sz w:val="24"/>
              <w:szCs w:val="24"/>
            </w:rPr>
            <w:fldChar w:fldCharType="end"/>
          </w:r>
        </w:p>
        <w:p w14:paraId="63E364D3" w14:textId="63AE5D07" w:rsidR="0026582E" w:rsidRPr="0026582E" w:rsidRDefault="0026582E">
          <w:pPr>
            <w:pStyle w:val="TOC1"/>
            <w:tabs>
              <w:tab w:val="right" w:pos="9042"/>
            </w:tabs>
            <w:rPr>
              <w:rFonts w:ascii="Times New Roman" w:eastAsiaTheme="minorEastAsia" w:hAnsi="Times New Roman"/>
              <w:b w:val="0"/>
              <w:bCs w:val="0"/>
              <w:noProof/>
              <w:sz w:val="24"/>
              <w:szCs w:val="24"/>
              <w:lang w:val="en-SE"/>
            </w:rPr>
          </w:pPr>
          <w:r w:rsidRPr="0026582E">
            <w:rPr>
              <w:rFonts w:ascii="Times New Roman" w:hAnsi="Times New Roman"/>
              <w:noProof/>
              <w:sz w:val="24"/>
              <w:szCs w:val="24"/>
            </w:rPr>
            <w:t>2. Institutional framework</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_Toc61126674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6</w:t>
          </w:r>
          <w:r w:rsidRPr="0026582E">
            <w:rPr>
              <w:rFonts w:ascii="Times New Roman" w:hAnsi="Times New Roman"/>
              <w:noProof/>
              <w:sz w:val="24"/>
              <w:szCs w:val="24"/>
            </w:rPr>
            <w:fldChar w:fldCharType="end"/>
          </w:r>
        </w:p>
        <w:p w14:paraId="259FEB10" w14:textId="61EA481D" w:rsidR="0026582E" w:rsidRPr="0026582E" w:rsidRDefault="0026582E">
          <w:pPr>
            <w:pStyle w:val="TOC2"/>
            <w:tabs>
              <w:tab w:val="right" w:pos="9042"/>
            </w:tabs>
            <w:rPr>
              <w:rFonts w:ascii="Times New Roman" w:eastAsiaTheme="minorEastAsia" w:hAnsi="Times New Roman"/>
              <w:i w:val="0"/>
              <w:iCs w:val="0"/>
              <w:noProof/>
              <w:sz w:val="24"/>
              <w:szCs w:val="24"/>
              <w:lang w:val="en-SE"/>
            </w:rPr>
          </w:pPr>
          <w:r w:rsidRPr="0026582E">
            <w:rPr>
              <w:rFonts w:ascii="Times New Roman" w:hAnsi="Times New Roman"/>
              <w:i w:val="0"/>
              <w:iCs w:val="0"/>
              <w:noProof/>
              <w:sz w:val="24"/>
              <w:szCs w:val="24"/>
            </w:rPr>
            <w:t>2.1 Mergers and acquisitions</w:t>
          </w:r>
          <w:r w:rsidRPr="0026582E">
            <w:rPr>
              <w:rFonts w:ascii="Times New Roman" w:hAnsi="Times New Roman"/>
              <w:i w:val="0"/>
              <w:iCs w:val="0"/>
              <w:noProof/>
              <w:sz w:val="24"/>
              <w:szCs w:val="24"/>
            </w:rPr>
            <w:tab/>
          </w:r>
          <w:r w:rsidRPr="0026582E">
            <w:rPr>
              <w:rFonts w:ascii="Times New Roman" w:hAnsi="Times New Roman"/>
              <w:i w:val="0"/>
              <w:iCs w:val="0"/>
              <w:noProof/>
              <w:sz w:val="24"/>
              <w:szCs w:val="24"/>
            </w:rPr>
            <w:fldChar w:fldCharType="begin"/>
          </w:r>
          <w:r w:rsidRPr="0026582E">
            <w:rPr>
              <w:rFonts w:ascii="Times New Roman" w:hAnsi="Times New Roman"/>
              <w:i w:val="0"/>
              <w:iCs w:val="0"/>
              <w:noProof/>
              <w:sz w:val="24"/>
              <w:szCs w:val="24"/>
            </w:rPr>
            <w:instrText xml:space="preserve"> PAGEREF _Toc61126675 \h </w:instrText>
          </w:r>
          <w:r w:rsidRPr="0026582E">
            <w:rPr>
              <w:rFonts w:ascii="Times New Roman" w:hAnsi="Times New Roman"/>
              <w:i w:val="0"/>
              <w:iCs w:val="0"/>
              <w:noProof/>
              <w:sz w:val="24"/>
              <w:szCs w:val="24"/>
            </w:rPr>
          </w:r>
          <w:r w:rsidRPr="0026582E">
            <w:rPr>
              <w:rFonts w:ascii="Times New Roman" w:hAnsi="Times New Roman"/>
              <w:i w:val="0"/>
              <w:iCs w:val="0"/>
              <w:noProof/>
              <w:sz w:val="24"/>
              <w:szCs w:val="24"/>
            </w:rPr>
            <w:fldChar w:fldCharType="separate"/>
          </w:r>
          <w:r w:rsidR="00C6096B">
            <w:rPr>
              <w:rFonts w:ascii="Times New Roman" w:hAnsi="Times New Roman"/>
              <w:i w:val="0"/>
              <w:iCs w:val="0"/>
              <w:noProof/>
              <w:sz w:val="24"/>
              <w:szCs w:val="24"/>
            </w:rPr>
            <w:t>6</w:t>
          </w:r>
          <w:r w:rsidRPr="0026582E">
            <w:rPr>
              <w:rFonts w:ascii="Times New Roman" w:hAnsi="Times New Roman"/>
              <w:i w:val="0"/>
              <w:iCs w:val="0"/>
              <w:noProof/>
              <w:sz w:val="24"/>
              <w:szCs w:val="24"/>
            </w:rPr>
            <w:fldChar w:fldCharType="end"/>
          </w:r>
        </w:p>
        <w:p w14:paraId="03099AAF" w14:textId="12FFAB94" w:rsidR="0026582E" w:rsidRPr="0026582E" w:rsidRDefault="0026582E">
          <w:pPr>
            <w:pStyle w:val="TOC2"/>
            <w:tabs>
              <w:tab w:val="right" w:pos="9042"/>
            </w:tabs>
            <w:rPr>
              <w:rFonts w:ascii="Times New Roman" w:eastAsiaTheme="minorEastAsia" w:hAnsi="Times New Roman"/>
              <w:i w:val="0"/>
              <w:iCs w:val="0"/>
              <w:noProof/>
              <w:sz w:val="24"/>
              <w:szCs w:val="24"/>
              <w:lang w:val="en-SE"/>
            </w:rPr>
          </w:pPr>
          <w:r w:rsidRPr="0026582E">
            <w:rPr>
              <w:rFonts w:ascii="Times New Roman" w:hAnsi="Times New Roman"/>
              <w:i w:val="0"/>
              <w:iCs w:val="0"/>
              <w:noProof/>
              <w:sz w:val="24"/>
              <w:szCs w:val="24"/>
            </w:rPr>
            <w:t>2.2 Bidding and valuation process</w:t>
          </w:r>
          <w:r w:rsidRPr="0026582E">
            <w:rPr>
              <w:rFonts w:ascii="Times New Roman" w:hAnsi="Times New Roman"/>
              <w:i w:val="0"/>
              <w:iCs w:val="0"/>
              <w:noProof/>
              <w:sz w:val="24"/>
              <w:szCs w:val="24"/>
            </w:rPr>
            <w:tab/>
          </w:r>
          <w:r w:rsidRPr="0026582E">
            <w:rPr>
              <w:rFonts w:ascii="Times New Roman" w:hAnsi="Times New Roman"/>
              <w:i w:val="0"/>
              <w:iCs w:val="0"/>
              <w:noProof/>
              <w:sz w:val="24"/>
              <w:szCs w:val="24"/>
            </w:rPr>
            <w:fldChar w:fldCharType="begin"/>
          </w:r>
          <w:r w:rsidRPr="0026582E">
            <w:rPr>
              <w:rFonts w:ascii="Times New Roman" w:hAnsi="Times New Roman"/>
              <w:i w:val="0"/>
              <w:iCs w:val="0"/>
              <w:noProof/>
              <w:sz w:val="24"/>
              <w:szCs w:val="24"/>
            </w:rPr>
            <w:instrText xml:space="preserve"> PAGEREF _Toc61126676 \h </w:instrText>
          </w:r>
          <w:r w:rsidRPr="0026582E">
            <w:rPr>
              <w:rFonts w:ascii="Times New Roman" w:hAnsi="Times New Roman"/>
              <w:i w:val="0"/>
              <w:iCs w:val="0"/>
              <w:noProof/>
              <w:sz w:val="24"/>
              <w:szCs w:val="24"/>
            </w:rPr>
          </w:r>
          <w:r w:rsidRPr="0026582E">
            <w:rPr>
              <w:rFonts w:ascii="Times New Roman" w:hAnsi="Times New Roman"/>
              <w:i w:val="0"/>
              <w:iCs w:val="0"/>
              <w:noProof/>
              <w:sz w:val="24"/>
              <w:szCs w:val="24"/>
            </w:rPr>
            <w:fldChar w:fldCharType="separate"/>
          </w:r>
          <w:r w:rsidR="00C6096B">
            <w:rPr>
              <w:rFonts w:ascii="Times New Roman" w:hAnsi="Times New Roman"/>
              <w:i w:val="0"/>
              <w:iCs w:val="0"/>
              <w:noProof/>
              <w:sz w:val="24"/>
              <w:szCs w:val="24"/>
            </w:rPr>
            <w:t>6</w:t>
          </w:r>
          <w:r w:rsidRPr="0026582E">
            <w:rPr>
              <w:rFonts w:ascii="Times New Roman" w:hAnsi="Times New Roman"/>
              <w:i w:val="0"/>
              <w:iCs w:val="0"/>
              <w:noProof/>
              <w:sz w:val="24"/>
              <w:szCs w:val="24"/>
            </w:rPr>
            <w:fldChar w:fldCharType="end"/>
          </w:r>
        </w:p>
        <w:p w14:paraId="227FE532" w14:textId="652F9BAD" w:rsidR="0026582E" w:rsidRPr="0026582E" w:rsidRDefault="0026582E">
          <w:pPr>
            <w:pStyle w:val="TOC3"/>
            <w:tabs>
              <w:tab w:val="right" w:pos="9042"/>
            </w:tabs>
            <w:rPr>
              <w:rFonts w:ascii="Times New Roman" w:eastAsiaTheme="minorEastAsia" w:hAnsi="Times New Roman"/>
              <w:noProof/>
              <w:sz w:val="24"/>
              <w:szCs w:val="24"/>
              <w:lang w:val="en-SE"/>
            </w:rPr>
          </w:pPr>
          <w:r w:rsidRPr="0026582E">
            <w:rPr>
              <w:rFonts w:ascii="Times New Roman" w:hAnsi="Times New Roman"/>
              <w:noProof/>
              <w:sz w:val="24"/>
              <w:szCs w:val="24"/>
            </w:rPr>
            <w:t>2.2.1 Comparable Companies Analysis</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_Toc61126677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8</w:t>
          </w:r>
          <w:r w:rsidRPr="0026582E">
            <w:rPr>
              <w:rFonts w:ascii="Times New Roman" w:hAnsi="Times New Roman"/>
              <w:noProof/>
              <w:sz w:val="24"/>
              <w:szCs w:val="24"/>
            </w:rPr>
            <w:fldChar w:fldCharType="end"/>
          </w:r>
        </w:p>
        <w:p w14:paraId="1F887CCB" w14:textId="79ACAD5C" w:rsidR="0026582E" w:rsidRPr="0026582E" w:rsidRDefault="0026582E">
          <w:pPr>
            <w:pStyle w:val="TOC3"/>
            <w:tabs>
              <w:tab w:val="right" w:pos="9042"/>
            </w:tabs>
            <w:rPr>
              <w:rFonts w:ascii="Times New Roman" w:eastAsiaTheme="minorEastAsia" w:hAnsi="Times New Roman"/>
              <w:noProof/>
              <w:sz w:val="24"/>
              <w:szCs w:val="24"/>
              <w:lang w:val="en-SE"/>
            </w:rPr>
          </w:pPr>
          <w:r w:rsidRPr="0026582E">
            <w:rPr>
              <w:rFonts w:ascii="Times New Roman" w:hAnsi="Times New Roman"/>
              <w:noProof/>
              <w:sz w:val="24"/>
              <w:szCs w:val="24"/>
            </w:rPr>
            <w:t>2.2.2 Precedent Transaction Analysis</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_Toc61126678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9</w:t>
          </w:r>
          <w:r w:rsidRPr="0026582E">
            <w:rPr>
              <w:rFonts w:ascii="Times New Roman" w:hAnsi="Times New Roman"/>
              <w:noProof/>
              <w:sz w:val="24"/>
              <w:szCs w:val="24"/>
            </w:rPr>
            <w:fldChar w:fldCharType="end"/>
          </w:r>
        </w:p>
        <w:p w14:paraId="5228491E" w14:textId="05532241" w:rsidR="0026582E" w:rsidRPr="0026582E" w:rsidRDefault="0026582E">
          <w:pPr>
            <w:pStyle w:val="TOC3"/>
            <w:tabs>
              <w:tab w:val="right" w:pos="9042"/>
            </w:tabs>
            <w:rPr>
              <w:rFonts w:ascii="Times New Roman" w:eastAsiaTheme="minorEastAsia" w:hAnsi="Times New Roman"/>
              <w:noProof/>
              <w:sz w:val="24"/>
              <w:szCs w:val="24"/>
              <w:lang w:val="en-SE"/>
            </w:rPr>
          </w:pPr>
          <w:r w:rsidRPr="0026582E">
            <w:rPr>
              <w:rFonts w:ascii="Times New Roman" w:hAnsi="Times New Roman"/>
              <w:noProof/>
              <w:sz w:val="24"/>
              <w:szCs w:val="24"/>
            </w:rPr>
            <w:t>2.2.3 Discounted Cash Flow Analysis</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_Toc61126679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9</w:t>
          </w:r>
          <w:r w:rsidRPr="0026582E">
            <w:rPr>
              <w:rFonts w:ascii="Times New Roman" w:hAnsi="Times New Roman"/>
              <w:noProof/>
              <w:sz w:val="24"/>
              <w:szCs w:val="24"/>
            </w:rPr>
            <w:fldChar w:fldCharType="end"/>
          </w:r>
        </w:p>
        <w:p w14:paraId="6E89E7C6" w14:textId="344E782A" w:rsidR="0026582E" w:rsidRPr="0026582E" w:rsidRDefault="0026582E">
          <w:pPr>
            <w:pStyle w:val="TOC2"/>
            <w:tabs>
              <w:tab w:val="right" w:pos="9042"/>
            </w:tabs>
            <w:rPr>
              <w:rFonts w:ascii="Times New Roman" w:eastAsiaTheme="minorEastAsia" w:hAnsi="Times New Roman"/>
              <w:i w:val="0"/>
              <w:iCs w:val="0"/>
              <w:noProof/>
              <w:sz w:val="24"/>
              <w:szCs w:val="24"/>
              <w:lang w:val="en-SE"/>
            </w:rPr>
          </w:pPr>
          <w:r w:rsidRPr="0026582E">
            <w:rPr>
              <w:rFonts w:ascii="Times New Roman" w:hAnsi="Times New Roman"/>
              <w:i w:val="0"/>
              <w:iCs w:val="0"/>
              <w:noProof/>
              <w:sz w:val="24"/>
              <w:szCs w:val="24"/>
            </w:rPr>
            <w:t>2.3 Takeover process</w:t>
          </w:r>
          <w:r w:rsidRPr="0026582E">
            <w:rPr>
              <w:rFonts w:ascii="Times New Roman" w:hAnsi="Times New Roman"/>
              <w:i w:val="0"/>
              <w:iCs w:val="0"/>
              <w:noProof/>
              <w:sz w:val="24"/>
              <w:szCs w:val="24"/>
            </w:rPr>
            <w:tab/>
          </w:r>
          <w:r w:rsidRPr="0026582E">
            <w:rPr>
              <w:rFonts w:ascii="Times New Roman" w:hAnsi="Times New Roman"/>
              <w:i w:val="0"/>
              <w:iCs w:val="0"/>
              <w:noProof/>
              <w:sz w:val="24"/>
              <w:szCs w:val="24"/>
            </w:rPr>
            <w:fldChar w:fldCharType="begin"/>
          </w:r>
          <w:r w:rsidRPr="0026582E">
            <w:rPr>
              <w:rFonts w:ascii="Times New Roman" w:hAnsi="Times New Roman"/>
              <w:i w:val="0"/>
              <w:iCs w:val="0"/>
              <w:noProof/>
              <w:sz w:val="24"/>
              <w:szCs w:val="24"/>
            </w:rPr>
            <w:instrText xml:space="preserve"> PAGEREF _Toc61126680 \h </w:instrText>
          </w:r>
          <w:r w:rsidRPr="0026582E">
            <w:rPr>
              <w:rFonts w:ascii="Times New Roman" w:hAnsi="Times New Roman"/>
              <w:i w:val="0"/>
              <w:iCs w:val="0"/>
              <w:noProof/>
              <w:sz w:val="24"/>
              <w:szCs w:val="24"/>
            </w:rPr>
          </w:r>
          <w:r w:rsidRPr="0026582E">
            <w:rPr>
              <w:rFonts w:ascii="Times New Roman" w:hAnsi="Times New Roman"/>
              <w:i w:val="0"/>
              <w:iCs w:val="0"/>
              <w:noProof/>
              <w:sz w:val="24"/>
              <w:szCs w:val="24"/>
            </w:rPr>
            <w:fldChar w:fldCharType="separate"/>
          </w:r>
          <w:r w:rsidR="00C6096B">
            <w:rPr>
              <w:rFonts w:ascii="Times New Roman" w:hAnsi="Times New Roman"/>
              <w:i w:val="0"/>
              <w:iCs w:val="0"/>
              <w:noProof/>
              <w:sz w:val="24"/>
              <w:szCs w:val="24"/>
            </w:rPr>
            <w:t>10</w:t>
          </w:r>
          <w:r w:rsidRPr="0026582E">
            <w:rPr>
              <w:rFonts w:ascii="Times New Roman" w:hAnsi="Times New Roman"/>
              <w:i w:val="0"/>
              <w:iCs w:val="0"/>
              <w:noProof/>
              <w:sz w:val="24"/>
              <w:szCs w:val="24"/>
            </w:rPr>
            <w:fldChar w:fldCharType="end"/>
          </w:r>
        </w:p>
        <w:p w14:paraId="3B8D9C01" w14:textId="50837C15" w:rsidR="0026582E" w:rsidRPr="0026582E" w:rsidRDefault="0026582E">
          <w:pPr>
            <w:pStyle w:val="TOC2"/>
            <w:tabs>
              <w:tab w:val="right" w:pos="9042"/>
            </w:tabs>
            <w:rPr>
              <w:rFonts w:ascii="Times New Roman" w:eastAsiaTheme="minorEastAsia" w:hAnsi="Times New Roman"/>
              <w:i w:val="0"/>
              <w:iCs w:val="0"/>
              <w:noProof/>
              <w:sz w:val="24"/>
              <w:szCs w:val="24"/>
              <w:lang w:val="en-SE"/>
            </w:rPr>
          </w:pPr>
          <w:r w:rsidRPr="0026582E">
            <w:rPr>
              <w:rFonts w:ascii="Times New Roman" w:hAnsi="Times New Roman"/>
              <w:i w:val="0"/>
              <w:iCs w:val="0"/>
              <w:noProof/>
              <w:sz w:val="24"/>
              <w:szCs w:val="24"/>
            </w:rPr>
            <w:t>2.4 Determinants behind M&amp;A</w:t>
          </w:r>
          <w:r w:rsidRPr="0026582E">
            <w:rPr>
              <w:rFonts w:ascii="Times New Roman" w:hAnsi="Times New Roman"/>
              <w:i w:val="0"/>
              <w:iCs w:val="0"/>
              <w:noProof/>
              <w:sz w:val="24"/>
              <w:szCs w:val="24"/>
            </w:rPr>
            <w:tab/>
          </w:r>
          <w:r w:rsidRPr="0026582E">
            <w:rPr>
              <w:rFonts w:ascii="Times New Roman" w:hAnsi="Times New Roman"/>
              <w:i w:val="0"/>
              <w:iCs w:val="0"/>
              <w:noProof/>
              <w:sz w:val="24"/>
              <w:szCs w:val="24"/>
            </w:rPr>
            <w:fldChar w:fldCharType="begin"/>
          </w:r>
          <w:r w:rsidRPr="0026582E">
            <w:rPr>
              <w:rFonts w:ascii="Times New Roman" w:hAnsi="Times New Roman"/>
              <w:i w:val="0"/>
              <w:iCs w:val="0"/>
              <w:noProof/>
              <w:sz w:val="24"/>
              <w:szCs w:val="24"/>
            </w:rPr>
            <w:instrText xml:space="preserve"> PAGEREF _Toc61126681 \h </w:instrText>
          </w:r>
          <w:r w:rsidRPr="0026582E">
            <w:rPr>
              <w:rFonts w:ascii="Times New Roman" w:hAnsi="Times New Roman"/>
              <w:i w:val="0"/>
              <w:iCs w:val="0"/>
              <w:noProof/>
              <w:sz w:val="24"/>
              <w:szCs w:val="24"/>
            </w:rPr>
          </w:r>
          <w:r w:rsidRPr="0026582E">
            <w:rPr>
              <w:rFonts w:ascii="Times New Roman" w:hAnsi="Times New Roman"/>
              <w:i w:val="0"/>
              <w:iCs w:val="0"/>
              <w:noProof/>
              <w:sz w:val="24"/>
              <w:szCs w:val="24"/>
            </w:rPr>
            <w:fldChar w:fldCharType="separate"/>
          </w:r>
          <w:r w:rsidR="00C6096B">
            <w:rPr>
              <w:rFonts w:ascii="Times New Roman" w:hAnsi="Times New Roman"/>
              <w:i w:val="0"/>
              <w:iCs w:val="0"/>
              <w:noProof/>
              <w:sz w:val="24"/>
              <w:szCs w:val="24"/>
            </w:rPr>
            <w:t>11</w:t>
          </w:r>
          <w:r w:rsidRPr="0026582E">
            <w:rPr>
              <w:rFonts w:ascii="Times New Roman" w:hAnsi="Times New Roman"/>
              <w:i w:val="0"/>
              <w:iCs w:val="0"/>
              <w:noProof/>
              <w:sz w:val="24"/>
              <w:szCs w:val="24"/>
            </w:rPr>
            <w:fldChar w:fldCharType="end"/>
          </w:r>
        </w:p>
        <w:p w14:paraId="42A69C9E" w14:textId="1D1DD171" w:rsidR="0026582E" w:rsidRPr="0026582E" w:rsidRDefault="0026582E">
          <w:pPr>
            <w:pStyle w:val="TOC3"/>
            <w:tabs>
              <w:tab w:val="right" w:pos="9042"/>
            </w:tabs>
            <w:rPr>
              <w:rFonts w:ascii="Times New Roman" w:eastAsiaTheme="minorEastAsia" w:hAnsi="Times New Roman"/>
              <w:noProof/>
              <w:sz w:val="24"/>
              <w:szCs w:val="24"/>
              <w:lang w:val="en-SE"/>
            </w:rPr>
          </w:pPr>
          <w:r w:rsidRPr="0026582E">
            <w:rPr>
              <w:rFonts w:ascii="Times New Roman" w:hAnsi="Times New Roman"/>
              <w:noProof/>
              <w:sz w:val="24"/>
              <w:szCs w:val="24"/>
            </w:rPr>
            <w:t>2.4.1 Why M&amp;A</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_Toc61126682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11</w:t>
          </w:r>
          <w:r w:rsidRPr="0026582E">
            <w:rPr>
              <w:rFonts w:ascii="Times New Roman" w:hAnsi="Times New Roman"/>
              <w:noProof/>
              <w:sz w:val="24"/>
              <w:szCs w:val="24"/>
            </w:rPr>
            <w:fldChar w:fldCharType="end"/>
          </w:r>
        </w:p>
        <w:p w14:paraId="0CD33377" w14:textId="2B4AACD6" w:rsidR="0026582E" w:rsidRPr="0026582E" w:rsidRDefault="0026582E">
          <w:pPr>
            <w:pStyle w:val="TOC3"/>
            <w:tabs>
              <w:tab w:val="right" w:pos="9042"/>
            </w:tabs>
            <w:rPr>
              <w:rFonts w:ascii="Times New Roman" w:eastAsiaTheme="minorEastAsia" w:hAnsi="Times New Roman"/>
              <w:noProof/>
              <w:sz w:val="24"/>
              <w:szCs w:val="24"/>
              <w:lang w:val="en-SE"/>
            </w:rPr>
          </w:pPr>
          <w:r w:rsidRPr="0026582E">
            <w:rPr>
              <w:rFonts w:ascii="Times New Roman" w:hAnsi="Times New Roman"/>
              <w:noProof/>
              <w:sz w:val="24"/>
              <w:szCs w:val="24"/>
            </w:rPr>
            <w:t>2.4.2 Determinants of the bid premium</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_Toc61126683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12</w:t>
          </w:r>
          <w:r w:rsidRPr="0026582E">
            <w:rPr>
              <w:rFonts w:ascii="Times New Roman" w:hAnsi="Times New Roman"/>
              <w:noProof/>
              <w:sz w:val="24"/>
              <w:szCs w:val="24"/>
            </w:rPr>
            <w:fldChar w:fldCharType="end"/>
          </w:r>
        </w:p>
        <w:p w14:paraId="1D6A1C72" w14:textId="13F43ED8" w:rsidR="0026582E" w:rsidRPr="0026582E" w:rsidRDefault="0026582E">
          <w:pPr>
            <w:pStyle w:val="TOC2"/>
            <w:tabs>
              <w:tab w:val="right" w:pos="9042"/>
            </w:tabs>
            <w:rPr>
              <w:rFonts w:ascii="Times New Roman" w:eastAsiaTheme="minorEastAsia" w:hAnsi="Times New Roman"/>
              <w:i w:val="0"/>
              <w:iCs w:val="0"/>
              <w:noProof/>
              <w:sz w:val="24"/>
              <w:szCs w:val="24"/>
              <w:lang w:val="en-SE"/>
            </w:rPr>
          </w:pPr>
          <w:r w:rsidRPr="0026582E">
            <w:rPr>
              <w:rFonts w:ascii="Times New Roman" w:hAnsi="Times New Roman"/>
              <w:i w:val="0"/>
              <w:iCs w:val="0"/>
              <w:noProof/>
              <w:sz w:val="24"/>
              <w:szCs w:val="24"/>
            </w:rPr>
            <w:t>2.5 Measuring sustainability</w:t>
          </w:r>
          <w:r w:rsidRPr="0026582E">
            <w:rPr>
              <w:rFonts w:ascii="Times New Roman" w:hAnsi="Times New Roman"/>
              <w:i w:val="0"/>
              <w:iCs w:val="0"/>
              <w:noProof/>
              <w:sz w:val="24"/>
              <w:szCs w:val="24"/>
            </w:rPr>
            <w:tab/>
          </w:r>
          <w:r w:rsidRPr="0026582E">
            <w:rPr>
              <w:rFonts w:ascii="Times New Roman" w:hAnsi="Times New Roman"/>
              <w:i w:val="0"/>
              <w:iCs w:val="0"/>
              <w:noProof/>
              <w:sz w:val="24"/>
              <w:szCs w:val="24"/>
            </w:rPr>
            <w:fldChar w:fldCharType="begin"/>
          </w:r>
          <w:r w:rsidRPr="0026582E">
            <w:rPr>
              <w:rFonts w:ascii="Times New Roman" w:hAnsi="Times New Roman"/>
              <w:i w:val="0"/>
              <w:iCs w:val="0"/>
              <w:noProof/>
              <w:sz w:val="24"/>
              <w:szCs w:val="24"/>
            </w:rPr>
            <w:instrText xml:space="preserve"> PAGEREF _Toc61126684 \h </w:instrText>
          </w:r>
          <w:r w:rsidRPr="0026582E">
            <w:rPr>
              <w:rFonts w:ascii="Times New Roman" w:hAnsi="Times New Roman"/>
              <w:i w:val="0"/>
              <w:iCs w:val="0"/>
              <w:noProof/>
              <w:sz w:val="24"/>
              <w:szCs w:val="24"/>
            </w:rPr>
          </w:r>
          <w:r w:rsidRPr="0026582E">
            <w:rPr>
              <w:rFonts w:ascii="Times New Roman" w:hAnsi="Times New Roman"/>
              <w:i w:val="0"/>
              <w:iCs w:val="0"/>
              <w:noProof/>
              <w:sz w:val="24"/>
              <w:szCs w:val="24"/>
            </w:rPr>
            <w:fldChar w:fldCharType="separate"/>
          </w:r>
          <w:r w:rsidR="00C6096B">
            <w:rPr>
              <w:rFonts w:ascii="Times New Roman" w:hAnsi="Times New Roman"/>
              <w:i w:val="0"/>
              <w:iCs w:val="0"/>
              <w:noProof/>
              <w:sz w:val="24"/>
              <w:szCs w:val="24"/>
            </w:rPr>
            <w:t>13</w:t>
          </w:r>
          <w:r w:rsidRPr="0026582E">
            <w:rPr>
              <w:rFonts w:ascii="Times New Roman" w:hAnsi="Times New Roman"/>
              <w:i w:val="0"/>
              <w:iCs w:val="0"/>
              <w:noProof/>
              <w:sz w:val="24"/>
              <w:szCs w:val="24"/>
            </w:rPr>
            <w:fldChar w:fldCharType="end"/>
          </w:r>
        </w:p>
        <w:p w14:paraId="0AD20E72" w14:textId="6AF9E111" w:rsidR="0026582E" w:rsidRPr="0026582E" w:rsidRDefault="0026582E">
          <w:pPr>
            <w:pStyle w:val="TOC2"/>
            <w:tabs>
              <w:tab w:val="right" w:pos="9042"/>
            </w:tabs>
            <w:rPr>
              <w:rFonts w:ascii="Times New Roman" w:eastAsiaTheme="minorEastAsia" w:hAnsi="Times New Roman"/>
              <w:i w:val="0"/>
              <w:iCs w:val="0"/>
              <w:noProof/>
              <w:sz w:val="24"/>
              <w:szCs w:val="24"/>
              <w:lang w:val="en-SE"/>
            </w:rPr>
          </w:pPr>
          <w:r w:rsidRPr="0026582E">
            <w:rPr>
              <w:rFonts w:ascii="Times New Roman" w:hAnsi="Times New Roman"/>
              <w:i w:val="0"/>
              <w:iCs w:val="0"/>
              <w:noProof/>
              <w:sz w:val="24"/>
              <w:szCs w:val="24"/>
            </w:rPr>
            <w:t>2.6 Hypothesis</w:t>
          </w:r>
          <w:r w:rsidRPr="0026582E">
            <w:rPr>
              <w:rFonts w:ascii="Times New Roman" w:hAnsi="Times New Roman"/>
              <w:i w:val="0"/>
              <w:iCs w:val="0"/>
              <w:noProof/>
              <w:sz w:val="24"/>
              <w:szCs w:val="24"/>
            </w:rPr>
            <w:tab/>
          </w:r>
          <w:r w:rsidRPr="0026582E">
            <w:rPr>
              <w:rFonts w:ascii="Times New Roman" w:hAnsi="Times New Roman"/>
              <w:i w:val="0"/>
              <w:iCs w:val="0"/>
              <w:noProof/>
              <w:sz w:val="24"/>
              <w:szCs w:val="24"/>
            </w:rPr>
            <w:fldChar w:fldCharType="begin"/>
          </w:r>
          <w:r w:rsidRPr="0026582E">
            <w:rPr>
              <w:rFonts w:ascii="Times New Roman" w:hAnsi="Times New Roman"/>
              <w:i w:val="0"/>
              <w:iCs w:val="0"/>
              <w:noProof/>
              <w:sz w:val="24"/>
              <w:szCs w:val="24"/>
            </w:rPr>
            <w:instrText xml:space="preserve"> PAGEREF _Toc61126685 \h </w:instrText>
          </w:r>
          <w:r w:rsidRPr="0026582E">
            <w:rPr>
              <w:rFonts w:ascii="Times New Roman" w:hAnsi="Times New Roman"/>
              <w:i w:val="0"/>
              <w:iCs w:val="0"/>
              <w:noProof/>
              <w:sz w:val="24"/>
              <w:szCs w:val="24"/>
            </w:rPr>
          </w:r>
          <w:r w:rsidRPr="0026582E">
            <w:rPr>
              <w:rFonts w:ascii="Times New Roman" w:hAnsi="Times New Roman"/>
              <w:i w:val="0"/>
              <w:iCs w:val="0"/>
              <w:noProof/>
              <w:sz w:val="24"/>
              <w:szCs w:val="24"/>
            </w:rPr>
            <w:fldChar w:fldCharType="separate"/>
          </w:r>
          <w:r w:rsidR="00C6096B">
            <w:rPr>
              <w:rFonts w:ascii="Times New Roman" w:hAnsi="Times New Roman"/>
              <w:i w:val="0"/>
              <w:iCs w:val="0"/>
              <w:noProof/>
              <w:sz w:val="24"/>
              <w:szCs w:val="24"/>
            </w:rPr>
            <w:t>14</w:t>
          </w:r>
          <w:r w:rsidRPr="0026582E">
            <w:rPr>
              <w:rFonts w:ascii="Times New Roman" w:hAnsi="Times New Roman"/>
              <w:i w:val="0"/>
              <w:iCs w:val="0"/>
              <w:noProof/>
              <w:sz w:val="24"/>
              <w:szCs w:val="24"/>
            </w:rPr>
            <w:fldChar w:fldCharType="end"/>
          </w:r>
        </w:p>
        <w:p w14:paraId="3780D467" w14:textId="11A7DBBD" w:rsidR="0026582E" w:rsidRPr="0026582E" w:rsidRDefault="0026582E">
          <w:pPr>
            <w:pStyle w:val="TOC1"/>
            <w:tabs>
              <w:tab w:val="right" w:pos="9042"/>
            </w:tabs>
            <w:rPr>
              <w:rFonts w:ascii="Times New Roman" w:eastAsiaTheme="minorEastAsia" w:hAnsi="Times New Roman"/>
              <w:b w:val="0"/>
              <w:bCs w:val="0"/>
              <w:noProof/>
              <w:sz w:val="24"/>
              <w:szCs w:val="24"/>
              <w:lang w:val="en-SE"/>
            </w:rPr>
          </w:pPr>
          <w:r w:rsidRPr="0026582E">
            <w:rPr>
              <w:rFonts w:ascii="Times New Roman" w:hAnsi="Times New Roman"/>
              <w:noProof/>
              <w:sz w:val="24"/>
              <w:szCs w:val="24"/>
            </w:rPr>
            <w:t>3. Previous literature</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_Toc61126686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15</w:t>
          </w:r>
          <w:r w:rsidRPr="0026582E">
            <w:rPr>
              <w:rFonts w:ascii="Times New Roman" w:hAnsi="Times New Roman"/>
              <w:noProof/>
              <w:sz w:val="24"/>
              <w:szCs w:val="24"/>
            </w:rPr>
            <w:fldChar w:fldCharType="end"/>
          </w:r>
        </w:p>
        <w:p w14:paraId="6461349B" w14:textId="3D2F1EB5" w:rsidR="0026582E" w:rsidRPr="0026582E" w:rsidRDefault="0026582E">
          <w:pPr>
            <w:pStyle w:val="TOC1"/>
            <w:tabs>
              <w:tab w:val="right" w:pos="9042"/>
            </w:tabs>
            <w:rPr>
              <w:rFonts w:ascii="Times New Roman" w:eastAsiaTheme="minorEastAsia" w:hAnsi="Times New Roman"/>
              <w:b w:val="0"/>
              <w:bCs w:val="0"/>
              <w:noProof/>
              <w:sz w:val="24"/>
              <w:szCs w:val="24"/>
              <w:lang w:val="en-SE"/>
            </w:rPr>
          </w:pPr>
          <w:r w:rsidRPr="0026582E">
            <w:rPr>
              <w:rFonts w:ascii="Times New Roman" w:hAnsi="Times New Roman"/>
              <w:noProof/>
              <w:sz w:val="24"/>
              <w:szCs w:val="24"/>
            </w:rPr>
            <w:t>4. Methodology</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_Toc61126687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17</w:t>
          </w:r>
          <w:r w:rsidRPr="0026582E">
            <w:rPr>
              <w:rFonts w:ascii="Times New Roman" w:hAnsi="Times New Roman"/>
              <w:noProof/>
              <w:sz w:val="24"/>
              <w:szCs w:val="24"/>
            </w:rPr>
            <w:fldChar w:fldCharType="end"/>
          </w:r>
        </w:p>
        <w:p w14:paraId="002BF933" w14:textId="1D141846" w:rsidR="0026582E" w:rsidRPr="0026582E" w:rsidRDefault="0026582E">
          <w:pPr>
            <w:pStyle w:val="TOC2"/>
            <w:tabs>
              <w:tab w:val="right" w:pos="9042"/>
            </w:tabs>
            <w:rPr>
              <w:rFonts w:ascii="Times New Roman" w:eastAsiaTheme="minorEastAsia" w:hAnsi="Times New Roman"/>
              <w:i w:val="0"/>
              <w:iCs w:val="0"/>
              <w:noProof/>
              <w:sz w:val="24"/>
              <w:szCs w:val="24"/>
              <w:lang w:val="en-SE"/>
            </w:rPr>
          </w:pPr>
          <w:r w:rsidRPr="0026582E">
            <w:rPr>
              <w:rFonts w:ascii="Times New Roman" w:hAnsi="Times New Roman"/>
              <w:i w:val="0"/>
              <w:iCs w:val="0"/>
              <w:noProof/>
              <w:sz w:val="24"/>
              <w:szCs w:val="24"/>
            </w:rPr>
            <w:t>4.1 Multivariate regression</w:t>
          </w:r>
          <w:r w:rsidRPr="0026582E">
            <w:rPr>
              <w:rFonts w:ascii="Times New Roman" w:hAnsi="Times New Roman"/>
              <w:i w:val="0"/>
              <w:iCs w:val="0"/>
              <w:noProof/>
              <w:sz w:val="24"/>
              <w:szCs w:val="24"/>
            </w:rPr>
            <w:tab/>
          </w:r>
          <w:r w:rsidRPr="0026582E">
            <w:rPr>
              <w:rFonts w:ascii="Times New Roman" w:hAnsi="Times New Roman"/>
              <w:i w:val="0"/>
              <w:iCs w:val="0"/>
              <w:noProof/>
              <w:sz w:val="24"/>
              <w:szCs w:val="24"/>
            </w:rPr>
            <w:fldChar w:fldCharType="begin"/>
          </w:r>
          <w:r w:rsidRPr="0026582E">
            <w:rPr>
              <w:rFonts w:ascii="Times New Roman" w:hAnsi="Times New Roman"/>
              <w:i w:val="0"/>
              <w:iCs w:val="0"/>
              <w:noProof/>
              <w:sz w:val="24"/>
              <w:szCs w:val="24"/>
            </w:rPr>
            <w:instrText xml:space="preserve"> PAGEREF _Toc61126688 \h </w:instrText>
          </w:r>
          <w:r w:rsidRPr="0026582E">
            <w:rPr>
              <w:rFonts w:ascii="Times New Roman" w:hAnsi="Times New Roman"/>
              <w:i w:val="0"/>
              <w:iCs w:val="0"/>
              <w:noProof/>
              <w:sz w:val="24"/>
              <w:szCs w:val="24"/>
            </w:rPr>
          </w:r>
          <w:r w:rsidRPr="0026582E">
            <w:rPr>
              <w:rFonts w:ascii="Times New Roman" w:hAnsi="Times New Roman"/>
              <w:i w:val="0"/>
              <w:iCs w:val="0"/>
              <w:noProof/>
              <w:sz w:val="24"/>
              <w:szCs w:val="24"/>
            </w:rPr>
            <w:fldChar w:fldCharType="separate"/>
          </w:r>
          <w:r w:rsidR="00C6096B">
            <w:rPr>
              <w:rFonts w:ascii="Times New Roman" w:hAnsi="Times New Roman"/>
              <w:i w:val="0"/>
              <w:iCs w:val="0"/>
              <w:noProof/>
              <w:sz w:val="24"/>
              <w:szCs w:val="24"/>
            </w:rPr>
            <w:t>17</w:t>
          </w:r>
          <w:r w:rsidRPr="0026582E">
            <w:rPr>
              <w:rFonts w:ascii="Times New Roman" w:hAnsi="Times New Roman"/>
              <w:i w:val="0"/>
              <w:iCs w:val="0"/>
              <w:noProof/>
              <w:sz w:val="24"/>
              <w:szCs w:val="24"/>
            </w:rPr>
            <w:fldChar w:fldCharType="end"/>
          </w:r>
        </w:p>
        <w:p w14:paraId="3203D9AB" w14:textId="761E1F3E" w:rsidR="0026582E" w:rsidRPr="0026582E" w:rsidRDefault="0026582E">
          <w:pPr>
            <w:pStyle w:val="TOC2"/>
            <w:tabs>
              <w:tab w:val="right" w:pos="9042"/>
            </w:tabs>
            <w:rPr>
              <w:rFonts w:ascii="Times New Roman" w:eastAsiaTheme="minorEastAsia" w:hAnsi="Times New Roman"/>
              <w:i w:val="0"/>
              <w:iCs w:val="0"/>
              <w:noProof/>
              <w:sz w:val="24"/>
              <w:szCs w:val="24"/>
              <w:lang w:val="en-SE"/>
            </w:rPr>
          </w:pPr>
          <w:r w:rsidRPr="0026582E">
            <w:rPr>
              <w:rFonts w:ascii="Times New Roman" w:hAnsi="Times New Roman"/>
              <w:i w:val="0"/>
              <w:iCs w:val="0"/>
              <w:noProof/>
              <w:sz w:val="24"/>
              <w:szCs w:val="24"/>
            </w:rPr>
            <w:t>4.2 Testing the Gauss-Markov assumptions</w:t>
          </w:r>
          <w:r w:rsidRPr="0026582E">
            <w:rPr>
              <w:rFonts w:ascii="Times New Roman" w:hAnsi="Times New Roman"/>
              <w:i w:val="0"/>
              <w:iCs w:val="0"/>
              <w:noProof/>
              <w:sz w:val="24"/>
              <w:szCs w:val="24"/>
            </w:rPr>
            <w:tab/>
          </w:r>
          <w:r w:rsidRPr="0026582E">
            <w:rPr>
              <w:rFonts w:ascii="Times New Roman" w:hAnsi="Times New Roman"/>
              <w:i w:val="0"/>
              <w:iCs w:val="0"/>
              <w:noProof/>
              <w:sz w:val="24"/>
              <w:szCs w:val="24"/>
            </w:rPr>
            <w:fldChar w:fldCharType="begin"/>
          </w:r>
          <w:r w:rsidRPr="0026582E">
            <w:rPr>
              <w:rFonts w:ascii="Times New Roman" w:hAnsi="Times New Roman"/>
              <w:i w:val="0"/>
              <w:iCs w:val="0"/>
              <w:noProof/>
              <w:sz w:val="24"/>
              <w:szCs w:val="24"/>
            </w:rPr>
            <w:instrText xml:space="preserve"> PAGEREF _Toc61126689 \h </w:instrText>
          </w:r>
          <w:r w:rsidRPr="0026582E">
            <w:rPr>
              <w:rFonts w:ascii="Times New Roman" w:hAnsi="Times New Roman"/>
              <w:i w:val="0"/>
              <w:iCs w:val="0"/>
              <w:noProof/>
              <w:sz w:val="24"/>
              <w:szCs w:val="24"/>
            </w:rPr>
          </w:r>
          <w:r w:rsidRPr="0026582E">
            <w:rPr>
              <w:rFonts w:ascii="Times New Roman" w:hAnsi="Times New Roman"/>
              <w:i w:val="0"/>
              <w:iCs w:val="0"/>
              <w:noProof/>
              <w:sz w:val="24"/>
              <w:szCs w:val="24"/>
            </w:rPr>
            <w:fldChar w:fldCharType="separate"/>
          </w:r>
          <w:r w:rsidR="00C6096B">
            <w:rPr>
              <w:rFonts w:ascii="Times New Roman" w:hAnsi="Times New Roman"/>
              <w:i w:val="0"/>
              <w:iCs w:val="0"/>
              <w:noProof/>
              <w:sz w:val="24"/>
              <w:szCs w:val="24"/>
            </w:rPr>
            <w:t>18</w:t>
          </w:r>
          <w:r w:rsidRPr="0026582E">
            <w:rPr>
              <w:rFonts w:ascii="Times New Roman" w:hAnsi="Times New Roman"/>
              <w:i w:val="0"/>
              <w:iCs w:val="0"/>
              <w:noProof/>
              <w:sz w:val="24"/>
              <w:szCs w:val="24"/>
            </w:rPr>
            <w:fldChar w:fldCharType="end"/>
          </w:r>
        </w:p>
        <w:p w14:paraId="58C23B2E" w14:textId="5D22E62D" w:rsidR="0026582E" w:rsidRPr="0026582E" w:rsidRDefault="0026582E">
          <w:pPr>
            <w:pStyle w:val="TOC2"/>
            <w:tabs>
              <w:tab w:val="right" w:pos="9042"/>
            </w:tabs>
            <w:rPr>
              <w:rFonts w:ascii="Times New Roman" w:eastAsiaTheme="minorEastAsia" w:hAnsi="Times New Roman"/>
              <w:i w:val="0"/>
              <w:iCs w:val="0"/>
              <w:noProof/>
              <w:sz w:val="24"/>
              <w:szCs w:val="24"/>
              <w:lang w:val="en-SE"/>
            </w:rPr>
          </w:pPr>
          <w:r w:rsidRPr="0026582E">
            <w:rPr>
              <w:rFonts w:ascii="Times New Roman" w:hAnsi="Times New Roman"/>
              <w:i w:val="0"/>
              <w:iCs w:val="0"/>
              <w:noProof/>
              <w:sz w:val="24"/>
              <w:szCs w:val="24"/>
            </w:rPr>
            <w:t>4.3 Dealing with multicollinearity</w:t>
          </w:r>
          <w:r w:rsidRPr="0026582E">
            <w:rPr>
              <w:rFonts w:ascii="Times New Roman" w:hAnsi="Times New Roman"/>
              <w:i w:val="0"/>
              <w:iCs w:val="0"/>
              <w:noProof/>
              <w:sz w:val="24"/>
              <w:szCs w:val="24"/>
            </w:rPr>
            <w:tab/>
          </w:r>
          <w:r w:rsidRPr="0026582E">
            <w:rPr>
              <w:rFonts w:ascii="Times New Roman" w:hAnsi="Times New Roman"/>
              <w:i w:val="0"/>
              <w:iCs w:val="0"/>
              <w:noProof/>
              <w:sz w:val="24"/>
              <w:szCs w:val="24"/>
            </w:rPr>
            <w:fldChar w:fldCharType="begin"/>
          </w:r>
          <w:r w:rsidRPr="0026582E">
            <w:rPr>
              <w:rFonts w:ascii="Times New Roman" w:hAnsi="Times New Roman"/>
              <w:i w:val="0"/>
              <w:iCs w:val="0"/>
              <w:noProof/>
              <w:sz w:val="24"/>
              <w:szCs w:val="24"/>
            </w:rPr>
            <w:instrText xml:space="preserve"> PAGEREF _Toc61126690 \h </w:instrText>
          </w:r>
          <w:r w:rsidRPr="0026582E">
            <w:rPr>
              <w:rFonts w:ascii="Times New Roman" w:hAnsi="Times New Roman"/>
              <w:i w:val="0"/>
              <w:iCs w:val="0"/>
              <w:noProof/>
              <w:sz w:val="24"/>
              <w:szCs w:val="24"/>
            </w:rPr>
          </w:r>
          <w:r w:rsidRPr="0026582E">
            <w:rPr>
              <w:rFonts w:ascii="Times New Roman" w:hAnsi="Times New Roman"/>
              <w:i w:val="0"/>
              <w:iCs w:val="0"/>
              <w:noProof/>
              <w:sz w:val="24"/>
              <w:szCs w:val="24"/>
            </w:rPr>
            <w:fldChar w:fldCharType="separate"/>
          </w:r>
          <w:r w:rsidR="00C6096B">
            <w:rPr>
              <w:rFonts w:ascii="Times New Roman" w:hAnsi="Times New Roman"/>
              <w:i w:val="0"/>
              <w:iCs w:val="0"/>
              <w:noProof/>
              <w:sz w:val="24"/>
              <w:szCs w:val="24"/>
            </w:rPr>
            <w:t>20</w:t>
          </w:r>
          <w:r w:rsidRPr="0026582E">
            <w:rPr>
              <w:rFonts w:ascii="Times New Roman" w:hAnsi="Times New Roman"/>
              <w:i w:val="0"/>
              <w:iCs w:val="0"/>
              <w:noProof/>
              <w:sz w:val="24"/>
              <w:szCs w:val="24"/>
            </w:rPr>
            <w:fldChar w:fldCharType="end"/>
          </w:r>
        </w:p>
        <w:p w14:paraId="2E653592" w14:textId="5C2FA07B" w:rsidR="0026582E" w:rsidRPr="0026582E" w:rsidRDefault="0026582E">
          <w:pPr>
            <w:pStyle w:val="TOC2"/>
            <w:tabs>
              <w:tab w:val="right" w:pos="9042"/>
            </w:tabs>
            <w:rPr>
              <w:rFonts w:ascii="Times New Roman" w:eastAsiaTheme="minorEastAsia" w:hAnsi="Times New Roman"/>
              <w:i w:val="0"/>
              <w:iCs w:val="0"/>
              <w:noProof/>
              <w:sz w:val="24"/>
              <w:szCs w:val="24"/>
              <w:lang w:val="en-SE"/>
            </w:rPr>
          </w:pPr>
          <w:r w:rsidRPr="0026582E">
            <w:rPr>
              <w:rFonts w:ascii="Times New Roman" w:hAnsi="Times New Roman"/>
              <w:i w:val="0"/>
              <w:iCs w:val="0"/>
              <w:noProof/>
              <w:sz w:val="24"/>
              <w:szCs w:val="24"/>
            </w:rPr>
            <w:t>4.4 Hypothesis testing</w:t>
          </w:r>
          <w:r w:rsidRPr="0026582E">
            <w:rPr>
              <w:rFonts w:ascii="Times New Roman" w:hAnsi="Times New Roman"/>
              <w:i w:val="0"/>
              <w:iCs w:val="0"/>
              <w:noProof/>
              <w:sz w:val="24"/>
              <w:szCs w:val="24"/>
            </w:rPr>
            <w:tab/>
          </w:r>
          <w:r w:rsidRPr="0026582E">
            <w:rPr>
              <w:rFonts w:ascii="Times New Roman" w:hAnsi="Times New Roman"/>
              <w:i w:val="0"/>
              <w:iCs w:val="0"/>
              <w:noProof/>
              <w:sz w:val="24"/>
              <w:szCs w:val="24"/>
            </w:rPr>
            <w:fldChar w:fldCharType="begin"/>
          </w:r>
          <w:r w:rsidRPr="0026582E">
            <w:rPr>
              <w:rFonts w:ascii="Times New Roman" w:hAnsi="Times New Roman"/>
              <w:i w:val="0"/>
              <w:iCs w:val="0"/>
              <w:noProof/>
              <w:sz w:val="24"/>
              <w:szCs w:val="24"/>
            </w:rPr>
            <w:instrText xml:space="preserve"> PAGEREF _Toc61126691 \h </w:instrText>
          </w:r>
          <w:r w:rsidRPr="0026582E">
            <w:rPr>
              <w:rFonts w:ascii="Times New Roman" w:hAnsi="Times New Roman"/>
              <w:i w:val="0"/>
              <w:iCs w:val="0"/>
              <w:noProof/>
              <w:sz w:val="24"/>
              <w:szCs w:val="24"/>
            </w:rPr>
          </w:r>
          <w:r w:rsidRPr="0026582E">
            <w:rPr>
              <w:rFonts w:ascii="Times New Roman" w:hAnsi="Times New Roman"/>
              <w:i w:val="0"/>
              <w:iCs w:val="0"/>
              <w:noProof/>
              <w:sz w:val="24"/>
              <w:szCs w:val="24"/>
            </w:rPr>
            <w:fldChar w:fldCharType="separate"/>
          </w:r>
          <w:r w:rsidR="00C6096B">
            <w:rPr>
              <w:rFonts w:ascii="Times New Roman" w:hAnsi="Times New Roman"/>
              <w:i w:val="0"/>
              <w:iCs w:val="0"/>
              <w:noProof/>
              <w:sz w:val="24"/>
              <w:szCs w:val="24"/>
            </w:rPr>
            <w:t>21</w:t>
          </w:r>
          <w:r w:rsidRPr="0026582E">
            <w:rPr>
              <w:rFonts w:ascii="Times New Roman" w:hAnsi="Times New Roman"/>
              <w:i w:val="0"/>
              <w:iCs w:val="0"/>
              <w:noProof/>
              <w:sz w:val="24"/>
              <w:szCs w:val="24"/>
            </w:rPr>
            <w:fldChar w:fldCharType="end"/>
          </w:r>
        </w:p>
        <w:p w14:paraId="2A22AE9C" w14:textId="77777777" w:rsidR="0026582E" w:rsidRDefault="0026582E">
          <w:pPr>
            <w:pStyle w:val="TOC1"/>
            <w:tabs>
              <w:tab w:val="right" w:pos="9042"/>
            </w:tabs>
            <w:rPr>
              <w:rFonts w:ascii="Times New Roman" w:hAnsi="Times New Roman"/>
              <w:noProof/>
              <w:sz w:val="24"/>
              <w:szCs w:val="24"/>
            </w:rPr>
          </w:pPr>
        </w:p>
        <w:p w14:paraId="598AA3C7" w14:textId="77777777" w:rsidR="0026582E" w:rsidRDefault="0026582E">
          <w:pPr>
            <w:pStyle w:val="TOC1"/>
            <w:tabs>
              <w:tab w:val="right" w:pos="9042"/>
            </w:tabs>
            <w:rPr>
              <w:rFonts w:ascii="Times New Roman" w:hAnsi="Times New Roman"/>
              <w:noProof/>
              <w:sz w:val="24"/>
              <w:szCs w:val="24"/>
            </w:rPr>
          </w:pPr>
        </w:p>
        <w:p w14:paraId="16B2855A" w14:textId="77777777" w:rsidR="0026582E" w:rsidRDefault="0026582E">
          <w:pPr>
            <w:pStyle w:val="TOC1"/>
            <w:tabs>
              <w:tab w:val="right" w:pos="9042"/>
            </w:tabs>
            <w:rPr>
              <w:rFonts w:ascii="Times New Roman" w:hAnsi="Times New Roman"/>
              <w:noProof/>
              <w:sz w:val="24"/>
              <w:szCs w:val="24"/>
            </w:rPr>
          </w:pPr>
        </w:p>
        <w:p w14:paraId="301246A8" w14:textId="77777777" w:rsidR="0026582E" w:rsidRDefault="0026582E">
          <w:pPr>
            <w:pStyle w:val="TOC1"/>
            <w:tabs>
              <w:tab w:val="right" w:pos="9042"/>
            </w:tabs>
            <w:rPr>
              <w:rFonts w:ascii="Times New Roman" w:hAnsi="Times New Roman"/>
              <w:noProof/>
              <w:sz w:val="24"/>
              <w:szCs w:val="24"/>
            </w:rPr>
          </w:pPr>
        </w:p>
        <w:p w14:paraId="12D82176" w14:textId="77777777" w:rsidR="0026582E" w:rsidRDefault="0026582E">
          <w:pPr>
            <w:pStyle w:val="TOC1"/>
            <w:tabs>
              <w:tab w:val="right" w:pos="9042"/>
            </w:tabs>
            <w:rPr>
              <w:rFonts w:ascii="Times New Roman" w:hAnsi="Times New Roman"/>
              <w:noProof/>
              <w:sz w:val="24"/>
              <w:szCs w:val="24"/>
            </w:rPr>
          </w:pPr>
        </w:p>
        <w:p w14:paraId="7BC4DE0E" w14:textId="082246C8" w:rsidR="0026582E" w:rsidRPr="0026582E" w:rsidRDefault="0026582E">
          <w:pPr>
            <w:pStyle w:val="TOC1"/>
            <w:tabs>
              <w:tab w:val="right" w:pos="9042"/>
            </w:tabs>
            <w:rPr>
              <w:rFonts w:ascii="Times New Roman" w:eastAsiaTheme="minorEastAsia" w:hAnsi="Times New Roman"/>
              <w:b w:val="0"/>
              <w:bCs w:val="0"/>
              <w:noProof/>
              <w:sz w:val="24"/>
              <w:szCs w:val="24"/>
              <w:lang w:val="en-SE"/>
            </w:rPr>
          </w:pPr>
          <w:r w:rsidRPr="0026582E">
            <w:rPr>
              <w:rFonts w:ascii="Times New Roman" w:hAnsi="Times New Roman"/>
              <w:noProof/>
              <w:sz w:val="24"/>
              <w:szCs w:val="24"/>
            </w:rPr>
            <w:lastRenderedPageBreak/>
            <w:t>5. Data</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_Toc61126692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22</w:t>
          </w:r>
          <w:r w:rsidRPr="0026582E">
            <w:rPr>
              <w:rFonts w:ascii="Times New Roman" w:hAnsi="Times New Roman"/>
              <w:noProof/>
              <w:sz w:val="24"/>
              <w:szCs w:val="24"/>
            </w:rPr>
            <w:fldChar w:fldCharType="end"/>
          </w:r>
        </w:p>
        <w:p w14:paraId="4A87ABE2" w14:textId="3A5DD444" w:rsidR="0026582E" w:rsidRPr="0026582E" w:rsidRDefault="0026582E">
          <w:pPr>
            <w:pStyle w:val="TOC2"/>
            <w:tabs>
              <w:tab w:val="right" w:pos="9042"/>
            </w:tabs>
            <w:rPr>
              <w:rFonts w:ascii="Times New Roman" w:eastAsiaTheme="minorEastAsia" w:hAnsi="Times New Roman"/>
              <w:i w:val="0"/>
              <w:iCs w:val="0"/>
              <w:noProof/>
              <w:sz w:val="24"/>
              <w:szCs w:val="24"/>
              <w:lang w:val="en-SE"/>
            </w:rPr>
          </w:pPr>
          <w:r w:rsidRPr="0026582E">
            <w:rPr>
              <w:rFonts w:ascii="Times New Roman" w:hAnsi="Times New Roman"/>
              <w:i w:val="0"/>
              <w:iCs w:val="0"/>
              <w:noProof/>
              <w:sz w:val="24"/>
              <w:szCs w:val="24"/>
            </w:rPr>
            <w:t>5.1 Time frame</w:t>
          </w:r>
          <w:r w:rsidRPr="0026582E">
            <w:rPr>
              <w:rFonts w:ascii="Times New Roman" w:hAnsi="Times New Roman"/>
              <w:i w:val="0"/>
              <w:iCs w:val="0"/>
              <w:noProof/>
              <w:sz w:val="24"/>
              <w:szCs w:val="24"/>
            </w:rPr>
            <w:tab/>
          </w:r>
          <w:r w:rsidRPr="0026582E">
            <w:rPr>
              <w:rFonts w:ascii="Times New Roman" w:hAnsi="Times New Roman"/>
              <w:i w:val="0"/>
              <w:iCs w:val="0"/>
              <w:noProof/>
              <w:sz w:val="24"/>
              <w:szCs w:val="24"/>
            </w:rPr>
            <w:fldChar w:fldCharType="begin"/>
          </w:r>
          <w:r w:rsidRPr="0026582E">
            <w:rPr>
              <w:rFonts w:ascii="Times New Roman" w:hAnsi="Times New Roman"/>
              <w:i w:val="0"/>
              <w:iCs w:val="0"/>
              <w:noProof/>
              <w:sz w:val="24"/>
              <w:szCs w:val="24"/>
            </w:rPr>
            <w:instrText xml:space="preserve"> PAGEREF _Toc61126693 \h </w:instrText>
          </w:r>
          <w:r w:rsidRPr="0026582E">
            <w:rPr>
              <w:rFonts w:ascii="Times New Roman" w:hAnsi="Times New Roman"/>
              <w:i w:val="0"/>
              <w:iCs w:val="0"/>
              <w:noProof/>
              <w:sz w:val="24"/>
              <w:szCs w:val="24"/>
            </w:rPr>
          </w:r>
          <w:r w:rsidRPr="0026582E">
            <w:rPr>
              <w:rFonts w:ascii="Times New Roman" w:hAnsi="Times New Roman"/>
              <w:i w:val="0"/>
              <w:iCs w:val="0"/>
              <w:noProof/>
              <w:sz w:val="24"/>
              <w:szCs w:val="24"/>
            </w:rPr>
            <w:fldChar w:fldCharType="separate"/>
          </w:r>
          <w:r w:rsidR="00C6096B">
            <w:rPr>
              <w:rFonts w:ascii="Times New Roman" w:hAnsi="Times New Roman"/>
              <w:i w:val="0"/>
              <w:iCs w:val="0"/>
              <w:noProof/>
              <w:sz w:val="24"/>
              <w:szCs w:val="24"/>
            </w:rPr>
            <w:t>22</w:t>
          </w:r>
          <w:r w:rsidRPr="0026582E">
            <w:rPr>
              <w:rFonts w:ascii="Times New Roman" w:hAnsi="Times New Roman"/>
              <w:i w:val="0"/>
              <w:iCs w:val="0"/>
              <w:noProof/>
              <w:sz w:val="24"/>
              <w:szCs w:val="24"/>
            </w:rPr>
            <w:fldChar w:fldCharType="end"/>
          </w:r>
        </w:p>
        <w:p w14:paraId="51D9CD0D" w14:textId="208B1A6F" w:rsidR="0026582E" w:rsidRPr="0026582E" w:rsidRDefault="0026582E">
          <w:pPr>
            <w:pStyle w:val="TOC2"/>
            <w:tabs>
              <w:tab w:val="right" w:pos="9042"/>
            </w:tabs>
            <w:rPr>
              <w:rFonts w:ascii="Times New Roman" w:eastAsiaTheme="minorEastAsia" w:hAnsi="Times New Roman"/>
              <w:i w:val="0"/>
              <w:iCs w:val="0"/>
              <w:noProof/>
              <w:sz w:val="24"/>
              <w:szCs w:val="24"/>
              <w:lang w:val="en-SE"/>
            </w:rPr>
          </w:pPr>
          <w:r w:rsidRPr="0026582E">
            <w:rPr>
              <w:rFonts w:ascii="Times New Roman" w:hAnsi="Times New Roman"/>
              <w:i w:val="0"/>
              <w:iCs w:val="0"/>
              <w:noProof/>
              <w:sz w:val="24"/>
              <w:szCs w:val="24"/>
            </w:rPr>
            <w:t>5.2 Deal selection and bid premiums</w:t>
          </w:r>
          <w:r w:rsidRPr="0026582E">
            <w:rPr>
              <w:rFonts w:ascii="Times New Roman" w:hAnsi="Times New Roman"/>
              <w:i w:val="0"/>
              <w:iCs w:val="0"/>
              <w:noProof/>
              <w:sz w:val="24"/>
              <w:szCs w:val="24"/>
            </w:rPr>
            <w:tab/>
          </w:r>
          <w:r w:rsidRPr="0026582E">
            <w:rPr>
              <w:rFonts w:ascii="Times New Roman" w:hAnsi="Times New Roman"/>
              <w:i w:val="0"/>
              <w:iCs w:val="0"/>
              <w:noProof/>
              <w:sz w:val="24"/>
              <w:szCs w:val="24"/>
            </w:rPr>
            <w:fldChar w:fldCharType="begin"/>
          </w:r>
          <w:r w:rsidRPr="0026582E">
            <w:rPr>
              <w:rFonts w:ascii="Times New Roman" w:hAnsi="Times New Roman"/>
              <w:i w:val="0"/>
              <w:iCs w:val="0"/>
              <w:noProof/>
              <w:sz w:val="24"/>
              <w:szCs w:val="24"/>
            </w:rPr>
            <w:instrText xml:space="preserve"> PAGEREF _Toc61126694 \h </w:instrText>
          </w:r>
          <w:r w:rsidRPr="0026582E">
            <w:rPr>
              <w:rFonts w:ascii="Times New Roman" w:hAnsi="Times New Roman"/>
              <w:i w:val="0"/>
              <w:iCs w:val="0"/>
              <w:noProof/>
              <w:sz w:val="24"/>
              <w:szCs w:val="24"/>
            </w:rPr>
          </w:r>
          <w:r w:rsidRPr="0026582E">
            <w:rPr>
              <w:rFonts w:ascii="Times New Roman" w:hAnsi="Times New Roman"/>
              <w:i w:val="0"/>
              <w:iCs w:val="0"/>
              <w:noProof/>
              <w:sz w:val="24"/>
              <w:szCs w:val="24"/>
            </w:rPr>
            <w:fldChar w:fldCharType="separate"/>
          </w:r>
          <w:r w:rsidR="00C6096B">
            <w:rPr>
              <w:rFonts w:ascii="Times New Roman" w:hAnsi="Times New Roman"/>
              <w:i w:val="0"/>
              <w:iCs w:val="0"/>
              <w:noProof/>
              <w:sz w:val="24"/>
              <w:szCs w:val="24"/>
            </w:rPr>
            <w:t>22</w:t>
          </w:r>
          <w:r w:rsidRPr="0026582E">
            <w:rPr>
              <w:rFonts w:ascii="Times New Roman" w:hAnsi="Times New Roman"/>
              <w:i w:val="0"/>
              <w:iCs w:val="0"/>
              <w:noProof/>
              <w:sz w:val="24"/>
              <w:szCs w:val="24"/>
            </w:rPr>
            <w:fldChar w:fldCharType="end"/>
          </w:r>
        </w:p>
        <w:p w14:paraId="2B9C3E4C" w14:textId="7592CCDD" w:rsidR="0026582E" w:rsidRPr="0026582E" w:rsidRDefault="0026582E">
          <w:pPr>
            <w:pStyle w:val="TOC2"/>
            <w:tabs>
              <w:tab w:val="right" w:pos="9042"/>
            </w:tabs>
            <w:rPr>
              <w:rFonts w:ascii="Times New Roman" w:eastAsiaTheme="minorEastAsia" w:hAnsi="Times New Roman"/>
              <w:i w:val="0"/>
              <w:iCs w:val="0"/>
              <w:noProof/>
              <w:sz w:val="24"/>
              <w:szCs w:val="24"/>
              <w:lang w:val="en-SE"/>
            </w:rPr>
          </w:pPr>
          <w:r w:rsidRPr="0026582E">
            <w:rPr>
              <w:rFonts w:ascii="Times New Roman" w:hAnsi="Times New Roman"/>
              <w:i w:val="0"/>
              <w:iCs w:val="0"/>
              <w:noProof/>
              <w:sz w:val="24"/>
              <w:szCs w:val="24"/>
            </w:rPr>
            <w:t>5.3 ESG-rating</w:t>
          </w:r>
          <w:r w:rsidRPr="0026582E">
            <w:rPr>
              <w:rFonts w:ascii="Times New Roman" w:hAnsi="Times New Roman"/>
              <w:i w:val="0"/>
              <w:iCs w:val="0"/>
              <w:noProof/>
              <w:sz w:val="24"/>
              <w:szCs w:val="24"/>
            </w:rPr>
            <w:tab/>
          </w:r>
          <w:r w:rsidRPr="0026582E">
            <w:rPr>
              <w:rFonts w:ascii="Times New Roman" w:hAnsi="Times New Roman"/>
              <w:i w:val="0"/>
              <w:iCs w:val="0"/>
              <w:noProof/>
              <w:sz w:val="24"/>
              <w:szCs w:val="24"/>
            </w:rPr>
            <w:fldChar w:fldCharType="begin"/>
          </w:r>
          <w:r w:rsidRPr="0026582E">
            <w:rPr>
              <w:rFonts w:ascii="Times New Roman" w:hAnsi="Times New Roman"/>
              <w:i w:val="0"/>
              <w:iCs w:val="0"/>
              <w:noProof/>
              <w:sz w:val="24"/>
              <w:szCs w:val="24"/>
            </w:rPr>
            <w:instrText xml:space="preserve"> PAGEREF _Toc61126695 \h </w:instrText>
          </w:r>
          <w:r w:rsidRPr="0026582E">
            <w:rPr>
              <w:rFonts w:ascii="Times New Roman" w:hAnsi="Times New Roman"/>
              <w:i w:val="0"/>
              <w:iCs w:val="0"/>
              <w:noProof/>
              <w:sz w:val="24"/>
              <w:szCs w:val="24"/>
            </w:rPr>
          </w:r>
          <w:r w:rsidRPr="0026582E">
            <w:rPr>
              <w:rFonts w:ascii="Times New Roman" w:hAnsi="Times New Roman"/>
              <w:i w:val="0"/>
              <w:iCs w:val="0"/>
              <w:noProof/>
              <w:sz w:val="24"/>
              <w:szCs w:val="24"/>
            </w:rPr>
            <w:fldChar w:fldCharType="separate"/>
          </w:r>
          <w:r w:rsidR="00C6096B">
            <w:rPr>
              <w:rFonts w:ascii="Times New Roman" w:hAnsi="Times New Roman"/>
              <w:i w:val="0"/>
              <w:iCs w:val="0"/>
              <w:noProof/>
              <w:sz w:val="24"/>
              <w:szCs w:val="24"/>
            </w:rPr>
            <w:t>24</w:t>
          </w:r>
          <w:r w:rsidRPr="0026582E">
            <w:rPr>
              <w:rFonts w:ascii="Times New Roman" w:hAnsi="Times New Roman"/>
              <w:i w:val="0"/>
              <w:iCs w:val="0"/>
              <w:noProof/>
              <w:sz w:val="24"/>
              <w:szCs w:val="24"/>
            </w:rPr>
            <w:fldChar w:fldCharType="end"/>
          </w:r>
        </w:p>
        <w:p w14:paraId="240EA388" w14:textId="38D957A8" w:rsidR="0026582E" w:rsidRPr="0026582E" w:rsidRDefault="0026582E">
          <w:pPr>
            <w:pStyle w:val="TOC3"/>
            <w:tabs>
              <w:tab w:val="right" w:pos="9042"/>
            </w:tabs>
            <w:rPr>
              <w:rFonts w:ascii="Times New Roman" w:eastAsiaTheme="minorEastAsia" w:hAnsi="Times New Roman"/>
              <w:noProof/>
              <w:sz w:val="24"/>
              <w:szCs w:val="24"/>
              <w:lang w:val="en-SE"/>
            </w:rPr>
          </w:pPr>
          <w:r w:rsidRPr="0026582E">
            <w:rPr>
              <w:rFonts w:ascii="Times New Roman" w:hAnsi="Times New Roman"/>
              <w:noProof/>
              <w:sz w:val="24"/>
              <w:szCs w:val="24"/>
            </w:rPr>
            <w:t>5.3.1 Sustainanalytics’ ESG Risk Ratings</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_Toc61126696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24</w:t>
          </w:r>
          <w:r w:rsidRPr="0026582E">
            <w:rPr>
              <w:rFonts w:ascii="Times New Roman" w:hAnsi="Times New Roman"/>
              <w:noProof/>
              <w:sz w:val="24"/>
              <w:szCs w:val="24"/>
            </w:rPr>
            <w:fldChar w:fldCharType="end"/>
          </w:r>
        </w:p>
        <w:p w14:paraId="60A45B8A" w14:textId="1D699DB2" w:rsidR="0026582E" w:rsidRPr="0026582E" w:rsidRDefault="0026582E">
          <w:pPr>
            <w:pStyle w:val="TOC3"/>
            <w:tabs>
              <w:tab w:val="right" w:pos="9042"/>
            </w:tabs>
            <w:rPr>
              <w:rFonts w:ascii="Times New Roman" w:eastAsiaTheme="minorEastAsia" w:hAnsi="Times New Roman"/>
              <w:noProof/>
              <w:sz w:val="24"/>
              <w:szCs w:val="24"/>
              <w:lang w:val="en-SE"/>
            </w:rPr>
          </w:pPr>
          <w:r w:rsidRPr="0026582E">
            <w:rPr>
              <w:rFonts w:ascii="Times New Roman" w:hAnsi="Times New Roman"/>
              <w:noProof/>
              <w:sz w:val="24"/>
              <w:szCs w:val="24"/>
            </w:rPr>
            <w:t>5.3.2 RobecoSAM (S&amp;P Global ESG-Score)</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_Toc61126697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24</w:t>
          </w:r>
          <w:r w:rsidRPr="0026582E">
            <w:rPr>
              <w:rFonts w:ascii="Times New Roman" w:hAnsi="Times New Roman"/>
              <w:noProof/>
              <w:sz w:val="24"/>
              <w:szCs w:val="24"/>
            </w:rPr>
            <w:fldChar w:fldCharType="end"/>
          </w:r>
        </w:p>
        <w:p w14:paraId="1C58B3BF" w14:textId="0649E6AC" w:rsidR="0026582E" w:rsidRPr="0026582E" w:rsidRDefault="0026582E">
          <w:pPr>
            <w:pStyle w:val="TOC3"/>
            <w:tabs>
              <w:tab w:val="right" w:pos="9042"/>
            </w:tabs>
            <w:rPr>
              <w:rFonts w:ascii="Times New Roman" w:eastAsiaTheme="minorEastAsia" w:hAnsi="Times New Roman"/>
              <w:noProof/>
              <w:sz w:val="24"/>
              <w:szCs w:val="24"/>
              <w:lang w:val="en-SE"/>
            </w:rPr>
          </w:pPr>
          <w:r w:rsidRPr="0026582E">
            <w:rPr>
              <w:rFonts w:ascii="Times New Roman" w:hAnsi="Times New Roman"/>
              <w:noProof/>
              <w:sz w:val="24"/>
              <w:szCs w:val="24"/>
            </w:rPr>
            <w:t>5.3.3 ISS Quality Score</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_Toc61126698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24</w:t>
          </w:r>
          <w:r w:rsidRPr="0026582E">
            <w:rPr>
              <w:rFonts w:ascii="Times New Roman" w:hAnsi="Times New Roman"/>
              <w:noProof/>
              <w:sz w:val="24"/>
              <w:szCs w:val="24"/>
            </w:rPr>
            <w:fldChar w:fldCharType="end"/>
          </w:r>
        </w:p>
        <w:p w14:paraId="11F46E79" w14:textId="49B85A39" w:rsidR="0026582E" w:rsidRPr="0026582E" w:rsidRDefault="0026582E">
          <w:pPr>
            <w:pStyle w:val="TOC3"/>
            <w:tabs>
              <w:tab w:val="right" w:pos="9042"/>
            </w:tabs>
            <w:rPr>
              <w:rFonts w:ascii="Times New Roman" w:eastAsiaTheme="minorEastAsia" w:hAnsi="Times New Roman"/>
              <w:noProof/>
              <w:sz w:val="24"/>
              <w:szCs w:val="24"/>
              <w:lang w:val="en-SE"/>
            </w:rPr>
          </w:pPr>
          <w:r w:rsidRPr="0026582E">
            <w:rPr>
              <w:rFonts w:ascii="Times New Roman" w:hAnsi="Times New Roman"/>
              <w:noProof/>
              <w:sz w:val="24"/>
              <w:szCs w:val="24"/>
            </w:rPr>
            <w:t>5.3.4 Bloomberg ESG Disclosure Score</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_Toc61126699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25</w:t>
          </w:r>
          <w:r w:rsidRPr="0026582E">
            <w:rPr>
              <w:rFonts w:ascii="Times New Roman" w:hAnsi="Times New Roman"/>
              <w:noProof/>
              <w:sz w:val="24"/>
              <w:szCs w:val="24"/>
            </w:rPr>
            <w:fldChar w:fldCharType="end"/>
          </w:r>
        </w:p>
        <w:p w14:paraId="693EC164" w14:textId="442BA549" w:rsidR="0026582E" w:rsidRPr="0026582E" w:rsidRDefault="0026582E">
          <w:pPr>
            <w:pStyle w:val="TOC3"/>
            <w:tabs>
              <w:tab w:val="right" w:pos="9042"/>
            </w:tabs>
            <w:rPr>
              <w:rFonts w:ascii="Times New Roman" w:eastAsiaTheme="minorEastAsia" w:hAnsi="Times New Roman"/>
              <w:noProof/>
              <w:sz w:val="24"/>
              <w:szCs w:val="24"/>
              <w:lang w:val="en-SE"/>
            </w:rPr>
          </w:pPr>
          <w:r w:rsidRPr="0026582E">
            <w:rPr>
              <w:rFonts w:ascii="Times New Roman" w:hAnsi="Times New Roman"/>
              <w:noProof/>
              <w:sz w:val="24"/>
              <w:szCs w:val="24"/>
            </w:rPr>
            <w:t>5.3.5 Overall ESG-rating</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_Toc61126700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25</w:t>
          </w:r>
          <w:r w:rsidRPr="0026582E">
            <w:rPr>
              <w:rFonts w:ascii="Times New Roman" w:hAnsi="Times New Roman"/>
              <w:noProof/>
              <w:sz w:val="24"/>
              <w:szCs w:val="24"/>
            </w:rPr>
            <w:fldChar w:fldCharType="end"/>
          </w:r>
        </w:p>
        <w:p w14:paraId="278E0454" w14:textId="551B46BB" w:rsidR="0026582E" w:rsidRPr="0026582E" w:rsidRDefault="0026582E">
          <w:pPr>
            <w:pStyle w:val="TOC2"/>
            <w:tabs>
              <w:tab w:val="right" w:pos="9042"/>
            </w:tabs>
            <w:rPr>
              <w:rFonts w:ascii="Times New Roman" w:eastAsiaTheme="minorEastAsia" w:hAnsi="Times New Roman"/>
              <w:i w:val="0"/>
              <w:iCs w:val="0"/>
              <w:noProof/>
              <w:sz w:val="24"/>
              <w:szCs w:val="24"/>
              <w:lang w:val="en-SE"/>
            </w:rPr>
          </w:pPr>
          <w:r w:rsidRPr="0026582E">
            <w:rPr>
              <w:rFonts w:ascii="Times New Roman" w:hAnsi="Times New Roman"/>
              <w:i w:val="0"/>
              <w:iCs w:val="0"/>
              <w:noProof/>
              <w:sz w:val="24"/>
              <w:szCs w:val="24"/>
            </w:rPr>
            <w:t>5.4 Data sampling</w:t>
          </w:r>
          <w:r w:rsidRPr="0026582E">
            <w:rPr>
              <w:rFonts w:ascii="Times New Roman" w:hAnsi="Times New Roman"/>
              <w:i w:val="0"/>
              <w:iCs w:val="0"/>
              <w:noProof/>
              <w:sz w:val="24"/>
              <w:szCs w:val="24"/>
            </w:rPr>
            <w:tab/>
          </w:r>
          <w:r w:rsidRPr="0026582E">
            <w:rPr>
              <w:rFonts w:ascii="Times New Roman" w:hAnsi="Times New Roman"/>
              <w:i w:val="0"/>
              <w:iCs w:val="0"/>
              <w:noProof/>
              <w:sz w:val="24"/>
              <w:szCs w:val="24"/>
            </w:rPr>
            <w:fldChar w:fldCharType="begin"/>
          </w:r>
          <w:r w:rsidRPr="0026582E">
            <w:rPr>
              <w:rFonts w:ascii="Times New Roman" w:hAnsi="Times New Roman"/>
              <w:i w:val="0"/>
              <w:iCs w:val="0"/>
              <w:noProof/>
              <w:sz w:val="24"/>
              <w:szCs w:val="24"/>
            </w:rPr>
            <w:instrText xml:space="preserve"> PAGEREF _Toc61126701 \h </w:instrText>
          </w:r>
          <w:r w:rsidRPr="0026582E">
            <w:rPr>
              <w:rFonts w:ascii="Times New Roman" w:hAnsi="Times New Roman"/>
              <w:i w:val="0"/>
              <w:iCs w:val="0"/>
              <w:noProof/>
              <w:sz w:val="24"/>
              <w:szCs w:val="24"/>
            </w:rPr>
          </w:r>
          <w:r w:rsidRPr="0026582E">
            <w:rPr>
              <w:rFonts w:ascii="Times New Roman" w:hAnsi="Times New Roman"/>
              <w:i w:val="0"/>
              <w:iCs w:val="0"/>
              <w:noProof/>
              <w:sz w:val="24"/>
              <w:szCs w:val="24"/>
            </w:rPr>
            <w:fldChar w:fldCharType="separate"/>
          </w:r>
          <w:r w:rsidR="00C6096B">
            <w:rPr>
              <w:rFonts w:ascii="Times New Roman" w:hAnsi="Times New Roman"/>
              <w:i w:val="0"/>
              <w:iCs w:val="0"/>
              <w:noProof/>
              <w:sz w:val="24"/>
              <w:szCs w:val="24"/>
            </w:rPr>
            <w:t>26</w:t>
          </w:r>
          <w:r w:rsidRPr="0026582E">
            <w:rPr>
              <w:rFonts w:ascii="Times New Roman" w:hAnsi="Times New Roman"/>
              <w:i w:val="0"/>
              <w:iCs w:val="0"/>
              <w:noProof/>
              <w:sz w:val="24"/>
              <w:szCs w:val="24"/>
            </w:rPr>
            <w:fldChar w:fldCharType="end"/>
          </w:r>
        </w:p>
        <w:p w14:paraId="0E48CCAE" w14:textId="3A54E9AB" w:rsidR="0026582E" w:rsidRPr="0026582E" w:rsidRDefault="0026582E">
          <w:pPr>
            <w:pStyle w:val="TOC2"/>
            <w:tabs>
              <w:tab w:val="right" w:pos="9042"/>
            </w:tabs>
            <w:rPr>
              <w:rFonts w:ascii="Times New Roman" w:eastAsiaTheme="minorEastAsia" w:hAnsi="Times New Roman"/>
              <w:i w:val="0"/>
              <w:iCs w:val="0"/>
              <w:noProof/>
              <w:sz w:val="24"/>
              <w:szCs w:val="24"/>
              <w:lang w:val="en-SE"/>
            </w:rPr>
          </w:pPr>
          <w:r w:rsidRPr="0026582E">
            <w:rPr>
              <w:rFonts w:ascii="Times New Roman" w:hAnsi="Times New Roman"/>
              <w:i w:val="0"/>
              <w:iCs w:val="0"/>
              <w:noProof/>
              <w:sz w:val="24"/>
              <w:szCs w:val="24"/>
            </w:rPr>
            <w:t>5.5 Regression model and variable explanation</w:t>
          </w:r>
          <w:r w:rsidRPr="0026582E">
            <w:rPr>
              <w:rFonts w:ascii="Times New Roman" w:hAnsi="Times New Roman"/>
              <w:i w:val="0"/>
              <w:iCs w:val="0"/>
              <w:noProof/>
              <w:sz w:val="24"/>
              <w:szCs w:val="24"/>
            </w:rPr>
            <w:tab/>
          </w:r>
          <w:r w:rsidRPr="0026582E">
            <w:rPr>
              <w:rFonts w:ascii="Times New Roman" w:hAnsi="Times New Roman"/>
              <w:i w:val="0"/>
              <w:iCs w:val="0"/>
              <w:noProof/>
              <w:sz w:val="24"/>
              <w:szCs w:val="24"/>
            </w:rPr>
            <w:fldChar w:fldCharType="begin"/>
          </w:r>
          <w:r w:rsidRPr="0026582E">
            <w:rPr>
              <w:rFonts w:ascii="Times New Roman" w:hAnsi="Times New Roman"/>
              <w:i w:val="0"/>
              <w:iCs w:val="0"/>
              <w:noProof/>
              <w:sz w:val="24"/>
              <w:szCs w:val="24"/>
            </w:rPr>
            <w:instrText xml:space="preserve"> PAGEREF _Toc61126702 \h </w:instrText>
          </w:r>
          <w:r w:rsidRPr="0026582E">
            <w:rPr>
              <w:rFonts w:ascii="Times New Roman" w:hAnsi="Times New Roman"/>
              <w:i w:val="0"/>
              <w:iCs w:val="0"/>
              <w:noProof/>
              <w:sz w:val="24"/>
              <w:szCs w:val="24"/>
            </w:rPr>
          </w:r>
          <w:r w:rsidRPr="0026582E">
            <w:rPr>
              <w:rFonts w:ascii="Times New Roman" w:hAnsi="Times New Roman"/>
              <w:i w:val="0"/>
              <w:iCs w:val="0"/>
              <w:noProof/>
              <w:sz w:val="24"/>
              <w:szCs w:val="24"/>
            </w:rPr>
            <w:fldChar w:fldCharType="separate"/>
          </w:r>
          <w:r w:rsidR="00C6096B">
            <w:rPr>
              <w:rFonts w:ascii="Times New Roman" w:hAnsi="Times New Roman"/>
              <w:i w:val="0"/>
              <w:iCs w:val="0"/>
              <w:noProof/>
              <w:sz w:val="24"/>
              <w:szCs w:val="24"/>
            </w:rPr>
            <w:t>27</w:t>
          </w:r>
          <w:r w:rsidRPr="0026582E">
            <w:rPr>
              <w:rFonts w:ascii="Times New Roman" w:hAnsi="Times New Roman"/>
              <w:i w:val="0"/>
              <w:iCs w:val="0"/>
              <w:noProof/>
              <w:sz w:val="24"/>
              <w:szCs w:val="24"/>
            </w:rPr>
            <w:fldChar w:fldCharType="end"/>
          </w:r>
        </w:p>
        <w:p w14:paraId="19E0F19A" w14:textId="033BC4BF" w:rsidR="0026582E" w:rsidRPr="0026582E" w:rsidRDefault="0026582E">
          <w:pPr>
            <w:pStyle w:val="TOC1"/>
            <w:tabs>
              <w:tab w:val="right" w:pos="9042"/>
            </w:tabs>
            <w:rPr>
              <w:rFonts w:ascii="Times New Roman" w:eastAsiaTheme="minorEastAsia" w:hAnsi="Times New Roman"/>
              <w:b w:val="0"/>
              <w:bCs w:val="0"/>
              <w:noProof/>
              <w:sz w:val="24"/>
              <w:szCs w:val="24"/>
              <w:lang w:val="en-SE"/>
            </w:rPr>
          </w:pPr>
          <w:r w:rsidRPr="0026582E">
            <w:rPr>
              <w:rFonts w:ascii="Times New Roman" w:hAnsi="Times New Roman"/>
              <w:noProof/>
              <w:sz w:val="24"/>
              <w:szCs w:val="24"/>
            </w:rPr>
            <w:t>6. Empirical results</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_Toc61126703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29</w:t>
          </w:r>
          <w:r w:rsidRPr="0026582E">
            <w:rPr>
              <w:rFonts w:ascii="Times New Roman" w:hAnsi="Times New Roman"/>
              <w:noProof/>
              <w:sz w:val="24"/>
              <w:szCs w:val="24"/>
            </w:rPr>
            <w:fldChar w:fldCharType="end"/>
          </w:r>
        </w:p>
        <w:p w14:paraId="65A151DF" w14:textId="03987FF6" w:rsidR="0026582E" w:rsidRPr="0026582E" w:rsidRDefault="0026582E">
          <w:pPr>
            <w:pStyle w:val="TOC2"/>
            <w:tabs>
              <w:tab w:val="right" w:pos="9042"/>
            </w:tabs>
            <w:rPr>
              <w:rFonts w:ascii="Times New Roman" w:eastAsiaTheme="minorEastAsia" w:hAnsi="Times New Roman"/>
              <w:i w:val="0"/>
              <w:iCs w:val="0"/>
              <w:noProof/>
              <w:sz w:val="24"/>
              <w:szCs w:val="24"/>
              <w:lang w:val="en-SE"/>
            </w:rPr>
          </w:pPr>
          <w:r w:rsidRPr="0026582E">
            <w:rPr>
              <w:rFonts w:ascii="Times New Roman" w:hAnsi="Times New Roman"/>
              <w:i w:val="0"/>
              <w:iCs w:val="0"/>
              <w:noProof/>
              <w:sz w:val="24"/>
              <w:szCs w:val="24"/>
            </w:rPr>
            <w:t>6.1 Regression results</w:t>
          </w:r>
          <w:r w:rsidRPr="0026582E">
            <w:rPr>
              <w:rFonts w:ascii="Times New Roman" w:hAnsi="Times New Roman"/>
              <w:i w:val="0"/>
              <w:iCs w:val="0"/>
              <w:noProof/>
              <w:sz w:val="24"/>
              <w:szCs w:val="24"/>
            </w:rPr>
            <w:tab/>
          </w:r>
          <w:r w:rsidRPr="0026582E">
            <w:rPr>
              <w:rFonts w:ascii="Times New Roman" w:hAnsi="Times New Roman"/>
              <w:i w:val="0"/>
              <w:iCs w:val="0"/>
              <w:noProof/>
              <w:sz w:val="24"/>
              <w:szCs w:val="24"/>
            </w:rPr>
            <w:fldChar w:fldCharType="begin"/>
          </w:r>
          <w:r w:rsidRPr="0026582E">
            <w:rPr>
              <w:rFonts w:ascii="Times New Roman" w:hAnsi="Times New Roman"/>
              <w:i w:val="0"/>
              <w:iCs w:val="0"/>
              <w:noProof/>
              <w:sz w:val="24"/>
              <w:szCs w:val="24"/>
            </w:rPr>
            <w:instrText xml:space="preserve"> PAGEREF _Toc61126704 \h </w:instrText>
          </w:r>
          <w:r w:rsidRPr="0026582E">
            <w:rPr>
              <w:rFonts w:ascii="Times New Roman" w:hAnsi="Times New Roman"/>
              <w:i w:val="0"/>
              <w:iCs w:val="0"/>
              <w:noProof/>
              <w:sz w:val="24"/>
              <w:szCs w:val="24"/>
            </w:rPr>
          </w:r>
          <w:r w:rsidRPr="0026582E">
            <w:rPr>
              <w:rFonts w:ascii="Times New Roman" w:hAnsi="Times New Roman"/>
              <w:i w:val="0"/>
              <w:iCs w:val="0"/>
              <w:noProof/>
              <w:sz w:val="24"/>
              <w:szCs w:val="24"/>
            </w:rPr>
            <w:fldChar w:fldCharType="separate"/>
          </w:r>
          <w:r w:rsidR="00C6096B">
            <w:rPr>
              <w:rFonts w:ascii="Times New Roman" w:hAnsi="Times New Roman"/>
              <w:i w:val="0"/>
              <w:iCs w:val="0"/>
              <w:noProof/>
              <w:sz w:val="24"/>
              <w:szCs w:val="24"/>
            </w:rPr>
            <w:t>29</w:t>
          </w:r>
          <w:r w:rsidRPr="0026582E">
            <w:rPr>
              <w:rFonts w:ascii="Times New Roman" w:hAnsi="Times New Roman"/>
              <w:i w:val="0"/>
              <w:iCs w:val="0"/>
              <w:noProof/>
              <w:sz w:val="24"/>
              <w:szCs w:val="24"/>
            </w:rPr>
            <w:fldChar w:fldCharType="end"/>
          </w:r>
        </w:p>
        <w:p w14:paraId="78CEC94D" w14:textId="7F21AD40" w:rsidR="0026582E" w:rsidRPr="0026582E" w:rsidRDefault="0026582E">
          <w:pPr>
            <w:pStyle w:val="TOC3"/>
            <w:tabs>
              <w:tab w:val="right" w:pos="9042"/>
            </w:tabs>
            <w:rPr>
              <w:rFonts w:ascii="Times New Roman" w:eastAsiaTheme="minorEastAsia" w:hAnsi="Times New Roman"/>
              <w:noProof/>
              <w:sz w:val="24"/>
              <w:szCs w:val="24"/>
              <w:lang w:val="en-SE"/>
            </w:rPr>
          </w:pPr>
          <w:r w:rsidRPr="0026582E">
            <w:rPr>
              <w:rFonts w:ascii="Times New Roman" w:hAnsi="Times New Roman"/>
              <w:noProof/>
              <w:sz w:val="24"/>
              <w:szCs w:val="24"/>
            </w:rPr>
            <w:t>6.1.1 Model 1: Base model</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_Toc61126705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29</w:t>
          </w:r>
          <w:r w:rsidRPr="0026582E">
            <w:rPr>
              <w:rFonts w:ascii="Times New Roman" w:hAnsi="Times New Roman"/>
              <w:noProof/>
              <w:sz w:val="24"/>
              <w:szCs w:val="24"/>
            </w:rPr>
            <w:fldChar w:fldCharType="end"/>
          </w:r>
        </w:p>
        <w:p w14:paraId="300D8164" w14:textId="0FF4EC4D" w:rsidR="0026582E" w:rsidRPr="0026582E" w:rsidRDefault="0026582E">
          <w:pPr>
            <w:pStyle w:val="TOC3"/>
            <w:tabs>
              <w:tab w:val="right" w:pos="9042"/>
            </w:tabs>
            <w:rPr>
              <w:rFonts w:ascii="Times New Roman" w:eastAsiaTheme="minorEastAsia" w:hAnsi="Times New Roman"/>
              <w:noProof/>
              <w:sz w:val="24"/>
              <w:szCs w:val="24"/>
              <w:lang w:val="en-SE"/>
            </w:rPr>
          </w:pPr>
          <w:r w:rsidRPr="0026582E">
            <w:rPr>
              <w:rFonts w:ascii="Times New Roman" w:hAnsi="Times New Roman"/>
              <w:noProof/>
              <w:sz w:val="24"/>
              <w:szCs w:val="24"/>
            </w:rPr>
            <w:t>6.1.2 Model 2: Robust standard errors and exclusion of redundant variables</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_Toc61126706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31</w:t>
          </w:r>
          <w:r w:rsidRPr="0026582E">
            <w:rPr>
              <w:rFonts w:ascii="Times New Roman" w:hAnsi="Times New Roman"/>
              <w:noProof/>
              <w:sz w:val="24"/>
              <w:szCs w:val="24"/>
            </w:rPr>
            <w:fldChar w:fldCharType="end"/>
          </w:r>
        </w:p>
        <w:p w14:paraId="11299AE5" w14:textId="77C036C0" w:rsidR="0026582E" w:rsidRPr="0026582E" w:rsidRDefault="0026582E">
          <w:pPr>
            <w:pStyle w:val="TOC3"/>
            <w:tabs>
              <w:tab w:val="right" w:pos="9042"/>
            </w:tabs>
            <w:rPr>
              <w:rFonts w:ascii="Times New Roman" w:eastAsiaTheme="minorEastAsia" w:hAnsi="Times New Roman"/>
              <w:noProof/>
              <w:sz w:val="24"/>
              <w:szCs w:val="24"/>
              <w:lang w:val="en-SE"/>
            </w:rPr>
          </w:pPr>
          <w:r w:rsidRPr="0026582E">
            <w:rPr>
              <w:rFonts w:ascii="Times New Roman" w:hAnsi="Times New Roman"/>
              <w:noProof/>
              <w:sz w:val="24"/>
              <w:szCs w:val="24"/>
            </w:rPr>
            <w:t>6.1.3 Model 3: Logarithmic data transformation of model 2</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_Toc61126707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32</w:t>
          </w:r>
          <w:r w:rsidRPr="0026582E">
            <w:rPr>
              <w:rFonts w:ascii="Times New Roman" w:hAnsi="Times New Roman"/>
              <w:noProof/>
              <w:sz w:val="24"/>
              <w:szCs w:val="24"/>
            </w:rPr>
            <w:fldChar w:fldCharType="end"/>
          </w:r>
        </w:p>
        <w:p w14:paraId="0427F433" w14:textId="638CC303" w:rsidR="0026582E" w:rsidRPr="0026582E" w:rsidRDefault="0026582E">
          <w:pPr>
            <w:pStyle w:val="TOC3"/>
            <w:tabs>
              <w:tab w:val="right" w:pos="9042"/>
            </w:tabs>
            <w:rPr>
              <w:rFonts w:ascii="Times New Roman" w:eastAsiaTheme="minorEastAsia" w:hAnsi="Times New Roman"/>
              <w:noProof/>
              <w:sz w:val="24"/>
              <w:szCs w:val="24"/>
              <w:lang w:val="en-SE"/>
            </w:rPr>
          </w:pPr>
          <w:r w:rsidRPr="0026582E">
            <w:rPr>
              <w:rFonts w:ascii="Times New Roman" w:hAnsi="Times New Roman"/>
              <w:noProof/>
              <w:sz w:val="24"/>
              <w:szCs w:val="24"/>
            </w:rPr>
            <w:t>6.1.4 Model 4: Winsorization of model 3</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_Toc61126708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34</w:t>
          </w:r>
          <w:r w:rsidRPr="0026582E">
            <w:rPr>
              <w:rFonts w:ascii="Times New Roman" w:hAnsi="Times New Roman"/>
              <w:noProof/>
              <w:sz w:val="24"/>
              <w:szCs w:val="24"/>
            </w:rPr>
            <w:fldChar w:fldCharType="end"/>
          </w:r>
        </w:p>
        <w:p w14:paraId="0BCFF410" w14:textId="7B0B5028" w:rsidR="0026582E" w:rsidRPr="0026582E" w:rsidRDefault="0026582E">
          <w:pPr>
            <w:pStyle w:val="TOC2"/>
            <w:tabs>
              <w:tab w:val="right" w:pos="9042"/>
            </w:tabs>
            <w:rPr>
              <w:rFonts w:ascii="Times New Roman" w:eastAsiaTheme="minorEastAsia" w:hAnsi="Times New Roman"/>
              <w:i w:val="0"/>
              <w:iCs w:val="0"/>
              <w:noProof/>
              <w:sz w:val="24"/>
              <w:szCs w:val="24"/>
              <w:lang w:val="en-SE"/>
            </w:rPr>
          </w:pPr>
          <w:r w:rsidRPr="0026582E">
            <w:rPr>
              <w:rFonts w:ascii="Times New Roman" w:hAnsi="Times New Roman"/>
              <w:i w:val="0"/>
              <w:iCs w:val="0"/>
              <w:noProof/>
              <w:sz w:val="24"/>
              <w:szCs w:val="24"/>
            </w:rPr>
            <w:t>6.2 Multicollinearity</w:t>
          </w:r>
          <w:r w:rsidRPr="0026582E">
            <w:rPr>
              <w:rFonts w:ascii="Times New Roman" w:hAnsi="Times New Roman"/>
              <w:i w:val="0"/>
              <w:iCs w:val="0"/>
              <w:noProof/>
              <w:sz w:val="24"/>
              <w:szCs w:val="24"/>
            </w:rPr>
            <w:tab/>
          </w:r>
          <w:r w:rsidRPr="0026582E">
            <w:rPr>
              <w:rFonts w:ascii="Times New Roman" w:hAnsi="Times New Roman"/>
              <w:i w:val="0"/>
              <w:iCs w:val="0"/>
              <w:noProof/>
              <w:sz w:val="24"/>
              <w:szCs w:val="24"/>
            </w:rPr>
            <w:fldChar w:fldCharType="begin"/>
          </w:r>
          <w:r w:rsidRPr="0026582E">
            <w:rPr>
              <w:rFonts w:ascii="Times New Roman" w:hAnsi="Times New Roman"/>
              <w:i w:val="0"/>
              <w:iCs w:val="0"/>
              <w:noProof/>
              <w:sz w:val="24"/>
              <w:szCs w:val="24"/>
            </w:rPr>
            <w:instrText xml:space="preserve"> PAGEREF _Toc61126709 \h </w:instrText>
          </w:r>
          <w:r w:rsidRPr="0026582E">
            <w:rPr>
              <w:rFonts w:ascii="Times New Roman" w:hAnsi="Times New Roman"/>
              <w:i w:val="0"/>
              <w:iCs w:val="0"/>
              <w:noProof/>
              <w:sz w:val="24"/>
              <w:szCs w:val="24"/>
            </w:rPr>
          </w:r>
          <w:r w:rsidRPr="0026582E">
            <w:rPr>
              <w:rFonts w:ascii="Times New Roman" w:hAnsi="Times New Roman"/>
              <w:i w:val="0"/>
              <w:iCs w:val="0"/>
              <w:noProof/>
              <w:sz w:val="24"/>
              <w:szCs w:val="24"/>
            </w:rPr>
            <w:fldChar w:fldCharType="separate"/>
          </w:r>
          <w:r w:rsidR="00C6096B">
            <w:rPr>
              <w:rFonts w:ascii="Times New Roman" w:hAnsi="Times New Roman"/>
              <w:i w:val="0"/>
              <w:iCs w:val="0"/>
              <w:noProof/>
              <w:sz w:val="24"/>
              <w:szCs w:val="24"/>
            </w:rPr>
            <w:t>35</w:t>
          </w:r>
          <w:r w:rsidRPr="0026582E">
            <w:rPr>
              <w:rFonts w:ascii="Times New Roman" w:hAnsi="Times New Roman"/>
              <w:i w:val="0"/>
              <w:iCs w:val="0"/>
              <w:noProof/>
              <w:sz w:val="24"/>
              <w:szCs w:val="24"/>
            </w:rPr>
            <w:fldChar w:fldCharType="end"/>
          </w:r>
        </w:p>
        <w:p w14:paraId="43D2D1BE" w14:textId="65EF13E9" w:rsidR="0026582E" w:rsidRPr="0026582E" w:rsidRDefault="0026582E">
          <w:pPr>
            <w:pStyle w:val="TOC2"/>
            <w:tabs>
              <w:tab w:val="right" w:pos="9042"/>
            </w:tabs>
            <w:rPr>
              <w:rFonts w:ascii="Times New Roman" w:eastAsiaTheme="minorEastAsia" w:hAnsi="Times New Roman"/>
              <w:i w:val="0"/>
              <w:iCs w:val="0"/>
              <w:noProof/>
              <w:sz w:val="24"/>
              <w:szCs w:val="24"/>
              <w:lang w:val="en-SE"/>
            </w:rPr>
          </w:pPr>
          <w:r w:rsidRPr="0026582E">
            <w:rPr>
              <w:rFonts w:ascii="Times New Roman" w:hAnsi="Times New Roman"/>
              <w:i w:val="0"/>
              <w:iCs w:val="0"/>
              <w:noProof/>
              <w:sz w:val="24"/>
              <w:szCs w:val="24"/>
            </w:rPr>
            <w:t>6.3 Answering the hypothesis</w:t>
          </w:r>
          <w:r w:rsidRPr="0026582E">
            <w:rPr>
              <w:rFonts w:ascii="Times New Roman" w:hAnsi="Times New Roman"/>
              <w:i w:val="0"/>
              <w:iCs w:val="0"/>
              <w:noProof/>
              <w:sz w:val="24"/>
              <w:szCs w:val="24"/>
            </w:rPr>
            <w:tab/>
          </w:r>
          <w:r w:rsidRPr="0026582E">
            <w:rPr>
              <w:rFonts w:ascii="Times New Roman" w:hAnsi="Times New Roman"/>
              <w:i w:val="0"/>
              <w:iCs w:val="0"/>
              <w:noProof/>
              <w:sz w:val="24"/>
              <w:szCs w:val="24"/>
            </w:rPr>
            <w:fldChar w:fldCharType="begin"/>
          </w:r>
          <w:r w:rsidRPr="0026582E">
            <w:rPr>
              <w:rFonts w:ascii="Times New Roman" w:hAnsi="Times New Roman"/>
              <w:i w:val="0"/>
              <w:iCs w:val="0"/>
              <w:noProof/>
              <w:sz w:val="24"/>
              <w:szCs w:val="24"/>
            </w:rPr>
            <w:instrText xml:space="preserve"> PAGEREF _Toc61126710 \h </w:instrText>
          </w:r>
          <w:r w:rsidRPr="0026582E">
            <w:rPr>
              <w:rFonts w:ascii="Times New Roman" w:hAnsi="Times New Roman"/>
              <w:i w:val="0"/>
              <w:iCs w:val="0"/>
              <w:noProof/>
              <w:sz w:val="24"/>
              <w:szCs w:val="24"/>
            </w:rPr>
          </w:r>
          <w:r w:rsidRPr="0026582E">
            <w:rPr>
              <w:rFonts w:ascii="Times New Roman" w:hAnsi="Times New Roman"/>
              <w:i w:val="0"/>
              <w:iCs w:val="0"/>
              <w:noProof/>
              <w:sz w:val="24"/>
              <w:szCs w:val="24"/>
            </w:rPr>
            <w:fldChar w:fldCharType="separate"/>
          </w:r>
          <w:r w:rsidR="00C6096B">
            <w:rPr>
              <w:rFonts w:ascii="Times New Roman" w:hAnsi="Times New Roman"/>
              <w:i w:val="0"/>
              <w:iCs w:val="0"/>
              <w:noProof/>
              <w:sz w:val="24"/>
              <w:szCs w:val="24"/>
            </w:rPr>
            <w:t>36</w:t>
          </w:r>
          <w:r w:rsidRPr="0026582E">
            <w:rPr>
              <w:rFonts w:ascii="Times New Roman" w:hAnsi="Times New Roman"/>
              <w:i w:val="0"/>
              <w:iCs w:val="0"/>
              <w:noProof/>
              <w:sz w:val="24"/>
              <w:szCs w:val="24"/>
            </w:rPr>
            <w:fldChar w:fldCharType="end"/>
          </w:r>
        </w:p>
        <w:p w14:paraId="09C54E41" w14:textId="4C50E30F" w:rsidR="0026582E" w:rsidRPr="0026582E" w:rsidRDefault="0026582E">
          <w:pPr>
            <w:pStyle w:val="TOC1"/>
            <w:tabs>
              <w:tab w:val="right" w:pos="9042"/>
            </w:tabs>
            <w:rPr>
              <w:rFonts w:ascii="Times New Roman" w:eastAsiaTheme="minorEastAsia" w:hAnsi="Times New Roman"/>
              <w:b w:val="0"/>
              <w:bCs w:val="0"/>
              <w:noProof/>
              <w:sz w:val="24"/>
              <w:szCs w:val="24"/>
              <w:lang w:val="en-SE"/>
            </w:rPr>
          </w:pPr>
          <w:r w:rsidRPr="0026582E">
            <w:rPr>
              <w:rFonts w:ascii="Times New Roman" w:hAnsi="Times New Roman"/>
              <w:noProof/>
              <w:sz w:val="24"/>
              <w:szCs w:val="24"/>
            </w:rPr>
            <w:t>7. Analysis</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_Toc61126711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37</w:t>
          </w:r>
          <w:r w:rsidRPr="0026582E">
            <w:rPr>
              <w:rFonts w:ascii="Times New Roman" w:hAnsi="Times New Roman"/>
              <w:noProof/>
              <w:sz w:val="24"/>
              <w:szCs w:val="24"/>
            </w:rPr>
            <w:fldChar w:fldCharType="end"/>
          </w:r>
        </w:p>
        <w:p w14:paraId="7157BA20" w14:textId="2E886B5D" w:rsidR="0026582E" w:rsidRPr="0026582E" w:rsidRDefault="0026582E">
          <w:pPr>
            <w:pStyle w:val="TOC1"/>
            <w:tabs>
              <w:tab w:val="right" w:pos="9042"/>
            </w:tabs>
            <w:rPr>
              <w:rFonts w:ascii="Times New Roman" w:eastAsiaTheme="minorEastAsia" w:hAnsi="Times New Roman"/>
              <w:b w:val="0"/>
              <w:bCs w:val="0"/>
              <w:noProof/>
              <w:sz w:val="24"/>
              <w:szCs w:val="24"/>
              <w:lang w:val="en-SE"/>
            </w:rPr>
          </w:pPr>
          <w:r w:rsidRPr="0026582E">
            <w:rPr>
              <w:rFonts w:ascii="Times New Roman" w:hAnsi="Times New Roman"/>
              <w:noProof/>
              <w:sz w:val="24"/>
              <w:szCs w:val="24"/>
            </w:rPr>
            <w:t>8. Conclusion</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_Toc61126712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40</w:t>
          </w:r>
          <w:r w:rsidRPr="0026582E">
            <w:rPr>
              <w:rFonts w:ascii="Times New Roman" w:hAnsi="Times New Roman"/>
              <w:noProof/>
              <w:sz w:val="24"/>
              <w:szCs w:val="24"/>
            </w:rPr>
            <w:fldChar w:fldCharType="end"/>
          </w:r>
        </w:p>
        <w:p w14:paraId="4D8C4566" w14:textId="02FED1BB" w:rsidR="0026582E" w:rsidRPr="0026582E" w:rsidRDefault="0026582E">
          <w:pPr>
            <w:pStyle w:val="TOC1"/>
            <w:tabs>
              <w:tab w:val="right" w:pos="9042"/>
            </w:tabs>
            <w:rPr>
              <w:rFonts w:ascii="Times New Roman" w:eastAsiaTheme="minorEastAsia" w:hAnsi="Times New Roman"/>
              <w:b w:val="0"/>
              <w:bCs w:val="0"/>
              <w:noProof/>
              <w:sz w:val="24"/>
              <w:szCs w:val="24"/>
              <w:lang w:val="en-SE"/>
            </w:rPr>
          </w:pPr>
          <w:r w:rsidRPr="0026582E">
            <w:rPr>
              <w:rFonts w:ascii="Times New Roman" w:hAnsi="Times New Roman"/>
              <w:noProof/>
              <w:sz w:val="24"/>
              <w:szCs w:val="24"/>
            </w:rPr>
            <w:t>9. References</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_Toc61126713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41</w:t>
          </w:r>
          <w:r w:rsidRPr="0026582E">
            <w:rPr>
              <w:rFonts w:ascii="Times New Roman" w:hAnsi="Times New Roman"/>
              <w:noProof/>
              <w:sz w:val="24"/>
              <w:szCs w:val="24"/>
            </w:rPr>
            <w:fldChar w:fldCharType="end"/>
          </w:r>
        </w:p>
        <w:p w14:paraId="194F49ED" w14:textId="6F4989F8" w:rsidR="0026582E" w:rsidRPr="0026582E" w:rsidRDefault="0026582E">
          <w:pPr>
            <w:pStyle w:val="TOC1"/>
            <w:tabs>
              <w:tab w:val="right" w:pos="9042"/>
            </w:tabs>
            <w:rPr>
              <w:rFonts w:ascii="Times New Roman" w:eastAsiaTheme="minorEastAsia" w:hAnsi="Times New Roman"/>
              <w:b w:val="0"/>
              <w:bCs w:val="0"/>
              <w:noProof/>
              <w:sz w:val="24"/>
              <w:szCs w:val="24"/>
              <w:lang w:val="en-SE"/>
            </w:rPr>
          </w:pPr>
          <w:r w:rsidRPr="0026582E">
            <w:rPr>
              <w:rFonts w:ascii="Times New Roman" w:hAnsi="Times New Roman"/>
              <w:noProof/>
              <w:sz w:val="24"/>
              <w:szCs w:val="24"/>
            </w:rPr>
            <w:t>10. Appendix</w:t>
          </w:r>
          <w:r w:rsidRPr="0026582E">
            <w:rPr>
              <w:rFonts w:ascii="Times New Roman" w:hAnsi="Times New Roman"/>
              <w:noProof/>
              <w:sz w:val="24"/>
              <w:szCs w:val="24"/>
            </w:rPr>
            <w:tab/>
          </w:r>
          <w:r w:rsidRPr="0026582E">
            <w:rPr>
              <w:rFonts w:ascii="Times New Roman" w:hAnsi="Times New Roman"/>
              <w:noProof/>
              <w:sz w:val="24"/>
              <w:szCs w:val="24"/>
            </w:rPr>
            <w:fldChar w:fldCharType="begin"/>
          </w:r>
          <w:r w:rsidRPr="0026582E">
            <w:rPr>
              <w:rFonts w:ascii="Times New Roman" w:hAnsi="Times New Roman"/>
              <w:noProof/>
              <w:sz w:val="24"/>
              <w:szCs w:val="24"/>
            </w:rPr>
            <w:instrText xml:space="preserve"> PAGEREF _Toc61126714 \h </w:instrText>
          </w:r>
          <w:r w:rsidRPr="0026582E">
            <w:rPr>
              <w:rFonts w:ascii="Times New Roman" w:hAnsi="Times New Roman"/>
              <w:noProof/>
              <w:sz w:val="24"/>
              <w:szCs w:val="24"/>
            </w:rPr>
          </w:r>
          <w:r w:rsidRPr="0026582E">
            <w:rPr>
              <w:rFonts w:ascii="Times New Roman" w:hAnsi="Times New Roman"/>
              <w:noProof/>
              <w:sz w:val="24"/>
              <w:szCs w:val="24"/>
            </w:rPr>
            <w:fldChar w:fldCharType="separate"/>
          </w:r>
          <w:r w:rsidR="00C6096B">
            <w:rPr>
              <w:rFonts w:ascii="Times New Roman" w:hAnsi="Times New Roman"/>
              <w:noProof/>
              <w:sz w:val="24"/>
              <w:szCs w:val="24"/>
            </w:rPr>
            <w:t>43</w:t>
          </w:r>
          <w:r w:rsidRPr="0026582E">
            <w:rPr>
              <w:rFonts w:ascii="Times New Roman" w:hAnsi="Times New Roman"/>
              <w:noProof/>
              <w:sz w:val="24"/>
              <w:szCs w:val="24"/>
            </w:rPr>
            <w:fldChar w:fldCharType="end"/>
          </w:r>
        </w:p>
        <w:p w14:paraId="7595F102" w14:textId="11D3C3D8" w:rsidR="0026582E" w:rsidRDefault="0026582E">
          <w:r>
            <w:rPr>
              <w:rFonts w:asciiTheme="minorHAnsi" w:hAnsiTheme="minorHAnsi"/>
              <w:sz w:val="20"/>
              <w:szCs w:val="20"/>
            </w:rPr>
            <w:fldChar w:fldCharType="end"/>
          </w:r>
        </w:p>
      </w:sdtContent>
    </w:sdt>
    <w:p w14:paraId="120956EB" w14:textId="7661DABC" w:rsidR="00542DEC" w:rsidRDefault="00542DEC">
      <w:pPr>
        <w:rPr>
          <w:sz w:val="30"/>
          <w:szCs w:val="30"/>
        </w:rPr>
      </w:pPr>
    </w:p>
    <w:p w14:paraId="0B582674" w14:textId="600B0DF3" w:rsidR="00542DEC" w:rsidRDefault="000B6FC7">
      <w:pPr>
        <w:pStyle w:val="Heading1"/>
      </w:pPr>
      <w:bookmarkStart w:id="0" w:name="_Toc61125900"/>
      <w:bookmarkStart w:id="1" w:name="_Toc61126673"/>
      <w:r>
        <w:lastRenderedPageBreak/>
        <w:t>1. Introduction</w:t>
      </w:r>
      <w:bookmarkEnd w:id="0"/>
      <w:bookmarkEnd w:id="1"/>
    </w:p>
    <w:p w14:paraId="4FC7F9A5" w14:textId="73BC739A" w:rsidR="00542DEC" w:rsidRDefault="000B6FC7">
      <w:r>
        <w:t xml:space="preserve">The definition of what it means to manage a business in a sustainable way has developed from something that mostly looks at the financial perspective into something that also encompasses environmental, social and governance </w:t>
      </w:r>
      <w:r w:rsidR="006E1FCA">
        <w:t>criteria</w:t>
      </w:r>
      <w:r>
        <w:t xml:space="preserve"> (ESG). Sustainable investing has gained substantial popularity in the last decades. As of 2018, the market for sustainable investing appears to increase rapidly across all regions of the world. An example of that is the United States which has seen a compounded annual growth rate of sustainable invested assets of 16 percent between the years 2014 and 2018 with an estimated asset value of nearly 12 trillion dollars (GSIA, 2018). Examples of ways to invest sustainably are in financial instruments such as green obligations and mutual funds. This paper will investigate another side of investing, namely mergers and acquisitions, </w:t>
      </w:r>
      <w:r w:rsidR="006E1FCA">
        <w:t>to</w:t>
      </w:r>
      <w:r>
        <w:t xml:space="preserve"> hopefully get a better understanding on what role sustainability possesses.</w:t>
      </w:r>
    </w:p>
    <w:p w14:paraId="309A00F8" w14:textId="620A585D" w:rsidR="0026582E" w:rsidRDefault="000B6FC7">
      <w:r>
        <w:t xml:space="preserve">The purpose of the thesis is to examine the effects companies’ sustainability commitments have on bid premiums in mergers and acquisitions. Previous research has not reached a joint conclusion on the effects of ESG-commitments on bid premiums (Chen &amp; </w:t>
      </w:r>
      <w:proofErr w:type="spellStart"/>
      <w:r>
        <w:t>Gavious</w:t>
      </w:r>
      <w:proofErr w:type="spellEnd"/>
      <w:r>
        <w:t xml:space="preserve">, 2015; </w:t>
      </w:r>
      <w:r>
        <w:rPr>
          <w:highlight w:val="white"/>
        </w:rPr>
        <w:t xml:space="preserve">Gomes &amp; </w:t>
      </w:r>
      <w:proofErr w:type="spellStart"/>
      <w:r>
        <w:rPr>
          <w:highlight w:val="white"/>
        </w:rPr>
        <w:t>Marsat</w:t>
      </w:r>
      <w:proofErr w:type="spellEnd"/>
      <w:r>
        <w:rPr>
          <w:highlight w:val="white"/>
        </w:rPr>
        <w:t>, 2018</w:t>
      </w:r>
      <w:r>
        <w:t>). The intangible nature associated with ESG could be an important reason for this as pointed out by the paper (</w:t>
      </w:r>
      <w:r>
        <w:rPr>
          <w:highlight w:val="white"/>
        </w:rPr>
        <w:t xml:space="preserve">Gomes &amp; </w:t>
      </w:r>
      <w:proofErr w:type="spellStart"/>
      <w:r>
        <w:rPr>
          <w:highlight w:val="white"/>
        </w:rPr>
        <w:t>Marsat</w:t>
      </w:r>
      <w:proofErr w:type="spellEnd"/>
      <w:r>
        <w:rPr>
          <w:highlight w:val="white"/>
        </w:rPr>
        <w:t>, 2018)</w:t>
      </w:r>
      <w:r>
        <w:t xml:space="preserve">. However, we believe that there exists a window of opportunity to study it with an alternative method. The thesis will focus on this issue and use a method to measure ESG-commitments which we have not found in previous research. To differentiate this thesis from previous research we will use a unique ESG-performance portfolio and a variable that measures ESG-difference between the target company and the acquirer which we believe could contribute to previous literature. The paper will only include mergers and acquisitions in the US. This is necessary </w:t>
      </w:r>
      <w:r w:rsidR="006E1FCA">
        <w:t>to</w:t>
      </w:r>
      <w:r>
        <w:t xml:space="preserve"> utilize the corporate ESG-ratings that are considered to be the most reliable and trustworthy. Our research concludes that there exists a small but significant negative relationship between ESG-ratings of the target company and bid premiums. In </w:t>
      </w:r>
      <w:r w:rsidR="006E1FCA">
        <w:t>addition,</w:t>
      </w:r>
      <w:r>
        <w:t xml:space="preserve"> it concludes that the ESG-difference between the target and the acquirer has no significant effect on the bid premium.  Policymakers could use this information and see what incentives drive socially responsible investments (SRI). The implications of the results are extended in section 7 to investigate if there is a difference in how </w:t>
      </w:r>
      <w:r>
        <w:lastRenderedPageBreak/>
        <w:t xml:space="preserve">different types of investors value sustainability and what reasons for that could be. </w:t>
      </w:r>
      <w:r w:rsidR="00352F45">
        <w:t>This could help smaller business understand how to raise capital in a better way.</w:t>
      </w:r>
    </w:p>
    <w:p w14:paraId="1A9185C9" w14:textId="6D715A16" w:rsidR="00542DEC" w:rsidRPr="0026582E" w:rsidRDefault="000B6FC7">
      <w:r>
        <w:t xml:space="preserve">This study answers the “if”. Future studies can use the results from this paper to study the “why” and thereby the effects of ESG-commitments on the two main motives for merger </w:t>
      </w:r>
      <w:r w:rsidR="00CB49C6">
        <w:t>strategy:</w:t>
      </w:r>
      <w:r>
        <w:t xml:space="preserve"> growth and synergistic efficiencies. </w:t>
      </w:r>
    </w:p>
    <w:p w14:paraId="5BC6394C" w14:textId="77777777" w:rsidR="00542DEC" w:rsidRDefault="00542DEC"/>
    <w:p w14:paraId="5E910B2C" w14:textId="77777777" w:rsidR="00542DEC" w:rsidRDefault="000B6FC7">
      <w:pPr>
        <w:pStyle w:val="Heading1"/>
      </w:pPr>
      <w:bookmarkStart w:id="2" w:name="_z6fr9fyupz81" w:colFirst="0" w:colLast="0"/>
      <w:bookmarkEnd w:id="2"/>
      <w:r>
        <w:br w:type="page"/>
      </w:r>
    </w:p>
    <w:p w14:paraId="7D668CC5" w14:textId="75B3D5EC" w:rsidR="00542DEC" w:rsidRDefault="000B6FC7">
      <w:pPr>
        <w:pStyle w:val="Heading1"/>
      </w:pPr>
      <w:bookmarkStart w:id="3" w:name="_Toc61125901"/>
      <w:bookmarkStart w:id="4" w:name="_Toc61126674"/>
      <w:r>
        <w:lastRenderedPageBreak/>
        <w:t>2. Institutional framework</w:t>
      </w:r>
      <w:bookmarkEnd w:id="3"/>
      <w:bookmarkEnd w:id="4"/>
    </w:p>
    <w:p w14:paraId="62335015" w14:textId="6EA51B75" w:rsidR="00542DEC" w:rsidRDefault="000B6FC7">
      <w:pPr>
        <w:jc w:val="center"/>
        <w:rPr>
          <w:i/>
        </w:rPr>
      </w:pPr>
      <w:r>
        <w:rPr>
          <w:i/>
        </w:rPr>
        <w:t>This chapter provides a theoretical basis for how mergers and acquisitions are carried through.  It will also cover techniques to measure sustainability and potential issues surrounding their accuracy. Lastly, it will present a hypothesis.</w:t>
      </w:r>
    </w:p>
    <w:p w14:paraId="659432D5" w14:textId="18AA0561" w:rsidR="00542DEC" w:rsidRDefault="000B6FC7">
      <w:pPr>
        <w:pStyle w:val="Heading2"/>
      </w:pPr>
      <w:bookmarkStart w:id="5" w:name="_Toc61125902"/>
      <w:bookmarkStart w:id="6" w:name="_Toc61126675"/>
      <w:r>
        <w:t>2.1 Mergers and acquisitions</w:t>
      </w:r>
      <w:bookmarkEnd w:id="5"/>
      <w:bookmarkEnd w:id="6"/>
      <w:r>
        <w:t xml:space="preserve"> </w:t>
      </w:r>
    </w:p>
    <w:p w14:paraId="016F033A" w14:textId="62B51596" w:rsidR="00542DEC" w:rsidRDefault="000B6FC7">
      <w:pPr>
        <w:rPr>
          <w:b/>
        </w:rPr>
      </w:pPr>
      <w:r>
        <w:t xml:space="preserve">Mergers and acquisitions, or M&amp;A as it is commonly referred to, is a wide-ranging term used to illustrate a series of corporate transactions whereupon companies or assets are consolidated into one company or a whole new entity. The company acquiring another company is called </w:t>
      </w:r>
      <w:r>
        <w:rPr>
          <w:i/>
        </w:rPr>
        <w:t>acquirer</w:t>
      </w:r>
      <w:r>
        <w:t xml:space="preserve"> and the company being acquired is called </w:t>
      </w:r>
      <w:r>
        <w:rPr>
          <w:i/>
        </w:rPr>
        <w:t>target</w:t>
      </w:r>
      <w:r>
        <w:t xml:space="preserve">. There exists a difference in terminology depending on the nature of the event. An </w:t>
      </w:r>
      <w:r>
        <w:rPr>
          <w:i/>
        </w:rPr>
        <w:t>acquisition</w:t>
      </w:r>
      <w:r>
        <w:t xml:space="preserve"> is when one company acquires another company which is later </w:t>
      </w:r>
      <w:r>
        <w:rPr>
          <w:i/>
        </w:rPr>
        <w:t>merged</w:t>
      </w:r>
      <w:r>
        <w:t xml:space="preserve"> into that company (</w:t>
      </w:r>
      <w:r w:rsidR="009C2106">
        <w:t>A</w:t>
      </w:r>
      <w:r>
        <w:t xml:space="preserve"> + </w:t>
      </w:r>
      <w:r w:rsidR="009C2106">
        <w:t>B</w:t>
      </w:r>
      <w:r>
        <w:t xml:space="preserve"> = </w:t>
      </w:r>
      <w:r w:rsidR="009C2106">
        <w:t>A</w:t>
      </w:r>
      <w:r>
        <w:t>)</w:t>
      </w:r>
      <w:r w:rsidR="00255F60" w:rsidRPr="00255F60">
        <w:t xml:space="preserve"> </w:t>
      </w:r>
      <w:r w:rsidR="00255F60">
        <w:t>(</w:t>
      </w:r>
      <w:proofErr w:type="spellStart"/>
      <w:r w:rsidR="00255F60">
        <w:t>Gaughan</w:t>
      </w:r>
      <w:proofErr w:type="spellEnd"/>
      <w:r w:rsidR="00255F60">
        <w:t xml:space="preserve"> p</w:t>
      </w:r>
      <w:r w:rsidR="009C2106">
        <w:t xml:space="preserve"> </w:t>
      </w:r>
      <w:r w:rsidR="00255F60">
        <w:t>11-13, 2018)</w:t>
      </w:r>
      <w:r>
        <w:t xml:space="preserve">. A </w:t>
      </w:r>
      <w:r>
        <w:rPr>
          <w:i/>
        </w:rPr>
        <w:t>merger</w:t>
      </w:r>
      <w:r>
        <w:t xml:space="preserve"> on the other hand is a business combination whereby two or more companies join to form a new entity (</w:t>
      </w:r>
      <w:r w:rsidR="009C2106">
        <w:t>A</w:t>
      </w:r>
      <w:r>
        <w:t xml:space="preserve"> + </w:t>
      </w:r>
      <w:r w:rsidR="009C2106">
        <w:t>B</w:t>
      </w:r>
      <w:r>
        <w:t xml:space="preserve"> = </w:t>
      </w:r>
      <w:r w:rsidR="009C2106">
        <w:t>C</w:t>
      </w:r>
      <w:r w:rsidR="002A3AEF">
        <w:t>)</w:t>
      </w:r>
      <w:r w:rsidR="00D90487">
        <w:t xml:space="preserve"> </w:t>
      </w:r>
      <w:r w:rsidR="00D90487">
        <w:rPr>
          <w:color w:val="000000"/>
        </w:rPr>
        <w:t>(Investopedia, 2020)</w:t>
      </w:r>
      <w:r w:rsidR="002A3AEF">
        <w:t xml:space="preserve">. </w:t>
      </w:r>
      <w:r>
        <w:t>The two definitions are used almost interchangeably in the banking industry. However, what separates the two is the size of the target and acquirer. When the deal regards similar-sized corporations it is called a merger; when the firms differ significantly in size the terminology acquisition is more appropriate (</w:t>
      </w:r>
      <w:proofErr w:type="spellStart"/>
      <w:r>
        <w:t>Gaughan</w:t>
      </w:r>
      <w:proofErr w:type="spellEnd"/>
      <w:r w:rsidR="00255F60">
        <w:t xml:space="preserve"> p</w:t>
      </w:r>
      <w:r w:rsidR="009C2106">
        <w:t xml:space="preserve"> </w:t>
      </w:r>
      <w:r w:rsidR="00255F60">
        <w:t>11-13</w:t>
      </w:r>
      <w:r>
        <w:t>, 2018).</w:t>
      </w:r>
    </w:p>
    <w:p w14:paraId="1ADB867D" w14:textId="2C08C38D" w:rsidR="00542DEC" w:rsidRDefault="000B6FC7">
      <w:pPr>
        <w:pStyle w:val="Heading2"/>
      </w:pPr>
      <w:bookmarkStart w:id="7" w:name="_Toc61125903"/>
      <w:bookmarkStart w:id="8" w:name="_Toc61126676"/>
      <w:r>
        <w:t>2.2 Bidding and valuation process</w:t>
      </w:r>
      <w:bookmarkEnd w:id="7"/>
      <w:bookmarkEnd w:id="8"/>
    </w:p>
    <w:p w14:paraId="37EDF094" w14:textId="3E332480" w:rsidR="006761C9" w:rsidRDefault="000B6FC7">
      <w:r>
        <w:t>The bid is a corporate action resulting in the acquiring company making an offer to the target company. It is usually paid by cash or stocks or a combination of both, but there exist other means of payment as well. The bid can be described as a function of two variables.  Equation 1 shows what the bid includes.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9"/>
        <w:gridCol w:w="7317"/>
        <w:gridCol w:w="496"/>
      </w:tblGrid>
      <w:tr w:rsidR="006761C9" w14:paraId="1EFA2AC3" w14:textId="77777777" w:rsidTr="006761C9">
        <w:tc>
          <w:tcPr>
            <w:tcW w:w="1271" w:type="dxa"/>
          </w:tcPr>
          <w:p w14:paraId="3FB88746" w14:textId="77777777" w:rsidR="006761C9" w:rsidRDefault="006761C9"/>
        </w:tc>
        <w:tc>
          <w:tcPr>
            <w:tcW w:w="7513" w:type="dxa"/>
          </w:tcPr>
          <w:p w14:paraId="252A5156" w14:textId="75FC1D2C" w:rsidR="006761C9" w:rsidRPr="006761C9" w:rsidRDefault="006761C9">
            <w:pPr>
              <w:rPr>
                <w:i/>
                <w:iCs/>
              </w:rPr>
            </w:pPr>
            <w:r w:rsidRPr="006761C9">
              <w:rPr>
                <w:i/>
                <w:iCs/>
              </w:rPr>
              <w:t>Amount paid (bid) = target’s market value + bid premium</w:t>
            </w:r>
          </w:p>
        </w:tc>
        <w:tc>
          <w:tcPr>
            <w:tcW w:w="258" w:type="dxa"/>
          </w:tcPr>
          <w:p w14:paraId="637F1FF7" w14:textId="5128DD8B" w:rsidR="006761C9" w:rsidRDefault="006761C9">
            <w:r>
              <w:t>(</w:t>
            </w:r>
            <w:r>
              <w:rPr>
                <w:b/>
              </w:rPr>
              <w:t>1)</w:t>
            </w:r>
          </w:p>
        </w:tc>
      </w:tr>
    </w:tbl>
    <w:p w14:paraId="1C9EFF34" w14:textId="5D145ED5" w:rsidR="00542DEC" w:rsidRDefault="000B6FC7">
      <w:r>
        <w:t>The bid is presented to the board of directors and can be either accepted or rejected. Occasionally, a bidder can be met by rival bidders that are also interested in acquiring the target (</w:t>
      </w:r>
      <w:proofErr w:type="spellStart"/>
      <w:r>
        <w:t>Gaughan</w:t>
      </w:r>
      <w:proofErr w:type="spellEnd"/>
      <w:r w:rsidR="009C2106">
        <w:t xml:space="preserve"> p 84</w:t>
      </w:r>
      <w:r>
        <w:t>, 2018).  Figure 1 shows different outcomes of a bidding process.</w:t>
      </w:r>
    </w:p>
    <w:p w14:paraId="25CF95FB" w14:textId="77777777" w:rsidR="006761C9" w:rsidRDefault="006761C9"/>
    <w:p w14:paraId="1AB121E5" w14:textId="77777777" w:rsidR="00542DEC" w:rsidRDefault="000B6FC7">
      <w:pPr>
        <w:jc w:val="center"/>
        <w:rPr>
          <w:b/>
        </w:rPr>
      </w:pPr>
      <w:r>
        <w:rPr>
          <w:b/>
        </w:rPr>
        <w:t>Figure 1. A simple illustration of how the bidding process is carried through</w:t>
      </w:r>
    </w:p>
    <w:p w14:paraId="4F990AEA" w14:textId="5304C5CC" w:rsidR="00542DEC" w:rsidRDefault="000B6FC7">
      <w:r>
        <w:rPr>
          <w:noProof/>
        </w:rPr>
        <w:drawing>
          <wp:anchor distT="57150" distB="57150" distL="57150" distR="57150" simplePos="0" relativeHeight="251659264" behindDoc="0" locked="0" layoutInCell="1" hidden="0" allowOverlap="1" wp14:anchorId="70B830F2" wp14:editId="653A94A5">
            <wp:simplePos x="0" y="0"/>
            <wp:positionH relativeFrom="column">
              <wp:posOffset>648712</wp:posOffset>
            </wp:positionH>
            <wp:positionV relativeFrom="paragraph">
              <wp:posOffset>142875</wp:posOffset>
            </wp:positionV>
            <wp:extent cx="4448175" cy="2695575"/>
            <wp:effectExtent l="0" t="0" r="0" b="0"/>
            <wp:wrapTopAndBottom distT="57150" distB="5715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4448175" cy="2695575"/>
                    </a:xfrm>
                    <a:prstGeom prst="rect">
                      <a:avLst/>
                    </a:prstGeom>
                    <a:ln/>
                  </pic:spPr>
                </pic:pic>
              </a:graphicData>
            </a:graphic>
          </wp:anchor>
        </w:drawing>
      </w:r>
      <w:r>
        <w:t xml:space="preserve">A common way to describe the bid is through either an </w:t>
      </w:r>
      <w:r>
        <w:rPr>
          <w:i/>
        </w:rPr>
        <w:t>exchange ratio</w:t>
      </w:r>
      <w:r>
        <w:t xml:space="preserve"> or a </w:t>
      </w:r>
      <w:r>
        <w:rPr>
          <w:i/>
        </w:rPr>
        <w:t>control premium</w:t>
      </w:r>
      <w:r>
        <w:t xml:space="preserve">, also known as a </w:t>
      </w:r>
      <w:r>
        <w:rPr>
          <w:i/>
        </w:rPr>
        <w:t>bid premium</w:t>
      </w:r>
      <w:r>
        <w:t xml:space="preserve">. The shareholders of the target company may be offered a certain amount of shares in the acquiring company for each share of the target company that they own. The ratio of how these shares </w:t>
      </w:r>
      <w:r w:rsidR="006E1FCA">
        <w:t>is</w:t>
      </w:r>
      <w:r>
        <w:t xml:space="preserve"> exchanged is called the </w:t>
      </w:r>
      <w:r>
        <w:rPr>
          <w:i/>
        </w:rPr>
        <w:t>exchange ratio</w:t>
      </w:r>
      <w:r>
        <w:t xml:space="preserve"> or </w:t>
      </w:r>
      <w:r>
        <w:rPr>
          <w:i/>
        </w:rPr>
        <w:t>stock swap</w:t>
      </w:r>
      <w:r>
        <w:t>. The premium, on the other hand, is an offer to purchase the target company shares for a certain percentage above what the company is currently trading at. This premium is there to incentivize the shareholders of the target company to sell their shares to the acquirer (</w:t>
      </w:r>
      <w:proofErr w:type="spellStart"/>
      <w:r>
        <w:t>Pignataro</w:t>
      </w:r>
      <w:proofErr w:type="spellEnd"/>
      <w:r>
        <w:t xml:space="preserve"> p 104-105, 2020). </w:t>
      </w:r>
    </w:p>
    <w:p w14:paraId="3D4483DB" w14:textId="2DC38ED4" w:rsidR="00542DEC" w:rsidRDefault="000B6FC7">
      <w:r>
        <w:t>There are three main methodologies for conducting a valuation of a company. These three methods for valuation help explain what exchange ratio or bid premium is considered reasonable to pay when acquiring another business. The three methodologies are Comparable Companies Analysis, Precedent Transaction Analysis and Discounted Cash Flow Analysis. These methods are used in mergers and acquisitions (M&amp;As), initial public offerings (IPOs), restructuring etc. They are commonly combined to create a final valuation. The following three sections will not go into detail how the methods are carried out. Instead, it will focus on what each method of valuation deem</w:t>
      </w:r>
      <w:r w:rsidR="006E1FCA">
        <w:t>s</w:t>
      </w:r>
      <w:r>
        <w:t xml:space="preserve"> important for evaluating a company. The result of this can </w:t>
      </w:r>
      <w:r>
        <w:lastRenderedPageBreak/>
        <w:t xml:space="preserve">help indicate what investors involved in M&amp;A include in their valuation and what role sustainability may have. </w:t>
      </w:r>
    </w:p>
    <w:p w14:paraId="08834207" w14:textId="6ED1F709" w:rsidR="00542DEC" w:rsidRDefault="000B6FC7">
      <w:pPr>
        <w:pStyle w:val="Heading3"/>
      </w:pPr>
      <w:bookmarkStart w:id="9" w:name="_Toc61125904"/>
      <w:bookmarkStart w:id="10" w:name="_Toc61126677"/>
      <w:r>
        <w:t>2.2.1 Comparable Companies Analysis</w:t>
      </w:r>
      <w:bookmarkEnd w:id="9"/>
      <w:bookmarkEnd w:id="10"/>
    </w:p>
    <w:p w14:paraId="2E88B560" w14:textId="0AC33379" w:rsidR="00542DEC" w:rsidRDefault="000B6FC7">
      <w:r>
        <w:t xml:space="preserve">Comparable companies could be a highly relevant source to benchmark against and in turn value the target company. When conducting Comparable Companies </w:t>
      </w:r>
      <w:r w:rsidR="006E1FCA">
        <w:t>Analysis,</w:t>
      </w:r>
      <w:r>
        <w:t xml:space="preserve"> the target company is compared to companies that share business and financial characteristics, performance drivers and risks (Rosenbaum</w:t>
      </w:r>
      <w:r w:rsidR="009C2106">
        <w:t xml:space="preserve"> &amp;</w:t>
      </w:r>
      <w:r>
        <w:t xml:space="preserve"> Pearl p 51, 2009). Analysts use trading multiples to give a valuation relative to the group of similar companies (Berk &amp; </w:t>
      </w:r>
      <w:proofErr w:type="spellStart"/>
      <w:r>
        <w:t>DeMarzo</w:t>
      </w:r>
      <w:proofErr w:type="spellEnd"/>
      <w:r>
        <w:t xml:space="preserve"> p 1011, 2017). Below is a list of the </w:t>
      </w:r>
      <w:r w:rsidR="006E1FCA">
        <w:t>most used</w:t>
      </w:r>
      <w:r>
        <w:t xml:space="preserve"> comparable multiples according to literature (Rosenbaum</w:t>
      </w:r>
      <w:r w:rsidR="009C2106">
        <w:t xml:space="preserve"> &amp;</w:t>
      </w:r>
      <w:r>
        <w:t xml:space="preserve"> Pearl p 82-118, 2009):</w:t>
      </w:r>
    </w:p>
    <w:p w14:paraId="4DA2EB82" w14:textId="77777777" w:rsidR="00542DEC" w:rsidRDefault="000B6FC7" w:rsidP="006E1FCA">
      <w:pPr>
        <w:pStyle w:val="ListParagraph"/>
        <w:numPr>
          <w:ilvl w:val="0"/>
          <w:numId w:val="4"/>
        </w:numPr>
        <w:spacing w:after="0"/>
      </w:pPr>
      <w:r>
        <w:t xml:space="preserve">Size </w:t>
      </w:r>
    </w:p>
    <w:p w14:paraId="7E31A693" w14:textId="232E3FB8" w:rsidR="00542DEC" w:rsidRDefault="006E1FCA" w:rsidP="006E1FCA">
      <w:pPr>
        <w:pStyle w:val="ListParagraph"/>
        <w:numPr>
          <w:ilvl w:val="1"/>
          <w:numId w:val="4"/>
        </w:numPr>
        <w:spacing w:before="0" w:after="0"/>
      </w:pPr>
      <w:r>
        <w:t>M</w:t>
      </w:r>
      <w:r w:rsidR="000B6FC7">
        <w:t xml:space="preserve">arket valuation: equity value and enterprise value </w:t>
      </w:r>
    </w:p>
    <w:p w14:paraId="51D05920" w14:textId="3AFEDD49" w:rsidR="00542DEC" w:rsidRDefault="006E1FCA" w:rsidP="006E1FCA">
      <w:pPr>
        <w:pStyle w:val="ListParagraph"/>
        <w:numPr>
          <w:ilvl w:val="1"/>
          <w:numId w:val="4"/>
        </w:numPr>
        <w:spacing w:before="0" w:after="0"/>
      </w:pPr>
      <w:r>
        <w:t>K</w:t>
      </w:r>
      <w:r w:rsidR="000B6FC7">
        <w:t>ey financial data: sales, gross profit, EBITDA, EBIT, and net income</w:t>
      </w:r>
    </w:p>
    <w:p w14:paraId="40F8070D" w14:textId="77777777" w:rsidR="00542DEC" w:rsidRDefault="000B6FC7" w:rsidP="006E1FCA">
      <w:pPr>
        <w:pStyle w:val="ListParagraph"/>
        <w:numPr>
          <w:ilvl w:val="0"/>
          <w:numId w:val="4"/>
        </w:numPr>
        <w:spacing w:before="0" w:after="0"/>
      </w:pPr>
      <w:r>
        <w:t>Profitability (gross profit, EBITDA, EBIT, and net income margins)</w:t>
      </w:r>
    </w:p>
    <w:p w14:paraId="0633632E" w14:textId="77777777" w:rsidR="00542DEC" w:rsidRDefault="000B6FC7" w:rsidP="006E1FCA">
      <w:pPr>
        <w:pStyle w:val="ListParagraph"/>
        <w:numPr>
          <w:ilvl w:val="0"/>
          <w:numId w:val="4"/>
        </w:numPr>
        <w:spacing w:before="0" w:after="0"/>
      </w:pPr>
      <w:r>
        <w:t>Growth Profile (historical and estimated growth rates)</w:t>
      </w:r>
    </w:p>
    <w:p w14:paraId="7C708CEF" w14:textId="77777777" w:rsidR="00542DEC" w:rsidRDefault="000B6FC7" w:rsidP="006E1FCA">
      <w:pPr>
        <w:pStyle w:val="ListParagraph"/>
        <w:numPr>
          <w:ilvl w:val="0"/>
          <w:numId w:val="4"/>
        </w:numPr>
        <w:spacing w:before="0" w:after="0"/>
      </w:pPr>
      <w:r>
        <w:t>Return on Investment (ROIC, ROE, ROA, and dividend yield)</w:t>
      </w:r>
    </w:p>
    <w:p w14:paraId="04DBB9FE" w14:textId="77777777" w:rsidR="00542DEC" w:rsidRDefault="000B6FC7" w:rsidP="006E1FCA">
      <w:pPr>
        <w:pStyle w:val="ListParagraph"/>
        <w:numPr>
          <w:ilvl w:val="0"/>
          <w:numId w:val="4"/>
        </w:numPr>
        <w:spacing w:before="0"/>
      </w:pPr>
      <w:r>
        <w:t>Credit Profile (leverage ratios, coverage ratios, and credit ratings)</w:t>
      </w:r>
    </w:p>
    <w:p w14:paraId="7C7B00D7" w14:textId="40408377" w:rsidR="00542DEC" w:rsidRDefault="000B6FC7">
      <w:r>
        <w:t>The importance of the abovementioned multiples may vary depending on the sector of the target company. This type of valuation is a market-based valuation and relies on previously published financial data. Contrary to this type of method are methods such as the Discounted Cash Flow Analysis that rely on intrinsic values. Comparable Companies Analysis may value companies inaccurately if previous data was subjected to irrational investor sentiment. Another weakness is that it relies on finding similar companies which can in some cases be difficult (Rosenbaum</w:t>
      </w:r>
      <w:r w:rsidR="009C2106">
        <w:t xml:space="preserve"> &amp;</w:t>
      </w:r>
      <w:r>
        <w:t xml:space="preserve"> Pearl p 53-54, 2009). This difficulty makes it so that the method risks leaving out company-specific strengths, weakness, </w:t>
      </w:r>
      <w:r w:rsidR="006E1FCA">
        <w:t>opportunities,</w:t>
      </w:r>
      <w:r>
        <w:t xml:space="preserve"> and threats (Rosenbaum</w:t>
      </w:r>
      <w:r w:rsidR="009C2106">
        <w:t xml:space="preserve"> &amp; </w:t>
      </w:r>
      <w:r>
        <w:t xml:space="preserve">Pearl p 128, 2009). The method does not account for parameters such as synergistic efficiencies for the acquirer and projections like the ones used in Discounted Cash Flow analysis, the method should at its best </w:t>
      </w:r>
      <w:r w:rsidR="006E1FCA">
        <w:t>be</w:t>
      </w:r>
      <w:r>
        <w:t xml:space="preserve"> a rough estimate that should be used together with other methods of valuation (</w:t>
      </w:r>
      <w:proofErr w:type="spellStart"/>
      <w:r>
        <w:t>Gaughan</w:t>
      </w:r>
      <w:proofErr w:type="spellEnd"/>
      <w:r>
        <w:t xml:space="preserve"> p 574, 2018). There could be synergistic efficiencies surrounding ESG between the target and </w:t>
      </w:r>
      <w:r>
        <w:lastRenderedPageBreak/>
        <w:t xml:space="preserve">the acquirer that the valuation method excludes. Analysts that only use this type of valuation may ignore or miss potential synergistic effects such as the case for ESG. </w:t>
      </w:r>
    </w:p>
    <w:p w14:paraId="15DC2175" w14:textId="56F96969" w:rsidR="00542DEC" w:rsidRDefault="000B6FC7">
      <w:pPr>
        <w:pStyle w:val="Heading3"/>
      </w:pPr>
      <w:bookmarkStart w:id="11" w:name="_Toc61125905"/>
      <w:bookmarkStart w:id="12" w:name="_Toc61126678"/>
      <w:r>
        <w:t>2.2.2 Precedent Transaction Analysis</w:t>
      </w:r>
      <w:bookmarkEnd w:id="11"/>
      <w:bookmarkEnd w:id="12"/>
    </w:p>
    <w:p w14:paraId="38FC47F7" w14:textId="40495EE2" w:rsidR="00542DEC" w:rsidRDefault="006E1FCA">
      <w:pPr>
        <w:rPr>
          <w:rFonts w:ascii="Arial" w:eastAsia="Arial" w:hAnsi="Arial" w:cs="Arial"/>
          <w:u w:val="single"/>
        </w:rPr>
      </w:pPr>
      <w:r>
        <w:t>Like</w:t>
      </w:r>
      <w:r w:rsidR="000B6FC7">
        <w:t xml:space="preserve"> Comparable Company Analysis, Precedent Transaction Analysis relies on already known data. The main difference is that this method looks at previous acquisitions and how similar target firms were valued (Rosenbaum</w:t>
      </w:r>
      <w:r w:rsidR="009C2106">
        <w:t xml:space="preserve"> &amp; </w:t>
      </w:r>
      <w:r w:rsidR="000B6FC7">
        <w:t>Pearl p 181, 2009). Given that the number of acquisitions is lower than the number of firms, it is expected that the universe of potential matches is smaller in Precedent Transaction Analysis than in Comparable Company Analysis. In (Rosenbaum</w:t>
      </w:r>
      <w:r w:rsidR="009C2106">
        <w:t xml:space="preserve"> &amp; </w:t>
      </w:r>
      <w:r w:rsidR="000B6FC7">
        <w:t xml:space="preserve">Pearl p 182, 2009), analysts are suggested to have transactions as recent in </w:t>
      </w:r>
      <w:r>
        <w:t>time,</w:t>
      </w:r>
      <w:r w:rsidR="000B6FC7">
        <w:t xml:space="preserve"> so the compared transaction was subject to a market as </w:t>
      </w:r>
      <w:r>
        <w:t>like</w:t>
      </w:r>
      <w:r w:rsidR="000B6FC7">
        <w:t xml:space="preserve"> the ones in question. But this may not always be as important. Example of that is industries that are less cyclical. The multiples presented in Comparable Company Analysis are the same that are commonly used in Precedent Transaction Analysis. But the most notable difference is that Precedent Transaction Analysis does to some extent include potential synergies and the value of control of the acquirer in the valuation (Rosenbaum</w:t>
      </w:r>
      <w:r w:rsidR="009C2106">
        <w:t xml:space="preserve"> &amp;</w:t>
      </w:r>
      <w:r w:rsidR="000B6FC7">
        <w:t xml:space="preserve"> Pearl p 184, 2009). This difference could be of great importance when companies value the impact ESG has on bid premiums. Another key difference is that it looks at deal dynamics such as whether the acquirer was a strategic buyer or financial sponsor, what were the acquirer and target motives for the transaction and whether the deal was friendly or hostile (Rosenbaum</w:t>
      </w:r>
      <w:r w:rsidR="009C2106">
        <w:t xml:space="preserve"> &amp;</w:t>
      </w:r>
      <w:r w:rsidR="000B6FC7">
        <w:t xml:space="preserve"> Pearl p 190, 2009). The main motives for mergers and what deal dynamics is will be covered in section 2.3.2 and 2.4.1</w:t>
      </w:r>
    </w:p>
    <w:p w14:paraId="4161ACFE" w14:textId="7D350FB3" w:rsidR="00542DEC" w:rsidRDefault="000B6FC7">
      <w:pPr>
        <w:pStyle w:val="Heading3"/>
      </w:pPr>
      <w:bookmarkStart w:id="13" w:name="_Toc61125906"/>
      <w:bookmarkStart w:id="14" w:name="_Toc61126679"/>
      <w:r>
        <w:t>2.2.3 Discounted Cash Flow Analysis</w:t>
      </w:r>
      <w:bookmarkEnd w:id="13"/>
      <w:bookmarkEnd w:id="14"/>
    </w:p>
    <w:p w14:paraId="5B365314" w14:textId="6FC285D4" w:rsidR="00542DEC" w:rsidRDefault="000B6FC7">
      <w:r>
        <w:t xml:space="preserve">The discounted cash flow analysis is maybe the </w:t>
      </w:r>
      <w:r w:rsidR="006E1FCA">
        <w:t>most referred</w:t>
      </w:r>
      <w:r>
        <w:t xml:space="preserve"> to method among investment bankers, university professors and other financial analysts. As previously mentioned, this method uses intrinsic values </w:t>
      </w:r>
      <w:r w:rsidR="006E1FCA">
        <w:t>to</w:t>
      </w:r>
      <w:r>
        <w:t xml:space="preserve"> create a valuation. It values the present value of its projected free cash flow using predictions of capital expenditures, profit margins, sales </w:t>
      </w:r>
      <w:r w:rsidR="006E1FCA">
        <w:t>growth,</w:t>
      </w:r>
      <w:r>
        <w:t xml:space="preserve"> and net working capital requirements. The projections are mainly carried through by financial analysts, such as investment bankers, on the acquiring side as well as management guidance from the target (Rosenbaum</w:t>
      </w:r>
      <w:r w:rsidR="009C2106">
        <w:t xml:space="preserve"> &amp;</w:t>
      </w:r>
      <w:r>
        <w:t xml:space="preserve"> Pearl p 258, 2009). Although previous data serves an important role in this method as well. The method is particularly advantageous when there are few or no comparable companies. The projected free cash flows are usually computed over a shorter </w:t>
      </w:r>
      <w:r>
        <w:lastRenderedPageBreak/>
        <w:t xml:space="preserve">period such as a couple of years. In doing so, it does not need to make accurate projections of market swings over a decade in advance. Cash flows beyond the period are grouped into something called terminal value. These two cash flows are then discounted at the targets weighted average cost of capital and represent the risk the target company faces. A </w:t>
      </w:r>
      <w:r w:rsidR="006E1FCA">
        <w:t>phrase economist</w:t>
      </w:r>
      <w:r>
        <w:t xml:space="preserve"> commonly use is “a dollar today does not equal a dollar tomorrow”. The saying does in this context refer to the need to discount for potential risk surrounding future cash flows. Given that the valuation is based on intrinsic values, the accuracy of the valuation depends on the accuracy of the assumptions made by individual analysts. What analysts most commonly see as key performance drivers and generators of future cash flows is historical sales growth rates, historical gross margins and EBITDA and EBIT projections (Rosenbaum</w:t>
      </w:r>
      <w:r w:rsidR="009C2106">
        <w:t xml:space="preserve"> &amp;</w:t>
      </w:r>
      <w:r>
        <w:t xml:space="preserve"> Pearl p 268, 2009).</w:t>
      </w:r>
      <w:r w:rsidR="006E1FCA">
        <w:t xml:space="preserve"> </w:t>
      </w:r>
      <w:r>
        <w:t xml:space="preserve">The key drivers all suffer from inaccuracy as you try to make predictions at the end of the time period. This causes the usefulness of the drivers to wear off the further predictions you make. The end of the period is commonly projected using constant growth rates. </w:t>
      </w:r>
    </w:p>
    <w:p w14:paraId="4E1E190E" w14:textId="0F43FC53" w:rsidR="00542DEC" w:rsidRDefault="000B6FC7">
      <w:pPr>
        <w:pStyle w:val="Heading2"/>
      </w:pPr>
      <w:bookmarkStart w:id="15" w:name="_Toc61125907"/>
      <w:bookmarkStart w:id="16" w:name="_Toc61126680"/>
      <w:r>
        <w:t>2.3 Takeover process</w:t>
      </w:r>
      <w:bookmarkEnd w:id="15"/>
      <w:bookmarkEnd w:id="16"/>
    </w:p>
    <w:p w14:paraId="73B41269" w14:textId="01765B95" w:rsidR="00542DEC" w:rsidRDefault="000B6FC7">
      <w:r>
        <w:t xml:space="preserve">There are multiple ways to make a takeover attempt. The ways that are examined in this thesis are the friendly and hostile takeovers. A friendly takeover is when the management team and the board of directors are positive towards the bid and will vouch for the acquirer and advise the shareholders to vote in </w:t>
      </w:r>
      <w:r w:rsidR="00CC54FB">
        <w:t>favor</w:t>
      </w:r>
      <w:r>
        <w:t xml:space="preserve"> of the takeover. (Berk &amp; </w:t>
      </w:r>
      <w:proofErr w:type="spellStart"/>
      <w:r>
        <w:t>DeMarzo</w:t>
      </w:r>
      <w:proofErr w:type="spellEnd"/>
      <w:r>
        <w:t xml:space="preserve">, 2017). In other cases, the management team and the board might not be in unison and will advise the stakeholders to vote to reject the bid and against a takeover. This complicates the process for the acquirer that can either choose to give up the plans to acquire or try a hostile takeover. A hostile takeover can be executed with different strategies. Example of that is a public tender offer where the acquirer goes directly to the stakeholders and offers them a premium on the shares that they own. The acquirer can also try to perform a proxy fight where the acquirer tries to persuade shareholders to vote out the sitting board of directors and vote for one that is </w:t>
      </w:r>
      <w:r w:rsidR="006E1FCA">
        <w:t>keener</w:t>
      </w:r>
      <w:r>
        <w:t xml:space="preserve"> towards the takeover (CFI, 2018).</w:t>
      </w:r>
    </w:p>
    <w:p w14:paraId="5E334EAA" w14:textId="77777777" w:rsidR="00542DEC" w:rsidRDefault="00542DEC">
      <w:pPr>
        <w:rPr>
          <w:color w:val="BF9000"/>
        </w:rPr>
      </w:pPr>
    </w:p>
    <w:p w14:paraId="715DA7CC" w14:textId="3BED3915" w:rsidR="00542DEC" w:rsidRDefault="000B6FC7">
      <w:pPr>
        <w:pStyle w:val="Heading2"/>
      </w:pPr>
      <w:bookmarkStart w:id="17" w:name="_Toc61125908"/>
      <w:bookmarkStart w:id="18" w:name="_Toc61126681"/>
      <w:r>
        <w:lastRenderedPageBreak/>
        <w:t>2.4 Determinants behind M&amp;A</w:t>
      </w:r>
      <w:bookmarkEnd w:id="17"/>
      <w:bookmarkEnd w:id="18"/>
    </w:p>
    <w:p w14:paraId="30FB275C" w14:textId="62C14FB1" w:rsidR="00542DEC" w:rsidRDefault="000B6FC7">
      <w:pPr>
        <w:pStyle w:val="Heading3"/>
      </w:pPr>
      <w:bookmarkStart w:id="19" w:name="_Toc61125909"/>
      <w:bookmarkStart w:id="20" w:name="_Toc61126682"/>
      <w:r>
        <w:t>2.4.1 Why M&amp;A</w:t>
      </w:r>
      <w:bookmarkEnd w:id="19"/>
      <w:bookmarkEnd w:id="20"/>
    </w:p>
    <w:p w14:paraId="58D446FC" w14:textId="41FE86B6" w:rsidR="00CC54FB" w:rsidRDefault="000B6FC7">
      <w:r>
        <w:t xml:space="preserve">The strategic motives and determinants of M&amp;A is built on the foundation of two main </w:t>
      </w:r>
      <w:r w:rsidR="006E1FCA">
        <w:t>motives:</w:t>
      </w:r>
      <w:r>
        <w:t xml:space="preserve"> faster </w:t>
      </w:r>
      <w:r w:rsidR="006E1FCA">
        <w:t xml:space="preserve">growth </w:t>
      </w:r>
      <w:r>
        <w:t>and synergy. Companies seeking to scale up are faced with the choices between organic growth and growth through M&amp;A. Organic growth can take time and be uncertain meanwhile growth through M&amp;A might be more rapid (</w:t>
      </w:r>
      <w:proofErr w:type="spellStart"/>
      <w:r>
        <w:t>Gaughan</w:t>
      </w:r>
      <w:proofErr w:type="spellEnd"/>
      <w:r>
        <w:t xml:space="preserve"> p 127, 2018). However, M&amp;</w:t>
      </w:r>
      <w:proofErr w:type="gramStart"/>
      <w:r>
        <w:t>A:s</w:t>
      </w:r>
      <w:proofErr w:type="gramEnd"/>
      <w:r>
        <w:t xml:space="preserve"> carries their own uncertainties such as inaccurate deal valuation that leads to overpaying for the company. </w:t>
      </w:r>
      <w:proofErr w:type="spellStart"/>
      <w:r>
        <w:t>Behavioural</w:t>
      </w:r>
      <w:proofErr w:type="spellEnd"/>
      <w:r>
        <w:t xml:space="preserve"> problems between the two companies is another problem that can occur (Ager, 2011). This means that acquirers are not guaranteed that the merger will turn out to be profitable and result in faster growth. A merger synergy refers to the ability of the </w:t>
      </w:r>
      <w:proofErr w:type="spellStart"/>
      <w:r>
        <w:t>combinated</w:t>
      </w:r>
      <w:proofErr w:type="spellEnd"/>
      <w:r>
        <w:t xml:space="preserve"> firms to exceed the profits of the individual parts that were combined. Operating synergy and financial synergy are the two main forms of synergies. Operating synergies refer to revenue enhancements and cost reductions and financial synergies refer to lower cost of capital (</w:t>
      </w:r>
      <w:proofErr w:type="spellStart"/>
      <w:r>
        <w:t>Gaughan</w:t>
      </w:r>
      <w:proofErr w:type="spellEnd"/>
      <w:r>
        <w:t xml:space="preserve"> p 136-137, 2018). Equation 1.3 shows a simple representation of how the value of the acquisition is calculated. Company A is the acquirer and company B is the target. The term in the brackets of equation 2 is the synergistic effects which have to be greater than the cost of the acquisition (P+E) for the merger to be profitable. Otherwise, the bidding firm overpaid for the target (</w:t>
      </w:r>
      <w:proofErr w:type="spellStart"/>
      <w:r>
        <w:t>Gaughan</w:t>
      </w:r>
      <w:proofErr w:type="spellEnd"/>
      <w:r>
        <w:t xml:space="preserve"> p 136, 2018)</w:t>
      </w:r>
    </w:p>
    <w:p w14:paraId="1B97E038" w14:textId="77777777" w:rsidR="00CC54FB" w:rsidRDefault="00CC54FB"/>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7371"/>
        <w:gridCol w:w="537"/>
      </w:tblGrid>
      <w:tr w:rsidR="006E1FCA" w14:paraId="5073F60B" w14:textId="77777777" w:rsidTr="006761C9">
        <w:tc>
          <w:tcPr>
            <w:tcW w:w="1134" w:type="dxa"/>
          </w:tcPr>
          <w:p w14:paraId="37EB427C" w14:textId="77777777" w:rsidR="006E1FCA" w:rsidRDefault="006E1FCA"/>
        </w:tc>
        <w:tc>
          <w:tcPr>
            <w:tcW w:w="7371" w:type="dxa"/>
          </w:tcPr>
          <w:p w14:paraId="57624EE2" w14:textId="5741EC0D" w:rsidR="006E1FCA" w:rsidRPr="00D90487" w:rsidRDefault="00CC54FB" w:rsidP="00CC54FB">
            <w:pPr>
              <w:jc w:val="center"/>
              <w:rPr>
                <w:i/>
                <w:iCs/>
                <w:lang w:val="sv-SE"/>
              </w:rPr>
            </w:pPr>
            <w:r w:rsidRPr="00D90487">
              <w:rPr>
                <w:i/>
                <w:iCs/>
                <w:lang w:val="sv-SE"/>
              </w:rPr>
              <w:t>NAV = [V</w:t>
            </w:r>
            <w:r w:rsidR="00756647">
              <w:rPr>
                <w:i/>
                <w:iCs/>
                <w:lang w:val="sv-SE"/>
              </w:rPr>
              <w:t>ab</w:t>
            </w:r>
            <w:r w:rsidRPr="00D90487">
              <w:rPr>
                <w:i/>
                <w:iCs/>
                <w:lang w:val="sv-SE"/>
              </w:rPr>
              <w:t xml:space="preserve"> – (V</w:t>
            </w:r>
            <w:r w:rsidR="00756647">
              <w:rPr>
                <w:i/>
                <w:iCs/>
                <w:lang w:val="sv-SE"/>
              </w:rPr>
              <w:t>a</w:t>
            </w:r>
            <w:r w:rsidRPr="00D90487">
              <w:rPr>
                <w:i/>
                <w:iCs/>
                <w:lang w:val="sv-SE"/>
              </w:rPr>
              <w:t xml:space="preserve"> + V</w:t>
            </w:r>
            <w:r w:rsidR="00756647">
              <w:rPr>
                <w:i/>
                <w:iCs/>
                <w:lang w:val="sv-SE"/>
              </w:rPr>
              <w:t>b</w:t>
            </w:r>
            <w:r w:rsidRPr="00D90487">
              <w:rPr>
                <w:i/>
                <w:iCs/>
                <w:lang w:val="sv-SE"/>
              </w:rPr>
              <w:t>)] – (P + E)]</w:t>
            </w:r>
          </w:p>
        </w:tc>
        <w:tc>
          <w:tcPr>
            <w:tcW w:w="537" w:type="dxa"/>
          </w:tcPr>
          <w:p w14:paraId="71792B03" w14:textId="03A0B6C5" w:rsidR="006E1FCA" w:rsidRDefault="00CC54FB">
            <w:r>
              <w:rPr>
                <w:b/>
              </w:rPr>
              <w:t>(2)</w:t>
            </w:r>
            <w:r>
              <w:t xml:space="preserve">     </w:t>
            </w:r>
          </w:p>
        </w:tc>
      </w:tr>
    </w:tbl>
    <w:p w14:paraId="7220F688" w14:textId="77777777" w:rsidR="00542DEC" w:rsidRDefault="000B6FC7">
      <w:proofErr w:type="gramStart"/>
      <w:r>
        <w:t>Where</w:t>
      </w:r>
      <w:proofErr w:type="gramEnd"/>
      <w:r>
        <w:t xml:space="preserve">, </w:t>
      </w:r>
    </w:p>
    <w:p w14:paraId="759EAE4C" w14:textId="77777777" w:rsidR="00542DEC" w:rsidRDefault="000B6FC7">
      <w:pPr>
        <w:numPr>
          <w:ilvl w:val="0"/>
          <w:numId w:val="1"/>
        </w:numPr>
        <w:spacing w:after="0"/>
        <w:rPr>
          <w:i/>
        </w:rPr>
      </w:pPr>
      <w:r>
        <w:rPr>
          <w:i/>
        </w:rPr>
        <w:t>NAV = net acquisition value</w:t>
      </w:r>
    </w:p>
    <w:p w14:paraId="63919337" w14:textId="33427E86" w:rsidR="00542DEC" w:rsidRDefault="000B6FC7">
      <w:pPr>
        <w:numPr>
          <w:ilvl w:val="0"/>
          <w:numId w:val="1"/>
        </w:numPr>
        <w:spacing w:before="0" w:after="0"/>
        <w:rPr>
          <w:i/>
        </w:rPr>
      </w:pPr>
      <w:r>
        <w:rPr>
          <w:i/>
        </w:rPr>
        <w:t xml:space="preserve">V </w:t>
      </w:r>
      <w:r w:rsidR="00756647">
        <w:rPr>
          <w:i/>
        </w:rPr>
        <w:t>a</w:t>
      </w:r>
      <w:r>
        <w:rPr>
          <w:i/>
        </w:rPr>
        <w:t xml:space="preserve"> = value of </w:t>
      </w:r>
      <w:r w:rsidR="00756647">
        <w:rPr>
          <w:i/>
        </w:rPr>
        <w:t>company A</w:t>
      </w:r>
    </w:p>
    <w:p w14:paraId="62C99DB0" w14:textId="6BBFE39C" w:rsidR="00542DEC" w:rsidRDefault="000B6FC7">
      <w:pPr>
        <w:numPr>
          <w:ilvl w:val="0"/>
          <w:numId w:val="1"/>
        </w:numPr>
        <w:spacing w:before="0" w:after="0"/>
        <w:rPr>
          <w:i/>
        </w:rPr>
      </w:pPr>
      <w:proofErr w:type="spellStart"/>
      <w:r>
        <w:rPr>
          <w:i/>
        </w:rPr>
        <w:t>V</w:t>
      </w:r>
      <w:r w:rsidR="00756647">
        <w:rPr>
          <w:i/>
        </w:rPr>
        <w:t>b</w:t>
      </w:r>
      <w:proofErr w:type="spellEnd"/>
      <w:r>
        <w:rPr>
          <w:i/>
        </w:rPr>
        <w:t xml:space="preserve"> = value of </w:t>
      </w:r>
      <w:r w:rsidR="00756647">
        <w:rPr>
          <w:i/>
        </w:rPr>
        <w:t>company B</w:t>
      </w:r>
    </w:p>
    <w:p w14:paraId="6BB35AAD" w14:textId="4BFEE27F" w:rsidR="00542DEC" w:rsidRDefault="000B6FC7">
      <w:pPr>
        <w:numPr>
          <w:ilvl w:val="0"/>
          <w:numId w:val="1"/>
        </w:numPr>
        <w:spacing w:before="0" w:after="0"/>
        <w:rPr>
          <w:i/>
        </w:rPr>
      </w:pPr>
      <w:proofErr w:type="spellStart"/>
      <w:r>
        <w:rPr>
          <w:i/>
        </w:rPr>
        <w:t>V</w:t>
      </w:r>
      <w:r w:rsidR="00756647">
        <w:rPr>
          <w:i/>
        </w:rPr>
        <w:t>ab</w:t>
      </w:r>
      <w:proofErr w:type="spellEnd"/>
      <w:r>
        <w:rPr>
          <w:i/>
        </w:rPr>
        <w:t xml:space="preserve"> = the combined value of the two firms</w:t>
      </w:r>
    </w:p>
    <w:p w14:paraId="5AAA94B5" w14:textId="28D909E6" w:rsidR="00542DEC" w:rsidRDefault="000B6FC7">
      <w:pPr>
        <w:numPr>
          <w:ilvl w:val="0"/>
          <w:numId w:val="1"/>
        </w:numPr>
        <w:spacing w:before="0" w:after="0"/>
        <w:rPr>
          <w:i/>
        </w:rPr>
      </w:pPr>
      <w:r>
        <w:rPr>
          <w:i/>
        </w:rPr>
        <w:t xml:space="preserve">P = the premium paid for </w:t>
      </w:r>
      <w:r w:rsidR="00756647">
        <w:rPr>
          <w:i/>
        </w:rPr>
        <w:t>company B</w:t>
      </w:r>
    </w:p>
    <w:p w14:paraId="5D17D951" w14:textId="77777777" w:rsidR="00542DEC" w:rsidRDefault="000B6FC7">
      <w:pPr>
        <w:numPr>
          <w:ilvl w:val="0"/>
          <w:numId w:val="1"/>
        </w:numPr>
        <w:spacing w:before="0"/>
        <w:rPr>
          <w:i/>
        </w:rPr>
      </w:pPr>
      <w:r>
        <w:rPr>
          <w:i/>
        </w:rPr>
        <w:t>E = the expenses of the acquisition process</w:t>
      </w:r>
    </w:p>
    <w:p w14:paraId="76F8D209" w14:textId="3BDC382C" w:rsidR="00542DEC" w:rsidRDefault="000B6FC7">
      <w:pPr>
        <w:pStyle w:val="Heading3"/>
      </w:pPr>
      <w:bookmarkStart w:id="21" w:name="_Toc61125910"/>
      <w:bookmarkStart w:id="22" w:name="_Toc61126683"/>
      <w:r>
        <w:lastRenderedPageBreak/>
        <w:t>2.4.2 Determinants of the bid premium</w:t>
      </w:r>
      <w:bookmarkEnd w:id="21"/>
      <w:bookmarkEnd w:id="22"/>
    </w:p>
    <w:p w14:paraId="429EACC3" w14:textId="77777777" w:rsidR="00542DEC" w:rsidRDefault="000B6FC7">
      <w:r>
        <w:t>Contrary to the determinants used in the methods to create a valuation of the target company presented in section 2.2, finding determinants for bid premiums has not been summarized in an equally exhaustive method. This section will go through the most commonly presented determinants of bid premiums in literature. The determinants presented here will be the basis of the control variables later used in the regression models in this thesis.</w:t>
      </w:r>
    </w:p>
    <w:p w14:paraId="5C569AAA" w14:textId="56644057" w:rsidR="00542DEC" w:rsidRDefault="000B6FC7">
      <w:r>
        <w:t>Non-conglomerate mergers, where the target and the acquirer are active in the same industry, appear to have a significant positive effect on the bid premium (</w:t>
      </w:r>
      <w:proofErr w:type="spellStart"/>
      <w:r>
        <w:t>Maquieira</w:t>
      </w:r>
      <w:proofErr w:type="spellEnd"/>
      <w:r w:rsidR="009C2106">
        <w:t xml:space="preserve"> et al.</w:t>
      </w:r>
      <w:r>
        <w:t>, 1998). The reason for this is believed to be the stronger synergistic effects created compared to in a conglomerate merger, where the companies operate in different industries. The number of bidders and the attitude of the bidders have also shown to have a significant effect (</w:t>
      </w:r>
      <w:proofErr w:type="spellStart"/>
      <w:r>
        <w:t>Schwert</w:t>
      </w:r>
      <w:proofErr w:type="spellEnd"/>
      <w:r>
        <w:t>, G.W. 2000). The result is to no surprise given that higher demand normally leads to higher prices. The paper (</w:t>
      </w:r>
      <w:proofErr w:type="spellStart"/>
      <w:r>
        <w:t>Simonyan</w:t>
      </w:r>
      <w:proofErr w:type="spellEnd"/>
      <w:r>
        <w:t xml:space="preserve">, 2014) mentions the importance size of the target and the relative size between the target and acquirer have on the bid premium. Target cash relative to the book value of its asset and the </w:t>
      </w:r>
      <w:r w:rsidR="00CC54FB">
        <w:t>long-term</w:t>
      </w:r>
      <w:r>
        <w:t xml:space="preserve"> debt in relation to its assets are two other important determinants. The paper (</w:t>
      </w:r>
      <w:proofErr w:type="spellStart"/>
      <w:r>
        <w:t>Walkling</w:t>
      </w:r>
      <w:proofErr w:type="spellEnd"/>
      <w:r>
        <w:t xml:space="preserve"> &amp; </w:t>
      </w:r>
      <w:proofErr w:type="spellStart"/>
      <w:r>
        <w:t>Edmister</w:t>
      </w:r>
      <w:proofErr w:type="spellEnd"/>
      <w:r>
        <w:t xml:space="preserve">, 1985) concludes that higher leveraged targets receive on average lower premiums. Highly leveraged acquirers </w:t>
      </w:r>
      <w:r w:rsidR="00CC54FB">
        <w:t>have</w:t>
      </w:r>
      <w:r>
        <w:t xml:space="preserve"> also shown to have a negative effect on bid premiums (Dong et al., 2006). They also conclude that the market-to-book ratio of both parties have a significant effect. Their results show that undervalued targets receive on average a higher premium. Overvalued bidders will pay relatively more compared to the target’s market price. Paying with cash has shown to have a positive effect on bid premiums while using stock has shown to have a negative effect on bid premiums (</w:t>
      </w:r>
      <w:proofErr w:type="spellStart"/>
      <w:r>
        <w:t>Bruslerie</w:t>
      </w:r>
      <w:proofErr w:type="spellEnd"/>
      <w:r>
        <w:t>, 2013). (</w:t>
      </w:r>
      <w:proofErr w:type="spellStart"/>
      <w:r>
        <w:t>Simonyan</w:t>
      </w:r>
      <w:proofErr w:type="spellEnd"/>
      <w:r>
        <w:t>, 2014) arguments that year has a significant effect on bid premiums after examining the existence of significant variation in premiums between years. Other factors that appear to have a significant effect are the level of deregulation and industry consolidation (</w:t>
      </w:r>
      <w:proofErr w:type="spellStart"/>
      <w:r>
        <w:t>Simonyan</w:t>
      </w:r>
      <w:proofErr w:type="spellEnd"/>
      <w:r>
        <w:t xml:space="preserve">, 2014). Many of the above-mentioned determinants stem from publication that are over 15 years old. There is a risk that the determinants have no significant effect on the bid premiums today. Although, </w:t>
      </w:r>
      <w:r w:rsidR="00CC54FB">
        <w:t>most of</w:t>
      </w:r>
      <w:r>
        <w:t xml:space="preserve"> the determinants mentioned here have been used in similar studies (Gomes &amp; </w:t>
      </w:r>
      <w:proofErr w:type="spellStart"/>
      <w:r>
        <w:t>Marsat</w:t>
      </w:r>
      <w:proofErr w:type="spellEnd"/>
      <w:r>
        <w:t>, 2018).</w:t>
      </w:r>
    </w:p>
    <w:p w14:paraId="01786632" w14:textId="468D3693" w:rsidR="00542DEC" w:rsidRDefault="000B6FC7">
      <w:pPr>
        <w:pStyle w:val="Heading2"/>
        <w:rPr>
          <w:color w:val="FF0000"/>
        </w:rPr>
      </w:pPr>
      <w:bookmarkStart w:id="23" w:name="_Toc61125911"/>
      <w:bookmarkStart w:id="24" w:name="_Toc61126684"/>
      <w:r>
        <w:lastRenderedPageBreak/>
        <w:t>2.5 Measuring sustainability</w:t>
      </w:r>
      <w:bookmarkEnd w:id="23"/>
      <w:bookmarkEnd w:id="24"/>
    </w:p>
    <w:p w14:paraId="02F53800" w14:textId="77777777" w:rsidR="00542DEC" w:rsidRDefault="000B6FC7">
      <w:r>
        <w:t>The paper will use ESG-ratings in order to collect data on companies’ commitment to sustainability. The ratings represent a valuation of how well companies deal with environmental, social and governance issues. Research has concluded that there exists over 600 ESG-ratings in 2020 (</w:t>
      </w:r>
      <w:proofErr w:type="spellStart"/>
      <w:r>
        <w:t>SustainAbility</w:t>
      </w:r>
      <w:proofErr w:type="spellEnd"/>
      <w:r>
        <w:t xml:space="preserve">, 2020). This number has increased rapidly as corporate reporting on ESG has become more common. According to the article does 86 % of companies listed on the S&amp;P 500 report their sustainability efforts as of 2018. This number has grown from 20 % in 2011. Amy </w:t>
      </w:r>
      <w:proofErr w:type="spellStart"/>
      <w:r>
        <w:t>Borrus</w:t>
      </w:r>
      <w:proofErr w:type="spellEnd"/>
      <w:r>
        <w:t xml:space="preserve">, executive director of the Council of Institutional Investors, argues in an article by the Wallstreet journal that the number will likely continue to increase in the coming future. She mentions that the president-elect of the United States, Joe Biden, will be one driving force in that change (Wallstreet Journal, 2020). </w:t>
      </w:r>
    </w:p>
    <w:p w14:paraId="14721572" w14:textId="77777777" w:rsidR="00542DEC" w:rsidRDefault="000B6FC7">
      <w:r>
        <w:t>The methodology of constructing an ESG-rating can be divided into two schools. ESG-ratings that only rely on corporate reporting are called passive ratings. Another methodology is the active ratings methodology where rating agencies base their rating on questionnaires that companies fill out (</w:t>
      </w:r>
      <w:proofErr w:type="spellStart"/>
      <w:r>
        <w:t>SustainAbility</w:t>
      </w:r>
      <w:proofErr w:type="spellEnd"/>
      <w:r>
        <w:t>, 2020). Critique towards ESG-ratings arose in the article published by the Wallstreet Journal. Louis Coppola, executive vice president at the Governance &amp; Accountability Institute, said “</w:t>
      </w:r>
      <w:r>
        <w:rPr>
          <w:i/>
        </w:rPr>
        <w:t>until we have some authoritative body, and maybe regulation mandating what to do, it’s just going to be the Wild, Wild West when it comes to standards and reporting for the time being</w:t>
      </w:r>
      <w:r>
        <w:t>”. Policymakers have addressed the issue that companies have the ability to cherry-pick what metrics to disclose (Wallstreet Journal, 2020). Investors and experts using ESG-data and ESG-ratings have addressed that there is a disagreement if something as complex as sustainability can be summarized in a single score (</w:t>
      </w:r>
      <w:proofErr w:type="spellStart"/>
      <w:r>
        <w:t>SustainAbility</w:t>
      </w:r>
      <w:proofErr w:type="spellEnd"/>
      <w:r>
        <w:t>, 2020).</w:t>
      </w:r>
    </w:p>
    <w:p w14:paraId="77AD734A" w14:textId="6926ADF9" w:rsidR="00542DEC" w:rsidRDefault="000B6FC7">
      <w:r>
        <w:t xml:space="preserve">An important aspect when choosing an ESG-rating is to find one that is commonly accepted as a rating with high quality. Secondly, it is important that it encompasses a large number of firms. This will increase the chances that more of the firms involved in the M&amp;A data set also have an ESG-rating. It is evident from the abovementioned statements that ESG-ratings are not perfect. 319 investors and experts were asked in 2020 to say what they thought about the different ESG-ratings. The respondents were asked to rate the ESG-ratings on the quality and the usefulness of the </w:t>
      </w:r>
      <w:r w:rsidR="00CC54FB">
        <w:t>rating (</w:t>
      </w:r>
      <w:proofErr w:type="spellStart"/>
      <w:r>
        <w:t>SustainAbility</w:t>
      </w:r>
      <w:proofErr w:type="spellEnd"/>
      <w:r>
        <w:t xml:space="preserve">, 2020). Previous literature used Thomson Reuters ESG score (previously named ASSET4) (Gomes &amp; </w:t>
      </w:r>
      <w:proofErr w:type="spellStart"/>
      <w:r>
        <w:t>Marsat</w:t>
      </w:r>
      <w:proofErr w:type="spellEnd"/>
      <w:r>
        <w:t xml:space="preserve">, 2018). The respondents in the </w:t>
      </w:r>
      <w:r>
        <w:lastRenderedPageBreak/>
        <w:t xml:space="preserve">report ranked the rating by Thomson Reuters as the worst in terms of quality. The rating was ranked among the worst in terms of usefulness as well. It also received the least </w:t>
      </w:r>
      <w:r w:rsidR="00CC54FB">
        <w:t>number</w:t>
      </w:r>
      <w:r>
        <w:t xml:space="preserve"> of answers indicating that the respondents had not used or known about the rating. In the top were, among others, </w:t>
      </w:r>
      <w:proofErr w:type="spellStart"/>
      <w:r>
        <w:t>Sustainanalytic’s</w:t>
      </w:r>
      <w:proofErr w:type="spellEnd"/>
      <w:r>
        <w:t xml:space="preserve"> ESG Risk ratings, </w:t>
      </w:r>
      <w:proofErr w:type="spellStart"/>
      <w:r>
        <w:t>RobecoSAM</w:t>
      </w:r>
      <w:proofErr w:type="spellEnd"/>
      <w:r>
        <w:t xml:space="preserve"> corporate sustainability assessment, ISS quality score and Bloomberg ESG disclosure score (</w:t>
      </w:r>
      <w:proofErr w:type="spellStart"/>
      <w:r>
        <w:t>SustainAbility</w:t>
      </w:r>
      <w:proofErr w:type="spellEnd"/>
      <w:r>
        <w:t>, 2020).</w:t>
      </w:r>
    </w:p>
    <w:p w14:paraId="542CCA44" w14:textId="3E3ABE7C" w:rsidR="00542DEC" w:rsidRDefault="000B6FC7">
      <w:pPr>
        <w:pStyle w:val="Heading2"/>
      </w:pPr>
      <w:bookmarkStart w:id="25" w:name="_Toc61125912"/>
      <w:bookmarkStart w:id="26" w:name="_Toc61126685"/>
      <w:r>
        <w:t>2.6 Hypothesis</w:t>
      </w:r>
      <w:bookmarkEnd w:id="25"/>
      <w:bookmarkEnd w:id="26"/>
    </w:p>
    <w:p w14:paraId="555875FB" w14:textId="21D7876D" w:rsidR="00542DEC" w:rsidRDefault="000B6FC7">
      <w:r>
        <w:t xml:space="preserve">We do believe that investors involved in mergers and acquisitions pay a higher premium for acquiring companies that prioritize ESG. This means that acquirers would value ESG-commitments higher than marginal investors that trade on an exchange. We believe that this is the case as ESG serves an important role in the synergy aspects of merger strategy. We suspect that there are incentives for investors to acquire more ESG-committed companies. Example of that could be financial synergies that can decrease the cost of capital. Additionally, ESG awareness has grown steadily in the last couple of </w:t>
      </w:r>
      <w:r w:rsidR="00CC54FB">
        <w:t>decades and</w:t>
      </w:r>
      <w:r>
        <w:t xml:space="preserve"> operating and investing in a sustainable way has become increasingly important to any trademark.</w:t>
      </w:r>
      <w:r>
        <w:br w:type="page"/>
      </w:r>
    </w:p>
    <w:p w14:paraId="3DB311E0" w14:textId="31DCAD08" w:rsidR="00542DEC" w:rsidRDefault="000B6FC7">
      <w:pPr>
        <w:pStyle w:val="Heading1"/>
      </w:pPr>
      <w:bookmarkStart w:id="27" w:name="_Toc61125913"/>
      <w:bookmarkStart w:id="28" w:name="_Toc61126686"/>
      <w:r>
        <w:lastRenderedPageBreak/>
        <w:t>3. Previous literature</w:t>
      </w:r>
      <w:bookmarkEnd w:id="27"/>
      <w:bookmarkEnd w:id="28"/>
    </w:p>
    <w:p w14:paraId="19C1833D" w14:textId="77777777" w:rsidR="00542DEC" w:rsidRDefault="000B6FC7">
      <w:pPr>
        <w:jc w:val="center"/>
        <w:rPr>
          <w:i/>
        </w:rPr>
      </w:pPr>
      <w:r>
        <w:rPr>
          <w:i/>
        </w:rPr>
        <w:t>This chapter presents what previous research has found with regards to the role sustainability has on bid premiums in mergers and acquisitions.</w:t>
      </w:r>
    </w:p>
    <w:p w14:paraId="2FD46BDD" w14:textId="2C8712E5" w:rsidR="00542DEC" w:rsidRDefault="000B6FC7" w:rsidP="00CC54FB">
      <w:r>
        <w:t xml:space="preserve">How investors value ESG-commitment is most </w:t>
      </w:r>
      <w:r w:rsidR="00CC54FB">
        <w:t>often studied</w:t>
      </w:r>
      <w:r>
        <w:t xml:space="preserve"> abnormal returns and the wealth effects of </w:t>
      </w:r>
      <w:r w:rsidR="00CC54FB">
        <w:t>committing</w:t>
      </w:r>
      <w:r>
        <w:t xml:space="preserve"> to sustainability. An example of that is (</w:t>
      </w:r>
      <w:proofErr w:type="spellStart"/>
      <w:proofErr w:type="gramStart"/>
      <w:r>
        <w:rPr>
          <w:highlight w:val="white"/>
        </w:rPr>
        <w:t>Aktas</w:t>
      </w:r>
      <w:proofErr w:type="spellEnd"/>
      <w:r>
        <w:rPr>
          <w:highlight w:val="white"/>
        </w:rPr>
        <w:t>,  De</w:t>
      </w:r>
      <w:proofErr w:type="gramEnd"/>
      <w:r>
        <w:rPr>
          <w:highlight w:val="white"/>
        </w:rPr>
        <w:t xml:space="preserve"> </w:t>
      </w:r>
      <w:proofErr w:type="spellStart"/>
      <w:r>
        <w:rPr>
          <w:highlight w:val="white"/>
        </w:rPr>
        <w:t>Bodt</w:t>
      </w:r>
      <w:proofErr w:type="spellEnd"/>
      <w:r>
        <w:rPr>
          <w:highlight w:val="white"/>
        </w:rPr>
        <w:t xml:space="preserve"> &amp; Cousin, 2011)</w:t>
      </w:r>
      <w:r>
        <w:t xml:space="preserve"> which uses the </w:t>
      </w:r>
      <w:proofErr w:type="spellStart"/>
      <w:r>
        <w:t>Innovest’s</w:t>
      </w:r>
      <w:proofErr w:type="spellEnd"/>
      <w:r>
        <w:t xml:space="preserve"> intangible Value Assessment (IVA) ratings to evaluate firms’ ability to cope with social and environmental risks and constructs a multivariate regression to see if the ratings of the acquirer, the target and a value-weighted portfolio of the acquirer and the target has a significant effect on the cumulative abnormal return (CAR) around the announcement date. The results show that firms do get rewarded for pursuing sustainable responsible investments (SRI). The results also show indications that acquirers did </w:t>
      </w:r>
      <w:r w:rsidR="00CC54FB">
        <w:t>learn,</w:t>
      </w:r>
      <w:r>
        <w:t xml:space="preserve"> and in-turn improved their own rating if they purchased high rated firms. Other research shows indications that companies that pursue their operation in a sustainable manner experience higher customer satisfaction and in-turn higher market value than ones that do not operate in a sustainable manner (Luo &amp; Bhattacharya, 2006). The paper (</w:t>
      </w:r>
      <w:proofErr w:type="spellStart"/>
      <w:r>
        <w:t>Ghouel</w:t>
      </w:r>
      <w:proofErr w:type="spellEnd"/>
      <w:r>
        <w:t xml:space="preserve"> et.al, 2011) finds that firms with higher ESG-ratings receive lower cost of capital. </w:t>
      </w:r>
    </w:p>
    <w:p w14:paraId="033AD9AD" w14:textId="338CE84B" w:rsidR="00542DEC" w:rsidRDefault="000B6FC7">
      <w:r>
        <w:t xml:space="preserve">The paper (Chen &amp; </w:t>
      </w:r>
      <w:proofErr w:type="spellStart"/>
      <w:r>
        <w:t>Gavious</w:t>
      </w:r>
      <w:proofErr w:type="spellEnd"/>
      <w:r>
        <w:t xml:space="preserve">, 2015) sheds new light on the value implication of sustainable awareness between investors by studying non-financial firms listed on the Tel Aviv Stock Exchange between the years 2007 and 2012. It separates investors based on two key differences; the level of risk the investor is committed to and the information asymmetry. The investors are then divided into three groups. Firstly, marginal investors trading on an exchange. Secondly, institutional investors such as banks, mutual funds, insurance companies </w:t>
      </w:r>
      <w:r w:rsidR="00CC54FB">
        <w:t>etc.</w:t>
      </w:r>
      <w:r>
        <w:t xml:space="preserve"> that trades on an exchange. Thirdly, investors involved in M&amp;A.</w:t>
      </w:r>
      <w:r>
        <w:rPr>
          <w:rFonts w:ascii="Roboto" w:eastAsia="Roboto" w:hAnsi="Roboto" w:cs="Roboto"/>
          <w:color w:val="3C4043"/>
          <w:sz w:val="21"/>
          <w:szCs w:val="21"/>
          <w:highlight w:val="white"/>
        </w:rPr>
        <w:t xml:space="preserve"> </w:t>
      </w:r>
      <w:r>
        <w:t xml:space="preserve">While an investor that trades on an exchange may solely rely on his or her judgement based on public information, an investor that is involved in M&amp;A can access information through the due diligence process that is in parts inaccessible to the public. The other key difference between the two investors is in the level of risk they commit to. While marginal investors and institutional investors can often diversify their holdings and thereby reduce their risk, an investor involved in M&amp;A has to make a large investment that limits its ability to diversify its assets and thereby reduce its risk. The </w:t>
      </w:r>
      <w:r>
        <w:lastRenderedPageBreak/>
        <w:t xml:space="preserve">marginal investor and the investor involved in M&amp;A represent the two extremes of information asymmetry and risk. A marginal investor can vary from casual hobby-investors </w:t>
      </w:r>
      <w:r w:rsidR="00CC54FB">
        <w:t>to more</w:t>
      </w:r>
      <w:r>
        <w:t xml:space="preserve"> thorough investors that put effort into fundamental analysis from public statements and balance sheets. Investors involved with M&amp;A usually consist of large teams with extensive knowledge about financial markets. Another difference that separates the two types of investors is that marginal investors often invest with their own assets while investors involved in M&amp;A often invest with assets that are supplied by their shareholders. </w:t>
      </w:r>
    </w:p>
    <w:p w14:paraId="03BD73E7" w14:textId="1E446AC1" w:rsidR="00542DEC" w:rsidRDefault="000B6FC7">
      <w:pPr>
        <w:rPr>
          <w:color w:val="FF0000"/>
        </w:rPr>
      </w:pPr>
      <w:r>
        <w:t>Their results show that marginal investors that trade on an exchange pay a premium for companies that prioritize commitments to sustainability while investors involved in M&amp;A and institutional investors do not pay a premium. They conclude that informed investors do not find sustainability work as value-creating and why marginal investors pay a premium is due to sentimental reasons.</w:t>
      </w:r>
      <w:r>
        <w:rPr>
          <w:rFonts w:ascii="Georgia" w:eastAsia="Georgia" w:hAnsi="Georgia" w:cs="Georgia"/>
          <w:color w:val="2E2E2E"/>
          <w:sz w:val="27"/>
          <w:szCs w:val="27"/>
          <w:shd w:val="clear" w:color="auto" w:fill="F5F5F5"/>
        </w:rPr>
        <w:t xml:space="preserve"> </w:t>
      </w:r>
      <w:r>
        <w:t xml:space="preserve">Although their results should not be underestimated, we do believe that there is a need to study it on a larger market such as the US. By studying mergers and acquisitions in the US it is possible to </w:t>
      </w:r>
      <w:r w:rsidR="00CC54FB">
        <w:t>utilize</w:t>
      </w:r>
      <w:r>
        <w:t xml:space="preserve"> ESG-ratings such as </w:t>
      </w:r>
      <w:proofErr w:type="spellStart"/>
      <w:r>
        <w:t>Sustainanalytics</w:t>
      </w:r>
      <w:proofErr w:type="spellEnd"/>
      <w:r>
        <w:t xml:space="preserve">, </w:t>
      </w:r>
      <w:proofErr w:type="spellStart"/>
      <w:r>
        <w:t>Robecosam</w:t>
      </w:r>
      <w:proofErr w:type="spellEnd"/>
      <w:r>
        <w:t xml:space="preserve">, Bloomberg ESG disclosure and ISS quality score. More about the ESG-ratings will be covered in section 5.3. Another reason to study it again is that the attitude towards environmentally and socially sustainability has likely changed from the time their paper was first published. </w:t>
      </w:r>
    </w:p>
    <w:p w14:paraId="16142549" w14:textId="406200A5" w:rsidR="00542DEC" w:rsidRDefault="000B6FC7">
      <w:r>
        <w:rPr>
          <w:color w:val="222222"/>
          <w:highlight w:val="white"/>
        </w:rPr>
        <w:t>The paper</w:t>
      </w:r>
      <w:r>
        <w:t xml:space="preserve"> (</w:t>
      </w:r>
      <w:r>
        <w:rPr>
          <w:color w:val="222222"/>
          <w:highlight w:val="white"/>
        </w:rPr>
        <w:t xml:space="preserve">Gomes &amp; </w:t>
      </w:r>
      <w:proofErr w:type="spellStart"/>
      <w:r>
        <w:rPr>
          <w:color w:val="222222"/>
          <w:highlight w:val="white"/>
        </w:rPr>
        <w:t>Marsat</w:t>
      </w:r>
      <w:proofErr w:type="spellEnd"/>
      <w:r>
        <w:rPr>
          <w:color w:val="222222"/>
          <w:highlight w:val="white"/>
        </w:rPr>
        <w:t xml:space="preserve">, 2018) </w:t>
      </w:r>
      <w:r>
        <w:t xml:space="preserve">constructs a multivariate regression model to see if the variation in bid premium can be explained by different levels of ESG-commitments. The level of ESG-commitment is measured with the ESG-rating that is given by Thomson Reuters’ ASSET4 database. The paper </w:t>
      </w:r>
      <w:r>
        <w:rPr>
          <w:color w:val="222222"/>
          <w:highlight w:val="white"/>
        </w:rPr>
        <w:t>solely</w:t>
      </w:r>
      <w:r>
        <w:t xml:space="preserve"> studies the level of ESG of the target firm and if the relationship between the bid premium and the ESG-commitment of the target firm is linear. The results show that a high level of ESG does increase the bid premium. The environmental dimension does increase the bid premium while the social dimension of ESG does not increase the bid premium. This thesis will include a similar regression analysis but investigate if there is a non-linear relationship as well. It will also include the level of ESG for the acquirer and the difference in levels of ESG between the target and the acquirer.</w:t>
      </w:r>
    </w:p>
    <w:p w14:paraId="1DE72D1D" w14:textId="77777777" w:rsidR="00542DEC" w:rsidRDefault="00542DEC"/>
    <w:p w14:paraId="48BA86B1" w14:textId="21F5D4B8" w:rsidR="00542DEC" w:rsidRDefault="000B6FC7">
      <w:pPr>
        <w:pStyle w:val="Heading1"/>
      </w:pPr>
      <w:bookmarkStart w:id="29" w:name="_Toc61125914"/>
      <w:bookmarkStart w:id="30" w:name="_Toc61126687"/>
      <w:r>
        <w:lastRenderedPageBreak/>
        <w:t>4. Methodology</w:t>
      </w:r>
      <w:bookmarkEnd w:id="29"/>
      <w:bookmarkEnd w:id="30"/>
    </w:p>
    <w:p w14:paraId="36CE0BA1" w14:textId="77777777" w:rsidR="00542DEC" w:rsidRDefault="000B6FC7">
      <w:pPr>
        <w:jc w:val="center"/>
        <w:rPr>
          <w:i/>
        </w:rPr>
      </w:pPr>
      <w:r>
        <w:rPr>
          <w:i/>
        </w:rPr>
        <w:t>Section 4.1 covers the method that will be used for statistical analysis. Section 4.2 and 4.3 explains how the method will undergo statistical tests in-order to ensure that the results are reliable. Section 4.4 presents the hypothesis that will be tested.</w:t>
      </w:r>
    </w:p>
    <w:p w14:paraId="19A1010C" w14:textId="5D465FAE" w:rsidR="00542DEC" w:rsidRDefault="00CC54FB">
      <w:pPr>
        <w:pStyle w:val="Heading2"/>
      </w:pPr>
      <w:bookmarkStart w:id="31" w:name="_Toc61125915"/>
      <w:bookmarkStart w:id="32" w:name="_Toc61126688"/>
      <w:r>
        <w:t>4.1 Multivariate</w:t>
      </w:r>
      <w:r w:rsidR="000B6FC7">
        <w:t xml:space="preserve"> regression</w:t>
      </w:r>
      <w:bookmarkEnd w:id="31"/>
      <w:bookmarkEnd w:id="32"/>
    </w:p>
    <w:p w14:paraId="50B1EFDE" w14:textId="5D911D07" w:rsidR="00542DEC" w:rsidRDefault="000B6FC7">
      <w:r>
        <w:t xml:space="preserve">Multivariate regression has the advantage that it can explain a relationship that depends on multiple variables. This is often the case when conducting research in economics and finance. A couple of examples of that is how the price of a stock, level of unemployment in a country and whether a bank thinks their customers </w:t>
      </w:r>
      <w:r w:rsidR="00CC54FB">
        <w:t>can</w:t>
      </w:r>
      <w:r>
        <w:t xml:space="preserve"> pay back their loans depends on multiple variables. Section 2.4.2 indicates that researchers have found multiple determinants for bid premium in mergers and acquisitions. Additionally, previous literature that has studied the effects of ESG-commitments on bid premiums have also used multivariate regression (Gomes &amp; </w:t>
      </w:r>
      <w:proofErr w:type="spellStart"/>
      <w:r>
        <w:t>Marsat</w:t>
      </w:r>
      <w:proofErr w:type="spellEnd"/>
      <w:r>
        <w:t xml:space="preserve">, 2018). The thesis will with that said use multivariate regression analysis to answer the question at issue. The method does not come without its problems.  The method can in many cases result in misleading inference if the data is not handled in the correct way or if the model is not constructed correctly. Luckily, there are ways to deal with a lot of the possible issues that may occur. This can include using another model to capture a more representative relationship, removing outliers, including robust standard </w:t>
      </w:r>
      <w:r w:rsidR="00CC54FB">
        <w:t>errors,</w:t>
      </w:r>
      <w:r>
        <w:t xml:space="preserve"> or constructing a weighted least square regression (Dougherty, 2016). </w:t>
      </w:r>
    </w:p>
    <w:p w14:paraId="554BEE90" w14:textId="77777777" w:rsidR="00542DEC" w:rsidRDefault="000B6FC7">
      <w:pPr>
        <w:rPr>
          <w:color w:val="BF9000"/>
        </w:rPr>
      </w:pPr>
      <w:r>
        <w:t xml:space="preserve">The regression will include control variables so that the effect the independent variables of interest have on the dependent variable, in this case, the bid premium, can be studied while controlling for the effects of all the other independent variables. Another benefit with using control variables is that it can reduce the risk of getting biased estimators. If an excluded independent variable helps explain the dependent variable and the excluded variable is correlated with included independent variable the regression will risk suffering from omitted variable bias (Dougherty, 2016). </w:t>
      </w:r>
    </w:p>
    <w:p w14:paraId="5D0BFF20" w14:textId="60B0C3EC" w:rsidR="00542DEC" w:rsidRDefault="000B6FC7">
      <w:r>
        <w:lastRenderedPageBreak/>
        <w:t xml:space="preserve">The control variables that will be included in the regression are based on the results from section 2.4.2. Summarizing what previous studies have concluded to have a significant effect on bid premiums we select cash relative to the book value of the target, long-term debt relative to book value of the target, degree of leverage of the target, the book-to-market ratio of the target, the book-to-market ratio of the acquirer, a dummy variable that equals 1 if the payment was done through stock and a dummy that equals 1 if it was a conglomerate merger as our control variables. The original idea was to include a dummy variable for every payment type. This was not possible as the sample size of some payment types were so small that the model experienced perfect collinearity. The data is collected through Bloomberg 40 days prior to the announcement date </w:t>
      </w:r>
      <w:r w:rsidR="00CC54FB">
        <w:t>to</w:t>
      </w:r>
      <w:r>
        <w:t xml:space="preserve"> avoid the effects of takeover </w:t>
      </w:r>
      <w:r w:rsidR="00CC54FB">
        <w:t>rumors</w:t>
      </w:r>
      <w:r>
        <w:t xml:space="preserve"> that may affect the control variables. This method is consistent with prior literature (Gomes &amp; </w:t>
      </w:r>
      <w:proofErr w:type="spellStart"/>
      <w:r>
        <w:t>Marsat</w:t>
      </w:r>
      <w:proofErr w:type="spellEnd"/>
      <w:r>
        <w:t>, 2018). There are additional variables that researchers have shown to have a significant effect on bid premiums, but we have decided to exclude a number of these since they are difficult to quantify or that the data would be more difficult to collect. We also did not want to run the risk of reducing our final sample because we could not find a sufficient sample size of each control variable. Examples of control variables that are difficult to quantify or collect are deregulation and industry consolidation. With that said, the paper includes control variables that are easily accessible and common across all types of companies.</w:t>
      </w:r>
    </w:p>
    <w:p w14:paraId="30474F49" w14:textId="04E461AF" w:rsidR="00542DEC" w:rsidRDefault="000B6FC7">
      <w:pPr>
        <w:pStyle w:val="Heading2"/>
      </w:pPr>
      <w:bookmarkStart w:id="33" w:name="_Toc61125916"/>
      <w:bookmarkStart w:id="34" w:name="_Toc61126689"/>
      <w:r>
        <w:t>4.2 Testing the Gauss</w:t>
      </w:r>
      <w:r w:rsidR="004A326F">
        <w:t>-</w:t>
      </w:r>
      <w:r>
        <w:t>Markov assumptions</w:t>
      </w:r>
      <w:bookmarkEnd w:id="33"/>
      <w:bookmarkEnd w:id="34"/>
    </w:p>
    <w:p w14:paraId="3AB96322" w14:textId="6DFD8B99" w:rsidR="00542DEC" w:rsidRDefault="000B6FC7">
      <w:r>
        <w:t>Testing the Gauss</w:t>
      </w:r>
      <w:r w:rsidR="004A326F">
        <w:t>-</w:t>
      </w:r>
      <w:r>
        <w:t>Markov (GM) assumptions implies testing if the estimators are unbiased and consistent and if the conditional variance of the error terms are constant. This requires that a linear regression model with random sampling has explanatory variables that are exogenous and error terms that are homoscedastic. Assuming that the GM assumptions hold we can expect to have consistent and unbiased estimators as the sample size increases. An estimator is consistent if the independent variables are exogenous and some mild conditions apply. An estimator is unbiased if the expected value of the estimator equals the parameter. Constructing a linear regression model that fulfils the GM assumptions leads to the estimators being more efficient than any other unbiased estimators. There can still exist more efficient biased estimators.</w:t>
      </w:r>
    </w:p>
    <w:p w14:paraId="751CF15B" w14:textId="77777777" w:rsidR="00542DEC" w:rsidRDefault="00542DEC">
      <w:pPr>
        <w:jc w:val="center"/>
      </w:pPr>
    </w:p>
    <w:tbl>
      <w:tblPr>
        <w:tblStyle w:val="a"/>
        <w:tblW w:w="9036" w:type="dxa"/>
        <w:jc w:val="center"/>
        <w:tblLayout w:type="fixed"/>
        <w:tblLook w:val="0600" w:firstRow="0" w:lastRow="0" w:firstColumn="0" w:lastColumn="0" w:noHBand="1" w:noVBand="1"/>
      </w:tblPr>
      <w:tblGrid>
        <w:gridCol w:w="709"/>
        <w:gridCol w:w="7796"/>
        <w:gridCol w:w="531"/>
      </w:tblGrid>
      <w:tr w:rsidR="00542DEC" w14:paraId="762663AE" w14:textId="77777777" w:rsidTr="00CE7069">
        <w:trPr>
          <w:trHeight w:val="468"/>
          <w:jc w:val="center"/>
        </w:trPr>
        <w:tc>
          <w:tcPr>
            <w:tcW w:w="709" w:type="dxa"/>
            <w:shd w:val="clear" w:color="auto" w:fill="auto"/>
            <w:tcMar>
              <w:top w:w="100" w:type="dxa"/>
              <w:left w:w="100" w:type="dxa"/>
              <w:bottom w:w="100" w:type="dxa"/>
              <w:right w:w="100" w:type="dxa"/>
            </w:tcMar>
          </w:tcPr>
          <w:p w14:paraId="72642060" w14:textId="77777777" w:rsidR="00542DEC" w:rsidRDefault="00542DEC">
            <w:pPr>
              <w:spacing w:before="0" w:after="0" w:line="240" w:lineRule="auto"/>
              <w:rPr>
                <w:b/>
              </w:rPr>
            </w:pPr>
          </w:p>
        </w:tc>
        <w:tc>
          <w:tcPr>
            <w:tcW w:w="7796" w:type="dxa"/>
            <w:shd w:val="clear" w:color="auto" w:fill="auto"/>
            <w:tcMar>
              <w:top w:w="100" w:type="dxa"/>
              <w:left w:w="100" w:type="dxa"/>
              <w:bottom w:w="100" w:type="dxa"/>
              <w:right w:w="100" w:type="dxa"/>
            </w:tcMar>
          </w:tcPr>
          <w:p w14:paraId="063AE782" w14:textId="148C0401" w:rsidR="00542DEC" w:rsidRPr="00AD551B" w:rsidRDefault="000B6FC7" w:rsidP="00AD551B">
            <w:pPr>
              <w:jc w:val="center"/>
            </w:pPr>
            <w:r w:rsidRPr="00AD551B">
              <w:t>Unbiased and consistent estimator if</w:t>
            </w:r>
            <w:r w:rsidR="00AD551B" w:rsidRPr="00AD551B">
              <w:t xml:space="preserve"> </w:t>
            </w:r>
            <w:r w:rsidR="00AD551B" w:rsidRPr="00AD551B">
              <w:rPr>
                <w:i/>
                <w:iCs/>
              </w:rPr>
              <w:t>E(b) = β</w:t>
            </w:r>
          </w:p>
        </w:tc>
        <w:tc>
          <w:tcPr>
            <w:tcW w:w="531" w:type="dxa"/>
            <w:shd w:val="clear" w:color="auto" w:fill="auto"/>
            <w:tcMar>
              <w:top w:w="100" w:type="dxa"/>
              <w:left w:w="100" w:type="dxa"/>
              <w:bottom w:w="100" w:type="dxa"/>
              <w:right w:w="100" w:type="dxa"/>
            </w:tcMar>
          </w:tcPr>
          <w:p w14:paraId="1CD0179B" w14:textId="77777777" w:rsidR="00542DEC" w:rsidRPr="00AD551B" w:rsidRDefault="000B6FC7" w:rsidP="00AD551B">
            <w:pPr>
              <w:rPr>
                <w:b/>
                <w:bCs/>
              </w:rPr>
            </w:pPr>
            <w:r w:rsidRPr="00AD551B">
              <w:rPr>
                <w:b/>
                <w:bCs/>
              </w:rPr>
              <w:t>(3)</w:t>
            </w:r>
          </w:p>
        </w:tc>
      </w:tr>
      <w:tr w:rsidR="00542DEC" w14:paraId="0C530929" w14:textId="77777777" w:rsidTr="00CE7069">
        <w:trPr>
          <w:jc w:val="center"/>
        </w:trPr>
        <w:tc>
          <w:tcPr>
            <w:tcW w:w="709" w:type="dxa"/>
            <w:shd w:val="clear" w:color="auto" w:fill="auto"/>
            <w:tcMar>
              <w:top w:w="100" w:type="dxa"/>
              <w:left w:w="100" w:type="dxa"/>
              <w:bottom w:w="100" w:type="dxa"/>
              <w:right w:w="100" w:type="dxa"/>
            </w:tcMar>
          </w:tcPr>
          <w:p w14:paraId="39CB0A44" w14:textId="77777777" w:rsidR="00542DEC" w:rsidRDefault="00542DEC">
            <w:pPr>
              <w:spacing w:before="0" w:after="0" w:line="240" w:lineRule="auto"/>
              <w:rPr>
                <w:b/>
              </w:rPr>
            </w:pPr>
          </w:p>
        </w:tc>
        <w:tc>
          <w:tcPr>
            <w:tcW w:w="7796" w:type="dxa"/>
            <w:shd w:val="clear" w:color="auto" w:fill="auto"/>
            <w:tcMar>
              <w:top w:w="100" w:type="dxa"/>
              <w:left w:w="100" w:type="dxa"/>
              <w:bottom w:w="100" w:type="dxa"/>
              <w:right w:w="100" w:type="dxa"/>
            </w:tcMar>
          </w:tcPr>
          <w:p w14:paraId="3D559684" w14:textId="7A892896" w:rsidR="00542DEC" w:rsidRPr="00AD551B" w:rsidRDefault="000B6FC7" w:rsidP="00AD551B">
            <w:pPr>
              <w:jc w:val="center"/>
            </w:pPr>
            <w:r w:rsidRPr="00AD551B">
              <w:t xml:space="preserve">Exogenous explanatory variable if </w:t>
            </w:r>
            <w:proofErr w:type="gramStart"/>
            <w:r w:rsidR="00AD551B" w:rsidRPr="00AD551B">
              <w:rPr>
                <w:i/>
                <w:iCs/>
              </w:rPr>
              <w:t>E(</w:t>
            </w:r>
            <w:proofErr w:type="spellStart"/>
            <w:proofErr w:type="gramEnd"/>
            <w:r w:rsidR="00AD551B" w:rsidRPr="00AD551B">
              <w:rPr>
                <w:i/>
                <w:iCs/>
              </w:rPr>
              <w:t>ε</w:t>
            </w:r>
            <w:r w:rsidR="00AD551B" w:rsidRPr="00AD551B">
              <w:rPr>
                <w:i/>
                <w:iCs/>
                <w:vertAlign w:val="subscript"/>
              </w:rPr>
              <w:t>i</w:t>
            </w:r>
            <w:proofErr w:type="spellEnd"/>
            <w:r w:rsidR="00AD551B" w:rsidRPr="00AD551B">
              <w:rPr>
                <w:i/>
                <w:iCs/>
              </w:rPr>
              <w:t xml:space="preserve"> | x</w:t>
            </w:r>
            <w:r w:rsidR="00AD551B" w:rsidRPr="00AD551B">
              <w:rPr>
                <w:i/>
                <w:iCs/>
                <w:vertAlign w:val="subscript"/>
              </w:rPr>
              <w:t>i</w:t>
            </w:r>
            <w:r w:rsidR="00AD551B" w:rsidRPr="00AD551B">
              <w:rPr>
                <w:i/>
                <w:iCs/>
              </w:rPr>
              <w:t xml:space="preserve"> ) = 0</w:t>
            </w:r>
          </w:p>
        </w:tc>
        <w:tc>
          <w:tcPr>
            <w:tcW w:w="531" w:type="dxa"/>
            <w:shd w:val="clear" w:color="auto" w:fill="auto"/>
            <w:tcMar>
              <w:top w:w="100" w:type="dxa"/>
              <w:left w:w="100" w:type="dxa"/>
              <w:bottom w:w="100" w:type="dxa"/>
              <w:right w:w="100" w:type="dxa"/>
            </w:tcMar>
          </w:tcPr>
          <w:p w14:paraId="177C0831" w14:textId="77777777" w:rsidR="00542DEC" w:rsidRPr="00AD551B" w:rsidRDefault="000B6FC7" w:rsidP="00AD551B">
            <w:pPr>
              <w:rPr>
                <w:b/>
                <w:bCs/>
              </w:rPr>
            </w:pPr>
            <w:r w:rsidRPr="00AD551B">
              <w:rPr>
                <w:b/>
                <w:bCs/>
              </w:rPr>
              <w:t>(4)</w:t>
            </w:r>
          </w:p>
        </w:tc>
      </w:tr>
      <w:tr w:rsidR="00542DEC" w14:paraId="53C42469" w14:textId="77777777" w:rsidTr="00CE7069">
        <w:trPr>
          <w:jc w:val="center"/>
        </w:trPr>
        <w:tc>
          <w:tcPr>
            <w:tcW w:w="709" w:type="dxa"/>
            <w:shd w:val="clear" w:color="auto" w:fill="auto"/>
            <w:tcMar>
              <w:top w:w="100" w:type="dxa"/>
              <w:left w:w="100" w:type="dxa"/>
              <w:bottom w:w="100" w:type="dxa"/>
              <w:right w:w="100" w:type="dxa"/>
            </w:tcMar>
          </w:tcPr>
          <w:p w14:paraId="689316B3" w14:textId="77777777" w:rsidR="00542DEC" w:rsidRDefault="00542DEC">
            <w:pPr>
              <w:spacing w:before="0" w:after="0" w:line="240" w:lineRule="auto"/>
              <w:rPr>
                <w:b/>
              </w:rPr>
            </w:pPr>
          </w:p>
        </w:tc>
        <w:tc>
          <w:tcPr>
            <w:tcW w:w="7796" w:type="dxa"/>
            <w:shd w:val="clear" w:color="auto" w:fill="auto"/>
            <w:tcMar>
              <w:top w:w="100" w:type="dxa"/>
              <w:left w:w="100" w:type="dxa"/>
              <w:bottom w:w="100" w:type="dxa"/>
              <w:right w:w="100" w:type="dxa"/>
            </w:tcMar>
          </w:tcPr>
          <w:p w14:paraId="6DDAC2B1" w14:textId="298EEF0E" w:rsidR="00542DEC" w:rsidRPr="00AD551B" w:rsidRDefault="000B6FC7" w:rsidP="00AD551B">
            <w:pPr>
              <w:jc w:val="center"/>
            </w:pPr>
            <w:r w:rsidRPr="00AD551B">
              <w:t>Homoscedasticity if</w:t>
            </w:r>
            <w:r w:rsidR="00AD551B" w:rsidRPr="00AD551B">
              <w:t xml:space="preserve"> </w:t>
            </w:r>
            <w:proofErr w:type="gramStart"/>
            <w:r w:rsidR="00AD551B" w:rsidRPr="00AD551B">
              <w:rPr>
                <w:i/>
                <w:iCs/>
              </w:rPr>
              <w:t>Var(</w:t>
            </w:r>
            <w:proofErr w:type="spellStart"/>
            <w:proofErr w:type="gramEnd"/>
            <w:r w:rsidR="00AD551B" w:rsidRPr="00AD551B">
              <w:rPr>
                <w:i/>
                <w:iCs/>
              </w:rPr>
              <w:t>ε</w:t>
            </w:r>
            <w:r w:rsidR="00AD551B" w:rsidRPr="00AD551B">
              <w:rPr>
                <w:i/>
                <w:iCs/>
                <w:vertAlign w:val="subscript"/>
              </w:rPr>
              <w:t>i</w:t>
            </w:r>
            <w:proofErr w:type="spellEnd"/>
            <w:r w:rsidR="00AD551B" w:rsidRPr="00AD551B">
              <w:rPr>
                <w:i/>
                <w:iCs/>
              </w:rPr>
              <w:t xml:space="preserve"> | x</w:t>
            </w:r>
            <w:r w:rsidR="00AD551B" w:rsidRPr="00AD551B">
              <w:rPr>
                <w:i/>
                <w:iCs/>
                <w:vertAlign w:val="subscript"/>
              </w:rPr>
              <w:t>i</w:t>
            </w:r>
            <w:r w:rsidR="00AD551B" w:rsidRPr="00AD551B">
              <w:rPr>
                <w:i/>
                <w:iCs/>
              </w:rPr>
              <w:t xml:space="preserve"> ) = σ</w:t>
            </w:r>
            <w:r w:rsidR="00AD551B" w:rsidRPr="00AC4758">
              <w:rPr>
                <w:i/>
                <w:iCs/>
                <w:vertAlign w:val="superscript"/>
              </w:rPr>
              <w:t>2</w:t>
            </w:r>
          </w:p>
        </w:tc>
        <w:tc>
          <w:tcPr>
            <w:tcW w:w="531" w:type="dxa"/>
            <w:shd w:val="clear" w:color="auto" w:fill="auto"/>
            <w:tcMar>
              <w:top w:w="100" w:type="dxa"/>
              <w:left w:w="100" w:type="dxa"/>
              <w:bottom w:w="100" w:type="dxa"/>
              <w:right w:w="100" w:type="dxa"/>
            </w:tcMar>
          </w:tcPr>
          <w:p w14:paraId="7C6BEF31" w14:textId="77777777" w:rsidR="00542DEC" w:rsidRPr="00AD551B" w:rsidRDefault="000B6FC7" w:rsidP="00AD551B">
            <w:pPr>
              <w:rPr>
                <w:b/>
                <w:bCs/>
              </w:rPr>
            </w:pPr>
            <w:r w:rsidRPr="00AD551B">
              <w:rPr>
                <w:b/>
                <w:bCs/>
              </w:rPr>
              <w:t>(5)</w:t>
            </w:r>
          </w:p>
        </w:tc>
      </w:tr>
    </w:tbl>
    <w:p w14:paraId="26B5A27E" w14:textId="77777777" w:rsidR="00542DEC" w:rsidRDefault="000B6FC7">
      <w:r>
        <w:t>To test whether the linear regression model fulfils the GM assumption we first test for heteroscedasticity using the Breusch-Pagan test. The test runs an auxiliary regression and replaces the dependent variable with the squared residuals. The null hypothesis is that the error term is homoscedastic. If the null is rejected our estimators will still be unbiased and consistent but the standard errors will not. The result of this is that all inference will be incorrect. The problem with heteroscedasticity can still be solved using robust standard errors or weighted least squares. Inference with these standard errors will be correct if the sample size is large (Dougherty p 203-208, 2016).</w:t>
      </w:r>
    </w:p>
    <w:p w14:paraId="21278727" w14:textId="0FCF7E31" w:rsidR="00542DEC" w:rsidRDefault="000B6FC7">
      <w:r>
        <w:t xml:space="preserve">The second requirement is to see if the model suffers from endogeneity. There is no general test for endogeneity with this type of data. The Hausman test could be used if the data was panel data. </w:t>
      </w:r>
      <w:r w:rsidR="00CC54FB">
        <w:t>To</w:t>
      </w:r>
      <w:r>
        <w:t xml:space="preserve"> conclude if the model suffers from endogeneity, three things need to be studied. Firstly, it is necessary to study if there are missing variables in the model and if the model is correctly specified. Included variables that are correlated with missing variables become endogenous. Secondly, if the model suffers from simultaneity where the dependent variable is explained by the independent variable and the independent variable is at the same time explained by the dependent variable the simultaneity problem occurs that leads to endogeneity. Thirdly, the variables are endogenous if there are measurement errors in the explanatory variables.</w:t>
      </w:r>
    </w:p>
    <w:p w14:paraId="0478B2AC" w14:textId="63445B30" w:rsidR="00542DEC" w:rsidRDefault="000B6FC7">
      <w:r>
        <w:t xml:space="preserve">The Ramsey RESET test that tests for misspecification will be used to find potential endogeneity. The null hypothesis is rejected if the model is incorrectly specified. If the linear regression model does not fit the observed data very well there may be non-linearity in the data. This implies that a data transformation is necessary and nonlinear terms such as logarithmic </w:t>
      </w:r>
      <w:r>
        <w:lastRenderedPageBreak/>
        <w:t xml:space="preserve">terms or quadratic terms may be necessary to include. The test can reveal omitted variable bias where variables that ought to be included are not. The result of this is potential heteroskedasticity. Another way to test if the model is </w:t>
      </w:r>
      <w:proofErr w:type="spellStart"/>
      <w:r>
        <w:t>misspecified</w:t>
      </w:r>
      <w:proofErr w:type="spellEnd"/>
      <w:r>
        <w:t xml:space="preserve"> is to visualize a scatter plot with an independent variable on the x-axis and the dependent variable on the y-axis. If the model claims that the relationship is </w:t>
      </w:r>
      <w:r w:rsidR="00CC54FB">
        <w:t>linear,</w:t>
      </w:r>
      <w:r>
        <w:t xml:space="preserve"> but the data observed in the scatter plot indicate that it is not, then we can expect the model to be </w:t>
      </w:r>
      <w:proofErr w:type="spellStart"/>
      <w:r>
        <w:t>misspecified</w:t>
      </w:r>
      <w:proofErr w:type="spellEnd"/>
      <w:r>
        <w:t xml:space="preserve">. This method can be used if the null hypothesis of Ramsey's RESET test is rejected to see which variables need to be respecified. Another way to find misspecification errors is to analyze the test statistic for each variable in the regression. Large tests statistics indicate that the variable is redundant and can be excluded from the regression. </w:t>
      </w:r>
    </w:p>
    <w:p w14:paraId="256B193F" w14:textId="77777777" w:rsidR="00542DEC" w:rsidRDefault="000B6FC7">
      <w:r>
        <w:t>Other ways the model can suffer from endogeneity is from measurement errors and simultaneity. Data points that represent significant outliers and variables that have test statistics that are unreasonably significant will be interpreted as measurement errors and will be excluded from the final model.</w:t>
      </w:r>
    </w:p>
    <w:p w14:paraId="18B45889" w14:textId="0DA1AA81" w:rsidR="00542DEC" w:rsidRDefault="000B6FC7">
      <w:pPr>
        <w:pStyle w:val="Heading2"/>
      </w:pPr>
      <w:bookmarkStart w:id="35" w:name="_Toc61125917"/>
      <w:bookmarkStart w:id="36" w:name="_Toc61126690"/>
      <w:r>
        <w:t>4.3 Dealing with multicollinearity</w:t>
      </w:r>
      <w:bookmarkEnd w:id="35"/>
      <w:bookmarkEnd w:id="36"/>
    </w:p>
    <w:p w14:paraId="59B540A8" w14:textId="487FAB29" w:rsidR="00542DEC" w:rsidRDefault="000B6FC7">
      <w:r>
        <w:t xml:space="preserve">Multicollinearity is a matter of degree of correlation between explanatory variables in the model. All models that have some degree of correlation between explanatory variables experience multicollinearity. High level of multicollinearity normally </w:t>
      </w:r>
      <w:r w:rsidR="00CC54FB">
        <w:t>leads</w:t>
      </w:r>
      <w:r>
        <w:t xml:space="preserve"> to a higher level of standard errors which is problematic as the model will be less precise. High multicollinearity is not always problematic. If the sample size is large and the variance of the explanatory variables is high and the variances of the error term of the regression is small the estimates could still be useful even if the explanatory variables are highly correlated. By changing these three terms you can lower the level of multicollinearity. Firstly, we can try to find a sample size as large as possible. We have tried to find ESG-ratings and control variables that would lead to a sample size as large as possible that still manages to explain the dependent variables well. Secondly, we can try to decrease the variance in the error term in the regression by including omitted variables that could be important to explain the bid premium. Thirdly, we can try to stratify the sample to receive a higher sample variance of the explanatory variables. This alternative is particularly cumbersome for us given that the sample size consists of 5000 transactions. Maybe the most straightforward approach to deal with multicollinearity is to </w:t>
      </w:r>
      <w:r>
        <w:lastRenderedPageBreak/>
        <w:t xml:space="preserve">exclude highly correlated explanatory variables. This is something that the paper will study further. An alternative method is to combine highly correlated variables into one and calculate a weighted average (Dougherty p 14-23, 2016).  A correlation matrix will be created </w:t>
      </w:r>
      <w:r w:rsidR="00CC54FB">
        <w:t>to</w:t>
      </w:r>
      <w:r>
        <w:t xml:space="preserve"> measure the level of multicollinearity. The matrix detects pairwise correlation between explanatory variables. A Variance Inflation Factor (VIF) test will also be run on the model. The result from the test shows how much the estimated coefficient of an independent variable has been inflated due to multicollinearity with other independent variables. The VIF test also captures higher order collinearity. A VIF-factor around 1 is considered low and the model does not suffer from multicollinearity. A factor of 5 is considered moderate and a factor of 10 is considered high where there is a high risk for multicollinearity.  </w:t>
      </w:r>
    </w:p>
    <w:p w14:paraId="197E5269" w14:textId="45D3CFC7" w:rsidR="00542DEC" w:rsidRDefault="000B6FC7">
      <w:pPr>
        <w:pStyle w:val="Heading2"/>
      </w:pPr>
      <w:bookmarkStart w:id="37" w:name="_Toc61125918"/>
      <w:bookmarkStart w:id="38" w:name="_Toc61126691"/>
      <w:r>
        <w:t>4.4 Hypothesis testing</w:t>
      </w:r>
      <w:bookmarkEnd w:id="37"/>
      <w:bookmarkEnd w:id="38"/>
    </w:p>
    <w:p w14:paraId="1E2C56C5" w14:textId="5179281A" w:rsidR="00542DEC" w:rsidRDefault="000B6FC7">
      <w:r>
        <w:t xml:space="preserve">To investigate if companies’ ESG-commitment has any effect on bid premiums in mergers and acquisitions we test the null hypothesis that the ESG-rating has no effect on the bid premium. The null is rejected if the p-value </w:t>
      </w:r>
      <w:r w:rsidR="00CC54FB">
        <w:t xml:space="preserve">is less than </w:t>
      </w:r>
      <w:r>
        <w:t xml:space="preserve">5 %. The test is a two-tailed test. </w:t>
      </w:r>
    </w:p>
    <w:p w14:paraId="16468CAA" w14:textId="77777777" w:rsidR="00CC54FB" w:rsidRDefault="00CC54FB"/>
    <w:tbl>
      <w:tblPr>
        <w:tblStyle w:val="TableGrid"/>
        <w:tblpPr w:leftFromText="180" w:rightFromText="180" w:vertAnchor="text" w:horzAnchor="margin" w:tblpXSpec="center" w:tblpY="-6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5"/>
      </w:tblGrid>
      <w:tr w:rsidR="00CC54FB" w:rsidRPr="00CC54FB" w14:paraId="5301C260" w14:textId="77777777" w:rsidTr="00CC54FB">
        <w:tc>
          <w:tcPr>
            <w:tcW w:w="6095" w:type="dxa"/>
          </w:tcPr>
          <w:p w14:paraId="2C926FBE" w14:textId="3384F5E3" w:rsidR="00CC54FB" w:rsidRDefault="00CC54FB" w:rsidP="00CC54FB">
            <w:pPr>
              <w:rPr>
                <w:i/>
                <w:iCs/>
              </w:rPr>
            </w:pPr>
            <w:r w:rsidRPr="00CC54FB">
              <w:rPr>
                <w:i/>
                <w:iCs/>
              </w:rPr>
              <w:t>H</w:t>
            </w:r>
            <w:r w:rsidRPr="00CC54FB">
              <w:rPr>
                <w:i/>
                <w:iCs/>
                <w:vertAlign w:val="subscript"/>
              </w:rPr>
              <w:t>0</w:t>
            </w:r>
            <w:r w:rsidRPr="00CC54FB">
              <w:rPr>
                <w:i/>
                <w:iCs/>
              </w:rPr>
              <w:t>: ESG-commitments have no effect on bid premiums</w:t>
            </w:r>
          </w:p>
          <w:p w14:paraId="3FEF1B94" w14:textId="2B8F1E84" w:rsidR="00CC54FB" w:rsidRPr="00CC54FB" w:rsidRDefault="00CC54FB" w:rsidP="00CC54FB">
            <w:pPr>
              <w:rPr>
                <w:i/>
                <w:iCs/>
              </w:rPr>
            </w:pPr>
          </w:p>
        </w:tc>
      </w:tr>
      <w:tr w:rsidR="00CC54FB" w:rsidRPr="00CC54FB" w14:paraId="3417CD18" w14:textId="77777777" w:rsidTr="00CC54FB">
        <w:tc>
          <w:tcPr>
            <w:tcW w:w="6095" w:type="dxa"/>
          </w:tcPr>
          <w:p w14:paraId="058AACE7" w14:textId="0ED9CA2D" w:rsidR="00CC54FB" w:rsidRPr="00CC54FB" w:rsidRDefault="00CC54FB" w:rsidP="00CC54FB">
            <w:pPr>
              <w:rPr>
                <w:i/>
                <w:iCs/>
              </w:rPr>
            </w:pPr>
            <w:r w:rsidRPr="00CC54FB">
              <w:rPr>
                <w:i/>
                <w:iCs/>
              </w:rPr>
              <w:t>H</w:t>
            </w:r>
            <w:r w:rsidRPr="00CC54FB">
              <w:rPr>
                <w:i/>
                <w:iCs/>
                <w:vertAlign w:val="subscript"/>
              </w:rPr>
              <w:t>1</w:t>
            </w:r>
            <w:r w:rsidRPr="00CC54FB">
              <w:rPr>
                <w:i/>
                <w:iCs/>
              </w:rPr>
              <w:t>: ESG-commitments have an effect on bid premiums</w:t>
            </w:r>
          </w:p>
        </w:tc>
      </w:tr>
    </w:tbl>
    <w:p w14:paraId="070E5227" w14:textId="77777777" w:rsidR="00CC54FB" w:rsidRDefault="00CC54FB"/>
    <w:p w14:paraId="044C435D" w14:textId="77777777" w:rsidR="00CC54FB" w:rsidRDefault="00CC54FB">
      <w:pPr>
        <w:rPr>
          <w:sz w:val="40"/>
          <w:szCs w:val="40"/>
        </w:rPr>
      </w:pPr>
      <w:r>
        <w:br w:type="page"/>
      </w:r>
    </w:p>
    <w:p w14:paraId="6F117294" w14:textId="21A5448A" w:rsidR="00542DEC" w:rsidRDefault="00AD551B" w:rsidP="00CC54FB">
      <w:pPr>
        <w:pStyle w:val="Heading1"/>
      </w:pPr>
      <w:bookmarkStart w:id="39" w:name="_Toc61125919"/>
      <w:bookmarkStart w:id="40" w:name="_Toc61126692"/>
      <w:r>
        <w:lastRenderedPageBreak/>
        <w:t xml:space="preserve">5. </w:t>
      </w:r>
      <w:r w:rsidR="000B6FC7">
        <w:t>Data</w:t>
      </w:r>
      <w:bookmarkEnd w:id="39"/>
      <w:bookmarkEnd w:id="40"/>
    </w:p>
    <w:p w14:paraId="0B65950D" w14:textId="77777777" w:rsidR="00542DEC" w:rsidRDefault="000B6FC7">
      <w:pPr>
        <w:jc w:val="center"/>
        <w:rPr>
          <w:i/>
        </w:rPr>
      </w:pPr>
      <w:r>
        <w:rPr>
          <w:i/>
        </w:rPr>
        <w:t>Section 5.1 to 5.3 will explain how the data is delimited and retrieved. Section 5.4 will explain how the data is sampled into a final sample of deals. Lastly, section 5.5 will present explanations of each variable. Section 5.5 will also include the control variables that will be included in the regression models. The control variables are based on the findings from section 2.4.2.</w:t>
      </w:r>
    </w:p>
    <w:p w14:paraId="5313BBCF" w14:textId="19DE157E" w:rsidR="00542DEC" w:rsidRDefault="000B6FC7">
      <w:pPr>
        <w:pStyle w:val="Heading2"/>
      </w:pPr>
      <w:bookmarkStart w:id="41" w:name="_Toc61125920"/>
      <w:bookmarkStart w:id="42" w:name="_Toc61126693"/>
      <w:r>
        <w:t>5.1 Time frame</w:t>
      </w:r>
      <w:bookmarkEnd w:id="41"/>
      <w:bookmarkEnd w:id="42"/>
    </w:p>
    <w:p w14:paraId="3718D4DC" w14:textId="33601D5D" w:rsidR="00542DEC" w:rsidRDefault="000B6FC7">
      <w:pPr>
        <w:rPr>
          <w:color w:val="BF9000"/>
        </w:rPr>
      </w:pPr>
      <w:r>
        <w:t xml:space="preserve">The paper (Chen &amp; </w:t>
      </w:r>
      <w:proofErr w:type="spellStart"/>
      <w:r>
        <w:t>Gavious</w:t>
      </w:r>
      <w:proofErr w:type="spellEnd"/>
      <w:r>
        <w:t xml:space="preserve">, 2015) shows how difficult it is to find a sample size that is relevant to our time and reliable enough to be of any interest. They were satisfied with a sample size of 226 transactions. As stated in the introduction, sustainable awareness has become increasingly important in the business world and it is important that studies in the area are up to date. A too narrow </w:t>
      </w:r>
      <w:r w:rsidR="004912FE">
        <w:t>period</w:t>
      </w:r>
      <w:r>
        <w:t xml:space="preserve"> leads on the other hand to a sample size that is too small for any meaningful statistical analysis, especially when the expected effect is small. We will need a large sample size to detect the effect if it exists. That is, we will have a lower power in our study unless we have a large sample. The </w:t>
      </w:r>
      <w:r w:rsidR="004912FE">
        <w:t>period</w:t>
      </w:r>
      <w:r>
        <w:t xml:space="preserve"> will therefore to some extent be governed by the sample size of our other variables such as the extent companies receive ESG-ratings and how many mergers and acquisitions have been carried through.</w:t>
      </w:r>
    </w:p>
    <w:p w14:paraId="4EAABB89" w14:textId="5A577495" w:rsidR="00542DEC" w:rsidRDefault="000B6FC7">
      <w:r>
        <w:t xml:space="preserve">In order to find a sample size large enough to where the results could be of statistical significance and where the results are relevant enough for today's business </w:t>
      </w:r>
      <w:r w:rsidR="004912FE">
        <w:t>world,</w:t>
      </w:r>
      <w:r>
        <w:t xml:space="preserve"> we </w:t>
      </w:r>
      <w:r w:rsidR="004912FE">
        <w:t>delimitate</w:t>
      </w:r>
      <w:r>
        <w:t xml:space="preserve"> the study to the period 2000-2020. </w:t>
      </w:r>
    </w:p>
    <w:p w14:paraId="06E958C8" w14:textId="56CBFC9E" w:rsidR="00542DEC" w:rsidRDefault="000B6FC7">
      <w:pPr>
        <w:pStyle w:val="Heading2"/>
      </w:pPr>
      <w:bookmarkStart w:id="43" w:name="_Toc61125921"/>
      <w:bookmarkStart w:id="44" w:name="_Toc61126694"/>
      <w:r>
        <w:t>5.2 Deal selection and bid premiums</w:t>
      </w:r>
      <w:bookmarkEnd w:id="43"/>
      <w:bookmarkEnd w:id="44"/>
      <w:r>
        <w:t xml:space="preserve"> </w:t>
      </w:r>
    </w:p>
    <w:p w14:paraId="40FF943F" w14:textId="582B16D4" w:rsidR="00542DEC" w:rsidRDefault="000B6FC7">
      <w:r>
        <w:t>The data on mergers and acquisitions is collected through Bloomberg. This following data collection process returned a list of targets, acquirers, announcement dates, bid premiums and whether the bid was friendly or hostile. Similar to previous literature (</w:t>
      </w:r>
      <w:proofErr w:type="spellStart"/>
      <w:r>
        <w:t>Aktas</w:t>
      </w:r>
      <w:proofErr w:type="spellEnd"/>
      <w:r>
        <w:t xml:space="preserve"> et al., 2011) we selected our data of mergers and acquisitions in the following way:</w:t>
      </w:r>
    </w:p>
    <w:p w14:paraId="7462C412" w14:textId="73C6047B" w:rsidR="004912FE" w:rsidRPr="004912FE" w:rsidRDefault="004912FE" w:rsidP="004912FE">
      <w:pPr>
        <w:rPr>
          <w:lang w:val="en-SE"/>
        </w:rPr>
      </w:pPr>
      <w:r w:rsidRPr="00D85147">
        <w:rPr>
          <w:b/>
          <w:bCs/>
          <w:color w:val="000000"/>
          <w:lang w:val="en-SE"/>
        </w:rPr>
        <w:lastRenderedPageBreak/>
        <w:t>Table 1. Deal selection process</w:t>
      </w:r>
    </w:p>
    <w:tbl>
      <w:tblPr>
        <w:tblStyle w:val="PlainTable4"/>
        <w:tblW w:w="8931" w:type="dxa"/>
        <w:tblLayout w:type="fixed"/>
        <w:tblLook w:val="04A0" w:firstRow="1" w:lastRow="0" w:firstColumn="1" w:lastColumn="0" w:noHBand="0" w:noVBand="1"/>
      </w:tblPr>
      <w:tblGrid>
        <w:gridCol w:w="6521"/>
        <w:gridCol w:w="2410"/>
      </w:tblGrid>
      <w:tr w:rsidR="004912FE" w:rsidRPr="007362F2" w14:paraId="142F7F4F" w14:textId="77777777" w:rsidTr="004912F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21" w:type="dxa"/>
            <w:tcBorders>
              <w:top w:val="double" w:sz="4" w:space="0" w:color="auto"/>
              <w:bottom w:val="single" w:sz="4" w:space="0" w:color="auto"/>
            </w:tcBorders>
            <w:shd w:val="clear" w:color="auto" w:fill="auto"/>
            <w:hideMark/>
          </w:tcPr>
          <w:p w14:paraId="0C08CBD8" w14:textId="77777777" w:rsidR="004912FE" w:rsidRPr="00CB4B83" w:rsidRDefault="004912FE" w:rsidP="005B34C8">
            <w:pPr>
              <w:jc w:val="center"/>
              <w:rPr>
                <w:rFonts w:ascii="Times New Roman" w:hAnsi="Times New Roman" w:cs="Times New Roman"/>
                <w:color w:val="000000" w:themeColor="text1"/>
                <w:sz w:val="22"/>
                <w:szCs w:val="22"/>
              </w:rPr>
            </w:pPr>
            <w:r w:rsidRPr="00CB4B83">
              <w:rPr>
                <w:rFonts w:ascii="Times New Roman" w:hAnsi="Times New Roman" w:cs="Times New Roman"/>
                <w:color w:val="000000" w:themeColor="text1"/>
                <w:sz w:val="22"/>
                <w:szCs w:val="22"/>
              </w:rPr>
              <w:t>Criteria</w:t>
            </w:r>
          </w:p>
        </w:tc>
        <w:tc>
          <w:tcPr>
            <w:tcW w:w="2410" w:type="dxa"/>
            <w:tcBorders>
              <w:top w:val="double" w:sz="4" w:space="0" w:color="auto"/>
              <w:bottom w:val="single" w:sz="4" w:space="0" w:color="auto"/>
            </w:tcBorders>
          </w:tcPr>
          <w:p w14:paraId="4880E720" w14:textId="77777777" w:rsidR="004912FE" w:rsidRPr="00CB4B83" w:rsidRDefault="004912FE" w:rsidP="005B34C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sidRPr="00CB4B83">
              <w:rPr>
                <w:rFonts w:ascii="Times New Roman" w:hAnsi="Times New Roman" w:cs="Times New Roman"/>
                <w:color w:val="000000" w:themeColor="text1"/>
                <w:sz w:val="22"/>
                <w:szCs w:val="22"/>
              </w:rPr>
              <w:t>Matches</w:t>
            </w:r>
          </w:p>
        </w:tc>
      </w:tr>
      <w:tr w:rsidR="004912FE" w:rsidRPr="007362F2" w14:paraId="16C9477E" w14:textId="77777777" w:rsidTr="004912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21" w:type="dxa"/>
            <w:shd w:val="clear" w:color="auto" w:fill="auto"/>
          </w:tcPr>
          <w:p w14:paraId="7D33B484" w14:textId="1585944B" w:rsidR="004912FE" w:rsidRPr="004912FE" w:rsidRDefault="004912FE" w:rsidP="005B34C8">
            <w:pPr>
              <w:jc w:val="center"/>
              <w:rPr>
                <w:rFonts w:ascii="Times New Roman" w:hAnsi="Times New Roman" w:cs="Times New Roman"/>
                <w:color w:val="000000" w:themeColor="text1"/>
                <w:sz w:val="22"/>
                <w:szCs w:val="22"/>
              </w:rPr>
            </w:pPr>
          </w:p>
        </w:tc>
        <w:tc>
          <w:tcPr>
            <w:tcW w:w="2410" w:type="dxa"/>
            <w:shd w:val="clear" w:color="auto" w:fill="auto"/>
          </w:tcPr>
          <w:p w14:paraId="43A11C58" w14:textId="77777777" w:rsidR="004912FE" w:rsidRPr="004912FE" w:rsidRDefault="004912FE" w:rsidP="005B3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r>
      <w:tr w:rsidR="004912FE" w:rsidRPr="007362F2" w14:paraId="121BF080" w14:textId="77777777" w:rsidTr="004912FE">
        <w:trPr>
          <w:trHeight w:val="300"/>
        </w:trPr>
        <w:tc>
          <w:tcPr>
            <w:cnfStyle w:val="001000000000" w:firstRow="0" w:lastRow="0" w:firstColumn="1" w:lastColumn="0" w:oddVBand="0" w:evenVBand="0" w:oddHBand="0" w:evenHBand="0" w:firstRowFirstColumn="0" w:firstRowLastColumn="0" w:lastRowFirstColumn="0" w:lastRowLastColumn="0"/>
            <w:tcW w:w="6521" w:type="dxa"/>
            <w:shd w:val="clear" w:color="auto" w:fill="auto"/>
            <w:vAlign w:val="bottom"/>
            <w:hideMark/>
          </w:tcPr>
          <w:p w14:paraId="42C8795A" w14:textId="77777777" w:rsidR="004912FE" w:rsidRPr="00CB4B83" w:rsidRDefault="004912FE" w:rsidP="00CB4B83">
            <w:pPr>
              <w:pStyle w:val="ListParagraph"/>
              <w:numPr>
                <w:ilvl w:val="0"/>
                <w:numId w:val="5"/>
              </w:numPr>
              <w:rPr>
                <w:rFonts w:ascii="Times New Roman" w:hAnsi="Times New Roman" w:cs="Times New Roman"/>
                <w:b w:val="0"/>
                <w:bCs w:val="0"/>
                <w:color w:val="000000"/>
                <w:sz w:val="22"/>
                <w:szCs w:val="22"/>
                <w:lang w:val="en-US"/>
              </w:rPr>
            </w:pPr>
            <w:r w:rsidRPr="00CB4B83">
              <w:rPr>
                <w:rFonts w:ascii="Times New Roman" w:hAnsi="Times New Roman" w:cs="Times New Roman"/>
                <w:b w:val="0"/>
                <w:bCs w:val="0"/>
                <w:color w:val="000000"/>
                <w:sz w:val="22"/>
                <w:szCs w:val="22"/>
                <w:lang w:val="en-US"/>
              </w:rPr>
              <w:t>Target and the acquirer are listed in the United States</w:t>
            </w:r>
          </w:p>
        </w:tc>
        <w:tc>
          <w:tcPr>
            <w:tcW w:w="2410" w:type="dxa"/>
            <w:shd w:val="clear" w:color="auto" w:fill="auto"/>
            <w:vAlign w:val="bottom"/>
          </w:tcPr>
          <w:p w14:paraId="1FE43D9A" w14:textId="77777777" w:rsidR="004912FE" w:rsidRPr="00CB4B83" w:rsidRDefault="004912FE" w:rsidP="00CB4B8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CB4B83">
              <w:rPr>
                <w:rFonts w:ascii="Times New Roman" w:hAnsi="Times New Roman" w:cs="Times New Roman"/>
                <w:color w:val="000000"/>
                <w:sz w:val="22"/>
                <w:szCs w:val="22"/>
                <w:lang w:val="en-SE" w:eastAsia="en-SE"/>
              </w:rPr>
              <w:t>272930</w:t>
            </w:r>
          </w:p>
        </w:tc>
      </w:tr>
      <w:tr w:rsidR="004912FE" w:rsidRPr="007362F2" w14:paraId="40DD9DEA" w14:textId="77777777" w:rsidTr="004912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21" w:type="dxa"/>
            <w:shd w:val="clear" w:color="auto" w:fill="auto"/>
            <w:vAlign w:val="bottom"/>
            <w:hideMark/>
          </w:tcPr>
          <w:p w14:paraId="54E610C7" w14:textId="77777777" w:rsidR="004912FE" w:rsidRPr="00CB4B83" w:rsidRDefault="004912FE" w:rsidP="00CB4B83">
            <w:pPr>
              <w:pStyle w:val="ListParagraph"/>
              <w:numPr>
                <w:ilvl w:val="0"/>
                <w:numId w:val="5"/>
              </w:numPr>
              <w:rPr>
                <w:rFonts w:ascii="Times New Roman" w:hAnsi="Times New Roman" w:cs="Times New Roman"/>
                <w:b w:val="0"/>
                <w:bCs w:val="0"/>
                <w:color w:val="000000"/>
                <w:sz w:val="22"/>
                <w:szCs w:val="22"/>
              </w:rPr>
            </w:pPr>
            <w:r w:rsidRPr="00CB4B83">
              <w:rPr>
                <w:rFonts w:ascii="Times New Roman" w:hAnsi="Times New Roman" w:cs="Times New Roman"/>
                <w:b w:val="0"/>
                <w:bCs w:val="0"/>
                <w:color w:val="000000"/>
                <w:sz w:val="22"/>
                <w:szCs w:val="22"/>
              </w:rPr>
              <w:t>Deal must be completed</w:t>
            </w:r>
          </w:p>
        </w:tc>
        <w:tc>
          <w:tcPr>
            <w:tcW w:w="2410" w:type="dxa"/>
            <w:shd w:val="clear" w:color="auto" w:fill="auto"/>
            <w:vAlign w:val="bottom"/>
          </w:tcPr>
          <w:p w14:paraId="191E7790" w14:textId="77777777" w:rsidR="004912FE" w:rsidRPr="00CB4B83" w:rsidRDefault="004912FE" w:rsidP="00CB4B8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r w:rsidRPr="00CB4B83">
              <w:rPr>
                <w:rFonts w:ascii="Times New Roman" w:hAnsi="Times New Roman" w:cs="Times New Roman"/>
                <w:color w:val="000000"/>
                <w:sz w:val="22"/>
                <w:szCs w:val="22"/>
                <w:lang w:val="en-SE" w:eastAsia="en-SE"/>
              </w:rPr>
              <w:t>255391</w:t>
            </w:r>
          </w:p>
        </w:tc>
      </w:tr>
      <w:tr w:rsidR="004912FE" w:rsidRPr="007362F2" w14:paraId="171602F3" w14:textId="77777777" w:rsidTr="004912FE">
        <w:trPr>
          <w:trHeight w:val="300"/>
        </w:trPr>
        <w:tc>
          <w:tcPr>
            <w:cnfStyle w:val="001000000000" w:firstRow="0" w:lastRow="0" w:firstColumn="1" w:lastColumn="0" w:oddVBand="0" w:evenVBand="0" w:oddHBand="0" w:evenHBand="0" w:firstRowFirstColumn="0" w:firstRowLastColumn="0" w:lastRowFirstColumn="0" w:lastRowLastColumn="0"/>
            <w:tcW w:w="6521" w:type="dxa"/>
            <w:shd w:val="clear" w:color="auto" w:fill="auto"/>
            <w:vAlign w:val="bottom"/>
            <w:hideMark/>
          </w:tcPr>
          <w:p w14:paraId="10FFE23E" w14:textId="18E6BBAC" w:rsidR="004912FE" w:rsidRPr="00CB4B83" w:rsidRDefault="004912FE" w:rsidP="00CB4B83">
            <w:pPr>
              <w:pStyle w:val="ListParagraph"/>
              <w:numPr>
                <w:ilvl w:val="0"/>
                <w:numId w:val="5"/>
              </w:numPr>
              <w:rPr>
                <w:rFonts w:ascii="Times New Roman" w:hAnsi="Times New Roman" w:cs="Times New Roman"/>
                <w:b w:val="0"/>
                <w:bCs w:val="0"/>
                <w:color w:val="000000"/>
                <w:sz w:val="22"/>
                <w:szCs w:val="22"/>
              </w:rPr>
            </w:pPr>
            <w:r w:rsidRPr="00CB4B83">
              <w:rPr>
                <w:rFonts w:ascii="Times New Roman" w:hAnsi="Times New Roman" w:cs="Times New Roman"/>
                <w:b w:val="0"/>
                <w:bCs w:val="0"/>
                <w:color w:val="000000"/>
                <w:sz w:val="22"/>
                <w:szCs w:val="22"/>
              </w:rPr>
              <w:t>Time period 01/01/2000 - 24/11/2020</w:t>
            </w:r>
          </w:p>
        </w:tc>
        <w:tc>
          <w:tcPr>
            <w:tcW w:w="2410" w:type="dxa"/>
            <w:shd w:val="clear" w:color="auto" w:fill="auto"/>
            <w:vAlign w:val="bottom"/>
          </w:tcPr>
          <w:p w14:paraId="43971BE5" w14:textId="77777777" w:rsidR="004912FE" w:rsidRPr="00CB4B83" w:rsidRDefault="004912FE" w:rsidP="00CB4B8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CB4B83">
              <w:rPr>
                <w:rFonts w:ascii="Times New Roman" w:hAnsi="Times New Roman" w:cs="Times New Roman"/>
                <w:color w:val="000000"/>
                <w:sz w:val="22"/>
                <w:szCs w:val="22"/>
                <w:lang w:val="en-SE" w:eastAsia="en-SE"/>
              </w:rPr>
              <w:t>232864</w:t>
            </w:r>
          </w:p>
        </w:tc>
      </w:tr>
      <w:tr w:rsidR="004912FE" w:rsidRPr="007362F2" w14:paraId="7202A5E2" w14:textId="77777777" w:rsidTr="004912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21" w:type="dxa"/>
            <w:shd w:val="clear" w:color="auto" w:fill="auto"/>
            <w:vAlign w:val="bottom"/>
            <w:hideMark/>
          </w:tcPr>
          <w:p w14:paraId="427BE730" w14:textId="77777777" w:rsidR="004912FE" w:rsidRPr="00CB4B83" w:rsidRDefault="004912FE" w:rsidP="00CB4B83">
            <w:pPr>
              <w:pStyle w:val="ListParagraph"/>
              <w:numPr>
                <w:ilvl w:val="0"/>
                <w:numId w:val="5"/>
              </w:numPr>
              <w:rPr>
                <w:rFonts w:ascii="Times New Roman" w:hAnsi="Times New Roman" w:cs="Times New Roman"/>
                <w:b w:val="0"/>
                <w:bCs w:val="0"/>
                <w:color w:val="000000"/>
                <w:sz w:val="22"/>
                <w:szCs w:val="22"/>
              </w:rPr>
            </w:pPr>
            <w:r w:rsidRPr="00CB4B83">
              <w:rPr>
                <w:rFonts w:ascii="Times New Roman" w:hAnsi="Times New Roman" w:cs="Times New Roman"/>
                <w:b w:val="0"/>
                <w:bCs w:val="0"/>
                <w:color w:val="000000"/>
                <w:sz w:val="22"/>
                <w:szCs w:val="22"/>
              </w:rPr>
              <w:t xml:space="preserve">Percentage </w:t>
            </w:r>
            <w:proofErr w:type="gramStart"/>
            <w:r w:rsidRPr="00CB4B83">
              <w:rPr>
                <w:rFonts w:ascii="Times New Roman" w:hAnsi="Times New Roman" w:cs="Times New Roman"/>
                <w:b w:val="0"/>
                <w:bCs w:val="0"/>
                <w:color w:val="000000"/>
                <w:sz w:val="22"/>
                <w:szCs w:val="22"/>
              </w:rPr>
              <w:t>sought  between</w:t>
            </w:r>
            <w:proofErr w:type="gramEnd"/>
            <w:r w:rsidRPr="00CB4B83">
              <w:rPr>
                <w:rFonts w:ascii="Times New Roman" w:hAnsi="Times New Roman" w:cs="Times New Roman"/>
                <w:b w:val="0"/>
                <w:bCs w:val="0"/>
                <w:color w:val="000000"/>
                <w:sz w:val="22"/>
                <w:szCs w:val="22"/>
              </w:rPr>
              <w:t xml:space="preserve"> 51 and 100 %</w:t>
            </w:r>
          </w:p>
        </w:tc>
        <w:tc>
          <w:tcPr>
            <w:tcW w:w="2410" w:type="dxa"/>
            <w:shd w:val="clear" w:color="auto" w:fill="auto"/>
            <w:vAlign w:val="bottom"/>
          </w:tcPr>
          <w:p w14:paraId="2660FE25" w14:textId="77777777" w:rsidR="004912FE" w:rsidRPr="00CB4B83" w:rsidRDefault="004912FE" w:rsidP="00CB4B8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r w:rsidRPr="00CB4B83">
              <w:rPr>
                <w:rFonts w:ascii="Times New Roman" w:hAnsi="Times New Roman" w:cs="Times New Roman"/>
                <w:color w:val="000000"/>
                <w:sz w:val="22"/>
                <w:szCs w:val="22"/>
                <w:lang w:val="en-SE" w:eastAsia="en-SE"/>
              </w:rPr>
              <w:t>165459</w:t>
            </w:r>
          </w:p>
        </w:tc>
      </w:tr>
      <w:tr w:rsidR="004912FE" w:rsidRPr="007362F2" w14:paraId="44F20526" w14:textId="77777777" w:rsidTr="004912FE">
        <w:trPr>
          <w:trHeight w:val="300"/>
        </w:trPr>
        <w:tc>
          <w:tcPr>
            <w:cnfStyle w:val="001000000000" w:firstRow="0" w:lastRow="0" w:firstColumn="1" w:lastColumn="0" w:oddVBand="0" w:evenVBand="0" w:oddHBand="0" w:evenHBand="0" w:firstRowFirstColumn="0" w:firstRowLastColumn="0" w:lastRowFirstColumn="0" w:lastRowLastColumn="0"/>
            <w:tcW w:w="6521" w:type="dxa"/>
            <w:shd w:val="clear" w:color="auto" w:fill="auto"/>
            <w:vAlign w:val="bottom"/>
            <w:hideMark/>
          </w:tcPr>
          <w:p w14:paraId="6AA2C423" w14:textId="77777777" w:rsidR="004912FE" w:rsidRPr="00CB4B83" w:rsidRDefault="004912FE" w:rsidP="00CB4B83">
            <w:pPr>
              <w:pStyle w:val="ListParagraph"/>
              <w:numPr>
                <w:ilvl w:val="0"/>
                <w:numId w:val="5"/>
              </w:numPr>
              <w:rPr>
                <w:rFonts w:ascii="Times New Roman" w:hAnsi="Times New Roman" w:cs="Times New Roman"/>
                <w:b w:val="0"/>
                <w:bCs w:val="0"/>
                <w:color w:val="000000"/>
                <w:sz w:val="22"/>
                <w:szCs w:val="22"/>
                <w:lang w:val="en-US"/>
              </w:rPr>
            </w:pPr>
            <w:r w:rsidRPr="00CB4B83">
              <w:rPr>
                <w:rFonts w:ascii="Times New Roman" w:hAnsi="Times New Roman" w:cs="Times New Roman"/>
                <w:b w:val="0"/>
                <w:bCs w:val="0"/>
                <w:color w:val="000000"/>
                <w:sz w:val="22"/>
                <w:szCs w:val="22"/>
                <w:lang w:val="en-US"/>
              </w:rPr>
              <w:t>Nature of bid either friendly or hostile</w:t>
            </w:r>
          </w:p>
        </w:tc>
        <w:tc>
          <w:tcPr>
            <w:tcW w:w="2410" w:type="dxa"/>
            <w:shd w:val="clear" w:color="auto" w:fill="auto"/>
            <w:vAlign w:val="bottom"/>
          </w:tcPr>
          <w:p w14:paraId="014B686E" w14:textId="77777777" w:rsidR="004912FE" w:rsidRPr="00CB4B83" w:rsidRDefault="004912FE" w:rsidP="00CB4B8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CB4B83">
              <w:rPr>
                <w:rFonts w:ascii="Times New Roman" w:hAnsi="Times New Roman" w:cs="Times New Roman"/>
                <w:color w:val="000000"/>
                <w:sz w:val="22"/>
                <w:szCs w:val="22"/>
                <w:lang w:val="en-SE" w:eastAsia="en-SE"/>
              </w:rPr>
              <w:t>107621</w:t>
            </w:r>
          </w:p>
        </w:tc>
      </w:tr>
      <w:tr w:rsidR="004912FE" w:rsidRPr="007362F2" w14:paraId="46CBB21B" w14:textId="77777777" w:rsidTr="004912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21" w:type="dxa"/>
            <w:shd w:val="clear" w:color="auto" w:fill="auto"/>
            <w:vAlign w:val="bottom"/>
            <w:hideMark/>
          </w:tcPr>
          <w:p w14:paraId="13BC5DB2" w14:textId="30E364D1" w:rsidR="004912FE" w:rsidRPr="00CB4B83" w:rsidRDefault="004912FE" w:rsidP="00CB4B83">
            <w:pPr>
              <w:pStyle w:val="ListParagraph"/>
              <w:numPr>
                <w:ilvl w:val="0"/>
                <w:numId w:val="5"/>
              </w:numPr>
              <w:rPr>
                <w:rFonts w:ascii="Times New Roman" w:hAnsi="Times New Roman" w:cs="Times New Roman"/>
                <w:b w:val="0"/>
                <w:bCs w:val="0"/>
                <w:color w:val="000000"/>
                <w:sz w:val="22"/>
                <w:szCs w:val="22"/>
                <w:lang w:val="en-US"/>
              </w:rPr>
            </w:pPr>
            <w:r w:rsidRPr="00CB4B83">
              <w:rPr>
                <w:rFonts w:ascii="Times New Roman" w:hAnsi="Times New Roman" w:cs="Times New Roman"/>
                <w:b w:val="0"/>
                <w:bCs w:val="0"/>
                <w:color w:val="000000"/>
                <w:sz w:val="22"/>
                <w:szCs w:val="22"/>
                <w:lang w:val="en-US"/>
              </w:rPr>
              <w:t>Exists data on bid premium</w:t>
            </w:r>
          </w:p>
        </w:tc>
        <w:tc>
          <w:tcPr>
            <w:tcW w:w="2410" w:type="dxa"/>
            <w:shd w:val="clear" w:color="auto" w:fill="auto"/>
            <w:vAlign w:val="bottom"/>
          </w:tcPr>
          <w:p w14:paraId="3C634144" w14:textId="77777777" w:rsidR="004912FE" w:rsidRPr="00CB4B83" w:rsidRDefault="004912FE" w:rsidP="00CB4B8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r w:rsidRPr="00CB4B83">
              <w:rPr>
                <w:rFonts w:ascii="Times New Roman" w:hAnsi="Times New Roman" w:cs="Times New Roman"/>
                <w:color w:val="000000"/>
                <w:sz w:val="22"/>
                <w:szCs w:val="22"/>
                <w:lang w:val="en-SE" w:eastAsia="en-SE"/>
              </w:rPr>
              <w:t>5737</w:t>
            </w:r>
          </w:p>
        </w:tc>
      </w:tr>
      <w:tr w:rsidR="004912FE" w:rsidRPr="007362F2" w14:paraId="3FA545E8" w14:textId="77777777" w:rsidTr="00CB4B83">
        <w:trPr>
          <w:trHeight w:val="300"/>
        </w:trPr>
        <w:tc>
          <w:tcPr>
            <w:cnfStyle w:val="001000000000" w:firstRow="0" w:lastRow="0" w:firstColumn="1" w:lastColumn="0" w:oddVBand="0" w:evenVBand="0" w:oddHBand="0" w:evenHBand="0" w:firstRowFirstColumn="0" w:firstRowLastColumn="0" w:lastRowFirstColumn="0" w:lastRowLastColumn="0"/>
            <w:tcW w:w="6521" w:type="dxa"/>
            <w:shd w:val="clear" w:color="auto" w:fill="auto"/>
            <w:vAlign w:val="bottom"/>
            <w:hideMark/>
          </w:tcPr>
          <w:p w14:paraId="0F7C9EF0" w14:textId="77777777" w:rsidR="004912FE" w:rsidRPr="00CB4B83" w:rsidRDefault="004912FE" w:rsidP="00CB4B83">
            <w:pPr>
              <w:pStyle w:val="ListParagraph"/>
              <w:numPr>
                <w:ilvl w:val="0"/>
                <w:numId w:val="5"/>
              </w:numPr>
              <w:rPr>
                <w:rFonts w:ascii="Times New Roman" w:hAnsi="Times New Roman" w:cs="Times New Roman"/>
                <w:b w:val="0"/>
                <w:bCs w:val="0"/>
                <w:color w:val="000000"/>
                <w:sz w:val="22"/>
                <w:szCs w:val="22"/>
              </w:rPr>
            </w:pPr>
            <w:r w:rsidRPr="00CB4B83">
              <w:rPr>
                <w:rFonts w:ascii="Times New Roman" w:hAnsi="Times New Roman" w:cs="Times New Roman"/>
                <w:b w:val="0"/>
                <w:bCs w:val="0"/>
                <w:color w:val="000000"/>
                <w:sz w:val="22"/>
                <w:szCs w:val="22"/>
              </w:rPr>
              <w:t>Minimum deal size 1 000 000 $</w:t>
            </w:r>
          </w:p>
        </w:tc>
        <w:tc>
          <w:tcPr>
            <w:tcW w:w="2410" w:type="dxa"/>
            <w:shd w:val="clear" w:color="auto" w:fill="auto"/>
            <w:vAlign w:val="bottom"/>
          </w:tcPr>
          <w:p w14:paraId="3AEA0A98" w14:textId="77777777" w:rsidR="004912FE" w:rsidRPr="00CB4B83" w:rsidRDefault="004912FE" w:rsidP="00CB4B8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CB4B83">
              <w:rPr>
                <w:rFonts w:ascii="Times New Roman" w:hAnsi="Times New Roman" w:cs="Times New Roman"/>
                <w:color w:val="000000"/>
                <w:sz w:val="22"/>
                <w:szCs w:val="22"/>
                <w:lang w:val="en-SE" w:eastAsia="en-SE"/>
              </w:rPr>
              <w:t>5601</w:t>
            </w:r>
          </w:p>
        </w:tc>
      </w:tr>
      <w:tr w:rsidR="00CB4B83" w:rsidRPr="007362F2" w14:paraId="277C2A9A" w14:textId="77777777" w:rsidTr="00CB4B83">
        <w:trPr>
          <w:cnfStyle w:val="000000100000" w:firstRow="0" w:lastRow="0" w:firstColumn="0" w:lastColumn="0" w:oddVBand="0" w:evenVBand="0" w:oddHBand="1" w:evenHBand="0" w:firstRowFirstColumn="0" w:firstRowLastColumn="0" w:lastRowFirstColumn="0" w:lastRowLastColumn="0"/>
          <w:trHeight w:val="401"/>
        </w:trPr>
        <w:tc>
          <w:tcPr>
            <w:cnfStyle w:val="001000000000" w:firstRow="0" w:lastRow="0" w:firstColumn="1" w:lastColumn="0" w:oddVBand="0" w:evenVBand="0" w:oddHBand="0" w:evenHBand="0" w:firstRowFirstColumn="0" w:firstRowLastColumn="0" w:lastRowFirstColumn="0" w:lastRowLastColumn="0"/>
            <w:tcW w:w="6521" w:type="dxa"/>
            <w:tcBorders>
              <w:bottom w:val="double" w:sz="6" w:space="0" w:color="auto"/>
            </w:tcBorders>
            <w:shd w:val="clear" w:color="auto" w:fill="auto"/>
            <w:vAlign w:val="bottom"/>
          </w:tcPr>
          <w:p w14:paraId="4277A335" w14:textId="58CCE77D" w:rsidR="00CB4B83" w:rsidRPr="007362F2" w:rsidRDefault="00CB4B83" w:rsidP="00CB4B83">
            <w:pPr>
              <w:jc w:val="center"/>
              <w:rPr>
                <w:color w:val="000000"/>
                <w:sz w:val="22"/>
                <w:szCs w:val="22"/>
              </w:rPr>
            </w:pPr>
          </w:p>
        </w:tc>
        <w:tc>
          <w:tcPr>
            <w:tcW w:w="2410" w:type="dxa"/>
            <w:tcBorders>
              <w:bottom w:val="double" w:sz="6" w:space="0" w:color="auto"/>
            </w:tcBorders>
            <w:shd w:val="clear" w:color="auto" w:fill="auto"/>
            <w:vAlign w:val="bottom"/>
          </w:tcPr>
          <w:p w14:paraId="02BCFE80" w14:textId="77777777" w:rsidR="00CB4B83" w:rsidRPr="007362F2" w:rsidRDefault="00CB4B83" w:rsidP="00CB4B83">
            <w:pPr>
              <w:jc w:val="both"/>
              <w:cnfStyle w:val="000000100000" w:firstRow="0" w:lastRow="0" w:firstColumn="0" w:lastColumn="0" w:oddVBand="0" w:evenVBand="0" w:oddHBand="1" w:evenHBand="0" w:firstRowFirstColumn="0" w:firstRowLastColumn="0" w:lastRowFirstColumn="0" w:lastRowLastColumn="0"/>
              <w:rPr>
                <w:color w:val="000000"/>
                <w:sz w:val="22"/>
                <w:szCs w:val="22"/>
              </w:rPr>
            </w:pPr>
          </w:p>
        </w:tc>
      </w:tr>
    </w:tbl>
    <w:p w14:paraId="26C3B9DF" w14:textId="6D6D4942" w:rsidR="00CE7069" w:rsidRDefault="000B6FC7" w:rsidP="00CE7069">
      <w:r>
        <w:t xml:space="preserve">Unfortunately, Bloomberg imposes a restriction that the extracted data </w:t>
      </w:r>
      <w:r w:rsidR="004912FE">
        <w:t>cannot</w:t>
      </w:r>
      <w:r>
        <w:t xml:space="preserve"> exceed 5000 rows and 40 columns. This means that our sample of mergers and acquisitions will consist of 5000 transactions. This means that the sample decreases by about 10 %. This will increase the variance of the distribution of the estimators (Dougherty p 19-20, 2016). We could bypass this by extracting the data twice to get all 5601 transactions. The data is however already reaching the limit of the number of individual data points that Bloomberg allows users to collect. We will thereby accept losing 601 deals. The sample is shown in the graph below. </w:t>
      </w:r>
    </w:p>
    <w:p w14:paraId="26E35B0C" w14:textId="1761C66A" w:rsidR="00CE7069" w:rsidRDefault="00CE7069" w:rsidP="00CE7069">
      <w:pPr>
        <w:jc w:val="center"/>
        <w:rPr>
          <w:b/>
        </w:rPr>
      </w:pPr>
      <w:r>
        <w:rPr>
          <w:noProof/>
        </w:rPr>
        <w:drawing>
          <wp:anchor distT="114300" distB="114300" distL="114300" distR="114300" simplePos="0" relativeHeight="251660288" behindDoc="0" locked="0" layoutInCell="1" hidden="0" allowOverlap="1" wp14:anchorId="13656AF7" wp14:editId="138363E7">
            <wp:simplePos x="0" y="0"/>
            <wp:positionH relativeFrom="margin">
              <wp:posOffset>909955</wp:posOffset>
            </wp:positionH>
            <wp:positionV relativeFrom="paragraph">
              <wp:posOffset>652145</wp:posOffset>
            </wp:positionV>
            <wp:extent cx="3829050" cy="2076450"/>
            <wp:effectExtent l="0" t="0" r="0" b="0"/>
            <wp:wrapTopAndBottom distT="114300" distB="114300"/>
            <wp:docPr id="1" name="image2.png" descr="Points scored"/>
            <wp:cNvGraphicFramePr/>
            <a:graphic xmlns:a="http://schemas.openxmlformats.org/drawingml/2006/main">
              <a:graphicData uri="http://schemas.openxmlformats.org/drawingml/2006/picture">
                <pic:pic xmlns:pic="http://schemas.openxmlformats.org/drawingml/2006/picture">
                  <pic:nvPicPr>
                    <pic:cNvPr id="0" name="image2.png" descr="Points scored"/>
                    <pic:cNvPicPr preferRelativeResize="0"/>
                  </pic:nvPicPr>
                  <pic:blipFill rotWithShape="1">
                    <a:blip r:embed="rId10">
                      <a:extLst>
                        <a:ext uri="{BEBA8EAE-BF5A-486C-A8C5-ECC9F3942E4B}">
                          <a14:imgProps xmlns:a14="http://schemas.microsoft.com/office/drawing/2010/main">
                            <a14:imgLayer r:embed="rId11">
                              <a14:imgEffect>
                                <a14:saturation sat="0"/>
                              </a14:imgEffect>
                            </a14:imgLayer>
                          </a14:imgProps>
                        </a:ext>
                      </a:extLst>
                    </a:blip>
                    <a:srcRect t="5627" b="5265"/>
                    <a:stretch/>
                  </pic:blipFill>
                  <pic:spPr bwMode="auto">
                    <a:xfrm>
                      <a:off x="0" y="0"/>
                      <a:ext cx="3829050" cy="20764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912FE">
        <w:rPr>
          <w:b/>
        </w:rPr>
        <w:t>Graph 1. Number of completed deals between 01/01/2000 and 24/11/2020</w:t>
      </w:r>
    </w:p>
    <w:p w14:paraId="7C68EF03" w14:textId="779D7BB7" w:rsidR="00542DEC" w:rsidRPr="00CE7069" w:rsidRDefault="000B6FC7" w:rsidP="00CE7069">
      <w:pPr>
        <w:rPr>
          <w:b/>
        </w:rPr>
      </w:pPr>
      <w:r>
        <w:rPr>
          <w:i/>
        </w:rPr>
        <w:t>Graph 1: number of completed mergers and acquisitions where both the target and the acquirer are listed in the US, the acquirers hold over 50 % of the shares after the deal has been completed and the announced deal value exceed 1 million dollars (Bloomberg, 2020).</w:t>
      </w:r>
    </w:p>
    <w:p w14:paraId="60A647DD" w14:textId="39462B92" w:rsidR="00542DEC" w:rsidRDefault="000B6FC7">
      <w:pPr>
        <w:pStyle w:val="Heading2"/>
      </w:pPr>
      <w:bookmarkStart w:id="45" w:name="_Toc61125922"/>
      <w:bookmarkStart w:id="46" w:name="_Toc61126695"/>
      <w:r>
        <w:lastRenderedPageBreak/>
        <w:t>5.3 ESG-rating</w:t>
      </w:r>
      <w:bookmarkEnd w:id="45"/>
      <w:bookmarkEnd w:id="46"/>
    </w:p>
    <w:p w14:paraId="661FDA33" w14:textId="77777777" w:rsidR="00542DEC" w:rsidRDefault="000B6FC7">
      <w:r>
        <w:t>In the following four sections will four ESG-ratings be presented that later will be used together in order to calculate an overall ESG-rating of each company in the sample. It will mention what the ratings include and how the ratings are designed. The reasoning behind this decision was due to their good reputation as mentioned in section 2.5 and that they were all accessible through Bloomberg. After that will be an explanation on how the overall ESG-rating is calculated.</w:t>
      </w:r>
    </w:p>
    <w:p w14:paraId="6F02CC76" w14:textId="5E5A53AB" w:rsidR="00542DEC" w:rsidRDefault="000B6FC7">
      <w:pPr>
        <w:pStyle w:val="Heading3"/>
      </w:pPr>
      <w:bookmarkStart w:id="47" w:name="_Toc61125923"/>
      <w:bookmarkStart w:id="48" w:name="_Toc61126696"/>
      <w:r>
        <w:t xml:space="preserve">5.3.1 </w:t>
      </w:r>
      <w:proofErr w:type="spellStart"/>
      <w:r>
        <w:t>Sustainanalytics</w:t>
      </w:r>
      <w:proofErr w:type="spellEnd"/>
      <w:r w:rsidR="002622D4">
        <w:t>’</w:t>
      </w:r>
      <w:r>
        <w:t xml:space="preserve"> ESG Risk Ratings</w:t>
      </w:r>
      <w:bookmarkEnd w:id="47"/>
      <w:bookmarkEnd w:id="48"/>
    </w:p>
    <w:p w14:paraId="596AC752" w14:textId="727EA183" w:rsidR="00542DEC" w:rsidRDefault="000B6FC7">
      <w:proofErr w:type="spellStart"/>
      <w:r>
        <w:t>Sustainalytics</w:t>
      </w:r>
      <w:proofErr w:type="spellEnd"/>
      <w:r>
        <w:t xml:space="preserve"> is an investment research firm that specialize in environmental, social, and governance research. The ranking is a passive rating that incorporates all three dimensions of ESG. The ranking goes between 0 and 100</w:t>
      </w:r>
      <w:r w:rsidR="004912FE">
        <w:t xml:space="preserve"> in an order of</w:t>
      </w:r>
      <w:r>
        <w:t xml:space="preserve"> best to worst. For </w:t>
      </w:r>
      <w:r w:rsidR="004912FE">
        <w:t>example,</w:t>
      </w:r>
      <w:r>
        <w:t xml:space="preserve"> the 99th percentile is considered a less sustainable company in terms of ESG than most of its peers (</w:t>
      </w:r>
      <w:proofErr w:type="spellStart"/>
      <w:r>
        <w:t>Systainalytics</w:t>
      </w:r>
      <w:proofErr w:type="spellEnd"/>
      <w:r>
        <w:t>, 2020).</w:t>
      </w:r>
    </w:p>
    <w:p w14:paraId="706D89C0" w14:textId="17B3C5E7" w:rsidR="00542DEC" w:rsidRDefault="000B6FC7">
      <w:pPr>
        <w:pStyle w:val="Heading3"/>
      </w:pPr>
      <w:bookmarkStart w:id="49" w:name="_Toc61125924"/>
      <w:bookmarkStart w:id="50" w:name="_Toc61126697"/>
      <w:r>
        <w:t xml:space="preserve">5.3.2 </w:t>
      </w:r>
      <w:proofErr w:type="spellStart"/>
      <w:r>
        <w:t>RobecoSAM</w:t>
      </w:r>
      <w:proofErr w:type="spellEnd"/>
      <w:r>
        <w:t xml:space="preserve"> (S&amp;P Global ESG-Score)</w:t>
      </w:r>
      <w:bookmarkEnd w:id="49"/>
      <w:bookmarkEnd w:id="50"/>
    </w:p>
    <w:p w14:paraId="354A7958" w14:textId="0F8F8918" w:rsidR="00542DEC" w:rsidRDefault="000B6FC7">
      <w:pPr>
        <w:rPr>
          <w:color w:val="BF9000"/>
        </w:rPr>
      </w:pPr>
      <w:proofErr w:type="spellStart"/>
      <w:r>
        <w:t>Robeco</w:t>
      </w:r>
      <w:r w:rsidR="004912FE">
        <w:t>SAM</w:t>
      </w:r>
      <w:proofErr w:type="spellEnd"/>
      <w:r>
        <w:t xml:space="preserve"> is an investment specialist that focuses on long term sustainable investing. </w:t>
      </w:r>
      <w:proofErr w:type="spellStart"/>
      <w:r>
        <w:t>Robeco</w:t>
      </w:r>
      <w:r w:rsidR="004912FE">
        <w:t>SAM</w:t>
      </w:r>
      <w:proofErr w:type="spellEnd"/>
      <w:r>
        <w:t xml:space="preserve"> is referenced as S&amp;P Global ESG Rank in Bloomberg. The rating is an active rating based on the </w:t>
      </w:r>
      <w:proofErr w:type="spellStart"/>
      <w:r>
        <w:t>RobecoSAM</w:t>
      </w:r>
      <w:proofErr w:type="spellEnd"/>
      <w:r>
        <w:t xml:space="preserve"> Corporate Sustainability Assessment. Responding companies are evaluated on their economic, </w:t>
      </w:r>
      <w:r w:rsidR="004912FE">
        <w:t>environmental,</w:t>
      </w:r>
      <w:r>
        <w:t xml:space="preserve"> and social sustainability. The weights each pillar receives is valued differently depending on the industry. The purpose of this is to create a rating that </w:t>
      </w:r>
      <w:r w:rsidR="004912FE">
        <w:t>can</w:t>
      </w:r>
      <w:r>
        <w:t xml:space="preserve"> compare across industries. The rating ranges from 0-100 where a high rating is meant to be given to companies that focus on sustainability (Bloomberg, 2020).</w:t>
      </w:r>
    </w:p>
    <w:p w14:paraId="051E02B5" w14:textId="510EE56F" w:rsidR="00542DEC" w:rsidRDefault="000B6FC7">
      <w:pPr>
        <w:pStyle w:val="Heading3"/>
      </w:pPr>
      <w:bookmarkStart w:id="51" w:name="_Toc61125925"/>
      <w:bookmarkStart w:id="52" w:name="_Toc61126698"/>
      <w:r>
        <w:t>5.3.3 ISS Quality Score</w:t>
      </w:r>
      <w:bookmarkEnd w:id="51"/>
      <w:bookmarkEnd w:id="52"/>
    </w:p>
    <w:p w14:paraId="6B5A9625" w14:textId="77777777" w:rsidR="00542DEC" w:rsidRDefault="000B6FC7">
      <w:r>
        <w:t>The ISS quality score is assigned by the Institutional Shareholder Services (ISS) and is a passive rating that represents the companies’ governance practices. The rating ranges from 1 to 10 where each number represents a decile compared to its peers (Bloomberg, 2020). A company with a rating of 9 is in the 9th decile. The rating is based on 220 factors within board structure, compensations, shareholder rights and audit and risk oversight (ISS, 2020).</w:t>
      </w:r>
    </w:p>
    <w:p w14:paraId="0D3EF2B8" w14:textId="78A72488" w:rsidR="00542DEC" w:rsidRDefault="000B6FC7">
      <w:pPr>
        <w:pStyle w:val="Heading3"/>
      </w:pPr>
      <w:bookmarkStart w:id="53" w:name="_Toc61125926"/>
      <w:bookmarkStart w:id="54" w:name="_Toc61126699"/>
      <w:r>
        <w:lastRenderedPageBreak/>
        <w:t>5.3.4 Bloomberg ESG Disclosure Score</w:t>
      </w:r>
      <w:bookmarkEnd w:id="53"/>
      <w:bookmarkEnd w:id="54"/>
    </w:p>
    <w:p w14:paraId="42F23843" w14:textId="7535F918" w:rsidR="00542DEC" w:rsidRDefault="000B6FC7">
      <w:r>
        <w:t>The ESG disclosure score is a passive rating based around the extent that companies disclose ESG-related data. The scores range from 0.1 to 100, where 100 implies that a company disclosed every data point that Bloomberg stores. Worth noting is that it does not measure the performance in different data points (Bloomberg, 2020).</w:t>
      </w:r>
    </w:p>
    <w:p w14:paraId="61653DC0" w14:textId="061C6363" w:rsidR="00542DEC" w:rsidRDefault="000B6FC7">
      <w:pPr>
        <w:pStyle w:val="Heading3"/>
      </w:pPr>
      <w:bookmarkStart w:id="55" w:name="_Toc61125927"/>
      <w:bookmarkStart w:id="56" w:name="_Toc61126700"/>
      <w:r>
        <w:t>5.3.5 Overall ESG-rating</w:t>
      </w:r>
      <w:bookmarkEnd w:id="55"/>
      <w:bookmarkEnd w:id="56"/>
    </w:p>
    <w:p w14:paraId="03FEDFAC" w14:textId="5DF40378" w:rsidR="00542DEC" w:rsidRDefault="000B6FC7">
      <w:r>
        <w:t xml:space="preserve">By </w:t>
      </w:r>
      <w:r w:rsidR="002622D4">
        <w:t>summarizing</w:t>
      </w:r>
      <w:r>
        <w:t xml:space="preserve"> the total number of target companies and acquirers in our data set that use each of the four ESG-ratings we get the following sample size:</w:t>
      </w:r>
    </w:p>
    <w:p w14:paraId="0BE38099" w14:textId="77777777" w:rsidR="002622D4" w:rsidRPr="00C51E79" w:rsidRDefault="002622D4" w:rsidP="002622D4">
      <w:pPr>
        <w:pStyle w:val="NormalWeb"/>
        <w:spacing w:before="240" w:beforeAutospacing="0" w:after="240" w:afterAutospacing="0"/>
        <w:jc w:val="both"/>
        <w:rPr>
          <w:lang w:val="en-US"/>
        </w:rPr>
      </w:pPr>
      <w:r w:rsidRPr="00C51E79">
        <w:rPr>
          <w:b/>
          <w:bCs/>
          <w:color w:val="000000"/>
          <w:lang w:val="en-US"/>
        </w:rPr>
        <w:t>Table 2. Number of targets and acquirers that have each ESG-rating</w:t>
      </w:r>
    </w:p>
    <w:tbl>
      <w:tblPr>
        <w:tblStyle w:val="PlainTable4"/>
        <w:tblW w:w="8931" w:type="dxa"/>
        <w:tblLayout w:type="fixed"/>
        <w:tblLook w:val="04A0" w:firstRow="1" w:lastRow="0" w:firstColumn="1" w:lastColumn="0" w:noHBand="0" w:noVBand="1"/>
      </w:tblPr>
      <w:tblGrid>
        <w:gridCol w:w="5954"/>
        <w:gridCol w:w="2977"/>
      </w:tblGrid>
      <w:tr w:rsidR="002622D4" w:rsidRPr="002324F6" w14:paraId="105A3789" w14:textId="77777777" w:rsidTr="005B34C8">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954" w:type="dxa"/>
            <w:tcBorders>
              <w:top w:val="double" w:sz="4" w:space="0" w:color="auto"/>
              <w:bottom w:val="single" w:sz="4" w:space="0" w:color="auto"/>
            </w:tcBorders>
            <w:shd w:val="clear" w:color="auto" w:fill="auto"/>
            <w:hideMark/>
          </w:tcPr>
          <w:p w14:paraId="31C92A0D" w14:textId="77777777" w:rsidR="002622D4" w:rsidRPr="002622D4" w:rsidRDefault="002622D4" w:rsidP="005B34C8">
            <w:pPr>
              <w:jc w:val="center"/>
              <w:rPr>
                <w:rFonts w:ascii="Times New Roman" w:hAnsi="Times New Roman" w:cs="Times New Roman"/>
                <w:color w:val="000000" w:themeColor="text1"/>
                <w:sz w:val="22"/>
                <w:szCs w:val="22"/>
              </w:rPr>
            </w:pPr>
            <w:r w:rsidRPr="002622D4">
              <w:rPr>
                <w:rFonts w:ascii="Times New Roman" w:hAnsi="Times New Roman" w:cs="Times New Roman"/>
                <w:color w:val="000000" w:themeColor="text1"/>
                <w:sz w:val="22"/>
                <w:szCs w:val="22"/>
              </w:rPr>
              <w:t>ESG-rating</w:t>
            </w:r>
          </w:p>
        </w:tc>
        <w:tc>
          <w:tcPr>
            <w:tcW w:w="2977" w:type="dxa"/>
            <w:tcBorders>
              <w:top w:val="double" w:sz="4" w:space="0" w:color="auto"/>
              <w:bottom w:val="single" w:sz="4" w:space="0" w:color="auto"/>
            </w:tcBorders>
          </w:tcPr>
          <w:p w14:paraId="0D5EFE9B" w14:textId="77777777" w:rsidR="002622D4" w:rsidRPr="002622D4" w:rsidRDefault="002622D4" w:rsidP="005B34C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sidRPr="002622D4">
              <w:rPr>
                <w:rFonts w:ascii="Times New Roman" w:hAnsi="Times New Roman" w:cs="Times New Roman"/>
                <w:color w:val="000000" w:themeColor="text1"/>
                <w:sz w:val="22"/>
                <w:szCs w:val="22"/>
              </w:rPr>
              <w:t>Sample size</w:t>
            </w:r>
          </w:p>
        </w:tc>
      </w:tr>
      <w:tr w:rsidR="002622D4" w:rsidRPr="007362F2" w14:paraId="5FF7F0BD" w14:textId="77777777" w:rsidTr="005B34C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954" w:type="dxa"/>
            <w:shd w:val="clear" w:color="auto" w:fill="auto"/>
          </w:tcPr>
          <w:p w14:paraId="70113139" w14:textId="77777777" w:rsidR="002622D4" w:rsidRPr="002622D4" w:rsidRDefault="002622D4" w:rsidP="005B34C8">
            <w:pPr>
              <w:jc w:val="center"/>
              <w:rPr>
                <w:rFonts w:ascii="Times New Roman" w:hAnsi="Times New Roman" w:cs="Times New Roman"/>
                <w:color w:val="000000" w:themeColor="text1"/>
                <w:sz w:val="22"/>
                <w:szCs w:val="22"/>
              </w:rPr>
            </w:pPr>
          </w:p>
        </w:tc>
        <w:tc>
          <w:tcPr>
            <w:tcW w:w="2977" w:type="dxa"/>
            <w:shd w:val="clear" w:color="auto" w:fill="auto"/>
          </w:tcPr>
          <w:p w14:paraId="5E9A4939" w14:textId="77777777" w:rsidR="002622D4" w:rsidRPr="002622D4" w:rsidRDefault="002622D4" w:rsidP="005B3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r>
      <w:tr w:rsidR="002622D4" w:rsidRPr="007362F2" w14:paraId="4C82116B" w14:textId="77777777" w:rsidTr="005B34C8">
        <w:trPr>
          <w:trHeight w:val="300"/>
        </w:trPr>
        <w:tc>
          <w:tcPr>
            <w:cnfStyle w:val="001000000000" w:firstRow="0" w:lastRow="0" w:firstColumn="1" w:lastColumn="0" w:oddVBand="0" w:evenVBand="0" w:oddHBand="0" w:evenHBand="0" w:firstRowFirstColumn="0" w:firstRowLastColumn="0" w:lastRowFirstColumn="0" w:lastRowLastColumn="0"/>
            <w:tcW w:w="5954" w:type="dxa"/>
            <w:shd w:val="clear" w:color="auto" w:fill="auto"/>
            <w:vAlign w:val="center"/>
            <w:hideMark/>
          </w:tcPr>
          <w:p w14:paraId="45DB651E" w14:textId="53271A33" w:rsidR="002622D4" w:rsidRPr="00CB4B83" w:rsidRDefault="002622D4" w:rsidP="00B324C8">
            <w:pPr>
              <w:rPr>
                <w:rFonts w:ascii="Times New Roman" w:hAnsi="Times New Roman" w:cs="Times New Roman"/>
                <w:b w:val="0"/>
                <w:bCs w:val="0"/>
                <w:color w:val="000000"/>
                <w:sz w:val="22"/>
                <w:szCs w:val="22"/>
              </w:rPr>
            </w:pPr>
            <w:r w:rsidRPr="00CB4B83">
              <w:rPr>
                <w:rFonts w:ascii="Times New Roman" w:hAnsi="Times New Roman" w:cs="Times New Roman"/>
                <w:b w:val="0"/>
                <w:bCs w:val="0"/>
                <w:color w:val="000000"/>
                <w:sz w:val="22"/>
                <w:szCs w:val="22"/>
                <w:lang w:val="en-SE" w:eastAsia="en-SE"/>
              </w:rPr>
              <w:t>Sustainanalytics</w:t>
            </w:r>
            <w:r w:rsidRPr="00CB4B83">
              <w:rPr>
                <w:rFonts w:ascii="Times New Roman" w:hAnsi="Times New Roman" w:cs="Times New Roman"/>
                <w:b w:val="0"/>
                <w:bCs w:val="0"/>
                <w:color w:val="000000"/>
                <w:sz w:val="22"/>
                <w:szCs w:val="22"/>
                <w:lang w:val="en-US" w:eastAsia="en-SE"/>
              </w:rPr>
              <w:t>’</w:t>
            </w:r>
            <w:r w:rsidRPr="00CB4B83">
              <w:rPr>
                <w:rFonts w:ascii="Times New Roman" w:hAnsi="Times New Roman" w:cs="Times New Roman"/>
                <w:b w:val="0"/>
                <w:bCs w:val="0"/>
                <w:color w:val="000000"/>
                <w:sz w:val="22"/>
                <w:szCs w:val="22"/>
                <w:lang w:val="en-SE" w:eastAsia="en-SE"/>
              </w:rPr>
              <w:t xml:space="preserve"> ESG Risk </w:t>
            </w:r>
            <w:r w:rsidRPr="00CB4B83">
              <w:rPr>
                <w:rFonts w:ascii="Times New Roman" w:hAnsi="Times New Roman" w:cs="Times New Roman"/>
                <w:b w:val="0"/>
                <w:bCs w:val="0"/>
                <w:color w:val="000000"/>
                <w:sz w:val="22"/>
                <w:szCs w:val="22"/>
                <w:lang w:val="en-US" w:eastAsia="en-SE"/>
              </w:rPr>
              <w:t>R</w:t>
            </w:r>
            <w:r w:rsidRPr="00CB4B83">
              <w:rPr>
                <w:rFonts w:ascii="Times New Roman" w:hAnsi="Times New Roman" w:cs="Times New Roman"/>
                <w:b w:val="0"/>
                <w:bCs w:val="0"/>
                <w:color w:val="000000"/>
                <w:sz w:val="22"/>
                <w:szCs w:val="22"/>
                <w:lang w:val="en-SE" w:eastAsia="en-SE"/>
              </w:rPr>
              <w:t>atings</w:t>
            </w:r>
          </w:p>
        </w:tc>
        <w:tc>
          <w:tcPr>
            <w:tcW w:w="2977" w:type="dxa"/>
            <w:shd w:val="clear" w:color="auto" w:fill="auto"/>
            <w:vAlign w:val="center"/>
          </w:tcPr>
          <w:p w14:paraId="0CC2FD4E" w14:textId="77777777" w:rsidR="002622D4" w:rsidRPr="00CB4B83" w:rsidRDefault="002622D4" w:rsidP="005B3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lang w:val="en-SE" w:eastAsia="en-SE"/>
              </w:rPr>
            </w:pPr>
            <w:r w:rsidRPr="00CB4B83">
              <w:rPr>
                <w:rFonts w:ascii="Times New Roman" w:hAnsi="Times New Roman" w:cs="Times New Roman"/>
                <w:color w:val="000000"/>
                <w:sz w:val="22"/>
                <w:szCs w:val="22"/>
                <w:lang w:val="en-SE" w:eastAsia="en-SE"/>
              </w:rPr>
              <w:t>Targets: 91</w:t>
            </w:r>
          </w:p>
          <w:p w14:paraId="2F7C3ECD" w14:textId="77777777" w:rsidR="002622D4" w:rsidRPr="00CB4B83" w:rsidRDefault="002622D4" w:rsidP="005B3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lang w:val="en-SE" w:eastAsia="en-SE"/>
              </w:rPr>
            </w:pPr>
            <w:r w:rsidRPr="00CB4B83">
              <w:rPr>
                <w:rFonts w:ascii="Times New Roman" w:hAnsi="Times New Roman" w:cs="Times New Roman"/>
                <w:color w:val="000000"/>
                <w:sz w:val="22"/>
                <w:szCs w:val="22"/>
                <w:lang w:val="en-SE" w:eastAsia="en-SE"/>
              </w:rPr>
              <w:t>Acquirers: 1334</w:t>
            </w:r>
          </w:p>
        </w:tc>
      </w:tr>
      <w:tr w:rsidR="002622D4" w:rsidRPr="007362F2" w14:paraId="2289887E" w14:textId="77777777" w:rsidTr="005B34C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954" w:type="dxa"/>
            <w:shd w:val="clear" w:color="auto" w:fill="auto"/>
            <w:vAlign w:val="center"/>
          </w:tcPr>
          <w:p w14:paraId="6E1A8717" w14:textId="77777777" w:rsidR="002622D4" w:rsidRPr="00CB4B83" w:rsidRDefault="002622D4" w:rsidP="00B324C8">
            <w:pPr>
              <w:rPr>
                <w:b w:val="0"/>
                <w:bCs w:val="0"/>
                <w:color w:val="000000"/>
                <w:sz w:val="22"/>
                <w:szCs w:val="22"/>
                <w:lang w:val="en-SE" w:eastAsia="en-SE"/>
              </w:rPr>
            </w:pPr>
          </w:p>
        </w:tc>
        <w:tc>
          <w:tcPr>
            <w:tcW w:w="2977" w:type="dxa"/>
            <w:shd w:val="clear" w:color="auto" w:fill="auto"/>
            <w:vAlign w:val="center"/>
          </w:tcPr>
          <w:p w14:paraId="0ABD7DA3" w14:textId="77777777" w:rsidR="002622D4" w:rsidRPr="00CB4B83" w:rsidRDefault="002622D4" w:rsidP="005B34C8">
            <w:pPr>
              <w:jc w:val="center"/>
              <w:cnfStyle w:val="000000100000" w:firstRow="0" w:lastRow="0" w:firstColumn="0" w:lastColumn="0" w:oddVBand="0" w:evenVBand="0" w:oddHBand="1" w:evenHBand="0" w:firstRowFirstColumn="0" w:firstRowLastColumn="0" w:lastRowFirstColumn="0" w:lastRowLastColumn="0"/>
              <w:rPr>
                <w:color w:val="000000"/>
                <w:sz w:val="22"/>
                <w:szCs w:val="22"/>
                <w:lang w:val="en-SE" w:eastAsia="en-SE"/>
              </w:rPr>
            </w:pPr>
          </w:p>
        </w:tc>
      </w:tr>
      <w:tr w:rsidR="002622D4" w:rsidRPr="007362F2" w14:paraId="3E84F210" w14:textId="77777777" w:rsidTr="005B34C8">
        <w:trPr>
          <w:trHeight w:val="300"/>
        </w:trPr>
        <w:tc>
          <w:tcPr>
            <w:cnfStyle w:val="001000000000" w:firstRow="0" w:lastRow="0" w:firstColumn="1" w:lastColumn="0" w:oddVBand="0" w:evenVBand="0" w:oddHBand="0" w:evenHBand="0" w:firstRowFirstColumn="0" w:firstRowLastColumn="0" w:lastRowFirstColumn="0" w:lastRowLastColumn="0"/>
            <w:tcW w:w="5954" w:type="dxa"/>
            <w:shd w:val="clear" w:color="auto" w:fill="auto"/>
            <w:vAlign w:val="center"/>
            <w:hideMark/>
          </w:tcPr>
          <w:p w14:paraId="34E312A2" w14:textId="77777777" w:rsidR="002622D4" w:rsidRPr="00CB4B83" w:rsidRDefault="002622D4" w:rsidP="00B324C8">
            <w:pPr>
              <w:rPr>
                <w:rFonts w:ascii="Times New Roman" w:hAnsi="Times New Roman" w:cs="Times New Roman"/>
                <w:b w:val="0"/>
                <w:bCs w:val="0"/>
                <w:color w:val="000000"/>
                <w:sz w:val="22"/>
                <w:szCs w:val="22"/>
              </w:rPr>
            </w:pPr>
            <w:r w:rsidRPr="00CB4B83">
              <w:rPr>
                <w:rFonts w:ascii="Times New Roman" w:hAnsi="Times New Roman" w:cs="Times New Roman"/>
                <w:b w:val="0"/>
                <w:bCs w:val="0"/>
                <w:color w:val="000000"/>
                <w:sz w:val="22"/>
                <w:szCs w:val="22"/>
                <w:lang w:val="en-SE" w:eastAsia="en-SE"/>
              </w:rPr>
              <w:t xml:space="preserve">RobecoSAM </w:t>
            </w:r>
            <w:r w:rsidRPr="00CB4B83">
              <w:rPr>
                <w:rFonts w:ascii="Times New Roman" w:hAnsi="Times New Roman" w:cs="Times New Roman"/>
                <w:b w:val="0"/>
                <w:bCs w:val="0"/>
                <w:color w:val="000000"/>
                <w:sz w:val="22"/>
                <w:szCs w:val="22"/>
                <w:lang w:val="en-US" w:eastAsia="en-SE"/>
              </w:rPr>
              <w:t>C</w:t>
            </w:r>
            <w:r w:rsidRPr="00CB4B83">
              <w:rPr>
                <w:rFonts w:ascii="Times New Roman" w:hAnsi="Times New Roman" w:cs="Times New Roman"/>
                <w:b w:val="0"/>
                <w:bCs w:val="0"/>
                <w:color w:val="000000"/>
                <w:sz w:val="22"/>
                <w:szCs w:val="22"/>
                <w:lang w:val="en-SE" w:eastAsia="en-SE"/>
              </w:rPr>
              <w:t xml:space="preserve">orporate </w:t>
            </w:r>
            <w:r w:rsidRPr="00CB4B83">
              <w:rPr>
                <w:rFonts w:ascii="Times New Roman" w:hAnsi="Times New Roman" w:cs="Times New Roman"/>
                <w:b w:val="0"/>
                <w:bCs w:val="0"/>
                <w:color w:val="000000"/>
                <w:sz w:val="22"/>
                <w:szCs w:val="22"/>
                <w:lang w:val="en-US" w:eastAsia="en-SE"/>
              </w:rPr>
              <w:t>S</w:t>
            </w:r>
            <w:r w:rsidRPr="00CB4B83">
              <w:rPr>
                <w:rFonts w:ascii="Times New Roman" w:hAnsi="Times New Roman" w:cs="Times New Roman"/>
                <w:b w:val="0"/>
                <w:bCs w:val="0"/>
                <w:color w:val="000000"/>
                <w:sz w:val="22"/>
                <w:szCs w:val="22"/>
                <w:lang w:val="en-SE" w:eastAsia="en-SE"/>
              </w:rPr>
              <w:t xml:space="preserve">ustainability </w:t>
            </w:r>
            <w:r w:rsidRPr="00CB4B83">
              <w:rPr>
                <w:rFonts w:ascii="Times New Roman" w:hAnsi="Times New Roman" w:cs="Times New Roman"/>
                <w:b w:val="0"/>
                <w:bCs w:val="0"/>
                <w:color w:val="000000"/>
                <w:sz w:val="22"/>
                <w:szCs w:val="22"/>
                <w:lang w:val="en-US" w:eastAsia="en-SE"/>
              </w:rPr>
              <w:t>A</w:t>
            </w:r>
            <w:r w:rsidRPr="00CB4B83">
              <w:rPr>
                <w:rFonts w:ascii="Times New Roman" w:hAnsi="Times New Roman" w:cs="Times New Roman"/>
                <w:b w:val="0"/>
                <w:bCs w:val="0"/>
                <w:color w:val="000000"/>
                <w:sz w:val="22"/>
                <w:szCs w:val="22"/>
                <w:lang w:val="en-SE" w:eastAsia="en-SE"/>
              </w:rPr>
              <w:t>ssessment</w:t>
            </w:r>
          </w:p>
        </w:tc>
        <w:tc>
          <w:tcPr>
            <w:tcW w:w="2977" w:type="dxa"/>
            <w:shd w:val="clear" w:color="auto" w:fill="auto"/>
            <w:vAlign w:val="center"/>
          </w:tcPr>
          <w:p w14:paraId="064EA5C0" w14:textId="77777777" w:rsidR="002622D4" w:rsidRPr="00CB4B83" w:rsidRDefault="002622D4" w:rsidP="005B3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lang w:val="en-SE" w:eastAsia="en-SE"/>
              </w:rPr>
            </w:pPr>
            <w:r w:rsidRPr="00CB4B83">
              <w:rPr>
                <w:rFonts w:ascii="Times New Roman" w:hAnsi="Times New Roman" w:cs="Times New Roman"/>
                <w:color w:val="000000"/>
                <w:sz w:val="22"/>
                <w:szCs w:val="22"/>
                <w:lang w:val="en-SE" w:eastAsia="en-SE"/>
              </w:rPr>
              <w:t>Targets: 115</w:t>
            </w:r>
          </w:p>
          <w:p w14:paraId="12396283" w14:textId="77777777" w:rsidR="002622D4" w:rsidRPr="00CB4B83" w:rsidRDefault="002622D4" w:rsidP="005B3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CB4B83">
              <w:rPr>
                <w:rFonts w:ascii="Times New Roman" w:hAnsi="Times New Roman" w:cs="Times New Roman"/>
                <w:color w:val="000000"/>
                <w:sz w:val="22"/>
                <w:szCs w:val="22"/>
                <w:lang w:val="en-SE" w:eastAsia="en-SE"/>
              </w:rPr>
              <w:t>Acquirers: 1879</w:t>
            </w:r>
          </w:p>
        </w:tc>
      </w:tr>
      <w:tr w:rsidR="002622D4" w:rsidRPr="007362F2" w14:paraId="58B83B5D" w14:textId="77777777" w:rsidTr="005B34C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954" w:type="dxa"/>
            <w:shd w:val="clear" w:color="auto" w:fill="auto"/>
            <w:vAlign w:val="center"/>
          </w:tcPr>
          <w:p w14:paraId="0A8D30D1" w14:textId="77777777" w:rsidR="002622D4" w:rsidRPr="00CB4B83" w:rsidRDefault="002622D4" w:rsidP="00B324C8">
            <w:pPr>
              <w:rPr>
                <w:b w:val="0"/>
                <w:bCs w:val="0"/>
                <w:color w:val="000000"/>
                <w:sz w:val="22"/>
                <w:szCs w:val="22"/>
                <w:lang w:val="en-SE" w:eastAsia="en-SE"/>
              </w:rPr>
            </w:pPr>
          </w:p>
        </w:tc>
        <w:tc>
          <w:tcPr>
            <w:tcW w:w="2977" w:type="dxa"/>
            <w:shd w:val="clear" w:color="auto" w:fill="auto"/>
            <w:vAlign w:val="center"/>
          </w:tcPr>
          <w:p w14:paraId="6596794C" w14:textId="77777777" w:rsidR="002622D4" w:rsidRPr="00CB4B83" w:rsidRDefault="002622D4" w:rsidP="005B34C8">
            <w:pPr>
              <w:jc w:val="center"/>
              <w:cnfStyle w:val="000000100000" w:firstRow="0" w:lastRow="0" w:firstColumn="0" w:lastColumn="0" w:oddVBand="0" w:evenVBand="0" w:oddHBand="1" w:evenHBand="0" w:firstRowFirstColumn="0" w:firstRowLastColumn="0" w:lastRowFirstColumn="0" w:lastRowLastColumn="0"/>
              <w:rPr>
                <w:color w:val="000000"/>
                <w:sz w:val="22"/>
                <w:szCs w:val="22"/>
                <w:lang w:val="en-SE" w:eastAsia="en-SE"/>
              </w:rPr>
            </w:pPr>
          </w:p>
        </w:tc>
      </w:tr>
      <w:tr w:rsidR="002622D4" w:rsidRPr="007362F2" w14:paraId="32CCF956" w14:textId="77777777" w:rsidTr="005B34C8">
        <w:trPr>
          <w:trHeight w:val="300"/>
        </w:trPr>
        <w:tc>
          <w:tcPr>
            <w:cnfStyle w:val="001000000000" w:firstRow="0" w:lastRow="0" w:firstColumn="1" w:lastColumn="0" w:oddVBand="0" w:evenVBand="0" w:oddHBand="0" w:evenHBand="0" w:firstRowFirstColumn="0" w:firstRowLastColumn="0" w:lastRowFirstColumn="0" w:lastRowLastColumn="0"/>
            <w:tcW w:w="5954" w:type="dxa"/>
            <w:shd w:val="clear" w:color="auto" w:fill="auto"/>
            <w:vAlign w:val="center"/>
            <w:hideMark/>
          </w:tcPr>
          <w:p w14:paraId="0D472BAE" w14:textId="77777777" w:rsidR="002622D4" w:rsidRPr="00CB4B83" w:rsidRDefault="002622D4" w:rsidP="00B324C8">
            <w:pPr>
              <w:rPr>
                <w:rFonts w:ascii="Times New Roman" w:hAnsi="Times New Roman" w:cs="Times New Roman"/>
                <w:b w:val="0"/>
                <w:bCs w:val="0"/>
                <w:color w:val="000000"/>
                <w:sz w:val="22"/>
                <w:szCs w:val="22"/>
              </w:rPr>
            </w:pPr>
            <w:r w:rsidRPr="00CB4B83">
              <w:rPr>
                <w:rFonts w:ascii="Times New Roman" w:hAnsi="Times New Roman" w:cs="Times New Roman"/>
                <w:b w:val="0"/>
                <w:bCs w:val="0"/>
                <w:color w:val="000000"/>
                <w:sz w:val="22"/>
                <w:szCs w:val="22"/>
                <w:lang w:val="en-SE" w:eastAsia="en-SE"/>
              </w:rPr>
              <w:t xml:space="preserve">ISS </w:t>
            </w:r>
            <w:r w:rsidRPr="00CB4B83">
              <w:rPr>
                <w:rFonts w:ascii="Times New Roman" w:hAnsi="Times New Roman" w:cs="Times New Roman"/>
                <w:b w:val="0"/>
                <w:bCs w:val="0"/>
                <w:color w:val="000000"/>
                <w:sz w:val="22"/>
                <w:szCs w:val="22"/>
                <w:lang w:val="en-US" w:eastAsia="en-SE"/>
              </w:rPr>
              <w:t>Q</w:t>
            </w:r>
            <w:r w:rsidRPr="00CB4B83">
              <w:rPr>
                <w:rFonts w:ascii="Times New Roman" w:hAnsi="Times New Roman" w:cs="Times New Roman"/>
                <w:b w:val="0"/>
                <w:bCs w:val="0"/>
                <w:color w:val="000000"/>
                <w:sz w:val="22"/>
                <w:szCs w:val="22"/>
                <w:lang w:val="en-SE" w:eastAsia="en-SE"/>
              </w:rPr>
              <w:t xml:space="preserve">uality </w:t>
            </w:r>
            <w:r w:rsidRPr="00CB4B83">
              <w:rPr>
                <w:rFonts w:ascii="Times New Roman" w:hAnsi="Times New Roman" w:cs="Times New Roman"/>
                <w:b w:val="0"/>
                <w:bCs w:val="0"/>
                <w:color w:val="000000"/>
                <w:sz w:val="22"/>
                <w:szCs w:val="22"/>
                <w:lang w:val="en-US" w:eastAsia="en-SE"/>
              </w:rPr>
              <w:t>S</w:t>
            </w:r>
            <w:r w:rsidRPr="00CB4B83">
              <w:rPr>
                <w:rFonts w:ascii="Times New Roman" w:hAnsi="Times New Roman" w:cs="Times New Roman"/>
                <w:b w:val="0"/>
                <w:bCs w:val="0"/>
                <w:color w:val="000000"/>
                <w:sz w:val="22"/>
                <w:szCs w:val="22"/>
                <w:lang w:val="en-SE" w:eastAsia="en-SE"/>
              </w:rPr>
              <w:t>core</w:t>
            </w:r>
          </w:p>
        </w:tc>
        <w:tc>
          <w:tcPr>
            <w:tcW w:w="2977" w:type="dxa"/>
            <w:shd w:val="clear" w:color="auto" w:fill="auto"/>
            <w:vAlign w:val="center"/>
          </w:tcPr>
          <w:p w14:paraId="7E6359D8" w14:textId="77777777" w:rsidR="002622D4" w:rsidRPr="00CB4B83" w:rsidRDefault="002622D4" w:rsidP="005B3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lang w:val="en-SE" w:eastAsia="en-SE"/>
              </w:rPr>
            </w:pPr>
            <w:r w:rsidRPr="00CB4B83">
              <w:rPr>
                <w:rFonts w:ascii="Times New Roman" w:hAnsi="Times New Roman" w:cs="Times New Roman"/>
                <w:color w:val="000000"/>
                <w:sz w:val="22"/>
                <w:szCs w:val="22"/>
                <w:lang w:val="en-SE" w:eastAsia="en-SE"/>
              </w:rPr>
              <w:t>Targets: 853</w:t>
            </w:r>
          </w:p>
          <w:p w14:paraId="447AB70B" w14:textId="77777777" w:rsidR="002622D4" w:rsidRPr="00CB4B83" w:rsidRDefault="002622D4" w:rsidP="005B3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CB4B83">
              <w:rPr>
                <w:rFonts w:ascii="Times New Roman" w:hAnsi="Times New Roman" w:cs="Times New Roman"/>
                <w:color w:val="000000"/>
                <w:sz w:val="22"/>
                <w:szCs w:val="22"/>
                <w:lang w:val="en-SE" w:eastAsia="en-SE"/>
              </w:rPr>
              <w:t>Acquirers: 2825</w:t>
            </w:r>
          </w:p>
        </w:tc>
      </w:tr>
      <w:tr w:rsidR="002622D4" w:rsidRPr="007362F2" w14:paraId="69A2377C" w14:textId="77777777" w:rsidTr="005B34C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954" w:type="dxa"/>
            <w:shd w:val="clear" w:color="auto" w:fill="auto"/>
            <w:vAlign w:val="center"/>
          </w:tcPr>
          <w:p w14:paraId="7A7257F9" w14:textId="77777777" w:rsidR="002622D4" w:rsidRPr="00CB4B83" w:rsidRDefault="002622D4" w:rsidP="00B324C8">
            <w:pPr>
              <w:rPr>
                <w:b w:val="0"/>
                <w:bCs w:val="0"/>
                <w:color w:val="000000"/>
                <w:sz w:val="22"/>
                <w:szCs w:val="22"/>
                <w:lang w:val="en-SE" w:eastAsia="en-SE"/>
              </w:rPr>
            </w:pPr>
          </w:p>
        </w:tc>
        <w:tc>
          <w:tcPr>
            <w:tcW w:w="2977" w:type="dxa"/>
            <w:shd w:val="clear" w:color="auto" w:fill="auto"/>
            <w:vAlign w:val="center"/>
          </w:tcPr>
          <w:p w14:paraId="0FA5E080" w14:textId="77777777" w:rsidR="002622D4" w:rsidRPr="00CB4B83" w:rsidRDefault="002622D4" w:rsidP="005B34C8">
            <w:pPr>
              <w:jc w:val="center"/>
              <w:cnfStyle w:val="000000100000" w:firstRow="0" w:lastRow="0" w:firstColumn="0" w:lastColumn="0" w:oddVBand="0" w:evenVBand="0" w:oddHBand="1" w:evenHBand="0" w:firstRowFirstColumn="0" w:firstRowLastColumn="0" w:lastRowFirstColumn="0" w:lastRowLastColumn="0"/>
              <w:rPr>
                <w:color w:val="000000"/>
                <w:sz w:val="22"/>
                <w:szCs w:val="22"/>
                <w:lang w:val="en-SE" w:eastAsia="en-SE"/>
              </w:rPr>
            </w:pPr>
          </w:p>
        </w:tc>
      </w:tr>
      <w:tr w:rsidR="002622D4" w:rsidRPr="007362F2" w14:paraId="63CB3DE6" w14:textId="77777777" w:rsidTr="005B34C8">
        <w:trPr>
          <w:trHeight w:val="80"/>
        </w:trPr>
        <w:tc>
          <w:tcPr>
            <w:cnfStyle w:val="001000000000" w:firstRow="0" w:lastRow="0" w:firstColumn="1" w:lastColumn="0" w:oddVBand="0" w:evenVBand="0" w:oddHBand="0" w:evenHBand="0" w:firstRowFirstColumn="0" w:firstRowLastColumn="0" w:lastRowFirstColumn="0" w:lastRowLastColumn="0"/>
            <w:tcW w:w="5954" w:type="dxa"/>
            <w:shd w:val="clear" w:color="auto" w:fill="auto"/>
            <w:vAlign w:val="center"/>
            <w:hideMark/>
          </w:tcPr>
          <w:p w14:paraId="7C8637FF" w14:textId="77777777" w:rsidR="002622D4" w:rsidRPr="00CB4B83" w:rsidRDefault="002622D4" w:rsidP="00B324C8">
            <w:pPr>
              <w:rPr>
                <w:rFonts w:ascii="Times New Roman" w:hAnsi="Times New Roman" w:cs="Times New Roman"/>
                <w:b w:val="0"/>
                <w:bCs w:val="0"/>
                <w:color w:val="000000"/>
                <w:sz w:val="22"/>
                <w:szCs w:val="22"/>
              </w:rPr>
            </w:pPr>
            <w:r w:rsidRPr="00CB4B83">
              <w:rPr>
                <w:rFonts w:ascii="Times New Roman" w:hAnsi="Times New Roman" w:cs="Times New Roman"/>
                <w:b w:val="0"/>
                <w:bCs w:val="0"/>
                <w:color w:val="000000"/>
                <w:sz w:val="22"/>
                <w:szCs w:val="22"/>
                <w:lang w:val="en-SE" w:eastAsia="en-SE"/>
              </w:rPr>
              <w:t xml:space="preserve">Bloomberg ESG </w:t>
            </w:r>
            <w:r w:rsidRPr="00CB4B83">
              <w:rPr>
                <w:rFonts w:ascii="Times New Roman" w:hAnsi="Times New Roman" w:cs="Times New Roman"/>
                <w:b w:val="0"/>
                <w:bCs w:val="0"/>
                <w:color w:val="000000"/>
                <w:sz w:val="22"/>
                <w:szCs w:val="22"/>
                <w:lang w:val="en-US" w:eastAsia="en-SE"/>
              </w:rPr>
              <w:t>D</w:t>
            </w:r>
            <w:r w:rsidRPr="00CB4B83">
              <w:rPr>
                <w:rFonts w:ascii="Times New Roman" w:hAnsi="Times New Roman" w:cs="Times New Roman"/>
                <w:b w:val="0"/>
                <w:bCs w:val="0"/>
                <w:color w:val="000000"/>
                <w:sz w:val="22"/>
                <w:szCs w:val="22"/>
                <w:lang w:val="en-SE" w:eastAsia="en-SE"/>
              </w:rPr>
              <w:t xml:space="preserve">isclosure </w:t>
            </w:r>
            <w:r w:rsidRPr="00CB4B83">
              <w:rPr>
                <w:rFonts w:ascii="Times New Roman" w:hAnsi="Times New Roman" w:cs="Times New Roman"/>
                <w:b w:val="0"/>
                <w:bCs w:val="0"/>
                <w:color w:val="000000"/>
                <w:sz w:val="22"/>
                <w:szCs w:val="22"/>
                <w:lang w:val="en-US" w:eastAsia="en-SE"/>
              </w:rPr>
              <w:t>S</w:t>
            </w:r>
            <w:r w:rsidRPr="00CB4B83">
              <w:rPr>
                <w:rFonts w:ascii="Times New Roman" w:hAnsi="Times New Roman" w:cs="Times New Roman"/>
                <w:b w:val="0"/>
                <w:bCs w:val="0"/>
                <w:color w:val="000000"/>
                <w:sz w:val="22"/>
                <w:szCs w:val="22"/>
                <w:lang w:val="en-SE" w:eastAsia="en-SE"/>
              </w:rPr>
              <w:t>core</w:t>
            </w:r>
          </w:p>
        </w:tc>
        <w:tc>
          <w:tcPr>
            <w:tcW w:w="2977" w:type="dxa"/>
            <w:shd w:val="clear" w:color="auto" w:fill="auto"/>
            <w:vAlign w:val="center"/>
          </w:tcPr>
          <w:p w14:paraId="441F3716" w14:textId="77777777" w:rsidR="002622D4" w:rsidRPr="00CB4B83" w:rsidRDefault="002622D4" w:rsidP="005B3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lang w:val="en-SE" w:eastAsia="en-SE"/>
              </w:rPr>
            </w:pPr>
            <w:r w:rsidRPr="00CB4B83">
              <w:rPr>
                <w:rFonts w:ascii="Times New Roman" w:hAnsi="Times New Roman" w:cs="Times New Roman"/>
                <w:color w:val="000000"/>
                <w:sz w:val="22"/>
                <w:szCs w:val="22"/>
                <w:lang w:val="en-SE" w:eastAsia="en-SE"/>
              </w:rPr>
              <w:t>Targets: 1039</w:t>
            </w:r>
          </w:p>
          <w:p w14:paraId="7C910DCC" w14:textId="77777777" w:rsidR="002622D4" w:rsidRPr="00CB4B83" w:rsidRDefault="002622D4" w:rsidP="005B3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CB4B83">
              <w:rPr>
                <w:rFonts w:ascii="Times New Roman" w:hAnsi="Times New Roman" w:cs="Times New Roman"/>
                <w:color w:val="000000"/>
                <w:sz w:val="22"/>
                <w:szCs w:val="22"/>
                <w:lang w:val="en-SE" w:eastAsia="en-SE"/>
              </w:rPr>
              <w:t>Acquirers: 2309</w:t>
            </w:r>
          </w:p>
        </w:tc>
      </w:tr>
      <w:tr w:rsidR="002622D4" w:rsidRPr="007362F2" w14:paraId="20901FDF" w14:textId="77777777" w:rsidTr="005B34C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954" w:type="dxa"/>
            <w:tcBorders>
              <w:bottom w:val="double" w:sz="4" w:space="0" w:color="auto"/>
            </w:tcBorders>
            <w:shd w:val="clear" w:color="auto" w:fill="auto"/>
            <w:vAlign w:val="bottom"/>
          </w:tcPr>
          <w:p w14:paraId="071284E3" w14:textId="77777777" w:rsidR="002622D4" w:rsidRPr="007362F2" w:rsidRDefault="002622D4" w:rsidP="005B34C8">
            <w:pPr>
              <w:jc w:val="center"/>
              <w:rPr>
                <w:color w:val="000000"/>
                <w:sz w:val="22"/>
                <w:szCs w:val="22"/>
              </w:rPr>
            </w:pPr>
          </w:p>
        </w:tc>
        <w:tc>
          <w:tcPr>
            <w:tcW w:w="2977" w:type="dxa"/>
            <w:tcBorders>
              <w:bottom w:val="double" w:sz="4" w:space="0" w:color="auto"/>
            </w:tcBorders>
            <w:shd w:val="clear" w:color="auto" w:fill="auto"/>
            <w:vAlign w:val="bottom"/>
          </w:tcPr>
          <w:p w14:paraId="6C80B441" w14:textId="77777777" w:rsidR="002622D4" w:rsidRPr="007362F2" w:rsidRDefault="002622D4" w:rsidP="005B34C8">
            <w:pPr>
              <w:jc w:val="center"/>
              <w:cnfStyle w:val="000000100000" w:firstRow="0" w:lastRow="0" w:firstColumn="0" w:lastColumn="0" w:oddVBand="0" w:evenVBand="0" w:oddHBand="1" w:evenHBand="0" w:firstRowFirstColumn="0" w:firstRowLastColumn="0" w:lastRowFirstColumn="0" w:lastRowLastColumn="0"/>
              <w:rPr>
                <w:color w:val="000000"/>
                <w:sz w:val="22"/>
                <w:szCs w:val="22"/>
              </w:rPr>
            </w:pPr>
          </w:p>
        </w:tc>
      </w:tr>
    </w:tbl>
    <w:p w14:paraId="355BF062" w14:textId="01D263E9" w:rsidR="00542DEC" w:rsidRDefault="000B6FC7">
      <w:r>
        <w:t xml:space="preserve">The retrieved data from table 2 shows that the ESG-ratings only include between 2 and 21 percent of the targets in our sample. The corresponding portions of our sample of </w:t>
      </w:r>
      <w:r w:rsidR="002622D4">
        <w:t>acquirers</w:t>
      </w:r>
      <w:r>
        <w:t xml:space="preserve"> ranges between 26 and 56 percent. A reason why there are missing ESG-data could stem from the fact that the deals were completed years before ESG-reporting became as common as it is today, as mentioned in section 2.5.</w:t>
      </w:r>
    </w:p>
    <w:p w14:paraId="2321B698" w14:textId="2C868AAD" w:rsidR="00542DEC" w:rsidRDefault="000B6FC7">
      <w:pPr>
        <w:spacing w:before="240" w:after="240"/>
      </w:pPr>
      <w:r>
        <w:t xml:space="preserve">In order to both get an accurate rating and a sample size large enough to test the question at issue we will construct a portfolio of ESG-ratings. The portfolio will include </w:t>
      </w:r>
      <w:proofErr w:type="spellStart"/>
      <w:r>
        <w:t>Sustainanalytics</w:t>
      </w:r>
      <w:proofErr w:type="spellEnd"/>
      <w:r w:rsidR="002622D4">
        <w:t>’</w:t>
      </w:r>
      <w:r>
        <w:t xml:space="preserve"> ESG Risk ratings, </w:t>
      </w:r>
      <w:proofErr w:type="spellStart"/>
      <w:r>
        <w:t>RobecoSAM</w:t>
      </w:r>
      <w:proofErr w:type="spellEnd"/>
      <w:r>
        <w:t xml:space="preserve"> Corporate Sustainability Assessment, ISS quality score and Bloomberg ESG Disclosure Score. </w:t>
      </w:r>
      <w:r w:rsidR="00A93487">
        <w:t xml:space="preserve">Table 2 reveals that </w:t>
      </w:r>
      <w:proofErr w:type="spellStart"/>
      <w:r w:rsidR="00A93487">
        <w:t>Sustainanalytics</w:t>
      </w:r>
      <w:proofErr w:type="spellEnd"/>
      <w:r w:rsidR="00A93487">
        <w:t xml:space="preserve">’ ESG Risk ratings and </w:t>
      </w:r>
      <w:proofErr w:type="spellStart"/>
      <w:r w:rsidR="00A93487">
        <w:t>RobecoSAM</w:t>
      </w:r>
      <w:proofErr w:type="spellEnd"/>
      <w:r w:rsidR="00A93487">
        <w:t xml:space="preserve"> Corporate Sustainability Assessment only have a rating for about 2 % of the </w:t>
      </w:r>
      <w:r w:rsidR="00A93487">
        <w:lastRenderedPageBreak/>
        <w:t xml:space="preserve">targets in the sample, while about 24 % of the acquirers have the ratings. We do not know why this is, but it is important to address given that it could be a sign that we could have a bias in our result. The ratings are however still included because of their good reputation. </w:t>
      </w:r>
      <w:r>
        <w:t xml:space="preserve">The ISS Quality rating ranges from 1-10 where 1 is the best.  The ESG-rating by </w:t>
      </w:r>
      <w:proofErr w:type="spellStart"/>
      <w:r>
        <w:t>Sustanalytics</w:t>
      </w:r>
      <w:proofErr w:type="spellEnd"/>
      <w:r>
        <w:t xml:space="preserve"> ranges from 1-100 where 100 is the worst. The rest of our ratings go from 1-100 where 100 is the best. To adjust for </w:t>
      </w:r>
      <w:r w:rsidR="002622D4">
        <w:t>this,</w:t>
      </w:r>
      <w:r>
        <w:t xml:space="preserve"> we convert the ISS Quality Score into a 10-100 scale. The adjustment is not perfect because it does not include ratings under 10. The equation below (see equation 6) shows how the conversion is done.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9"/>
        <w:gridCol w:w="7371"/>
        <w:gridCol w:w="542"/>
      </w:tblGrid>
      <w:tr w:rsidR="002622D4" w14:paraId="702550ED" w14:textId="77777777" w:rsidTr="002622D4">
        <w:tc>
          <w:tcPr>
            <w:tcW w:w="1129" w:type="dxa"/>
          </w:tcPr>
          <w:p w14:paraId="0C220D46" w14:textId="77777777" w:rsidR="002622D4" w:rsidRDefault="002622D4">
            <w:pPr>
              <w:spacing w:before="240" w:after="240"/>
            </w:pPr>
          </w:p>
        </w:tc>
        <w:tc>
          <w:tcPr>
            <w:tcW w:w="7371" w:type="dxa"/>
          </w:tcPr>
          <w:p w14:paraId="1163F85F" w14:textId="6D47057B" w:rsidR="002622D4" w:rsidRDefault="002622D4">
            <w:pPr>
              <w:spacing w:before="240" w:after="240"/>
            </w:pPr>
            <w:r>
              <w:rPr>
                <w:i/>
              </w:rPr>
              <w:t>Adjusted ISS Quality Score = (11 - Actual ISS Quality Score) *10</w:t>
            </w:r>
          </w:p>
        </w:tc>
        <w:tc>
          <w:tcPr>
            <w:tcW w:w="542" w:type="dxa"/>
          </w:tcPr>
          <w:p w14:paraId="433C01FE" w14:textId="548E53F0" w:rsidR="002622D4" w:rsidRPr="002622D4" w:rsidRDefault="002622D4">
            <w:pPr>
              <w:spacing w:before="240" w:after="240"/>
              <w:rPr>
                <w:iCs/>
              </w:rPr>
            </w:pPr>
            <w:r w:rsidRPr="002622D4">
              <w:rPr>
                <w:b/>
                <w:iCs/>
              </w:rPr>
              <w:t>(6)</w:t>
            </w:r>
          </w:p>
        </w:tc>
      </w:tr>
    </w:tbl>
    <w:p w14:paraId="0312DBC1" w14:textId="4AF8DA06" w:rsidR="00542DEC" w:rsidRDefault="000B6FC7">
      <w:r>
        <w:t xml:space="preserve">We also convert the ESG-rating by </w:t>
      </w:r>
      <w:proofErr w:type="spellStart"/>
      <w:r>
        <w:t>Sustanalytics</w:t>
      </w:r>
      <w:proofErr w:type="spellEnd"/>
      <w:r>
        <w:t xml:space="preserve"> in a way that is shown in equation 7 below. </w:t>
      </w:r>
    </w:p>
    <w:tbl>
      <w:tblPr>
        <w:tblStyle w:val="TableGrid"/>
        <w:tblW w:w="8931"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8"/>
        <w:gridCol w:w="993"/>
      </w:tblGrid>
      <w:tr w:rsidR="002622D4" w14:paraId="4C13F197" w14:textId="77777777" w:rsidTr="002622D4">
        <w:tc>
          <w:tcPr>
            <w:tcW w:w="7938" w:type="dxa"/>
          </w:tcPr>
          <w:p w14:paraId="7690A0A5" w14:textId="6CC95925" w:rsidR="002622D4" w:rsidRDefault="002622D4" w:rsidP="005B34C8">
            <w:pPr>
              <w:spacing w:before="240" w:after="240"/>
            </w:pPr>
            <w:r>
              <w:rPr>
                <w:i/>
              </w:rPr>
              <w:t xml:space="preserve">Adjusted </w:t>
            </w:r>
            <w:proofErr w:type="spellStart"/>
            <w:r>
              <w:rPr>
                <w:color w:val="434343"/>
              </w:rPr>
              <w:t>Sustainanalytics</w:t>
            </w:r>
            <w:proofErr w:type="spellEnd"/>
            <w:r>
              <w:rPr>
                <w:color w:val="434343"/>
              </w:rPr>
              <w:t xml:space="preserve">’ ESG Risk Ratings </w:t>
            </w:r>
            <w:r>
              <w:rPr>
                <w:i/>
              </w:rPr>
              <w:t xml:space="preserve">= 100 - Actual </w:t>
            </w:r>
            <w:proofErr w:type="spellStart"/>
            <w:r>
              <w:rPr>
                <w:i/>
              </w:rPr>
              <w:t>Systanalytics</w:t>
            </w:r>
            <w:proofErr w:type="spellEnd"/>
            <w:r>
              <w:rPr>
                <w:i/>
              </w:rPr>
              <w:t xml:space="preserve">’ </w:t>
            </w:r>
            <w:r>
              <w:rPr>
                <w:color w:val="434343"/>
              </w:rPr>
              <w:t>rating</w:t>
            </w:r>
          </w:p>
        </w:tc>
        <w:tc>
          <w:tcPr>
            <w:tcW w:w="993" w:type="dxa"/>
          </w:tcPr>
          <w:p w14:paraId="256FC637" w14:textId="494663D5" w:rsidR="002622D4" w:rsidRPr="002622D4" w:rsidRDefault="002622D4" w:rsidP="005B34C8">
            <w:pPr>
              <w:spacing w:before="240" w:after="240"/>
              <w:rPr>
                <w:iCs/>
              </w:rPr>
            </w:pPr>
            <w:r w:rsidRPr="002622D4">
              <w:rPr>
                <w:b/>
                <w:iCs/>
              </w:rPr>
              <w:t>(7)</w:t>
            </w:r>
          </w:p>
        </w:tc>
      </w:tr>
    </w:tbl>
    <w:p w14:paraId="633932EE" w14:textId="430AA9F5" w:rsidR="00542DEC" w:rsidRDefault="000B6FC7">
      <w:r>
        <w:t xml:space="preserve">A mean of all ESG-ratings will thereafter be calculated for each target and acquirer in the data set. This mean will then be treated as the ESG-rating that will </w:t>
      </w:r>
      <w:r w:rsidR="00607A2B">
        <w:t xml:space="preserve">use </w:t>
      </w:r>
      <w:r>
        <w:t xml:space="preserve">in the paper. The mean will be calculated on the number of ESG-ratings the company had 40 days prior to the announcement date meaning that it does not necessarily need all four ESG-ratings to receive a rating. This will hopefully increase the sample size. The ESG-rating portfolio of the target companies resulted in 1150 samples. The ESG-rating portfolio of the acquiring companies resulted in 3035 samples. </w:t>
      </w:r>
    </w:p>
    <w:p w14:paraId="2463C72B" w14:textId="5EC22897" w:rsidR="00542DEC" w:rsidRDefault="000B6FC7">
      <w:pPr>
        <w:pStyle w:val="Heading2"/>
      </w:pPr>
      <w:bookmarkStart w:id="57" w:name="_Toc61125928"/>
      <w:bookmarkStart w:id="58" w:name="_Toc61126701"/>
      <w:r>
        <w:t>5.4 Data sampling</w:t>
      </w:r>
      <w:bookmarkEnd w:id="57"/>
      <w:bookmarkEnd w:id="58"/>
    </w:p>
    <w:p w14:paraId="22DC8AB3" w14:textId="5F7BB231" w:rsidR="00542DEC" w:rsidRDefault="000B6FC7">
      <w:r>
        <w:t xml:space="preserve">Each deal requires that there exists data of the bid premium, all ESG-related variables and all control variables. This shrinks the sample from 5000 mergers and acquisitions to 570. The final sample will in other words consist of 570 observations. Having an independent random sample would be the optimal scenario. That would mean that each deal that fulfilled the requirements would have an equal chance of getting included in the sample. We can then expect that the distribution of the sample will resemble the distribution of the entire population of deals if the sample size is large. The estimators in the models would then be unbiased (Dougherty p 203-208, 2016). Section 2.4.2, 5.2 and 5.3 showed how data on the control variables, deal selection </w:t>
      </w:r>
      <w:r>
        <w:lastRenderedPageBreak/>
        <w:t xml:space="preserve">and ESG-ratings were retrieved in Bloomberg. We </w:t>
      </w:r>
      <w:r w:rsidR="002622D4">
        <w:t>cannot</w:t>
      </w:r>
      <w:r>
        <w:t xml:space="preserve"> assume that the sample is a random sample of mergers and acquisitions. There could exist an underlying reason why some companies did not have data in Bloomberg. An example of that is that we suspect that larger companies are overrepresented in the sample as it appears that it is more common for large companies to have ESG-ratings. The result of this is that we </w:t>
      </w:r>
      <w:r w:rsidR="002622D4">
        <w:t>cannot</w:t>
      </w:r>
      <w:r>
        <w:t xml:space="preserve"> assume that our sample of deals truly reflect the total amount of deals that fulfill our requirements. This could lead to a bias in our result. A solution would be to add weights to the different groups. The paper will however continue with this sample as we </w:t>
      </w:r>
      <w:r w:rsidR="002622D4">
        <w:t>cannot</w:t>
      </w:r>
      <w:r>
        <w:t xml:space="preserve"> find any better way to collect the data and we do not have information on the distribution of the total population of deals in which we are interested in. We do not believe that the bias would be too large to cause any issue. The result from the tests should only be treated as indications.</w:t>
      </w:r>
    </w:p>
    <w:p w14:paraId="01C1B2D9" w14:textId="37D6F3D3" w:rsidR="00542DEC" w:rsidRDefault="000B6FC7">
      <w:pPr>
        <w:pStyle w:val="Heading2"/>
      </w:pPr>
      <w:bookmarkStart w:id="59" w:name="_Toc61125929"/>
      <w:bookmarkStart w:id="60" w:name="_Toc61126702"/>
      <w:r>
        <w:t>5.5 Regression model and variable explanation</w:t>
      </w:r>
      <w:bookmarkEnd w:id="59"/>
      <w:bookmarkEnd w:id="60"/>
    </w:p>
    <w:p w14:paraId="46607796" w14:textId="035BA52A" w:rsidR="00CE7069" w:rsidRDefault="000B6FC7">
      <w:r>
        <w:t xml:space="preserve">Below is the regression </w:t>
      </w:r>
      <w:r w:rsidR="00CE7069">
        <w:t xml:space="preserve">model </w:t>
      </w:r>
      <w:r>
        <w:t xml:space="preserve">for model 1 (see equation 8). Model 1 can be seen as a base model. The final model may change if there are signs that indicate that the model is </w:t>
      </w:r>
      <w:proofErr w:type="spellStart"/>
      <w:r>
        <w:t>misspecified</w:t>
      </w:r>
      <w:proofErr w:type="spellEnd"/>
      <w:r w:rsidR="002622D4">
        <w:t xml:space="preserve"> and </w:t>
      </w:r>
      <w:r>
        <w:t>has a low fit to the data</w:t>
      </w:r>
      <w:r w:rsidR="00607A2B">
        <w:t>.</w:t>
      </w:r>
      <w:r>
        <w:t xml:space="preserve"> </w:t>
      </w:r>
      <w:r w:rsidR="00607A2B">
        <w:t>I</w:t>
      </w:r>
      <w:r>
        <w:t xml:space="preserve">f the estimators are biased and inconsistent and if the error terms are not constant. </w:t>
      </w:r>
      <w:r w:rsidR="005C4D9C">
        <w:t xml:space="preserve">The variables are explained on the following page (see table 3). </w:t>
      </w:r>
    </w:p>
    <w:tbl>
      <w:tblPr>
        <w:tblStyle w:val="a2"/>
        <w:tblW w:w="904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600" w:firstRow="0" w:lastRow="0" w:firstColumn="0" w:lastColumn="0" w:noHBand="1" w:noVBand="1"/>
      </w:tblPr>
      <w:tblGrid>
        <w:gridCol w:w="7503"/>
        <w:gridCol w:w="992"/>
        <w:gridCol w:w="552"/>
      </w:tblGrid>
      <w:tr w:rsidR="00542DEC" w14:paraId="43A2BDF4" w14:textId="77777777" w:rsidTr="00CE7069">
        <w:trPr>
          <w:trHeight w:val="1671"/>
        </w:trPr>
        <w:tc>
          <w:tcPr>
            <w:tcW w:w="7503" w:type="dxa"/>
            <w:shd w:val="clear" w:color="auto" w:fill="auto"/>
            <w:tcMar>
              <w:top w:w="100" w:type="dxa"/>
              <w:left w:w="100" w:type="dxa"/>
              <w:bottom w:w="100" w:type="dxa"/>
              <w:right w:w="100" w:type="dxa"/>
            </w:tcMar>
          </w:tcPr>
          <w:p w14:paraId="5F7D2C12" w14:textId="7ED185FC" w:rsidR="00542DEC" w:rsidRDefault="000B6FC7">
            <w:pPr>
              <w:rPr>
                <w:i/>
              </w:rPr>
            </w:pPr>
            <w:r>
              <w:rPr>
                <w:i/>
              </w:rPr>
              <w:t>PREMIUM = ESG-PORTFOLIO + ESG-DIF + MCAP-DIF + CASH/ASSETS + LTD/BV + FIN_LEV + BOOK/MARKET(</w:t>
            </w:r>
            <w:proofErr w:type="gramStart"/>
            <w:r>
              <w:rPr>
                <w:i/>
              </w:rPr>
              <w:t>T</w:t>
            </w:r>
            <w:r w:rsidR="00CE7069">
              <w:rPr>
                <w:i/>
              </w:rPr>
              <w:t>)</w:t>
            </w:r>
            <w:r>
              <w:rPr>
                <w:i/>
              </w:rPr>
              <w:t xml:space="preserve">   </w:t>
            </w:r>
            <w:proofErr w:type="gramEnd"/>
            <w:r>
              <w:rPr>
                <w:i/>
              </w:rPr>
              <w:t xml:space="preserve">                            + BOOK/MARKET(A) + COMP-BID + CON-M + STOCK  </w:t>
            </w:r>
          </w:p>
        </w:tc>
        <w:tc>
          <w:tcPr>
            <w:tcW w:w="992" w:type="dxa"/>
            <w:shd w:val="clear" w:color="auto" w:fill="auto"/>
            <w:tcMar>
              <w:top w:w="100" w:type="dxa"/>
              <w:left w:w="100" w:type="dxa"/>
              <w:bottom w:w="100" w:type="dxa"/>
              <w:right w:w="100" w:type="dxa"/>
            </w:tcMar>
          </w:tcPr>
          <w:p w14:paraId="6010A11A" w14:textId="77777777" w:rsidR="00542DEC" w:rsidRDefault="00542DEC">
            <w:pPr>
              <w:jc w:val="left"/>
              <w:rPr>
                <w:b/>
              </w:rPr>
            </w:pPr>
          </w:p>
        </w:tc>
        <w:tc>
          <w:tcPr>
            <w:tcW w:w="552" w:type="dxa"/>
            <w:shd w:val="clear" w:color="auto" w:fill="auto"/>
            <w:tcMar>
              <w:top w:w="100" w:type="dxa"/>
              <w:left w:w="100" w:type="dxa"/>
              <w:bottom w:w="100" w:type="dxa"/>
              <w:right w:w="100" w:type="dxa"/>
            </w:tcMar>
          </w:tcPr>
          <w:p w14:paraId="7901583B" w14:textId="77777777" w:rsidR="00542DEC" w:rsidRDefault="000B6FC7">
            <w:pPr>
              <w:jc w:val="left"/>
              <w:rPr>
                <w:i/>
              </w:rPr>
            </w:pPr>
            <w:r>
              <w:rPr>
                <w:b/>
              </w:rPr>
              <w:t xml:space="preserve">                                        (8)</w:t>
            </w:r>
          </w:p>
        </w:tc>
      </w:tr>
    </w:tbl>
    <w:p w14:paraId="6646B43B" w14:textId="77777777" w:rsidR="002622D4" w:rsidRDefault="002622D4">
      <w:pPr>
        <w:jc w:val="center"/>
        <w:rPr>
          <w:b/>
        </w:rPr>
      </w:pPr>
    </w:p>
    <w:p w14:paraId="7999EE16" w14:textId="77777777" w:rsidR="002622D4" w:rsidRDefault="002622D4">
      <w:pPr>
        <w:rPr>
          <w:b/>
        </w:rPr>
      </w:pPr>
      <w:r>
        <w:rPr>
          <w:b/>
        </w:rPr>
        <w:br w:type="page"/>
      </w:r>
    </w:p>
    <w:p w14:paraId="583BCBCC" w14:textId="112951A9" w:rsidR="005B34C8" w:rsidRPr="00BC431F" w:rsidRDefault="000B6FC7" w:rsidP="005B34C8">
      <w:pPr>
        <w:jc w:val="center"/>
        <w:rPr>
          <w:b/>
        </w:rPr>
      </w:pPr>
      <w:r>
        <w:rPr>
          <w:b/>
        </w:rPr>
        <w:lastRenderedPageBreak/>
        <w:t xml:space="preserve">Table 3. Variable </w:t>
      </w:r>
      <w:r w:rsidR="00633D37">
        <w:rPr>
          <w:b/>
        </w:rPr>
        <w:t>list</w:t>
      </w:r>
    </w:p>
    <w:tbl>
      <w:tblPr>
        <w:tblStyle w:val="PlainTable4"/>
        <w:tblW w:w="8931" w:type="dxa"/>
        <w:tblLayout w:type="fixed"/>
        <w:tblLook w:val="04A0" w:firstRow="1" w:lastRow="0" w:firstColumn="1" w:lastColumn="0" w:noHBand="0" w:noVBand="1"/>
      </w:tblPr>
      <w:tblGrid>
        <w:gridCol w:w="3261"/>
        <w:gridCol w:w="5670"/>
      </w:tblGrid>
      <w:tr w:rsidR="002622D4" w:rsidRPr="002324F6" w14:paraId="00124E0F" w14:textId="77777777" w:rsidTr="005B34C8">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61" w:type="dxa"/>
            <w:tcBorders>
              <w:top w:val="double" w:sz="4" w:space="0" w:color="auto"/>
              <w:bottom w:val="single" w:sz="4" w:space="0" w:color="auto"/>
            </w:tcBorders>
            <w:shd w:val="clear" w:color="auto" w:fill="auto"/>
            <w:vAlign w:val="center"/>
            <w:hideMark/>
          </w:tcPr>
          <w:p w14:paraId="30636F2A" w14:textId="7C58B47B" w:rsidR="002622D4" w:rsidRPr="00BC431F" w:rsidRDefault="00633D37" w:rsidP="005B34C8">
            <w:pPr>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Variable name</w:t>
            </w:r>
          </w:p>
        </w:tc>
        <w:tc>
          <w:tcPr>
            <w:tcW w:w="5670" w:type="dxa"/>
            <w:tcBorders>
              <w:top w:val="double" w:sz="4" w:space="0" w:color="auto"/>
              <w:bottom w:val="single" w:sz="4" w:space="0" w:color="auto"/>
            </w:tcBorders>
            <w:vAlign w:val="center"/>
          </w:tcPr>
          <w:p w14:paraId="71AC7506" w14:textId="68F05CFA" w:rsidR="002622D4" w:rsidRPr="00BC431F" w:rsidRDefault="00633D37" w:rsidP="005B34C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Description</w:t>
            </w:r>
          </w:p>
        </w:tc>
      </w:tr>
      <w:tr w:rsidR="002622D4" w:rsidRPr="007362F2" w14:paraId="18986382" w14:textId="77777777" w:rsidTr="005C4D9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tcPr>
          <w:p w14:paraId="5949580F" w14:textId="77777777" w:rsidR="002622D4" w:rsidRPr="00BC431F" w:rsidRDefault="002622D4" w:rsidP="005C4D9C">
            <w:pPr>
              <w:jc w:val="center"/>
              <w:rPr>
                <w:rFonts w:ascii="Times New Roman" w:hAnsi="Times New Roman" w:cs="Times New Roman"/>
                <w:color w:val="000000" w:themeColor="text1"/>
                <w:sz w:val="22"/>
                <w:szCs w:val="22"/>
              </w:rPr>
            </w:pPr>
          </w:p>
        </w:tc>
        <w:tc>
          <w:tcPr>
            <w:tcW w:w="5670" w:type="dxa"/>
            <w:shd w:val="clear" w:color="auto" w:fill="auto"/>
            <w:vAlign w:val="center"/>
          </w:tcPr>
          <w:p w14:paraId="6DC423A5" w14:textId="77777777" w:rsidR="002622D4" w:rsidRPr="00BC431F" w:rsidRDefault="002622D4" w:rsidP="005B3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r>
      <w:tr w:rsidR="002622D4" w:rsidRPr="00C51E79" w14:paraId="7D10BE4E" w14:textId="77777777" w:rsidTr="005C4D9C">
        <w:trPr>
          <w:trHeight w:val="30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hideMark/>
          </w:tcPr>
          <w:p w14:paraId="292E41BA" w14:textId="77777777" w:rsidR="002622D4" w:rsidRPr="00BC431F" w:rsidRDefault="002622D4" w:rsidP="005C4D9C">
            <w:pPr>
              <w:jc w:val="center"/>
              <w:rPr>
                <w:rFonts w:ascii="Times New Roman" w:hAnsi="Times New Roman" w:cs="Times New Roman"/>
                <w:color w:val="000000"/>
                <w:sz w:val="22"/>
                <w:szCs w:val="22"/>
              </w:rPr>
            </w:pPr>
            <w:r w:rsidRPr="00BC431F">
              <w:rPr>
                <w:rFonts w:ascii="Times New Roman" w:hAnsi="Times New Roman" w:cs="Times New Roman"/>
                <w:color w:val="000000"/>
                <w:sz w:val="20"/>
                <w:szCs w:val="20"/>
                <w:lang w:val="en-SE" w:eastAsia="en-SE"/>
              </w:rPr>
              <w:t>PREMIUM</w:t>
            </w:r>
          </w:p>
        </w:tc>
        <w:tc>
          <w:tcPr>
            <w:tcW w:w="5670" w:type="dxa"/>
            <w:shd w:val="clear" w:color="auto" w:fill="auto"/>
            <w:vAlign w:val="bottom"/>
          </w:tcPr>
          <w:p w14:paraId="6E9C4BB1" w14:textId="77777777" w:rsidR="002622D4" w:rsidRPr="00BC431F" w:rsidRDefault="002622D4" w:rsidP="005C4D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SE" w:eastAsia="en-SE"/>
              </w:rPr>
            </w:pPr>
            <w:r w:rsidRPr="00BC431F">
              <w:rPr>
                <w:rFonts w:ascii="Times New Roman" w:hAnsi="Times New Roman" w:cs="Times New Roman"/>
                <w:color w:val="000000"/>
                <w:sz w:val="20"/>
                <w:szCs w:val="20"/>
                <w:lang w:val="en-SE" w:eastAsia="en-SE"/>
              </w:rPr>
              <w:t>Bid premium (announced total value of bid / market cap (target))</w:t>
            </w:r>
          </w:p>
        </w:tc>
      </w:tr>
      <w:tr w:rsidR="002622D4" w:rsidRPr="00C51E79" w14:paraId="593559B9" w14:textId="77777777" w:rsidTr="005C4D9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hideMark/>
          </w:tcPr>
          <w:p w14:paraId="71EC793B" w14:textId="77777777" w:rsidR="005C4D9C" w:rsidRDefault="005C4D9C" w:rsidP="005C4D9C">
            <w:pPr>
              <w:jc w:val="center"/>
              <w:rPr>
                <w:rFonts w:ascii="Times New Roman" w:hAnsi="Times New Roman" w:cs="Times New Roman"/>
                <w:b w:val="0"/>
                <w:bCs w:val="0"/>
                <w:color w:val="000000"/>
                <w:sz w:val="20"/>
                <w:szCs w:val="20"/>
                <w:lang w:val="en-SE" w:eastAsia="en-SE"/>
              </w:rPr>
            </w:pPr>
          </w:p>
          <w:p w14:paraId="0661C407" w14:textId="2D42ACD0" w:rsidR="002622D4" w:rsidRPr="00BC431F" w:rsidRDefault="002622D4" w:rsidP="005C4D9C">
            <w:pPr>
              <w:jc w:val="center"/>
              <w:rPr>
                <w:rFonts w:ascii="Times New Roman" w:hAnsi="Times New Roman" w:cs="Times New Roman"/>
                <w:color w:val="000000"/>
                <w:sz w:val="22"/>
                <w:szCs w:val="22"/>
              </w:rPr>
            </w:pPr>
            <w:r w:rsidRPr="00BC431F">
              <w:rPr>
                <w:rFonts w:ascii="Times New Roman" w:hAnsi="Times New Roman" w:cs="Times New Roman"/>
                <w:color w:val="000000"/>
                <w:sz w:val="20"/>
                <w:szCs w:val="20"/>
                <w:lang w:val="en-SE" w:eastAsia="en-SE"/>
              </w:rPr>
              <w:t>ESG-PORTFOLIO</w:t>
            </w:r>
          </w:p>
        </w:tc>
        <w:tc>
          <w:tcPr>
            <w:tcW w:w="5670" w:type="dxa"/>
            <w:shd w:val="clear" w:color="auto" w:fill="auto"/>
            <w:vAlign w:val="bottom"/>
          </w:tcPr>
          <w:p w14:paraId="6FAA0699" w14:textId="77777777" w:rsidR="002622D4" w:rsidRPr="00BC431F" w:rsidRDefault="002622D4" w:rsidP="005C4D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n-SE" w:eastAsia="en-SE"/>
              </w:rPr>
            </w:pPr>
          </w:p>
          <w:p w14:paraId="68CC156A" w14:textId="77777777" w:rsidR="002622D4" w:rsidRPr="00BC431F" w:rsidRDefault="002622D4" w:rsidP="005C4D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n-SE" w:eastAsia="en-SE"/>
              </w:rPr>
            </w:pPr>
            <w:r w:rsidRPr="00BC431F">
              <w:rPr>
                <w:rFonts w:ascii="Times New Roman" w:hAnsi="Times New Roman" w:cs="Times New Roman"/>
                <w:color w:val="000000"/>
                <w:sz w:val="20"/>
                <w:szCs w:val="20"/>
                <w:lang w:val="en-SE" w:eastAsia="en-SE"/>
              </w:rPr>
              <w:t>Average target ESG-rating (sum of existing ratings from Sustainalytics, RobecoSAM, ISS Quality Score and Bloomberg ESG Disclosure score converted into a 0-100 scale divided with the number of existing ratings)</w:t>
            </w:r>
          </w:p>
          <w:p w14:paraId="785E6AD5" w14:textId="77777777" w:rsidR="002622D4" w:rsidRPr="00BC431F" w:rsidRDefault="002622D4" w:rsidP="005C4D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SE" w:eastAsia="en-SE"/>
              </w:rPr>
            </w:pPr>
          </w:p>
        </w:tc>
      </w:tr>
      <w:tr w:rsidR="002622D4" w:rsidRPr="00C51E79" w14:paraId="134927B5" w14:textId="77777777" w:rsidTr="005C4D9C">
        <w:trPr>
          <w:trHeight w:val="30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hideMark/>
          </w:tcPr>
          <w:p w14:paraId="6EC00138" w14:textId="08324BC4" w:rsidR="002622D4" w:rsidRPr="00BC431F" w:rsidRDefault="002622D4" w:rsidP="005C4D9C">
            <w:pPr>
              <w:jc w:val="center"/>
              <w:rPr>
                <w:rFonts w:ascii="Times New Roman" w:hAnsi="Times New Roman" w:cs="Times New Roman"/>
                <w:color w:val="000000"/>
                <w:sz w:val="22"/>
                <w:szCs w:val="22"/>
              </w:rPr>
            </w:pPr>
            <w:r w:rsidRPr="00BC431F">
              <w:rPr>
                <w:rFonts w:ascii="Times New Roman" w:hAnsi="Times New Roman" w:cs="Times New Roman"/>
                <w:color w:val="000000"/>
                <w:sz w:val="20"/>
                <w:szCs w:val="20"/>
                <w:lang w:val="en-SE" w:eastAsia="en-SE"/>
              </w:rPr>
              <w:t>ESG</w:t>
            </w:r>
            <w:r w:rsidR="00BC431F">
              <w:rPr>
                <w:rFonts w:ascii="Times New Roman" w:hAnsi="Times New Roman" w:cs="Times New Roman"/>
                <w:color w:val="000000"/>
                <w:sz w:val="20"/>
                <w:szCs w:val="20"/>
                <w:lang w:val="en-US" w:eastAsia="en-SE"/>
              </w:rPr>
              <w:t>-</w:t>
            </w:r>
            <w:r w:rsidRPr="00BC431F">
              <w:rPr>
                <w:rFonts w:ascii="Times New Roman" w:hAnsi="Times New Roman" w:cs="Times New Roman"/>
                <w:color w:val="000000"/>
                <w:sz w:val="20"/>
                <w:szCs w:val="20"/>
                <w:lang w:val="en-SE" w:eastAsia="en-SE"/>
              </w:rPr>
              <w:t>DIF</w:t>
            </w:r>
          </w:p>
        </w:tc>
        <w:tc>
          <w:tcPr>
            <w:tcW w:w="5670" w:type="dxa"/>
            <w:shd w:val="clear" w:color="auto" w:fill="auto"/>
            <w:vAlign w:val="bottom"/>
          </w:tcPr>
          <w:p w14:paraId="56FBBA94" w14:textId="77777777" w:rsidR="002622D4" w:rsidRPr="00BC431F" w:rsidRDefault="002622D4" w:rsidP="005C4D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n-SE" w:eastAsia="en-SE"/>
              </w:rPr>
            </w:pPr>
            <w:r w:rsidRPr="00BC431F">
              <w:rPr>
                <w:rFonts w:ascii="Times New Roman" w:hAnsi="Times New Roman" w:cs="Times New Roman"/>
                <w:color w:val="000000"/>
                <w:sz w:val="20"/>
                <w:szCs w:val="20"/>
                <w:lang w:val="en-SE" w:eastAsia="en-SE"/>
              </w:rPr>
              <w:t>ESG-PORTFOLIO (acquirer) - ESG-PORTFOLIO  (</w:t>
            </w:r>
            <w:r w:rsidRPr="00BC431F">
              <w:rPr>
                <w:rFonts w:ascii="Times New Roman" w:hAnsi="Times New Roman" w:cs="Times New Roman"/>
                <w:color w:val="000000"/>
                <w:sz w:val="20"/>
                <w:szCs w:val="20"/>
                <w:lang w:val="en-US" w:eastAsia="en-SE"/>
              </w:rPr>
              <w:t>t</w:t>
            </w:r>
            <w:r w:rsidRPr="00BC431F">
              <w:rPr>
                <w:rFonts w:ascii="Times New Roman" w:hAnsi="Times New Roman" w:cs="Times New Roman"/>
                <w:color w:val="000000"/>
                <w:sz w:val="20"/>
                <w:szCs w:val="20"/>
                <w:lang w:val="en-SE" w:eastAsia="en-SE"/>
              </w:rPr>
              <w:t>arget)</w:t>
            </w:r>
          </w:p>
          <w:p w14:paraId="123195B6" w14:textId="77777777" w:rsidR="002622D4" w:rsidRPr="00BC431F" w:rsidRDefault="002622D4" w:rsidP="005C4D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SE" w:eastAsia="en-SE"/>
              </w:rPr>
            </w:pPr>
          </w:p>
        </w:tc>
      </w:tr>
      <w:tr w:rsidR="002622D4" w:rsidRPr="00C51E79" w14:paraId="2FA9665E" w14:textId="77777777" w:rsidTr="005C4D9C">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hideMark/>
          </w:tcPr>
          <w:p w14:paraId="78851441" w14:textId="77777777" w:rsidR="002622D4" w:rsidRPr="00BC431F" w:rsidRDefault="002622D4" w:rsidP="005C4D9C">
            <w:pPr>
              <w:jc w:val="center"/>
              <w:rPr>
                <w:rFonts w:ascii="Times New Roman" w:hAnsi="Times New Roman" w:cs="Times New Roman"/>
                <w:color w:val="000000"/>
                <w:sz w:val="22"/>
                <w:szCs w:val="22"/>
              </w:rPr>
            </w:pPr>
            <w:r w:rsidRPr="00BC431F">
              <w:rPr>
                <w:rFonts w:ascii="Times New Roman" w:hAnsi="Times New Roman" w:cs="Times New Roman"/>
                <w:color w:val="000000"/>
                <w:sz w:val="20"/>
                <w:szCs w:val="20"/>
                <w:lang w:val="en-SE" w:eastAsia="en-SE"/>
              </w:rPr>
              <w:t>MCAP-DIF</w:t>
            </w:r>
          </w:p>
        </w:tc>
        <w:tc>
          <w:tcPr>
            <w:tcW w:w="5670" w:type="dxa"/>
            <w:shd w:val="clear" w:color="auto" w:fill="auto"/>
            <w:vAlign w:val="bottom"/>
          </w:tcPr>
          <w:p w14:paraId="24670916" w14:textId="77777777" w:rsidR="002622D4" w:rsidRPr="00BC431F" w:rsidRDefault="002622D4" w:rsidP="005C4D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n-SE" w:eastAsia="en-SE"/>
              </w:rPr>
            </w:pPr>
            <w:r w:rsidRPr="00BC431F">
              <w:rPr>
                <w:rFonts w:ascii="Times New Roman" w:hAnsi="Times New Roman" w:cs="Times New Roman"/>
                <w:color w:val="000000"/>
                <w:sz w:val="20"/>
                <w:szCs w:val="20"/>
                <w:lang w:val="en-SE" w:eastAsia="en-SE"/>
              </w:rPr>
              <w:t>Market cap (acquirer) - market cap (target)</w:t>
            </w:r>
          </w:p>
          <w:p w14:paraId="1FD4540E" w14:textId="77777777" w:rsidR="002622D4" w:rsidRPr="00BC431F" w:rsidRDefault="002622D4" w:rsidP="005C4D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lang w:val="en-US"/>
              </w:rPr>
            </w:pPr>
          </w:p>
        </w:tc>
      </w:tr>
      <w:tr w:rsidR="002622D4" w:rsidRPr="00C51E79" w14:paraId="0BCDD4A4" w14:textId="77777777" w:rsidTr="005C4D9C">
        <w:trPr>
          <w:trHeight w:val="30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tcPr>
          <w:p w14:paraId="10C8F05B" w14:textId="77777777" w:rsidR="002622D4" w:rsidRPr="00BC431F" w:rsidRDefault="002622D4" w:rsidP="005C4D9C">
            <w:pPr>
              <w:jc w:val="center"/>
              <w:rPr>
                <w:rFonts w:ascii="Times New Roman" w:hAnsi="Times New Roman" w:cs="Times New Roman"/>
                <w:color w:val="000000"/>
                <w:sz w:val="22"/>
                <w:szCs w:val="22"/>
              </w:rPr>
            </w:pPr>
            <w:r w:rsidRPr="00BC431F">
              <w:rPr>
                <w:rFonts w:ascii="Times New Roman" w:hAnsi="Times New Roman" w:cs="Times New Roman"/>
                <w:color w:val="000000"/>
                <w:sz w:val="20"/>
                <w:szCs w:val="20"/>
                <w:lang w:val="en-SE" w:eastAsia="en-SE"/>
              </w:rPr>
              <w:t>CASH/ASSETS</w:t>
            </w:r>
          </w:p>
        </w:tc>
        <w:tc>
          <w:tcPr>
            <w:tcW w:w="5670" w:type="dxa"/>
            <w:shd w:val="clear" w:color="auto" w:fill="auto"/>
            <w:vAlign w:val="bottom"/>
          </w:tcPr>
          <w:p w14:paraId="07B97C20" w14:textId="77777777" w:rsidR="002622D4" w:rsidRPr="00BC431F" w:rsidRDefault="002622D4" w:rsidP="005C4D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n-SE" w:eastAsia="en-SE"/>
              </w:rPr>
            </w:pPr>
            <w:r w:rsidRPr="00BC431F">
              <w:rPr>
                <w:rFonts w:ascii="Times New Roman" w:hAnsi="Times New Roman" w:cs="Times New Roman"/>
                <w:color w:val="000000"/>
                <w:sz w:val="20"/>
                <w:szCs w:val="20"/>
                <w:lang w:val="en-SE" w:eastAsia="en-SE"/>
              </w:rPr>
              <w:t>Cash and cash equivalents (target) / total assets (target)</w:t>
            </w:r>
          </w:p>
          <w:p w14:paraId="71DB796A" w14:textId="77777777" w:rsidR="002622D4" w:rsidRPr="00BC431F" w:rsidRDefault="002622D4" w:rsidP="005C4D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lang w:val="en-US"/>
              </w:rPr>
            </w:pPr>
          </w:p>
        </w:tc>
      </w:tr>
      <w:tr w:rsidR="002622D4" w:rsidRPr="00C51E79" w14:paraId="6DC7864D" w14:textId="77777777" w:rsidTr="005C4D9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tcPr>
          <w:p w14:paraId="7263583D" w14:textId="77777777" w:rsidR="002622D4" w:rsidRPr="00BC431F" w:rsidRDefault="002622D4" w:rsidP="005C4D9C">
            <w:pPr>
              <w:jc w:val="center"/>
              <w:rPr>
                <w:rFonts w:ascii="Times New Roman" w:hAnsi="Times New Roman" w:cs="Times New Roman"/>
                <w:b w:val="0"/>
                <w:bCs w:val="0"/>
                <w:color w:val="000000"/>
                <w:sz w:val="20"/>
                <w:szCs w:val="20"/>
                <w:lang w:val="en-SE" w:eastAsia="en-SE"/>
              </w:rPr>
            </w:pPr>
            <w:r w:rsidRPr="00BC431F">
              <w:rPr>
                <w:rFonts w:ascii="Times New Roman" w:hAnsi="Times New Roman" w:cs="Times New Roman"/>
                <w:color w:val="000000"/>
                <w:sz w:val="20"/>
                <w:szCs w:val="20"/>
                <w:lang w:val="en-SE" w:eastAsia="en-SE"/>
              </w:rPr>
              <w:t>LTD/BV</w:t>
            </w:r>
          </w:p>
        </w:tc>
        <w:tc>
          <w:tcPr>
            <w:tcW w:w="5670" w:type="dxa"/>
            <w:shd w:val="clear" w:color="auto" w:fill="auto"/>
            <w:vAlign w:val="bottom"/>
          </w:tcPr>
          <w:p w14:paraId="683D12FF" w14:textId="77777777" w:rsidR="002622D4" w:rsidRPr="00BC431F" w:rsidRDefault="002622D4" w:rsidP="005C4D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n-SE" w:eastAsia="en-SE"/>
              </w:rPr>
            </w:pPr>
            <w:r w:rsidRPr="00BC431F">
              <w:rPr>
                <w:rFonts w:ascii="Times New Roman" w:hAnsi="Times New Roman" w:cs="Times New Roman"/>
                <w:color w:val="000000"/>
                <w:sz w:val="20"/>
                <w:szCs w:val="20"/>
                <w:lang w:val="en-SE" w:eastAsia="en-SE"/>
              </w:rPr>
              <w:t>Long-term debt (target) / total assets (target)</w:t>
            </w:r>
          </w:p>
          <w:p w14:paraId="0A0E9DC7" w14:textId="77777777" w:rsidR="002622D4" w:rsidRPr="00BC431F" w:rsidRDefault="002622D4" w:rsidP="005C4D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lang w:val="en-US"/>
              </w:rPr>
            </w:pPr>
          </w:p>
        </w:tc>
      </w:tr>
      <w:tr w:rsidR="002622D4" w:rsidRPr="007362F2" w14:paraId="3F1879B9" w14:textId="77777777" w:rsidTr="005C4D9C">
        <w:trPr>
          <w:trHeight w:val="30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tcPr>
          <w:p w14:paraId="1A781BDB" w14:textId="3FA95E5B" w:rsidR="002622D4" w:rsidRPr="00BC431F" w:rsidRDefault="002622D4" w:rsidP="005C4D9C">
            <w:pPr>
              <w:jc w:val="center"/>
              <w:rPr>
                <w:rFonts w:ascii="Times New Roman" w:hAnsi="Times New Roman" w:cs="Times New Roman"/>
                <w:b w:val="0"/>
                <w:bCs w:val="0"/>
                <w:color w:val="000000"/>
                <w:sz w:val="20"/>
                <w:szCs w:val="20"/>
                <w:lang w:val="en-SE" w:eastAsia="en-SE"/>
              </w:rPr>
            </w:pPr>
            <w:r w:rsidRPr="00BC431F">
              <w:rPr>
                <w:rFonts w:ascii="Times New Roman" w:hAnsi="Times New Roman" w:cs="Times New Roman"/>
                <w:color w:val="000000"/>
                <w:sz w:val="20"/>
                <w:szCs w:val="20"/>
                <w:lang w:val="en-SE" w:eastAsia="en-SE"/>
              </w:rPr>
              <w:t>FIN</w:t>
            </w:r>
            <w:r w:rsidR="00BC431F">
              <w:rPr>
                <w:rFonts w:ascii="Times New Roman" w:hAnsi="Times New Roman" w:cs="Times New Roman"/>
                <w:color w:val="000000"/>
                <w:sz w:val="20"/>
                <w:szCs w:val="20"/>
                <w:lang w:val="en-US" w:eastAsia="en-SE"/>
              </w:rPr>
              <w:t>_</w:t>
            </w:r>
            <w:r w:rsidRPr="00BC431F">
              <w:rPr>
                <w:rFonts w:ascii="Times New Roman" w:hAnsi="Times New Roman" w:cs="Times New Roman"/>
                <w:color w:val="000000"/>
                <w:sz w:val="20"/>
                <w:szCs w:val="20"/>
                <w:lang w:val="en-SE" w:eastAsia="en-SE"/>
              </w:rPr>
              <w:t>LEV</w:t>
            </w:r>
          </w:p>
        </w:tc>
        <w:tc>
          <w:tcPr>
            <w:tcW w:w="5670" w:type="dxa"/>
            <w:shd w:val="clear" w:color="auto" w:fill="auto"/>
            <w:vAlign w:val="bottom"/>
          </w:tcPr>
          <w:p w14:paraId="0CD158FC" w14:textId="77777777" w:rsidR="002622D4" w:rsidRPr="00BC431F" w:rsidRDefault="002622D4" w:rsidP="005C4D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n-SE" w:eastAsia="en-SE"/>
              </w:rPr>
            </w:pPr>
            <w:r w:rsidRPr="00BC431F">
              <w:rPr>
                <w:rFonts w:ascii="Times New Roman" w:hAnsi="Times New Roman" w:cs="Times New Roman"/>
                <w:color w:val="000000"/>
                <w:sz w:val="20"/>
                <w:szCs w:val="20"/>
                <w:lang w:val="en-SE" w:eastAsia="en-SE"/>
              </w:rPr>
              <w:t>Liabilities (target) / equity (target)</w:t>
            </w:r>
          </w:p>
          <w:p w14:paraId="564F6668" w14:textId="77777777" w:rsidR="002622D4" w:rsidRPr="00BC431F" w:rsidRDefault="002622D4" w:rsidP="005C4D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
        </w:tc>
      </w:tr>
      <w:tr w:rsidR="002622D4" w:rsidRPr="00C51E79" w14:paraId="10921752" w14:textId="77777777" w:rsidTr="005C4D9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tcPr>
          <w:p w14:paraId="29029529" w14:textId="77777777" w:rsidR="002622D4" w:rsidRPr="00BC431F" w:rsidRDefault="002622D4" w:rsidP="005C4D9C">
            <w:pPr>
              <w:jc w:val="center"/>
              <w:rPr>
                <w:rFonts w:ascii="Times New Roman" w:hAnsi="Times New Roman" w:cs="Times New Roman"/>
                <w:b w:val="0"/>
                <w:bCs w:val="0"/>
                <w:color w:val="000000"/>
                <w:sz w:val="20"/>
                <w:szCs w:val="20"/>
                <w:lang w:val="en-SE" w:eastAsia="en-SE"/>
              </w:rPr>
            </w:pPr>
            <w:r w:rsidRPr="00BC431F">
              <w:rPr>
                <w:rFonts w:ascii="Times New Roman" w:hAnsi="Times New Roman" w:cs="Times New Roman"/>
                <w:color w:val="000000"/>
                <w:sz w:val="20"/>
                <w:szCs w:val="20"/>
                <w:lang w:val="en-SE" w:eastAsia="en-SE"/>
              </w:rPr>
              <w:t>BOOK/MARKET (T)</w:t>
            </w:r>
          </w:p>
        </w:tc>
        <w:tc>
          <w:tcPr>
            <w:tcW w:w="5670" w:type="dxa"/>
            <w:shd w:val="clear" w:color="auto" w:fill="auto"/>
            <w:vAlign w:val="bottom"/>
          </w:tcPr>
          <w:p w14:paraId="63210F66" w14:textId="77777777" w:rsidR="002622D4" w:rsidRPr="00BC431F" w:rsidRDefault="002622D4" w:rsidP="005C4D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n-SE" w:eastAsia="en-SE"/>
              </w:rPr>
            </w:pPr>
            <w:r w:rsidRPr="00BC431F">
              <w:rPr>
                <w:rFonts w:ascii="Times New Roman" w:hAnsi="Times New Roman" w:cs="Times New Roman"/>
                <w:color w:val="000000"/>
                <w:sz w:val="20"/>
                <w:szCs w:val="20"/>
                <w:lang w:val="en-SE" w:eastAsia="en-SE"/>
              </w:rPr>
              <w:t>(Total assets (target) - total liabilities (target)) / market cap (target)</w:t>
            </w:r>
          </w:p>
          <w:p w14:paraId="06589D2A" w14:textId="77777777" w:rsidR="002622D4" w:rsidRPr="00BC431F" w:rsidRDefault="002622D4" w:rsidP="005C4D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lang w:val="en-US"/>
              </w:rPr>
            </w:pPr>
          </w:p>
        </w:tc>
      </w:tr>
      <w:tr w:rsidR="002622D4" w:rsidRPr="00C51E79" w14:paraId="40D83FEF" w14:textId="77777777" w:rsidTr="005C4D9C">
        <w:trPr>
          <w:trHeight w:val="30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tcPr>
          <w:p w14:paraId="4F956E11" w14:textId="77777777" w:rsidR="002622D4" w:rsidRPr="00BC431F" w:rsidRDefault="002622D4" w:rsidP="005C4D9C">
            <w:pPr>
              <w:jc w:val="center"/>
              <w:rPr>
                <w:rFonts w:ascii="Times New Roman" w:hAnsi="Times New Roman" w:cs="Times New Roman"/>
                <w:b w:val="0"/>
                <w:bCs w:val="0"/>
                <w:color w:val="000000"/>
                <w:sz w:val="20"/>
                <w:szCs w:val="20"/>
                <w:lang w:val="en-SE" w:eastAsia="en-SE"/>
              </w:rPr>
            </w:pPr>
            <w:r w:rsidRPr="00BC431F">
              <w:rPr>
                <w:rFonts w:ascii="Times New Roman" w:hAnsi="Times New Roman" w:cs="Times New Roman"/>
                <w:color w:val="000000"/>
                <w:sz w:val="20"/>
                <w:szCs w:val="20"/>
                <w:lang w:val="en-SE" w:eastAsia="en-SE"/>
              </w:rPr>
              <w:t>BOOK/MARKET (A)</w:t>
            </w:r>
          </w:p>
        </w:tc>
        <w:tc>
          <w:tcPr>
            <w:tcW w:w="5670" w:type="dxa"/>
            <w:shd w:val="clear" w:color="auto" w:fill="auto"/>
            <w:vAlign w:val="bottom"/>
          </w:tcPr>
          <w:p w14:paraId="32AC74BE" w14:textId="354F9212" w:rsidR="002622D4" w:rsidRPr="00BC431F" w:rsidRDefault="002622D4" w:rsidP="005C4D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n-SE" w:eastAsia="en-SE"/>
              </w:rPr>
            </w:pPr>
            <w:r w:rsidRPr="00BC431F">
              <w:rPr>
                <w:rFonts w:ascii="Times New Roman" w:hAnsi="Times New Roman" w:cs="Times New Roman"/>
                <w:color w:val="000000"/>
                <w:sz w:val="20"/>
                <w:szCs w:val="20"/>
                <w:lang w:val="en-SE" w:eastAsia="en-SE"/>
              </w:rPr>
              <w:t>(Total assets (acquirer) - total liabilities (acquirer))/</w:t>
            </w:r>
            <w:r w:rsidR="00BC431F">
              <w:rPr>
                <w:rFonts w:ascii="Times New Roman" w:hAnsi="Times New Roman" w:cs="Times New Roman"/>
                <w:color w:val="000000"/>
                <w:sz w:val="20"/>
                <w:szCs w:val="20"/>
                <w:lang w:val="en-US" w:eastAsia="en-SE"/>
              </w:rPr>
              <w:t xml:space="preserve"> </w:t>
            </w:r>
            <w:r w:rsidR="00BC431F" w:rsidRPr="00BC431F">
              <w:rPr>
                <w:rFonts w:ascii="Times New Roman" w:hAnsi="Times New Roman" w:cs="Times New Roman"/>
                <w:color w:val="000000"/>
                <w:sz w:val="20"/>
                <w:szCs w:val="20"/>
                <w:lang w:val="en-SE" w:eastAsia="en-SE"/>
              </w:rPr>
              <w:t>market</w:t>
            </w:r>
            <w:r w:rsidRPr="00BC431F">
              <w:rPr>
                <w:rFonts w:ascii="Times New Roman" w:hAnsi="Times New Roman" w:cs="Times New Roman"/>
                <w:color w:val="000000"/>
                <w:sz w:val="20"/>
                <w:szCs w:val="20"/>
                <w:lang w:val="en-SE" w:eastAsia="en-SE"/>
              </w:rPr>
              <w:t xml:space="preserve"> cap (acquirer)</w:t>
            </w:r>
          </w:p>
          <w:p w14:paraId="1D076C73" w14:textId="77777777" w:rsidR="002622D4" w:rsidRPr="00BC431F" w:rsidRDefault="002622D4" w:rsidP="005C4D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lang w:val="en-US"/>
              </w:rPr>
            </w:pPr>
          </w:p>
        </w:tc>
      </w:tr>
      <w:tr w:rsidR="002622D4" w:rsidRPr="00C51E79" w14:paraId="503EF79B" w14:textId="77777777" w:rsidTr="005C4D9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tcPr>
          <w:p w14:paraId="43198A97" w14:textId="77777777" w:rsidR="002622D4" w:rsidRPr="00BC431F" w:rsidRDefault="002622D4" w:rsidP="005C4D9C">
            <w:pPr>
              <w:jc w:val="center"/>
              <w:rPr>
                <w:rFonts w:ascii="Times New Roman" w:hAnsi="Times New Roman" w:cs="Times New Roman"/>
                <w:b w:val="0"/>
                <w:bCs w:val="0"/>
                <w:color w:val="000000"/>
                <w:sz w:val="20"/>
                <w:szCs w:val="20"/>
                <w:lang w:val="en-SE" w:eastAsia="en-SE"/>
              </w:rPr>
            </w:pPr>
            <w:r w:rsidRPr="00BC431F">
              <w:rPr>
                <w:rFonts w:ascii="Times New Roman" w:hAnsi="Times New Roman" w:cs="Times New Roman"/>
                <w:color w:val="000000"/>
                <w:sz w:val="20"/>
                <w:szCs w:val="20"/>
                <w:lang w:val="en-SE" w:eastAsia="en-SE"/>
              </w:rPr>
              <w:t>COMP-BID</w:t>
            </w:r>
          </w:p>
        </w:tc>
        <w:tc>
          <w:tcPr>
            <w:tcW w:w="5670" w:type="dxa"/>
            <w:shd w:val="clear" w:color="auto" w:fill="auto"/>
            <w:vAlign w:val="bottom"/>
          </w:tcPr>
          <w:p w14:paraId="45E6A9BB" w14:textId="5C4348CF" w:rsidR="002622D4" w:rsidRPr="00BC431F" w:rsidRDefault="002622D4" w:rsidP="005C4D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n-SE" w:eastAsia="en-SE"/>
              </w:rPr>
            </w:pPr>
            <w:r w:rsidRPr="00BC431F">
              <w:rPr>
                <w:rFonts w:ascii="Times New Roman" w:hAnsi="Times New Roman" w:cs="Times New Roman"/>
                <w:color w:val="000000"/>
                <w:sz w:val="20"/>
                <w:szCs w:val="20"/>
                <w:lang w:val="en-SE" w:eastAsia="en-SE"/>
              </w:rPr>
              <w:t>Dummy variable that equals to 1 if</w:t>
            </w:r>
            <w:r w:rsidR="005C4D9C">
              <w:rPr>
                <w:rFonts w:ascii="Times New Roman" w:hAnsi="Times New Roman" w:cs="Times New Roman"/>
                <w:color w:val="000000"/>
                <w:sz w:val="20"/>
                <w:szCs w:val="20"/>
                <w:lang w:val="en-US" w:eastAsia="en-SE"/>
              </w:rPr>
              <w:t xml:space="preserve"> the deal had </w:t>
            </w:r>
            <w:r w:rsidRPr="00BC431F">
              <w:rPr>
                <w:rFonts w:ascii="Times New Roman" w:hAnsi="Times New Roman" w:cs="Times New Roman"/>
                <w:color w:val="000000"/>
                <w:sz w:val="20"/>
                <w:szCs w:val="20"/>
                <w:lang w:val="en-SE" w:eastAsia="en-SE"/>
              </w:rPr>
              <w:t>competing bid</w:t>
            </w:r>
            <w:r w:rsidR="005C4D9C">
              <w:rPr>
                <w:rFonts w:ascii="Times New Roman" w:hAnsi="Times New Roman" w:cs="Times New Roman"/>
                <w:color w:val="000000"/>
                <w:sz w:val="20"/>
                <w:szCs w:val="20"/>
                <w:lang w:val="en-US" w:eastAsia="en-SE"/>
              </w:rPr>
              <w:t>s</w:t>
            </w:r>
            <w:r w:rsidRPr="00BC431F">
              <w:rPr>
                <w:rFonts w:ascii="Times New Roman" w:hAnsi="Times New Roman" w:cs="Times New Roman"/>
                <w:color w:val="000000"/>
                <w:sz w:val="20"/>
                <w:szCs w:val="20"/>
                <w:lang w:val="en-SE" w:eastAsia="en-SE"/>
              </w:rPr>
              <w:t xml:space="preserve"> and 0 if </w:t>
            </w:r>
            <w:r w:rsidR="005C4D9C">
              <w:rPr>
                <w:rFonts w:ascii="Times New Roman" w:hAnsi="Times New Roman" w:cs="Times New Roman"/>
                <w:color w:val="000000"/>
                <w:sz w:val="20"/>
                <w:szCs w:val="20"/>
                <w:lang w:val="en-US" w:eastAsia="en-SE"/>
              </w:rPr>
              <w:t>the deal had</w:t>
            </w:r>
            <w:r w:rsidRPr="00BC431F">
              <w:rPr>
                <w:rFonts w:ascii="Times New Roman" w:hAnsi="Times New Roman" w:cs="Times New Roman"/>
                <w:color w:val="000000"/>
                <w:sz w:val="20"/>
                <w:szCs w:val="20"/>
                <w:lang w:val="en-SE" w:eastAsia="en-SE"/>
              </w:rPr>
              <w:t xml:space="preserve"> no competing bid</w:t>
            </w:r>
          </w:p>
          <w:p w14:paraId="3D0A53D5" w14:textId="77777777" w:rsidR="002622D4" w:rsidRPr="00BC431F" w:rsidRDefault="002622D4" w:rsidP="005C4D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SE" w:eastAsia="en-SE"/>
              </w:rPr>
            </w:pPr>
          </w:p>
        </w:tc>
      </w:tr>
      <w:tr w:rsidR="002622D4" w:rsidRPr="00C51E79" w14:paraId="473D9081" w14:textId="77777777" w:rsidTr="005C4D9C">
        <w:trPr>
          <w:trHeight w:val="30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tcPr>
          <w:p w14:paraId="1AADDE5C" w14:textId="77777777" w:rsidR="002622D4" w:rsidRPr="00BC431F" w:rsidRDefault="002622D4" w:rsidP="005C4D9C">
            <w:pPr>
              <w:jc w:val="center"/>
              <w:rPr>
                <w:rFonts w:ascii="Times New Roman" w:hAnsi="Times New Roman" w:cs="Times New Roman"/>
                <w:b w:val="0"/>
                <w:bCs w:val="0"/>
                <w:color w:val="000000"/>
                <w:sz w:val="20"/>
                <w:szCs w:val="20"/>
                <w:lang w:val="en-SE" w:eastAsia="en-SE"/>
              </w:rPr>
            </w:pPr>
            <w:r w:rsidRPr="00BC431F">
              <w:rPr>
                <w:rFonts w:ascii="Times New Roman" w:hAnsi="Times New Roman" w:cs="Times New Roman"/>
                <w:color w:val="000000"/>
                <w:sz w:val="20"/>
                <w:szCs w:val="20"/>
                <w:lang w:val="en-SE" w:eastAsia="en-SE"/>
              </w:rPr>
              <w:t>CON-M</w:t>
            </w:r>
          </w:p>
        </w:tc>
        <w:tc>
          <w:tcPr>
            <w:tcW w:w="5670" w:type="dxa"/>
            <w:shd w:val="clear" w:color="auto" w:fill="auto"/>
            <w:vAlign w:val="bottom"/>
          </w:tcPr>
          <w:p w14:paraId="1B383C3A" w14:textId="0C7CDD4E" w:rsidR="002622D4" w:rsidRPr="00BC431F" w:rsidRDefault="002622D4" w:rsidP="005C4D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n-SE" w:eastAsia="en-SE"/>
              </w:rPr>
            </w:pPr>
            <w:r w:rsidRPr="00BC431F">
              <w:rPr>
                <w:rFonts w:ascii="Times New Roman" w:hAnsi="Times New Roman" w:cs="Times New Roman"/>
                <w:color w:val="000000"/>
                <w:sz w:val="20"/>
                <w:szCs w:val="20"/>
                <w:lang w:val="en-SE" w:eastAsia="en-SE"/>
              </w:rPr>
              <w:t xml:space="preserve">Dummy variable that equals to 1 </w:t>
            </w:r>
            <w:r w:rsidR="005C4D9C">
              <w:rPr>
                <w:rFonts w:ascii="Times New Roman" w:hAnsi="Times New Roman" w:cs="Times New Roman"/>
                <w:color w:val="000000"/>
                <w:sz w:val="20"/>
                <w:szCs w:val="20"/>
                <w:lang w:val="en-US" w:eastAsia="en-SE"/>
              </w:rPr>
              <w:t>if the deal was a</w:t>
            </w:r>
            <w:r w:rsidRPr="00BC431F">
              <w:rPr>
                <w:rFonts w:ascii="Times New Roman" w:hAnsi="Times New Roman" w:cs="Times New Roman"/>
                <w:color w:val="000000"/>
                <w:sz w:val="20"/>
                <w:szCs w:val="20"/>
                <w:lang w:val="en-SE" w:eastAsia="en-SE"/>
              </w:rPr>
              <w:t xml:space="preserve"> conglomerate merger and 0 if</w:t>
            </w:r>
            <w:r w:rsidR="005C4D9C">
              <w:rPr>
                <w:rFonts w:ascii="Times New Roman" w:hAnsi="Times New Roman" w:cs="Times New Roman"/>
                <w:color w:val="000000"/>
                <w:sz w:val="20"/>
                <w:szCs w:val="20"/>
                <w:lang w:val="en-US" w:eastAsia="en-SE"/>
              </w:rPr>
              <w:t xml:space="preserve"> the deal</w:t>
            </w:r>
            <w:r w:rsidRPr="00BC431F">
              <w:rPr>
                <w:rFonts w:ascii="Times New Roman" w:hAnsi="Times New Roman" w:cs="Times New Roman"/>
                <w:color w:val="000000"/>
                <w:sz w:val="20"/>
                <w:szCs w:val="20"/>
                <w:lang w:val="en-SE" w:eastAsia="en-SE"/>
              </w:rPr>
              <w:t xml:space="preserve"> was a non-conglomerate merger</w:t>
            </w:r>
          </w:p>
          <w:p w14:paraId="576B3783" w14:textId="77777777" w:rsidR="002622D4" w:rsidRPr="00BC431F" w:rsidRDefault="002622D4" w:rsidP="005C4D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SE" w:eastAsia="en-SE"/>
              </w:rPr>
            </w:pPr>
          </w:p>
        </w:tc>
      </w:tr>
      <w:tr w:rsidR="002622D4" w:rsidRPr="00C51E79" w14:paraId="5B8D04E9" w14:textId="77777777" w:rsidTr="005C4D9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61" w:type="dxa"/>
            <w:tcBorders>
              <w:bottom w:val="double" w:sz="4" w:space="0" w:color="auto"/>
            </w:tcBorders>
            <w:shd w:val="clear" w:color="auto" w:fill="auto"/>
          </w:tcPr>
          <w:p w14:paraId="1FDD7EA1" w14:textId="77777777" w:rsidR="002622D4" w:rsidRPr="00BC431F" w:rsidRDefault="002622D4" w:rsidP="005C4D9C">
            <w:pPr>
              <w:jc w:val="center"/>
              <w:rPr>
                <w:rFonts w:ascii="Times New Roman" w:hAnsi="Times New Roman" w:cs="Times New Roman"/>
                <w:b w:val="0"/>
                <w:bCs w:val="0"/>
                <w:color w:val="000000"/>
                <w:sz w:val="20"/>
                <w:szCs w:val="20"/>
                <w:lang w:val="en-SE" w:eastAsia="en-SE"/>
              </w:rPr>
            </w:pPr>
            <w:r w:rsidRPr="00BC431F">
              <w:rPr>
                <w:rFonts w:ascii="Times New Roman" w:hAnsi="Times New Roman" w:cs="Times New Roman"/>
                <w:color w:val="000000"/>
                <w:sz w:val="20"/>
                <w:szCs w:val="20"/>
                <w:lang w:val="en-SE" w:eastAsia="en-SE"/>
              </w:rPr>
              <w:t>STOCK</w:t>
            </w:r>
          </w:p>
        </w:tc>
        <w:tc>
          <w:tcPr>
            <w:tcW w:w="5670" w:type="dxa"/>
            <w:tcBorders>
              <w:bottom w:val="double" w:sz="4" w:space="0" w:color="auto"/>
            </w:tcBorders>
            <w:shd w:val="clear" w:color="auto" w:fill="auto"/>
            <w:vAlign w:val="bottom"/>
          </w:tcPr>
          <w:p w14:paraId="0F4FB132" w14:textId="77777777" w:rsidR="002622D4" w:rsidRPr="00BC431F" w:rsidRDefault="002622D4" w:rsidP="005C4D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n-SE" w:eastAsia="en-SE"/>
              </w:rPr>
            </w:pPr>
            <w:r w:rsidRPr="00BC431F">
              <w:rPr>
                <w:rFonts w:ascii="Times New Roman" w:hAnsi="Times New Roman" w:cs="Times New Roman"/>
                <w:color w:val="000000"/>
                <w:sz w:val="20"/>
                <w:szCs w:val="20"/>
                <w:lang w:val="en-SE" w:eastAsia="en-SE"/>
              </w:rPr>
              <w:t>Dummy variable that equals 1 if the payment was only done through stock</w:t>
            </w:r>
          </w:p>
          <w:p w14:paraId="7F4D824F" w14:textId="77777777" w:rsidR="002622D4" w:rsidRPr="00BC431F" w:rsidRDefault="002622D4" w:rsidP="005C4D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n-SE" w:eastAsia="en-SE"/>
              </w:rPr>
            </w:pPr>
          </w:p>
        </w:tc>
      </w:tr>
    </w:tbl>
    <w:p w14:paraId="688EA91C" w14:textId="77777777" w:rsidR="00542DEC" w:rsidRDefault="000B6FC7">
      <w:r>
        <w:rPr>
          <w:sz w:val="18"/>
          <w:szCs w:val="18"/>
        </w:rPr>
        <w:t xml:space="preserve">This table shows explanations of the variables that will be used for the different regression models. Variables that appear to be </w:t>
      </w:r>
      <w:proofErr w:type="spellStart"/>
      <w:r>
        <w:rPr>
          <w:sz w:val="18"/>
          <w:szCs w:val="18"/>
        </w:rPr>
        <w:t>misspecified</w:t>
      </w:r>
      <w:proofErr w:type="spellEnd"/>
      <w:r>
        <w:rPr>
          <w:sz w:val="18"/>
          <w:szCs w:val="18"/>
        </w:rPr>
        <w:t xml:space="preserve"> will be transformed. Variables that appear to be redundant will be excluded.</w:t>
      </w:r>
    </w:p>
    <w:p w14:paraId="268584AE" w14:textId="77777777" w:rsidR="00BC431F" w:rsidRDefault="00BC431F">
      <w:pPr>
        <w:rPr>
          <w:sz w:val="40"/>
          <w:szCs w:val="40"/>
        </w:rPr>
      </w:pPr>
      <w:r>
        <w:br w:type="page"/>
      </w:r>
    </w:p>
    <w:p w14:paraId="43FA8A69" w14:textId="3DD020EF" w:rsidR="00542DEC" w:rsidRDefault="000B6FC7">
      <w:pPr>
        <w:pStyle w:val="Heading1"/>
      </w:pPr>
      <w:bookmarkStart w:id="61" w:name="_Toc61125930"/>
      <w:bookmarkStart w:id="62" w:name="_Toc61126703"/>
      <w:r>
        <w:lastRenderedPageBreak/>
        <w:t>6. Empirical results</w:t>
      </w:r>
      <w:bookmarkEnd w:id="61"/>
      <w:bookmarkEnd w:id="62"/>
    </w:p>
    <w:p w14:paraId="7D9CC5EB" w14:textId="41898E64" w:rsidR="00542DEC" w:rsidRDefault="000B6FC7">
      <w:pPr>
        <w:jc w:val="center"/>
      </w:pPr>
      <w:r>
        <w:rPr>
          <w:i/>
        </w:rPr>
        <w:t>Section 6.1.1 to 6.1.4 presents regression results from four different regression models. Section 6.2 will test for multicollinearity in the final model. Lastly, section 6.3 will answer the hypothesis with the results from the last model.</w:t>
      </w:r>
    </w:p>
    <w:p w14:paraId="0261B82B" w14:textId="4CB542C3" w:rsidR="00542DEC" w:rsidRDefault="000B6FC7">
      <w:pPr>
        <w:pStyle w:val="Heading2"/>
      </w:pPr>
      <w:bookmarkStart w:id="63" w:name="_Toc61125931"/>
      <w:bookmarkStart w:id="64" w:name="_Toc61126704"/>
      <w:r>
        <w:t>6.1 Regression results</w:t>
      </w:r>
      <w:bookmarkEnd w:id="63"/>
      <w:bookmarkEnd w:id="64"/>
    </w:p>
    <w:p w14:paraId="79E2FD65" w14:textId="7CFCB0B6" w:rsidR="00542DEC" w:rsidRDefault="000B6FC7">
      <w:pPr>
        <w:pStyle w:val="Heading3"/>
      </w:pPr>
      <w:bookmarkStart w:id="65" w:name="_Toc61125932"/>
      <w:bookmarkStart w:id="66" w:name="_Toc61126705"/>
      <w:r>
        <w:t>6.1.1 Model 1: Base model</w:t>
      </w:r>
      <w:bookmarkEnd w:id="65"/>
      <w:bookmarkEnd w:id="66"/>
    </w:p>
    <w:p w14:paraId="56A6A00A" w14:textId="4DB8B1CB" w:rsidR="005B34C8" w:rsidRDefault="000B6FC7" w:rsidP="005B34C8">
      <w:pPr>
        <w:shd w:val="clear" w:color="auto" w:fill="FFFFFF"/>
        <w:spacing w:before="0" w:after="0"/>
        <w:jc w:val="center"/>
        <w:rPr>
          <w:b/>
        </w:rPr>
      </w:pPr>
      <w:r>
        <w:rPr>
          <w:b/>
        </w:rPr>
        <w:t>Table 4. Results from model 1</w:t>
      </w:r>
    </w:p>
    <w:tbl>
      <w:tblPr>
        <w:tblStyle w:val="PlainTable4"/>
        <w:tblW w:w="7655" w:type="dxa"/>
        <w:jc w:val="center"/>
        <w:tblLayout w:type="fixed"/>
        <w:tblLook w:val="04A0" w:firstRow="1" w:lastRow="0" w:firstColumn="1" w:lastColumn="0" w:noHBand="0" w:noVBand="1"/>
      </w:tblPr>
      <w:tblGrid>
        <w:gridCol w:w="2694"/>
        <w:gridCol w:w="1559"/>
        <w:gridCol w:w="1984"/>
        <w:gridCol w:w="1418"/>
      </w:tblGrid>
      <w:tr w:rsidR="00E00831" w:rsidRPr="00F730AA" w14:paraId="38E96481" w14:textId="77777777" w:rsidTr="00E00831">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94" w:type="dxa"/>
            <w:tcBorders>
              <w:top w:val="double" w:sz="4" w:space="0" w:color="auto"/>
              <w:bottom w:val="single" w:sz="4" w:space="0" w:color="auto"/>
            </w:tcBorders>
            <w:shd w:val="clear" w:color="auto" w:fill="auto"/>
            <w:vAlign w:val="center"/>
            <w:hideMark/>
          </w:tcPr>
          <w:p w14:paraId="6D3E625E" w14:textId="77777777" w:rsidR="00E00831" w:rsidRPr="005B34C8" w:rsidRDefault="00E00831" w:rsidP="00B324C8">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Variable</w:t>
            </w:r>
          </w:p>
        </w:tc>
        <w:tc>
          <w:tcPr>
            <w:tcW w:w="1559" w:type="dxa"/>
            <w:tcBorders>
              <w:top w:val="double" w:sz="4" w:space="0" w:color="auto"/>
              <w:bottom w:val="single" w:sz="4" w:space="0" w:color="auto"/>
            </w:tcBorders>
            <w:vAlign w:val="center"/>
          </w:tcPr>
          <w:p w14:paraId="0D50B094" w14:textId="77777777" w:rsidR="00E00831" w:rsidRPr="005B34C8" w:rsidRDefault="00E00831" w:rsidP="00B324C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Coefficient</w:t>
            </w:r>
          </w:p>
        </w:tc>
        <w:tc>
          <w:tcPr>
            <w:tcW w:w="1984" w:type="dxa"/>
            <w:tcBorders>
              <w:top w:val="double" w:sz="4" w:space="0" w:color="auto"/>
              <w:bottom w:val="single" w:sz="4" w:space="0" w:color="auto"/>
            </w:tcBorders>
            <w:vAlign w:val="center"/>
          </w:tcPr>
          <w:p w14:paraId="6B92DE20" w14:textId="77777777" w:rsidR="00E00831" w:rsidRPr="005B34C8" w:rsidRDefault="00E00831" w:rsidP="00B324C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Std. Error</w:t>
            </w:r>
          </w:p>
        </w:tc>
        <w:tc>
          <w:tcPr>
            <w:tcW w:w="1418" w:type="dxa"/>
            <w:tcBorders>
              <w:top w:val="double" w:sz="4" w:space="0" w:color="auto"/>
              <w:bottom w:val="single" w:sz="4" w:space="0" w:color="auto"/>
            </w:tcBorders>
            <w:vAlign w:val="center"/>
          </w:tcPr>
          <w:p w14:paraId="7C6072F3" w14:textId="77777777" w:rsidR="00E00831" w:rsidRPr="005B34C8" w:rsidRDefault="00E00831" w:rsidP="00B324C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P-value</w:t>
            </w:r>
          </w:p>
        </w:tc>
      </w:tr>
      <w:tr w:rsidR="00E00831" w:rsidRPr="00F730AA" w14:paraId="0C7D085E" w14:textId="77777777" w:rsidTr="00E00831">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bottom"/>
            <w:hideMark/>
          </w:tcPr>
          <w:p w14:paraId="40331436" w14:textId="77777777" w:rsidR="00E00831" w:rsidRPr="005B34C8" w:rsidRDefault="00E00831" w:rsidP="00E00831">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C</w:t>
            </w:r>
          </w:p>
        </w:tc>
        <w:tc>
          <w:tcPr>
            <w:tcW w:w="1559" w:type="dxa"/>
            <w:shd w:val="clear" w:color="auto" w:fill="auto"/>
            <w:vAlign w:val="bottom"/>
          </w:tcPr>
          <w:p w14:paraId="029B2F8A" w14:textId="77777777" w:rsidR="00E00831" w:rsidRPr="005B34C8" w:rsidRDefault="00E00831" w:rsidP="00E008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0.310456</w:t>
            </w:r>
            <w:proofErr w:type="gramEnd"/>
          </w:p>
        </w:tc>
        <w:tc>
          <w:tcPr>
            <w:tcW w:w="1984" w:type="dxa"/>
            <w:shd w:val="clear" w:color="auto" w:fill="auto"/>
            <w:vAlign w:val="bottom"/>
          </w:tcPr>
          <w:p w14:paraId="167B8565" w14:textId="77777777" w:rsidR="00E00831" w:rsidRPr="005B34C8" w:rsidRDefault="00E00831" w:rsidP="00E008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0.047019</w:t>
            </w:r>
            <w:proofErr w:type="gramEnd"/>
          </w:p>
        </w:tc>
        <w:tc>
          <w:tcPr>
            <w:tcW w:w="1418" w:type="dxa"/>
            <w:shd w:val="clear" w:color="auto" w:fill="auto"/>
            <w:vAlign w:val="bottom"/>
          </w:tcPr>
          <w:p w14:paraId="1BB93961" w14:textId="77777777" w:rsidR="00E00831" w:rsidRPr="005B34C8" w:rsidRDefault="00E00831" w:rsidP="00E008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0</w:t>
            </w:r>
          </w:p>
        </w:tc>
      </w:tr>
      <w:tr w:rsidR="00E00831" w:rsidRPr="00F730AA" w14:paraId="10E8A708" w14:textId="77777777" w:rsidTr="00E00831">
        <w:trPr>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33B6B526" w14:textId="72734408" w:rsidR="00E00831" w:rsidRPr="005B34C8" w:rsidRDefault="00E00831" w:rsidP="00B324C8">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ESG</w:t>
            </w:r>
            <w:r>
              <w:rPr>
                <w:rFonts w:ascii="Times New Roman" w:hAnsi="Times New Roman" w:cs="Times New Roman"/>
                <w:color w:val="000000" w:themeColor="text1"/>
                <w:sz w:val="22"/>
                <w:szCs w:val="22"/>
              </w:rPr>
              <w:t>-</w:t>
            </w:r>
            <w:r w:rsidRPr="005B34C8">
              <w:rPr>
                <w:rFonts w:ascii="Times New Roman" w:hAnsi="Times New Roman" w:cs="Times New Roman"/>
                <w:color w:val="000000" w:themeColor="text1"/>
                <w:sz w:val="22"/>
                <w:szCs w:val="22"/>
              </w:rPr>
              <w:t>PORTFOLIO</w:t>
            </w:r>
          </w:p>
        </w:tc>
        <w:tc>
          <w:tcPr>
            <w:tcW w:w="1559" w:type="dxa"/>
            <w:shd w:val="clear" w:color="auto" w:fill="auto"/>
            <w:vAlign w:val="center"/>
          </w:tcPr>
          <w:p w14:paraId="035032B9"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w:t>
            </w:r>
            <w:proofErr w:type="gramStart"/>
            <w:r w:rsidRPr="005B34C8">
              <w:rPr>
                <w:rFonts w:ascii="Times New Roman" w:hAnsi="Times New Roman" w:cs="Times New Roman"/>
                <w:color w:val="000000" w:themeColor="text1"/>
                <w:sz w:val="22"/>
                <w:szCs w:val="22"/>
              </w:rPr>
              <w:t>0.001734</w:t>
            </w:r>
            <w:proofErr w:type="gramEnd"/>
          </w:p>
        </w:tc>
        <w:tc>
          <w:tcPr>
            <w:tcW w:w="1984" w:type="dxa"/>
            <w:shd w:val="clear" w:color="auto" w:fill="auto"/>
            <w:vAlign w:val="center"/>
          </w:tcPr>
          <w:p w14:paraId="36B6945C"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0.000821</w:t>
            </w:r>
            <w:proofErr w:type="gramEnd"/>
          </w:p>
        </w:tc>
        <w:tc>
          <w:tcPr>
            <w:tcW w:w="1418" w:type="dxa"/>
            <w:shd w:val="clear" w:color="auto" w:fill="auto"/>
            <w:vAlign w:val="center"/>
          </w:tcPr>
          <w:p w14:paraId="15666D43"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0.0351</w:t>
            </w:r>
            <w:proofErr w:type="gramEnd"/>
          </w:p>
        </w:tc>
      </w:tr>
      <w:tr w:rsidR="00E00831" w:rsidRPr="00F730AA" w14:paraId="6EB16CC7" w14:textId="77777777" w:rsidTr="00E00831">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485CA490" w14:textId="52329945" w:rsidR="00E00831" w:rsidRPr="005B34C8" w:rsidRDefault="00E00831" w:rsidP="00B324C8">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CSR</w:t>
            </w:r>
            <w:r>
              <w:rPr>
                <w:rFonts w:ascii="Times New Roman" w:hAnsi="Times New Roman" w:cs="Times New Roman"/>
                <w:color w:val="000000" w:themeColor="text1"/>
                <w:sz w:val="22"/>
                <w:szCs w:val="22"/>
              </w:rPr>
              <w:t>-</w:t>
            </w:r>
            <w:r w:rsidRPr="005B34C8">
              <w:rPr>
                <w:rFonts w:ascii="Times New Roman" w:hAnsi="Times New Roman" w:cs="Times New Roman"/>
                <w:color w:val="000000" w:themeColor="text1"/>
                <w:sz w:val="22"/>
                <w:szCs w:val="22"/>
              </w:rPr>
              <w:t>DIF</w:t>
            </w:r>
          </w:p>
        </w:tc>
        <w:tc>
          <w:tcPr>
            <w:tcW w:w="1559" w:type="dxa"/>
            <w:shd w:val="clear" w:color="auto" w:fill="auto"/>
            <w:vAlign w:val="center"/>
          </w:tcPr>
          <w:p w14:paraId="25220D2B" w14:textId="77777777" w:rsidR="00E00831" w:rsidRPr="005B34C8" w:rsidRDefault="00E00831"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w:t>
            </w:r>
            <w:proofErr w:type="gramStart"/>
            <w:r w:rsidRPr="005B34C8">
              <w:rPr>
                <w:rFonts w:ascii="Times New Roman" w:hAnsi="Times New Roman" w:cs="Times New Roman"/>
                <w:color w:val="000000" w:themeColor="text1"/>
                <w:sz w:val="22"/>
                <w:szCs w:val="22"/>
              </w:rPr>
              <w:t>0.000202</w:t>
            </w:r>
            <w:proofErr w:type="gramEnd"/>
          </w:p>
        </w:tc>
        <w:tc>
          <w:tcPr>
            <w:tcW w:w="1984" w:type="dxa"/>
            <w:shd w:val="clear" w:color="auto" w:fill="auto"/>
            <w:vAlign w:val="center"/>
          </w:tcPr>
          <w:p w14:paraId="265FF0D5" w14:textId="77777777" w:rsidR="00E00831" w:rsidRPr="005B34C8" w:rsidRDefault="00E00831"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0.000599</w:t>
            </w:r>
            <w:proofErr w:type="gramEnd"/>
          </w:p>
        </w:tc>
        <w:tc>
          <w:tcPr>
            <w:tcW w:w="1418" w:type="dxa"/>
            <w:shd w:val="clear" w:color="auto" w:fill="auto"/>
            <w:vAlign w:val="center"/>
          </w:tcPr>
          <w:p w14:paraId="49A6D66C" w14:textId="77777777" w:rsidR="00E00831" w:rsidRPr="005B34C8" w:rsidRDefault="00E00831"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0.7364</w:t>
            </w:r>
            <w:proofErr w:type="gramEnd"/>
          </w:p>
        </w:tc>
      </w:tr>
      <w:tr w:rsidR="00E00831" w:rsidRPr="00F730AA" w14:paraId="10E6251C" w14:textId="77777777" w:rsidTr="00E00831">
        <w:trPr>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27A7025C" w14:textId="3E68D107" w:rsidR="00E00831" w:rsidRPr="005B34C8" w:rsidRDefault="00E00831" w:rsidP="00B324C8">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MCAP</w:t>
            </w:r>
            <w:r>
              <w:rPr>
                <w:rFonts w:ascii="Times New Roman" w:hAnsi="Times New Roman" w:cs="Times New Roman"/>
                <w:color w:val="000000" w:themeColor="text1"/>
                <w:sz w:val="22"/>
                <w:szCs w:val="22"/>
              </w:rPr>
              <w:t>-</w:t>
            </w:r>
            <w:r w:rsidRPr="005B34C8">
              <w:rPr>
                <w:rFonts w:ascii="Times New Roman" w:hAnsi="Times New Roman" w:cs="Times New Roman"/>
                <w:color w:val="000000" w:themeColor="text1"/>
                <w:sz w:val="22"/>
                <w:szCs w:val="22"/>
              </w:rPr>
              <w:t>DIF</w:t>
            </w:r>
          </w:p>
        </w:tc>
        <w:tc>
          <w:tcPr>
            <w:tcW w:w="1559" w:type="dxa"/>
            <w:shd w:val="clear" w:color="auto" w:fill="auto"/>
            <w:vAlign w:val="center"/>
          </w:tcPr>
          <w:p w14:paraId="4D1244D5"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6.77E-07</w:t>
            </w:r>
          </w:p>
        </w:tc>
        <w:tc>
          <w:tcPr>
            <w:tcW w:w="1984" w:type="dxa"/>
            <w:shd w:val="clear" w:color="auto" w:fill="auto"/>
            <w:vAlign w:val="center"/>
          </w:tcPr>
          <w:p w14:paraId="50E78F2C"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2.32E-07</w:t>
            </w:r>
          </w:p>
        </w:tc>
        <w:tc>
          <w:tcPr>
            <w:tcW w:w="1418" w:type="dxa"/>
            <w:shd w:val="clear" w:color="auto" w:fill="auto"/>
            <w:vAlign w:val="center"/>
          </w:tcPr>
          <w:p w14:paraId="5E6C651F"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0.0037</w:t>
            </w:r>
            <w:proofErr w:type="gramEnd"/>
          </w:p>
        </w:tc>
      </w:tr>
      <w:tr w:rsidR="00E00831" w:rsidRPr="00F730AA" w14:paraId="097D0F4D" w14:textId="77777777" w:rsidTr="00E00831">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682A4C9B" w14:textId="2B40EA99" w:rsidR="00E00831" w:rsidRPr="005B34C8" w:rsidRDefault="00E00831" w:rsidP="00B324C8">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CASH</w:t>
            </w:r>
            <w:r>
              <w:rPr>
                <w:rFonts w:ascii="Times New Roman" w:hAnsi="Times New Roman" w:cs="Times New Roman"/>
                <w:color w:val="000000" w:themeColor="text1"/>
                <w:sz w:val="22"/>
                <w:szCs w:val="22"/>
              </w:rPr>
              <w:t>/</w:t>
            </w:r>
            <w:r w:rsidRPr="005B34C8">
              <w:rPr>
                <w:rFonts w:ascii="Times New Roman" w:hAnsi="Times New Roman" w:cs="Times New Roman"/>
                <w:color w:val="000000" w:themeColor="text1"/>
                <w:sz w:val="22"/>
                <w:szCs w:val="22"/>
              </w:rPr>
              <w:t>ASSETS</w:t>
            </w:r>
          </w:p>
        </w:tc>
        <w:tc>
          <w:tcPr>
            <w:tcW w:w="1559" w:type="dxa"/>
            <w:shd w:val="clear" w:color="auto" w:fill="auto"/>
            <w:vAlign w:val="center"/>
          </w:tcPr>
          <w:p w14:paraId="39C9C14F" w14:textId="77777777" w:rsidR="00E00831" w:rsidRPr="005B34C8" w:rsidRDefault="00E00831"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0.479862</w:t>
            </w:r>
            <w:proofErr w:type="gramEnd"/>
          </w:p>
        </w:tc>
        <w:tc>
          <w:tcPr>
            <w:tcW w:w="1984" w:type="dxa"/>
            <w:shd w:val="clear" w:color="auto" w:fill="auto"/>
            <w:vAlign w:val="center"/>
          </w:tcPr>
          <w:p w14:paraId="0C09B5DD" w14:textId="77777777" w:rsidR="00E00831" w:rsidRPr="005B34C8" w:rsidRDefault="00E00831"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0.067291</w:t>
            </w:r>
            <w:proofErr w:type="gramEnd"/>
          </w:p>
        </w:tc>
        <w:tc>
          <w:tcPr>
            <w:tcW w:w="1418" w:type="dxa"/>
            <w:shd w:val="clear" w:color="auto" w:fill="auto"/>
            <w:vAlign w:val="center"/>
          </w:tcPr>
          <w:p w14:paraId="6B92A1AB" w14:textId="77777777" w:rsidR="00E00831" w:rsidRPr="005B34C8" w:rsidRDefault="00E00831"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0</w:t>
            </w:r>
          </w:p>
        </w:tc>
      </w:tr>
      <w:tr w:rsidR="00E00831" w:rsidRPr="00F730AA" w14:paraId="1AFCB630" w14:textId="77777777" w:rsidTr="00E00831">
        <w:trPr>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1DC0A9B5" w14:textId="2D3DF94F" w:rsidR="00E00831" w:rsidRPr="005B34C8" w:rsidRDefault="00E00831" w:rsidP="00B324C8">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LTD</w:t>
            </w:r>
            <w:r>
              <w:rPr>
                <w:rFonts w:ascii="Times New Roman" w:hAnsi="Times New Roman" w:cs="Times New Roman"/>
                <w:color w:val="000000" w:themeColor="text1"/>
                <w:sz w:val="22"/>
                <w:szCs w:val="22"/>
              </w:rPr>
              <w:t>/</w:t>
            </w:r>
            <w:r w:rsidRPr="005B34C8">
              <w:rPr>
                <w:rFonts w:ascii="Times New Roman" w:hAnsi="Times New Roman" w:cs="Times New Roman"/>
                <w:color w:val="000000" w:themeColor="text1"/>
                <w:sz w:val="22"/>
                <w:szCs w:val="22"/>
              </w:rPr>
              <w:t>BV</w:t>
            </w:r>
          </w:p>
        </w:tc>
        <w:tc>
          <w:tcPr>
            <w:tcW w:w="1559" w:type="dxa"/>
            <w:shd w:val="clear" w:color="auto" w:fill="auto"/>
            <w:vAlign w:val="center"/>
          </w:tcPr>
          <w:p w14:paraId="033B4918"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w:t>
            </w:r>
            <w:proofErr w:type="gramStart"/>
            <w:r w:rsidRPr="005B34C8">
              <w:rPr>
                <w:rFonts w:ascii="Times New Roman" w:hAnsi="Times New Roman" w:cs="Times New Roman"/>
                <w:color w:val="000000" w:themeColor="text1"/>
                <w:sz w:val="22"/>
                <w:szCs w:val="22"/>
              </w:rPr>
              <w:t>0.031579</w:t>
            </w:r>
            <w:proofErr w:type="gramEnd"/>
          </w:p>
        </w:tc>
        <w:tc>
          <w:tcPr>
            <w:tcW w:w="1984" w:type="dxa"/>
            <w:shd w:val="clear" w:color="auto" w:fill="auto"/>
            <w:vAlign w:val="center"/>
          </w:tcPr>
          <w:p w14:paraId="146FC403"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0.058092</w:t>
            </w:r>
            <w:proofErr w:type="gramEnd"/>
          </w:p>
        </w:tc>
        <w:tc>
          <w:tcPr>
            <w:tcW w:w="1418" w:type="dxa"/>
            <w:shd w:val="clear" w:color="auto" w:fill="auto"/>
            <w:vAlign w:val="center"/>
          </w:tcPr>
          <w:p w14:paraId="1EBF539A"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0.5869</w:t>
            </w:r>
            <w:proofErr w:type="gramEnd"/>
          </w:p>
        </w:tc>
      </w:tr>
      <w:tr w:rsidR="00E00831" w:rsidRPr="00F730AA" w14:paraId="5FD5AFE7" w14:textId="77777777" w:rsidTr="00E00831">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6BE62202" w14:textId="09D0876B" w:rsidR="00E00831" w:rsidRPr="005B34C8" w:rsidRDefault="00E00831" w:rsidP="00B324C8">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FIN</w:t>
            </w:r>
            <w:r>
              <w:rPr>
                <w:rFonts w:ascii="Times New Roman" w:hAnsi="Times New Roman" w:cs="Times New Roman"/>
                <w:color w:val="000000" w:themeColor="text1"/>
                <w:sz w:val="22"/>
                <w:szCs w:val="22"/>
              </w:rPr>
              <w:t>_</w:t>
            </w:r>
            <w:r w:rsidRPr="005B34C8">
              <w:rPr>
                <w:rFonts w:ascii="Times New Roman" w:hAnsi="Times New Roman" w:cs="Times New Roman"/>
                <w:color w:val="000000" w:themeColor="text1"/>
                <w:sz w:val="22"/>
                <w:szCs w:val="22"/>
              </w:rPr>
              <w:t>LEV</w:t>
            </w:r>
          </w:p>
        </w:tc>
        <w:tc>
          <w:tcPr>
            <w:tcW w:w="1559" w:type="dxa"/>
            <w:shd w:val="clear" w:color="auto" w:fill="auto"/>
            <w:vAlign w:val="center"/>
          </w:tcPr>
          <w:p w14:paraId="76B38702" w14:textId="77777777" w:rsidR="00E00831" w:rsidRPr="005B34C8" w:rsidRDefault="00E00831"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-4.21E-08</w:t>
            </w:r>
          </w:p>
        </w:tc>
        <w:tc>
          <w:tcPr>
            <w:tcW w:w="1984" w:type="dxa"/>
            <w:shd w:val="clear" w:color="auto" w:fill="auto"/>
            <w:vAlign w:val="center"/>
          </w:tcPr>
          <w:p w14:paraId="604F414D" w14:textId="77777777" w:rsidR="00E00831" w:rsidRPr="005B34C8" w:rsidRDefault="00E00831"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4.35E-08</w:t>
            </w:r>
          </w:p>
        </w:tc>
        <w:tc>
          <w:tcPr>
            <w:tcW w:w="1418" w:type="dxa"/>
            <w:shd w:val="clear" w:color="auto" w:fill="auto"/>
            <w:vAlign w:val="center"/>
          </w:tcPr>
          <w:p w14:paraId="5B88FE43" w14:textId="77777777" w:rsidR="00E00831" w:rsidRPr="005B34C8" w:rsidRDefault="00E00831"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0.3339</w:t>
            </w:r>
            <w:proofErr w:type="gramEnd"/>
          </w:p>
        </w:tc>
      </w:tr>
      <w:tr w:rsidR="00E00831" w:rsidRPr="00F730AA" w14:paraId="53E021FB" w14:textId="77777777" w:rsidTr="00E00831">
        <w:trPr>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23CA18C5" w14:textId="38BCE188" w:rsidR="00E00831" w:rsidRPr="00B324C8" w:rsidRDefault="00E00831" w:rsidP="00B324C8">
            <w:pPr>
              <w:jc w:val="center"/>
              <w:rPr>
                <w:rFonts w:ascii="Times New Roman" w:hAnsi="Times New Roman" w:cs="Times New Roman"/>
                <w:color w:val="000000" w:themeColor="text1"/>
                <w:sz w:val="22"/>
                <w:szCs w:val="22"/>
              </w:rPr>
            </w:pPr>
            <w:r w:rsidRPr="00B324C8">
              <w:rPr>
                <w:rFonts w:ascii="Times New Roman" w:hAnsi="Times New Roman" w:cs="Times New Roman"/>
                <w:color w:val="000000"/>
                <w:sz w:val="22"/>
                <w:szCs w:val="22"/>
                <w:lang w:val="en-SE" w:eastAsia="en-SE"/>
              </w:rPr>
              <w:t>BOOK/MARKET (T)</w:t>
            </w:r>
          </w:p>
        </w:tc>
        <w:tc>
          <w:tcPr>
            <w:tcW w:w="1559" w:type="dxa"/>
            <w:shd w:val="clear" w:color="auto" w:fill="auto"/>
            <w:vAlign w:val="center"/>
          </w:tcPr>
          <w:p w14:paraId="1B250DF8"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0.011792</w:t>
            </w:r>
            <w:proofErr w:type="gramEnd"/>
          </w:p>
        </w:tc>
        <w:tc>
          <w:tcPr>
            <w:tcW w:w="1984" w:type="dxa"/>
            <w:shd w:val="clear" w:color="auto" w:fill="auto"/>
            <w:vAlign w:val="center"/>
          </w:tcPr>
          <w:p w14:paraId="779592BF"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0.010762</w:t>
            </w:r>
            <w:proofErr w:type="gramEnd"/>
          </w:p>
        </w:tc>
        <w:tc>
          <w:tcPr>
            <w:tcW w:w="1418" w:type="dxa"/>
            <w:shd w:val="clear" w:color="auto" w:fill="auto"/>
            <w:vAlign w:val="center"/>
          </w:tcPr>
          <w:p w14:paraId="402B974F"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0.2737</w:t>
            </w:r>
            <w:proofErr w:type="gramEnd"/>
          </w:p>
        </w:tc>
      </w:tr>
      <w:tr w:rsidR="00E00831" w:rsidRPr="00F730AA" w14:paraId="5FE4C467" w14:textId="77777777" w:rsidTr="00E00831">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58847BF7" w14:textId="6B13BBBE" w:rsidR="00E00831" w:rsidRPr="00B324C8" w:rsidRDefault="00E00831" w:rsidP="00B324C8">
            <w:pPr>
              <w:jc w:val="center"/>
              <w:rPr>
                <w:rFonts w:ascii="Times New Roman" w:hAnsi="Times New Roman" w:cs="Times New Roman"/>
                <w:color w:val="000000" w:themeColor="text1"/>
                <w:sz w:val="22"/>
                <w:szCs w:val="22"/>
              </w:rPr>
            </w:pPr>
            <w:r w:rsidRPr="00B324C8">
              <w:rPr>
                <w:rFonts w:ascii="Times New Roman" w:hAnsi="Times New Roman" w:cs="Times New Roman"/>
                <w:color w:val="000000"/>
                <w:sz w:val="22"/>
                <w:szCs w:val="22"/>
                <w:lang w:val="en-SE" w:eastAsia="en-SE"/>
              </w:rPr>
              <w:t>BOOK/MARKET (A)</w:t>
            </w:r>
          </w:p>
        </w:tc>
        <w:tc>
          <w:tcPr>
            <w:tcW w:w="1559" w:type="dxa"/>
            <w:shd w:val="clear" w:color="auto" w:fill="auto"/>
            <w:vAlign w:val="center"/>
          </w:tcPr>
          <w:p w14:paraId="6D948E24" w14:textId="77777777" w:rsidR="00E00831" w:rsidRPr="005B34C8" w:rsidRDefault="00E00831"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0.029407</w:t>
            </w:r>
            <w:proofErr w:type="gramEnd"/>
          </w:p>
        </w:tc>
        <w:tc>
          <w:tcPr>
            <w:tcW w:w="1984" w:type="dxa"/>
            <w:shd w:val="clear" w:color="auto" w:fill="auto"/>
            <w:vAlign w:val="center"/>
          </w:tcPr>
          <w:p w14:paraId="771DEBFE" w14:textId="77777777" w:rsidR="00E00831" w:rsidRPr="005B34C8" w:rsidRDefault="00E00831"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0.014961</w:t>
            </w:r>
            <w:proofErr w:type="gramEnd"/>
          </w:p>
        </w:tc>
        <w:tc>
          <w:tcPr>
            <w:tcW w:w="1418" w:type="dxa"/>
            <w:shd w:val="clear" w:color="auto" w:fill="auto"/>
            <w:vAlign w:val="center"/>
          </w:tcPr>
          <w:p w14:paraId="51F36549" w14:textId="77777777" w:rsidR="00E00831" w:rsidRPr="005B34C8" w:rsidRDefault="00E00831"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0.0498</w:t>
            </w:r>
            <w:proofErr w:type="gramEnd"/>
          </w:p>
        </w:tc>
      </w:tr>
      <w:tr w:rsidR="00E00831" w:rsidRPr="00F730AA" w14:paraId="35732007" w14:textId="77777777" w:rsidTr="00E00831">
        <w:trPr>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664F874C" w14:textId="447F064F" w:rsidR="00E00831" w:rsidRPr="005B34C8" w:rsidRDefault="00E00831" w:rsidP="00B324C8">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COMP</w:t>
            </w:r>
            <w:r>
              <w:rPr>
                <w:rFonts w:ascii="Times New Roman" w:hAnsi="Times New Roman" w:cs="Times New Roman"/>
                <w:color w:val="000000" w:themeColor="text1"/>
                <w:sz w:val="22"/>
                <w:szCs w:val="22"/>
              </w:rPr>
              <w:t>-</w:t>
            </w:r>
            <w:r w:rsidRPr="005B34C8">
              <w:rPr>
                <w:rFonts w:ascii="Times New Roman" w:hAnsi="Times New Roman" w:cs="Times New Roman"/>
                <w:color w:val="000000" w:themeColor="text1"/>
                <w:sz w:val="22"/>
                <w:szCs w:val="22"/>
              </w:rPr>
              <w:t>BID</w:t>
            </w:r>
          </w:p>
        </w:tc>
        <w:tc>
          <w:tcPr>
            <w:tcW w:w="1559" w:type="dxa"/>
            <w:shd w:val="clear" w:color="auto" w:fill="auto"/>
            <w:vAlign w:val="center"/>
          </w:tcPr>
          <w:p w14:paraId="140658C9"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0.322925</w:t>
            </w:r>
            <w:proofErr w:type="gramEnd"/>
          </w:p>
        </w:tc>
        <w:tc>
          <w:tcPr>
            <w:tcW w:w="1984" w:type="dxa"/>
            <w:shd w:val="clear" w:color="auto" w:fill="auto"/>
            <w:vAlign w:val="center"/>
          </w:tcPr>
          <w:p w14:paraId="5288D941"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0.174766</w:t>
            </w:r>
            <w:proofErr w:type="gramEnd"/>
          </w:p>
        </w:tc>
        <w:tc>
          <w:tcPr>
            <w:tcW w:w="1418" w:type="dxa"/>
            <w:shd w:val="clear" w:color="auto" w:fill="auto"/>
            <w:vAlign w:val="center"/>
          </w:tcPr>
          <w:p w14:paraId="67038254"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0.0652</w:t>
            </w:r>
            <w:proofErr w:type="gramEnd"/>
          </w:p>
        </w:tc>
      </w:tr>
      <w:tr w:rsidR="00E00831" w:rsidRPr="00F730AA" w14:paraId="2500D637" w14:textId="77777777" w:rsidTr="00E00831">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1CA07513" w14:textId="2401C139" w:rsidR="00E00831" w:rsidRPr="005B34C8" w:rsidRDefault="00E00831" w:rsidP="00B324C8">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CON</w:t>
            </w:r>
            <w:r>
              <w:rPr>
                <w:rFonts w:ascii="Times New Roman" w:hAnsi="Times New Roman" w:cs="Times New Roman"/>
                <w:color w:val="000000" w:themeColor="text1"/>
                <w:sz w:val="22"/>
                <w:szCs w:val="22"/>
              </w:rPr>
              <w:t>-</w:t>
            </w:r>
            <w:r w:rsidRPr="005B34C8">
              <w:rPr>
                <w:rFonts w:ascii="Times New Roman" w:hAnsi="Times New Roman" w:cs="Times New Roman"/>
                <w:color w:val="000000" w:themeColor="text1"/>
                <w:sz w:val="22"/>
                <w:szCs w:val="22"/>
              </w:rPr>
              <w:t>M</w:t>
            </w:r>
          </w:p>
        </w:tc>
        <w:tc>
          <w:tcPr>
            <w:tcW w:w="1559" w:type="dxa"/>
            <w:shd w:val="clear" w:color="auto" w:fill="auto"/>
            <w:vAlign w:val="center"/>
          </w:tcPr>
          <w:p w14:paraId="52B82D26" w14:textId="77777777" w:rsidR="00E00831" w:rsidRPr="005B34C8" w:rsidRDefault="00E00831"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w:t>
            </w:r>
            <w:proofErr w:type="gramStart"/>
            <w:r w:rsidRPr="005B34C8">
              <w:rPr>
                <w:rFonts w:ascii="Times New Roman" w:hAnsi="Times New Roman" w:cs="Times New Roman"/>
                <w:color w:val="000000" w:themeColor="text1"/>
                <w:sz w:val="22"/>
                <w:szCs w:val="22"/>
              </w:rPr>
              <w:t>0.002329</w:t>
            </w:r>
            <w:proofErr w:type="gramEnd"/>
          </w:p>
        </w:tc>
        <w:tc>
          <w:tcPr>
            <w:tcW w:w="1984" w:type="dxa"/>
            <w:shd w:val="clear" w:color="auto" w:fill="auto"/>
            <w:vAlign w:val="center"/>
          </w:tcPr>
          <w:p w14:paraId="7EA8DD13" w14:textId="77777777" w:rsidR="00E00831" w:rsidRPr="005B34C8" w:rsidRDefault="00E00831"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0.027796</w:t>
            </w:r>
            <w:proofErr w:type="gramEnd"/>
          </w:p>
        </w:tc>
        <w:tc>
          <w:tcPr>
            <w:tcW w:w="1418" w:type="dxa"/>
            <w:shd w:val="clear" w:color="auto" w:fill="auto"/>
            <w:vAlign w:val="center"/>
          </w:tcPr>
          <w:p w14:paraId="2F360CAD" w14:textId="77777777" w:rsidR="00E00831" w:rsidRPr="005B34C8" w:rsidRDefault="00E00831"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0.9333</w:t>
            </w:r>
            <w:proofErr w:type="gramEnd"/>
          </w:p>
        </w:tc>
      </w:tr>
      <w:tr w:rsidR="00E00831" w:rsidRPr="00F730AA" w14:paraId="7F86FD9C" w14:textId="77777777" w:rsidTr="00E00831">
        <w:trPr>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2C26CE07" w14:textId="77777777" w:rsidR="00E00831" w:rsidRPr="005B34C8" w:rsidRDefault="00E00831" w:rsidP="00B324C8">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STOCK</w:t>
            </w:r>
          </w:p>
        </w:tc>
        <w:tc>
          <w:tcPr>
            <w:tcW w:w="1559" w:type="dxa"/>
            <w:shd w:val="clear" w:color="auto" w:fill="auto"/>
            <w:vAlign w:val="center"/>
          </w:tcPr>
          <w:p w14:paraId="67BAB869"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w:t>
            </w:r>
            <w:proofErr w:type="gramStart"/>
            <w:r w:rsidRPr="005B34C8">
              <w:rPr>
                <w:rFonts w:ascii="Times New Roman" w:hAnsi="Times New Roman" w:cs="Times New Roman"/>
                <w:color w:val="000000" w:themeColor="text1"/>
                <w:sz w:val="22"/>
                <w:szCs w:val="22"/>
              </w:rPr>
              <w:t>0.082346</w:t>
            </w:r>
            <w:proofErr w:type="gramEnd"/>
          </w:p>
        </w:tc>
        <w:tc>
          <w:tcPr>
            <w:tcW w:w="1984" w:type="dxa"/>
            <w:shd w:val="clear" w:color="auto" w:fill="auto"/>
            <w:vAlign w:val="center"/>
          </w:tcPr>
          <w:p w14:paraId="01417422"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0.024511</w:t>
            </w:r>
            <w:proofErr w:type="gramEnd"/>
          </w:p>
        </w:tc>
        <w:tc>
          <w:tcPr>
            <w:tcW w:w="1418" w:type="dxa"/>
            <w:shd w:val="clear" w:color="auto" w:fill="auto"/>
            <w:vAlign w:val="center"/>
          </w:tcPr>
          <w:p w14:paraId="4710E39D"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5B34C8">
              <w:rPr>
                <w:rFonts w:ascii="Times New Roman" w:hAnsi="Times New Roman" w:cs="Times New Roman"/>
                <w:color w:val="000000" w:themeColor="text1"/>
                <w:sz w:val="22"/>
                <w:szCs w:val="22"/>
              </w:rPr>
              <w:t>0.0008</w:t>
            </w:r>
            <w:proofErr w:type="gramEnd"/>
          </w:p>
        </w:tc>
      </w:tr>
      <w:tr w:rsidR="00E00831" w:rsidRPr="00F730AA" w14:paraId="1EC0A9BC" w14:textId="77777777" w:rsidTr="00E00831">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78BC45FA" w14:textId="77777777" w:rsidR="00E00831" w:rsidRPr="005B34C8" w:rsidRDefault="00E00831" w:rsidP="00B324C8">
            <w:pPr>
              <w:jc w:val="center"/>
              <w:rPr>
                <w:rFonts w:ascii="Times New Roman" w:hAnsi="Times New Roman" w:cs="Times New Roman"/>
                <w:color w:val="000000" w:themeColor="text1"/>
                <w:sz w:val="22"/>
                <w:szCs w:val="22"/>
              </w:rPr>
            </w:pPr>
          </w:p>
        </w:tc>
        <w:tc>
          <w:tcPr>
            <w:tcW w:w="1559" w:type="dxa"/>
            <w:shd w:val="clear" w:color="auto" w:fill="auto"/>
            <w:vAlign w:val="center"/>
          </w:tcPr>
          <w:p w14:paraId="69D56ED8" w14:textId="77777777" w:rsidR="00E00831" w:rsidRPr="005B34C8" w:rsidRDefault="00E00831"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c>
          <w:tcPr>
            <w:tcW w:w="1984" w:type="dxa"/>
            <w:shd w:val="clear" w:color="auto" w:fill="auto"/>
            <w:vAlign w:val="center"/>
          </w:tcPr>
          <w:p w14:paraId="3C0A4B61" w14:textId="77777777" w:rsidR="00E00831" w:rsidRPr="005B34C8" w:rsidRDefault="00E00831"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c>
          <w:tcPr>
            <w:tcW w:w="1418" w:type="dxa"/>
            <w:shd w:val="clear" w:color="auto" w:fill="auto"/>
            <w:vAlign w:val="center"/>
          </w:tcPr>
          <w:p w14:paraId="71FAAC31" w14:textId="77777777" w:rsidR="00E00831" w:rsidRPr="005B34C8" w:rsidRDefault="00E00831"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r>
      <w:tr w:rsidR="00E00831" w:rsidRPr="00F730AA" w14:paraId="4273E130" w14:textId="77777777" w:rsidTr="00E00831">
        <w:trPr>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603C4A17" w14:textId="77777777" w:rsidR="00E00831" w:rsidRPr="005B34C8" w:rsidRDefault="00E00831" w:rsidP="00B324C8">
            <w:pPr>
              <w:jc w:val="center"/>
              <w:rPr>
                <w:rFonts w:ascii="Times New Roman" w:hAnsi="Times New Roman" w:cs="Times New Roman"/>
                <w:bCs w:val="0"/>
                <w:color w:val="000000" w:themeColor="text1"/>
                <w:sz w:val="22"/>
                <w:szCs w:val="22"/>
              </w:rPr>
            </w:pPr>
            <w:r w:rsidRPr="005B34C8">
              <w:rPr>
                <w:rFonts w:ascii="Times New Roman" w:hAnsi="Times New Roman" w:cs="Times New Roman"/>
                <w:bCs w:val="0"/>
                <w:color w:val="000000" w:themeColor="text1"/>
                <w:sz w:val="22"/>
                <w:szCs w:val="22"/>
              </w:rPr>
              <w:t>Sample size</w:t>
            </w:r>
          </w:p>
          <w:p w14:paraId="03F3486C" w14:textId="77777777" w:rsidR="00E00831" w:rsidRPr="005B34C8" w:rsidRDefault="00E00831" w:rsidP="00B324C8">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R-squared</w:t>
            </w:r>
          </w:p>
        </w:tc>
        <w:tc>
          <w:tcPr>
            <w:tcW w:w="1559" w:type="dxa"/>
            <w:shd w:val="clear" w:color="auto" w:fill="auto"/>
            <w:vAlign w:val="center"/>
          </w:tcPr>
          <w:p w14:paraId="272E1893"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
        </w:tc>
        <w:tc>
          <w:tcPr>
            <w:tcW w:w="1984" w:type="dxa"/>
            <w:shd w:val="clear" w:color="auto" w:fill="auto"/>
            <w:vAlign w:val="center"/>
          </w:tcPr>
          <w:p w14:paraId="2E7181DD"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5B34C8">
              <w:rPr>
                <w:rFonts w:ascii="Times New Roman" w:hAnsi="Times New Roman" w:cs="Times New Roman"/>
                <w:color w:val="000000"/>
                <w:sz w:val="22"/>
                <w:szCs w:val="22"/>
              </w:rPr>
              <w:t>570</w:t>
            </w:r>
          </w:p>
          <w:p w14:paraId="538FD98B"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0.194187</w:t>
            </w:r>
            <w:proofErr w:type="gramEnd"/>
          </w:p>
        </w:tc>
        <w:tc>
          <w:tcPr>
            <w:tcW w:w="1418" w:type="dxa"/>
            <w:shd w:val="clear" w:color="auto" w:fill="auto"/>
            <w:vAlign w:val="center"/>
          </w:tcPr>
          <w:p w14:paraId="509996AA" w14:textId="77777777" w:rsidR="00E00831" w:rsidRPr="005B34C8" w:rsidRDefault="00E00831"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
        </w:tc>
      </w:tr>
      <w:tr w:rsidR="00E00831" w:rsidRPr="00F730AA" w14:paraId="24656FB2" w14:textId="77777777" w:rsidTr="00E00831">
        <w:trPr>
          <w:cnfStyle w:val="000000100000" w:firstRow="0" w:lastRow="0" w:firstColumn="0" w:lastColumn="0" w:oddVBand="0" w:evenVBand="0" w:oddHBand="1" w:evenHBand="0" w:firstRowFirstColumn="0" w:firstRowLastColumn="0" w:lastRowFirstColumn="0" w:lastRowLastColumn="0"/>
          <w:trHeight w:val="572"/>
          <w:jc w:val="center"/>
        </w:trPr>
        <w:tc>
          <w:tcPr>
            <w:cnfStyle w:val="001000000000" w:firstRow="0" w:lastRow="0" w:firstColumn="1" w:lastColumn="0" w:oddVBand="0" w:evenVBand="0" w:oddHBand="0" w:evenHBand="0" w:firstRowFirstColumn="0" w:firstRowLastColumn="0" w:lastRowFirstColumn="0" w:lastRowLastColumn="0"/>
            <w:tcW w:w="2694" w:type="dxa"/>
            <w:tcBorders>
              <w:bottom w:val="double" w:sz="4" w:space="0" w:color="auto"/>
            </w:tcBorders>
            <w:shd w:val="clear" w:color="auto" w:fill="auto"/>
            <w:hideMark/>
          </w:tcPr>
          <w:p w14:paraId="7292D097" w14:textId="77777777" w:rsidR="00E00831" w:rsidRPr="005B34C8" w:rsidRDefault="00E00831" w:rsidP="00E00831">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Adjusted R-squared</w:t>
            </w:r>
          </w:p>
        </w:tc>
        <w:tc>
          <w:tcPr>
            <w:tcW w:w="1559" w:type="dxa"/>
            <w:tcBorders>
              <w:bottom w:val="double" w:sz="4" w:space="0" w:color="auto"/>
            </w:tcBorders>
            <w:shd w:val="clear" w:color="auto" w:fill="auto"/>
          </w:tcPr>
          <w:p w14:paraId="05592F1D" w14:textId="77777777" w:rsidR="00E00831" w:rsidRPr="005B34C8" w:rsidRDefault="00E00831" w:rsidP="00E008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c>
          <w:tcPr>
            <w:tcW w:w="1984" w:type="dxa"/>
            <w:tcBorders>
              <w:bottom w:val="double" w:sz="4" w:space="0" w:color="auto"/>
            </w:tcBorders>
            <w:shd w:val="clear" w:color="auto" w:fill="auto"/>
          </w:tcPr>
          <w:p w14:paraId="4971218F" w14:textId="77777777" w:rsidR="00E00831" w:rsidRPr="005B34C8" w:rsidRDefault="00E00831" w:rsidP="00E008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0.178302</w:t>
            </w:r>
            <w:proofErr w:type="gramEnd"/>
          </w:p>
          <w:p w14:paraId="1421435E" w14:textId="77777777" w:rsidR="00E00831" w:rsidRPr="005B34C8" w:rsidRDefault="00E00831" w:rsidP="00E008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c>
          <w:tcPr>
            <w:tcW w:w="1418" w:type="dxa"/>
            <w:tcBorders>
              <w:bottom w:val="double" w:sz="4" w:space="0" w:color="auto"/>
            </w:tcBorders>
            <w:shd w:val="clear" w:color="auto" w:fill="auto"/>
            <w:vAlign w:val="center"/>
          </w:tcPr>
          <w:p w14:paraId="5B222D83" w14:textId="77777777" w:rsidR="00E00831" w:rsidRPr="005B34C8" w:rsidRDefault="00E00831"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r>
    </w:tbl>
    <w:p w14:paraId="35BFA510" w14:textId="172E4C01" w:rsidR="00542DEC" w:rsidRDefault="000B6FC7" w:rsidP="005B34C8">
      <w:pPr>
        <w:shd w:val="clear" w:color="auto" w:fill="FFFFFF"/>
        <w:spacing w:before="0" w:after="0"/>
        <w:jc w:val="center"/>
        <w:rPr>
          <w:sz w:val="22"/>
          <w:szCs w:val="22"/>
        </w:rPr>
      </w:pPr>
      <w:r>
        <w:rPr>
          <w:sz w:val="22"/>
          <w:szCs w:val="22"/>
        </w:rPr>
        <w:t xml:space="preserve"> </w:t>
      </w:r>
    </w:p>
    <w:p w14:paraId="142C26FD" w14:textId="77777777" w:rsidR="00542DEC" w:rsidRPr="009A53E3" w:rsidRDefault="000B6FC7">
      <w:pPr>
        <w:shd w:val="clear" w:color="auto" w:fill="FFFFFF"/>
        <w:spacing w:before="0" w:after="0"/>
        <w:rPr>
          <w:sz w:val="16"/>
          <w:szCs w:val="16"/>
        </w:rPr>
      </w:pPr>
      <w:r w:rsidRPr="009A53E3">
        <w:rPr>
          <w:sz w:val="16"/>
          <w:szCs w:val="16"/>
        </w:rPr>
        <w:t xml:space="preserve">Table 4 shows the results from regression model 1. The dependent variable is </w:t>
      </w:r>
      <w:r w:rsidRPr="00C6096B">
        <w:rPr>
          <w:b/>
          <w:bCs/>
          <w:sz w:val="16"/>
          <w:szCs w:val="16"/>
        </w:rPr>
        <w:t>PREMIUM</w:t>
      </w:r>
      <w:r w:rsidRPr="009A53E3">
        <w:rPr>
          <w:sz w:val="16"/>
          <w:szCs w:val="16"/>
        </w:rPr>
        <w:t xml:space="preserve"> (announced total value of bid / market cap (target)) and represents the bid premium. The independent variables included in the table are: </w:t>
      </w:r>
      <w:r w:rsidRPr="009A53E3">
        <w:rPr>
          <w:b/>
          <w:sz w:val="16"/>
          <w:szCs w:val="16"/>
        </w:rPr>
        <w:t>(1) ESG-PORTFOLIO</w:t>
      </w:r>
      <w:r w:rsidRPr="009A53E3">
        <w:rPr>
          <w:sz w:val="16"/>
          <w:szCs w:val="16"/>
        </w:rPr>
        <w:t xml:space="preserve"> (average target ESG-rating (sum of existing ratings from </w:t>
      </w:r>
      <w:proofErr w:type="spellStart"/>
      <w:r w:rsidRPr="009A53E3">
        <w:rPr>
          <w:sz w:val="16"/>
          <w:szCs w:val="16"/>
        </w:rPr>
        <w:t>Sustainalytics</w:t>
      </w:r>
      <w:proofErr w:type="spellEnd"/>
      <w:r w:rsidRPr="009A53E3">
        <w:rPr>
          <w:sz w:val="16"/>
          <w:szCs w:val="16"/>
        </w:rPr>
        <w:t xml:space="preserve">, </w:t>
      </w:r>
      <w:proofErr w:type="spellStart"/>
      <w:r w:rsidRPr="009A53E3">
        <w:rPr>
          <w:sz w:val="16"/>
          <w:szCs w:val="16"/>
        </w:rPr>
        <w:t>RobecoSAM</w:t>
      </w:r>
      <w:proofErr w:type="spellEnd"/>
      <w:r w:rsidRPr="009A53E3">
        <w:rPr>
          <w:sz w:val="16"/>
          <w:szCs w:val="16"/>
        </w:rPr>
        <w:t xml:space="preserve">, ISS Quality Score and Bloomberg ESG Disclosure score converted into a 0-100 scale divided with the amount of existing ratings)) </w:t>
      </w:r>
      <w:r w:rsidRPr="009A53E3">
        <w:rPr>
          <w:b/>
          <w:sz w:val="16"/>
          <w:szCs w:val="16"/>
        </w:rPr>
        <w:t>(2) ESG-DIF</w:t>
      </w:r>
      <w:r w:rsidRPr="009A53E3">
        <w:rPr>
          <w:sz w:val="16"/>
          <w:szCs w:val="16"/>
        </w:rPr>
        <w:t xml:space="preserve"> (ESG-PORTFOLIO (acquirer) - ESG-PORTFOLIO  (target)) </w:t>
      </w:r>
      <w:r w:rsidRPr="009A53E3">
        <w:rPr>
          <w:b/>
          <w:sz w:val="16"/>
          <w:szCs w:val="16"/>
        </w:rPr>
        <w:t xml:space="preserve">(3) MCAP-DIF </w:t>
      </w:r>
      <w:r w:rsidRPr="009A53E3">
        <w:rPr>
          <w:sz w:val="16"/>
          <w:szCs w:val="16"/>
        </w:rPr>
        <w:t xml:space="preserve">(market cap (acquirer) - market cap (target)) </w:t>
      </w:r>
      <w:r w:rsidRPr="009A53E3">
        <w:rPr>
          <w:b/>
          <w:sz w:val="16"/>
          <w:szCs w:val="16"/>
        </w:rPr>
        <w:t xml:space="preserve">(4) BOOK/MARKET (T) </w:t>
      </w:r>
      <w:r w:rsidRPr="009A53E3">
        <w:rPr>
          <w:sz w:val="16"/>
          <w:szCs w:val="16"/>
        </w:rPr>
        <w:t xml:space="preserve">(total assets - total liabilities / market cap (target)) </w:t>
      </w:r>
      <w:r w:rsidRPr="009A53E3">
        <w:rPr>
          <w:b/>
          <w:sz w:val="16"/>
          <w:szCs w:val="16"/>
        </w:rPr>
        <w:t xml:space="preserve">(5) BOOK/MARKET (A) </w:t>
      </w:r>
      <w:r w:rsidRPr="009A53E3">
        <w:rPr>
          <w:sz w:val="16"/>
          <w:szCs w:val="16"/>
        </w:rPr>
        <w:t xml:space="preserve">((total assets - total liabilities / market cap (acquirer))) </w:t>
      </w:r>
      <w:r w:rsidRPr="009A53E3">
        <w:rPr>
          <w:b/>
          <w:sz w:val="16"/>
          <w:szCs w:val="16"/>
        </w:rPr>
        <w:t xml:space="preserve">(6) COMP-BID </w:t>
      </w:r>
      <w:r w:rsidRPr="009A53E3">
        <w:rPr>
          <w:sz w:val="16"/>
          <w:szCs w:val="16"/>
        </w:rPr>
        <w:t xml:space="preserve">(dummy variable that equals to 1 if there was a competing bid and 0 if there was no competing bid) </w:t>
      </w:r>
      <w:r w:rsidRPr="009A53E3">
        <w:rPr>
          <w:b/>
          <w:sz w:val="16"/>
          <w:szCs w:val="16"/>
        </w:rPr>
        <w:t>(7)</w:t>
      </w:r>
      <w:r w:rsidRPr="009A53E3">
        <w:rPr>
          <w:sz w:val="16"/>
          <w:szCs w:val="16"/>
        </w:rPr>
        <w:t xml:space="preserve"> </w:t>
      </w:r>
      <w:r w:rsidRPr="009A53E3">
        <w:rPr>
          <w:b/>
          <w:sz w:val="16"/>
          <w:szCs w:val="16"/>
        </w:rPr>
        <w:t xml:space="preserve">CON-M </w:t>
      </w:r>
      <w:r w:rsidRPr="009A53E3">
        <w:rPr>
          <w:sz w:val="16"/>
          <w:szCs w:val="16"/>
        </w:rPr>
        <w:t xml:space="preserve">(dummy variable that equals to 1 if there was a conglomerate merger and 0 if it was a non-conglomerate merger) </w:t>
      </w:r>
      <w:r w:rsidRPr="009A53E3">
        <w:rPr>
          <w:b/>
          <w:sz w:val="16"/>
          <w:szCs w:val="16"/>
        </w:rPr>
        <w:t xml:space="preserve">(8) STOCK </w:t>
      </w:r>
      <w:r w:rsidRPr="009A53E3">
        <w:rPr>
          <w:sz w:val="16"/>
          <w:szCs w:val="16"/>
        </w:rPr>
        <w:t xml:space="preserve">(dummy variable that equals 1 if the payment was only done through stock) </w:t>
      </w:r>
      <w:r w:rsidRPr="009A53E3">
        <w:rPr>
          <w:b/>
          <w:sz w:val="16"/>
          <w:szCs w:val="16"/>
        </w:rPr>
        <w:t xml:space="preserve">(9) FIN-LEV </w:t>
      </w:r>
      <w:r w:rsidRPr="009A53E3">
        <w:rPr>
          <w:sz w:val="16"/>
          <w:szCs w:val="16"/>
        </w:rPr>
        <w:t xml:space="preserve">(liabilities / equity (target)) </w:t>
      </w:r>
      <w:r w:rsidRPr="009A53E3">
        <w:rPr>
          <w:b/>
          <w:sz w:val="16"/>
          <w:szCs w:val="16"/>
        </w:rPr>
        <w:t xml:space="preserve">(10) CASH/ASSETS </w:t>
      </w:r>
      <w:r w:rsidRPr="009A53E3">
        <w:rPr>
          <w:sz w:val="16"/>
          <w:szCs w:val="16"/>
        </w:rPr>
        <w:t xml:space="preserve">(cash and cash equivalents / total assets (target)) </w:t>
      </w:r>
      <w:r w:rsidRPr="009A53E3">
        <w:rPr>
          <w:b/>
          <w:sz w:val="16"/>
          <w:szCs w:val="16"/>
        </w:rPr>
        <w:t>(11) LTD/BV (</w:t>
      </w:r>
      <w:r w:rsidRPr="009A53E3">
        <w:rPr>
          <w:sz w:val="16"/>
          <w:szCs w:val="16"/>
        </w:rPr>
        <w:t>tong-term debt / total assets (target)). The coefficient, standard error and P-value are shown for each variable. The table also includes the sample size, R^2 and adjusted R-squared.</w:t>
      </w:r>
    </w:p>
    <w:p w14:paraId="7CE07905" w14:textId="157A4FF9" w:rsidR="00542DEC" w:rsidRDefault="000B6FC7">
      <w:r>
        <w:lastRenderedPageBreak/>
        <w:t xml:space="preserve">Regression model 1 shows statistically significant results for the variable ESG-portfolio but insignificant results for the variable ESG-difference at a 5 % significance level. The results show that a higher ESG-portfolio-rating does on average result in a decrease of the bid premium. The ESG-portfolio-rating has a coefficient of -0.001734 and a p-value of 0.0351. When target’s ESG-portfolio-rating increases with one unit the bid premium decreases with -0.001734 units. When the difference in ESG-performance increases the </w:t>
      </w:r>
      <w:proofErr w:type="gramStart"/>
      <w:r w:rsidR="005B34C8">
        <w:t>bid</w:t>
      </w:r>
      <w:proofErr w:type="gramEnd"/>
      <w:r w:rsidR="005B34C8">
        <w:t xml:space="preserve"> </w:t>
      </w:r>
      <w:r>
        <w:t xml:space="preserve">premium decreases with 0.000202 units. However, this effect is within the margin of error as the p-value exceeds the significance level of 5 %. We can therefore not claim that ESG-difference has a significant effect on the bid premium.  The independent variables in the model can explain around 19.4 % of the total variance in bid premium. The model suffers from both </w:t>
      </w:r>
      <w:proofErr w:type="gramStart"/>
      <w:r>
        <w:t>endogeneity</w:t>
      </w:r>
      <w:proofErr w:type="gramEnd"/>
      <w:r>
        <w:t xml:space="preserve"> indicated by the results from the Ramsey RESET test and heteroscedasticity indicated by the results from the Breusch-Pagan heteroscedasticity test. Ramsey RESET test returns a p-value of 0.0036 which means that the null is rejected at a 5 % level and that the model is </w:t>
      </w:r>
      <w:proofErr w:type="spellStart"/>
      <w:r>
        <w:t>misspecified</w:t>
      </w:r>
      <w:proofErr w:type="spellEnd"/>
      <w:r>
        <w:t>. The Breusch-Pagan test returns a p-value less than 0.000 which means that the null of homoscedasticity is rejected at a 5 % level and that the model has heterogeneity. The Gauss Markov assumptions are in other words not fulfilled. There is a risk that the parameters are biased and inconsistent and that the error terms are not constant concluding that the model is not BLUE.</w:t>
      </w:r>
    </w:p>
    <w:p w14:paraId="0CF4294C" w14:textId="77777777" w:rsidR="005B34C8" w:rsidRDefault="005B34C8">
      <w:pPr>
        <w:rPr>
          <w:color w:val="434343"/>
        </w:rPr>
      </w:pPr>
      <w:r>
        <w:br w:type="page"/>
      </w:r>
    </w:p>
    <w:p w14:paraId="053D3CB5" w14:textId="5C7FF744" w:rsidR="00542DEC" w:rsidRPr="005B34C8" w:rsidRDefault="000B6FC7" w:rsidP="005B34C8">
      <w:pPr>
        <w:pStyle w:val="Heading3"/>
      </w:pPr>
      <w:bookmarkStart w:id="67" w:name="_Toc61125933"/>
      <w:bookmarkStart w:id="68" w:name="_Toc61126706"/>
      <w:r>
        <w:lastRenderedPageBreak/>
        <w:t>6.1.2 Model 2: Robust standard errors and exclusion of redundant variables from model 1</w:t>
      </w:r>
      <w:bookmarkEnd w:id="67"/>
      <w:bookmarkEnd w:id="68"/>
    </w:p>
    <w:p w14:paraId="60ADE9FA" w14:textId="77777777" w:rsidR="005B34C8" w:rsidRDefault="000B6FC7" w:rsidP="005B34C8">
      <w:pPr>
        <w:jc w:val="center"/>
        <w:rPr>
          <w:b/>
        </w:rPr>
      </w:pPr>
      <w:r>
        <w:rPr>
          <w:b/>
        </w:rPr>
        <w:t>Table 5. Results from model 2</w:t>
      </w:r>
    </w:p>
    <w:tbl>
      <w:tblPr>
        <w:tblStyle w:val="PlainTable4"/>
        <w:tblW w:w="8127" w:type="dxa"/>
        <w:jc w:val="center"/>
        <w:tblLayout w:type="fixed"/>
        <w:tblLook w:val="04A0" w:firstRow="1" w:lastRow="0" w:firstColumn="1" w:lastColumn="0" w:noHBand="0" w:noVBand="1"/>
      </w:tblPr>
      <w:tblGrid>
        <w:gridCol w:w="2694"/>
        <w:gridCol w:w="1559"/>
        <w:gridCol w:w="1984"/>
        <w:gridCol w:w="1418"/>
        <w:gridCol w:w="236"/>
        <w:gridCol w:w="236"/>
      </w:tblGrid>
      <w:tr w:rsidR="009F5902" w:rsidRPr="00F730AA" w14:paraId="705971E7" w14:textId="77777777" w:rsidTr="009F5902">
        <w:trPr>
          <w:gridAfter w:val="2"/>
          <w:cnfStyle w:val="100000000000" w:firstRow="1" w:lastRow="0" w:firstColumn="0" w:lastColumn="0" w:oddVBand="0" w:evenVBand="0" w:oddHBand="0" w:evenHBand="0" w:firstRowFirstColumn="0" w:firstRowLastColumn="0" w:lastRowFirstColumn="0" w:lastRowLastColumn="0"/>
          <w:wAfter w:w="472" w:type="dxa"/>
          <w:trHeight w:val="300"/>
          <w:jc w:val="center"/>
        </w:trPr>
        <w:tc>
          <w:tcPr>
            <w:cnfStyle w:val="001000000000" w:firstRow="0" w:lastRow="0" w:firstColumn="1" w:lastColumn="0" w:oddVBand="0" w:evenVBand="0" w:oddHBand="0" w:evenHBand="0" w:firstRowFirstColumn="0" w:firstRowLastColumn="0" w:lastRowFirstColumn="0" w:lastRowLastColumn="0"/>
            <w:tcW w:w="2694" w:type="dxa"/>
            <w:tcBorders>
              <w:top w:val="double" w:sz="4" w:space="0" w:color="auto"/>
              <w:bottom w:val="single" w:sz="4" w:space="0" w:color="auto"/>
            </w:tcBorders>
            <w:shd w:val="clear" w:color="auto" w:fill="auto"/>
            <w:vAlign w:val="center"/>
            <w:hideMark/>
          </w:tcPr>
          <w:p w14:paraId="0AF60FBD" w14:textId="77777777" w:rsidR="009F5902" w:rsidRPr="002324F6" w:rsidRDefault="009F5902" w:rsidP="00B324C8">
            <w:pPr>
              <w:jc w:val="center"/>
              <w:rPr>
                <w:color w:val="000000" w:themeColor="text1"/>
                <w:sz w:val="22"/>
                <w:szCs w:val="22"/>
              </w:rPr>
            </w:pPr>
            <w:r w:rsidRPr="002324F6">
              <w:rPr>
                <w:color w:val="000000" w:themeColor="text1"/>
                <w:sz w:val="22"/>
                <w:szCs w:val="22"/>
              </w:rPr>
              <w:t>Variable</w:t>
            </w:r>
          </w:p>
        </w:tc>
        <w:tc>
          <w:tcPr>
            <w:tcW w:w="1559" w:type="dxa"/>
            <w:tcBorders>
              <w:top w:val="double" w:sz="4" w:space="0" w:color="auto"/>
              <w:bottom w:val="single" w:sz="4" w:space="0" w:color="auto"/>
            </w:tcBorders>
            <w:vAlign w:val="center"/>
          </w:tcPr>
          <w:p w14:paraId="1CC67910" w14:textId="77777777" w:rsidR="009F5902" w:rsidRPr="002324F6" w:rsidRDefault="009F5902" w:rsidP="00B324C8">
            <w:pPr>
              <w:jc w:val="center"/>
              <w:cnfStyle w:val="100000000000" w:firstRow="1" w:lastRow="0" w:firstColumn="0" w:lastColumn="0" w:oddVBand="0" w:evenVBand="0" w:oddHBand="0" w:evenHBand="0" w:firstRowFirstColumn="0" w:firstRowLastColumn="0" w:lastRowFirstColumn="0" w:lastRowLastColumn="0"/>
              <w:rPr>
                <w:color w:val="000000" w:themeColor="text1"/>
                <w:sz w:val="22"/>
                <w:szCs w:val="22"/>
              </w:rPr>
            </w:pPr>
            <w:r w:rsidRPr="002324F6">
              <w:rPr>
                <w:color w:val="000000" w:themeColor="text1"/>
                <w:sz w:val="22"/>
                <w:szCs w:val="22"/>
              </w:rPr>
              <w:t>Coefficient</w:t>
            </w:r>
          </w:p>
        </w:tc>
        <w:tc>
          <w:tcPr>
            <w:tcW w:w="1984" w:type="dxa"/>
            <w:tcBorders>
              <w:top w:val="double" w:sz="4" w:space="0" w:color="auto"/>
              <w:bottom w:val="single" w:sz="4" w:space="0" w:color="auto"/>
            </w:tcBorders>
            <w:vAlign w:val="center"/>
          </w:tcPr>
          <w:p w14:paraId="051F2585" w14:textId="77777777" w:rsidR="009F5902" w:rsidRPr="002324F6" w:rsidRDefault="009F5902" w:rsidP="00B324C8">
            <w:pPr>
              <w:jc w:val="center"/>
              <w:cnfStyle w:val="100000000000" w:firstRow="1" w:lastRow="0" w:firstColumn="0" w:lastColumn="0" w:oddVBand="0" w:evenVBand="0" w:oddHBand="0" w:evenHBand="0" w:firstRowFirstColumn="0" w:firstRowLastColumn="0" w:lastRowFirstColumn="0" w:lastRowLastColumn="0"/>
              <w:rPr>
                <w:color w:val="000000" w:themeColor="text1"/>
                <w:sz w:val="22"/>
                <w:szCs w:val="22"/>
              </w:rPr>
            </w:pPr>
            <w:r w:rsidRPr="002324F6">
              <w:rPr>
                <w:color w:val="000000" w:themeColor="text1"/>
                <w:sz w:val="22"/>
                <w:szCs w:val="22"/>
              </w:rPr>
              <w:t>Std. Error</w:t>
            </w:r>
          </w:p>
        </w:tc>
        <w:tc>
          <w:tcPr>
            <w:tcW w:w="1418" w:type="dxa"/>
            <w:tcBorders>
              <w:top w:val="double" w:sz="4" w:space="0" w:color="auto"/>
              <w:bottom w:val="single" w:sz="4" w:space="0" w:color="auto"/>
            </w:tcBorders>
            <w:vAlign w:val="center"/>
          </w:tcPr>
          <w:p w14:paraId="16EF1677" w14:textId="77777777" w:rsidR="009F5902" w:rsidRPr="002324F6" w:rsidRDefault="009F5902" w:rsidP="00B324C8">
            <w:pPr>
              <w:jc w:val="center"/>
              <w:cnfStyle w:val="100000000000" w:firstRow="1" w:lastRow="0" w:firstColumn="0" w:lastColumn="0" w:oddVBand="0" w:evenVBand="0" w:oddHBand="0" w:evenHBand="0" w:firstRowFirstColumn="0" w:firstRowLastColumn="0" w:lastRowFirstColumn="0" w:lastRowLastColumn="0"/>
              <w:rPr>
                <w:color w:val="000000" w:themeColor="text1"/>
                <w:sz w:val="22"/>
                <w:szCs w:val="22"/>
              </w:rPr>
            </w:pPr>
            <w:r w:rsidRPr="00F730AA">
              <w:rPr>
                <w:color w:val="000000" w:themeColor="text1"/>
                <w:sz w:val="22"/>
                <w:szCs w:val="22"/>
              </w:rPr>
              <w:t>P-value</w:t>
            </w:r>
          </w:p>
        </w:tc>
      </w:tr>
      <w:tr w:rsidR="005C4D9C" w:rsidRPr="00F730AA" w14:paraId="7109375D" w14:textId="77777777" w:rsidTr="00E00831">
        <w:trPr>
          <w:gridAfter w:val="2"/>
          <w:cnfStyle w:val="000000100000" w:firstRow="0" w:lastRow="0" w:firstColumn="0" w:lastColumn="0" w:oddVBand="0" w:evenVBand="0" w:oddHBand="1" w:evenHBand="0" w:firstRowFirstColumn="0" w:firstRowLastColumn="0" w:lastRowFirstColumn="0" w:lastRowLastColumn="0"/>
          <w:wAfter w:w="472" w:type="dxa"/>
          <w:trHeight w:val="439"/>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bottom"/>
          </w:tcPr>
          <w:p w14:paraId="32738BA7" w14:textId="3CBB1E14" w:rsidR="005C4D9C" w:rsidRPr="00F730AA" w:rsidRDefault="005C4D9C" w:rsidP="00E00831">
            <w:pPr>
              <w:jc w:val="center"/>
              <w:rPr>
                <w:color w:val="000000" w:themeColor="text1"/>
                <w:sz w:val="22"/>
                <w:szCs w:val="22"/>
              </w:rPr>
            </w:pPr>
            <w:r w:rsidRPr="00B324C8">
              <w:rPr>
                <w:rFonts w:ascii="Times New Roman" w:hAnsi="Times New Roman" w:cs="Times New Roman"/>
                <w:color w:val="000000"/>
                <w:sz w:val="22"/>
                <w:szCs w:val="22"/>
              </w:rPr>
              <w:t>C</w:t>
            </w:r>
          </w:p>
        </w:tc>
        <w:tc>
          <w:tcPr>
            <w:tcW w:w="1559" w:type="dxa"/>
            <w:shd w:val="clear" w:color="auto" w:fill="auto"/>
            <w:vAlign w:val="bottom"/>
          </w:tcPr>
          <w:p w14:paraId="15C14C54" w14:textId="717DB8F5" w:rsidR="005C4D9C" w:rsidRPr="00F730AA" w:rsidRDefault="005C4D9C" w:rsidP="00E00831">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proofErr w:type="gramStart"/>
            <w:r w:rsidRPr="00B324C8">
              <w:rPr>
                <w:rFonts w:ascii="Times New Roman" w:hAnsi="Times New Roman" w:cs="Times New Roman"/>
                <w:color w:val="000000"/>
                <w:sz w:val="22"/>
                <w:szCs w:val="22"/>
              </w:rPr>
              <w:t>0.34349</w:t>
            </w:r>
            <w:proofErr w:type="gramEnd"/>
          </w:p>
        </w:tc>
        <w:tc>
          <w:tcPr>
            <w:tcW w:w="1984" w:type="dxa"/>
            <w:shd w:val="clear" w:color="auto" w:fill="auto"/>
            <w:vAlign w:val="bottom"/>
          </w:tcPr>
          <w:p w14:paraId="3399F102" w14:textId="7F2D8B15" w:rsidR="005C4D9C" w:rsidRPr="00F730AA" w:rsidRDefault="005C4D9C" w:rsidP="00E00831">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proofErr w:type="gramStart"/>
            <w:r w:rsidRPr="00B324C8">
              <w:rPr>
                <w:rFonts w:ascii="Times New Roman" w:hAnsi="Times New Roman" w:cs="Times New Roman"/>
                <w:color w:val="000000"/>
                <w:sz w:val="22"/>
                <w:szCs w:val="22"/>
              </w:rPr>
              <w:t>0.050178</w:t>
            </w:r>
            <w:proofErr w:type="gramEnd"/>
          </w:p>
        </w:tc>
        <w:tc>
          <w:tcPr>
            <w:tcW w:w="1418" w:type="dxa"/>
            <w:shd w:val="clear" w:color="auto" w:fill="auto"/>
            <w:vAlign w:val="bottom"/>
          </w:tcPr>
          <w:p w14:paraId="33BF9FEF" w14:textId="113D9D0B" w:rsidR="005C4D9C" w:rsidRPr="00F730AA" w:rsidRDefault="005C4D9C" w:rsidP="00E00831">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r w:rsidRPr="00B324C8">
              <w:rPr>
                <w:rFonts w:ascii="Times New Roman" w:hAnsi="Times New Roman" w:cs="Times New Roman"/>
                <w:color w:val="000000"/>
                <w:sz w:val="22"/>
                <w:szCs w:val="22"/>
              </w:rPr>
              <w:t>0</w:t>
            </w:r>
          </w:p>
        </w:tc>
      </w:tr>
      <w:tr w:rsidR="005C4D9C" w:rsidRPr="00F730AA" w14:paraId="53B48A52" w14:textId="77777777" w:rsidTr="009F5902">
        <w:trPr>
          <w:gridAfter w:val="2"/>
          <w:wAfter w:w="472" w:type="dxa"/>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099DF050" w14:textId="393F145B" w:rsidR="005C4D9C" w:rsidRPr="00B324C8" w:rsidRDefault="005C4D9C" w:rsidP="00B324C8">
            <w:pPr>
              <w:jc w:val="center"/>
              <w:rPr>
                <w:rFonts w:ascii="Times New Roman" w:hAnsi="Times New Roman" w:cs="Times New Roman"/>
                <w:color w:val="000000"/>
                <w:sz w:val="22"/>
                <w:szCs w:val="22"/>
              </w:rPr>
            </w:pPr>
            <w:r w:rsidRPr="00B324C8">
              <w:rPr>
                <w:rFonts w:ascii="Times New Roman" w:hAnsi="Times New Roman" w:cs="Times New Roman"/>
                <w:color w:val="000000"/>
                <w:sz w:val="22"/>
                <w:szCs w:val="22"/>
              </w:rPr>
              <w:t>ESG-PORTFOLIO</w:t>
            </w:r>
          </w:p>
        </w:tc>
        <w:tc>
          <w:tcPr>
            <w:tcW w:w="1559" w:type="dxa"/>
            <w:shd w:val="clear" w:color="auto" w:fill="auto"/>
            <w:vAlign w:val="center"/>
          </w:tcPr>
          <w:p w14:paraId="0B18D48E" w14:textId="500E656B" w:rsidR="005C4D9C" w:rsidRPr="00B324C8" w:rsidRDefault="005C4D9C"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B324C8">
              <w:rPr>
                <w:rFonts w:ascii="Times New Roman" w:hAnsi="Times New Roman" w:cs="Times New Roman"/>
                <w:color w:val="000000"/>
                <w:sz w:val="22"/>
                <w:szCs w:val="22"/>
              </w:rPr>
              <w:t>-</w:t>
            </w:r>
            <w:proofErr w:type="gramStart"/>
            <w:r w:rsidRPr="00B324C8">
              <w:rPr>
                <w:rFonts w:ascii="Times New Roman" w:hAnsi="Times New Roman" w:cs="Times New Roman"/>
                <w:color w:val="000000"/>
                <w:sz w:val="22"/>
                <w:szCs w:val="22"/>
              </w:rPr>
              <w:t>0.001472</w:t>
            </w:r>
            <w:proofErr w:type="gramEnd"/>
          </w:p>
        </w:tc>
        <w:tc>
          <w:tcPr>
            <w:tcW w:w="1984" w:type="dxa"/>
            <w:shd w:val="clear" w:color="auto" w:fill="auto"/>
            <w:vAlign w:val="center"/>
          </w:tcPr>
          <w:p w14:paraId="529EF47F" w14:textId="176663E4" w:rsidR="005C4D9C" w:rsidRPr="00B324C8" w:rsidRDefault="005C4D9C"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B324C8">
              <w:rPr>
                <w:rFonts w:ascii="Times New Roman" w:hAnsi="Times New Roman" w:cs="Times New Roman"/>
                <w:color w:val="000000"/>
                <w:sz w:val="22"/>
                <w:szCs w:val="22"/>
              </w:rPr>
              <w:t>0.0009</w:t>
            </w:r>
            <w:proofErr w:type="gramEnd"/>
          </w:p>
        </w:tc>
        <w:tc>
          <w:tcPr>
            <w:tcW w:w="1418" w:type="dxa"/>
            <w:shd w:val="clear" w:color="auto" w:fill="auto"/>
            <w:vAlign w:val="center"/>
          </w:tcPr>
          <w:p w14:paraId="37168CB8" w14:textId="47427855" w:rsidR="005C4D9C" w:rsidRPr="00B324C8" w:rsidRDefault="005C4D9C"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B324C8">
              <w:rPr>
                <w:rFonts w:ascii="Times New Roman" w:hAnsi="Times New Roman" w:cs="Times New Roman"/>
                <w:color w:val="000000"/>
                <w:sz w:val="22"/>
                <w:szCs w:val="22"/>
              </w:rPr>
              <w:t>0.1025</w:t>
            </w:r>
            <w:proofErr w:type="gramEnd"/>
          </w:p>
        </w:tc>
      </w:tr>
      <w:tr w:rsidR="005C4D9C" w:rsidRPr="00F730AA" w14:paraId="47390370" w14:textId="77777777" w:rsidTr="009F5902">
        <w:trPr>
          <w:gridAfter w:val="2"/>
          <w:cnfStyle w:val="000000100000" w:firstRow="0" w:lastRow="0" w:firstColumn="0" w:lastColumn="0" w:oddVBand="0" w:evenVBand="0" w:oddHBand="1" w:evenHBand="0" w:firstRowFirstColumn="0" w:firstRowLastColumn="0" w:lastRowFirstColumn="0" w:lastRowLastColumn="0"/>
          <w:wAfter w:w="472" w:type="dxa"/>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502B5BCE" w14:textId="4AD9B909" w:rsidR="005C4D9C" w:rsidRPr="00B324C8" w:rsidRDefault="005C4D9C" w:rsidP="00B324C8">
            <w:pPr>
              <w:jc w:val="center"/>
              <w:rPr>
                <w:rFonts w:ascii="Times New Roman" w:hAnsi="Times New Roman" w:cs="Times New Roman"/>
                <w:color w:val="000000"/>
                <w:sz w:val="22"/>
                <w:szCs w:val="22"/>
              </w:rPr>
            </w:pPr>
            <w:r w:rsidRPr="00B324C8">
              <w:rPr>
                <w:rFonts w:ascii="Times New Roman" w:hAnsi="Times New Roman" w:cs="Times New Roman"/>
                <w:color w:val="000000"/>
                <w:sz w:val="22"/>
                <w:szCs w:val="22"/>
              </w:rPr>
              <w:t>CSR-DIF</w:t>
            </w:r>
          </w:p>
        </w:tc>
        <w:tc>
          <w:tcPr>
            <w:tcW w:w="1559" w:type="dxa"/>
            <w:shd w:val="clear" w:color="auto" w:fill="auto"/>
            <w:vAlign w:val="center"/>
          </w:tcPr>
          <w:p w14:paraId="2A6DDCE2" w14:textId="1646F558" w:rsidR="005C4D9C" w:rsidRPr="00B324C8" w:rsidRDefault="005C4D9C"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r w:rsidRPr="00B324C8">
              <w:rPr>
                <w:rFonts w:ascii="Times New Roman" w:hAnsi="Times New Roman" w:cs="Times New Roman"/>
                <w:color w:val="000000"/>
                <w:sz w:val="22"/>
                <w:szCs w:val="22"/>
              </w:rPr>
              <w:t>-</w:t>
            </w:r>
            <w:proofErr w:type="gramStart"/>
            <w:r w:rsidRPr="00B324C8">
              <w:rPr>
                <w:rFonts w:ascii="Times New Roman" w:hAnsi="Times New Roman" w:cs="Times New Roman"/>
                <w:color w:val="000000"/>
                <w:sz w:val="22"/>
                <w:szCs w:val="22"/>
              </w:rPr>
              <w:t>0.001335</w:t>
            </w:r>
            <w:proofErr w:type="gramEnd"/>
          </w:p>
        </w:tc>
        <w:tc>
          <w:tcPr>
            <w:tcW w:w="1984" w:type="dxa"/>
            <w:shd w:val="clear" w:color="auto" w:fill="auto"/>
            <w:vAlign w:val="center"/>
          </w:tcPr>
          <w:p w14:paraId="53BF84EB" w14:textId="7883A76D" w:rsidR="005C4D9C" w:rsidRPr="00B324C8" w:rsidRDefault="005C4D9C"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B324C8">
              <w:rPr>
                <w:rFonts w:ascii="Times New Roman" w:hAnsi="Times New Roman" w:cs="Times New Roman"/>
                <w:color w:val="000000"/>
                <w:sz w:val="22"/>
                <w:szCs w:val="22"/>
              </w:rPr>
              <w:t>0.000947</w:t>
            </w:r>
            <w:proofErr w:type="gramEnd"/>
          </w:p>
        </w:tc>
        <w:tc>
          <w:tcPr>
            <w:tcW w:w="1418" w:type="dxa"/>
            <w:shd w:val="clear" w:color="auto" w:fill="auto"/>
            <w:vAlign w:val="center"/>
          </w:tcPr>
          <w:p w14:paraId="755B1BC3" w14:textId="382660B9" w:rsidR="005C4D9C" w:rsidRPr="00B324C8" w:rsidRDefault="005C4D9C"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B324C8">
              <w:rPr>
                <w:rFonts w:ascii="Times New Roman" w:hAnsi="Times New Roman" w:cs="Times New Roman"/>
                <w:color w:val="000000"/>
                <w:sz w:val="22"/>
                <w:szCs w:val="22"/>
              </w:rPr>
              <w:t>0.1591</w:t>
            </w:r>
            <w:proofErr w:type="gramEnd"/>
          </w:p>
        </w:tc>
      </w:tr>
      <w:tr w:rsidR="005C4D9C" w:rsidRPr="00F730AA" w14:paraId="060FDCE5" w14:textId="77777777" w:rsidTr="009F5902">
        <w:trPr>
          <w:gridAfter w:val="2"/>
          <w:wAfter w:w="472" w:type="dxa"/>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7145B28E" w14:textId="08D62E16" w:rsidR="005C4D9C" w:rsidRPr="00B324C8" w:rsidRDefault="005C4D9C" w:rsidP="00B324C8">
            <w:pPr>
              <w:jc w:val="center"/>
              <w:rPr>
                <w:rFonts w:ascii="Times New Roman" w:hAnsi="Times New Roman" w:cs="Times New Roman"/>
                <w:color w:val="000000"/>
                <w:sz w:val="22"/>
                <w:szCs w:val="22"/>
              </w:rPr>
            </w:pPr>
            <w:r w:rsidRPr="00B324C8">
              <w:rPr>
                <w:rFonts w:ascii="Times New Roman" w:hAnsi="Times New Roman" w:cs="Times New Roman"/>
                <w:color w:val="000000"/>
                <w:sz w:val="22"/>
                <w:szCs w:val="22"/>
              </w:rPr>
              <w:t>MCAP-DIF</w:t>
            </w:r>
          </w:p>
        </w:tc>
        <w:tc>
          <w:tcPr>
            <w:tcW w:w="1559" w:type="dxa"/>
            <w:shd w:val="clear" w:color="auto" w:fill="auto"/>
            <w:vAlign w:val="center"/>
          </w:tcPr>
          <w:p w14:paraId="19DFEDBF" w14:textId="34D3ECA4" w:rsidR="005C4D9C" w:rsidRPr="00B324C8" w:rsidRDefault="005C4D9C"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B324C8">
              <w:rPr>
                <w:rFonts w:ascii="Times New Roman" w:hAnsi="Times New Roman" w:cs="Times New Roman"/>
                <w:color w:val="000000"/>
                <w:sz w:val="22"/>
                <w:szCs w:val="22"/>
              </w:rPr>
              <w:t>1.02E-06</w:t>
            </w:r>
          </w:p>
        </w:tc>
        <w:tc>
          <w:tcPr>
            <w:tcW w:w="1984" w:type="dxa"/>
            <w:shd w:val="clear" w:color="auto" w:fill="auto"/>
            <w:vAlign w:val="center"/>
          </w:tcPr>
          <w:p w14:paraId="3EB06B1D" w14:textId="09D9FBAB" w:rsidR="005C4D9C" w:rsidRPr="00B324C8" w:rsidRDefault="005C4D9C"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B324C8">
              <w:rPr>
                <w:rFonts w:ascii="Times New Roman" w:hAnsi="Times New Roman" w:cs="Times New Roman"/>
                <w:color w:val="000000"/>
                <w:sz w:val="22"/>
                <w:szCs w:val="22"/>
              </w:rPr>
              <w:t>4.29E-07</w:t>
            </w:r>
          </w:p>
        </w:tc>
        <w:tc>
          <w:tcPr>
            <w:tcW w:w="1418" w:type="dxa"/>
            <w:shd w:val="clear" w:color="auto" w:fill="auto"/>
            <w:vAlign w:val="center"/>
          </w:tcPr>
          <w:p w14:paraId="110A1041" w14:textId="167E08C7" w:rsidR="005C4D9C" w:rsidRPr="00B324C8" w:rsidRDefault="005C4D9C"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B324C8">
              <w:rPr>
                <w:rFonts w:ascii="Times New Roman" w:hAnsi="Times New Roman" w:cs="Times New Roman"/>
                <w:color w:val="000000"/>
                <w:sz w:val="22"/>
                <w:szCs w:val="22"/>
              </w:rPr>
              <w:t>0.0174</w:t>
            </w:r>
            <w:proofErr w:type="gramEnd"/>
          </w:p>
        </w:tc>
      </w:tr>
      <w:tr w:rsidR="005C4D9C" w:rsidRPr="00F730AA" w14:paraId="60FCFA92" w14:textId="77777777" w:rsidTr="009F5902">
        <w:trPr>
          <w:gridAfter w:val="2"/>
          <w:cnfStyle w:val="000000100000" w:firstRow="0" w:lastRow="0" w:firstColumn="0" w:lastColumn="0" w:oddVBand="0" w:evenVBand="0" w:oddHBand="1" w:evenHBand="0" w:firstRowFirstColumn="0" w:firstRowLastColumn="0" w:lastRowFirstColumn="0" w:lastRowLastColumn="0"/>
          <w:wAfter w:w="472" w:type="dxa"/>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2999DF6F" w14:textId="7584B841" w:rsidR="005C4D9C" w:rsidRPr="00B324C8" w:rsidRDefault="005C4D9C" w:rsidP="00B324C8">
            <w:pPr>
              <w:jc w:val="center"/>
              <w:rPr>
                <w:rFonts w:ascii="Times New Roman" w:hAnsi="Times New Roman" w:cs="Times New Roman"/>
                <w:color w:val="000000"/>
                <w:sz w:val="22"/>
                <w:szCs w:val="22"/>
              </w:rPr>
            </w:pPr>
            <w:r w:rsidRPr="00B324C8">
              <w:rPr>
                <w:rFonts w:ascii="Times New Roman" w:hAnsi="Times New Roman" w:cs="Times New Roman"/>
                <w:color w:val="000000"/>
                <w:sz w:val="22"/>
                <w:szCs w:val="22"/>
                <w:lang w:val="en-SE" w:eastAsia="en-SE"/>
              </w:rPr>
              <w:t>BOOK/MARKET (</w:t>
            </w:r>
            <w:r w:rsidRPr="00B324C8">
              <w:rPr>
                <w:rFonts w:ascii="Times New Roman" w:hAnsi="Times New Roman" w:cs="Times New Roman"/>
                <w:color w:val="000000"/>
                <w:sz w:val="22"/>
                <w:szCs w:val="22"/>
                <w:lang w:val="en-US" w:eastAsia="en-SE"/>
              </w:rPr>
              <w:t>A</w:t>
            </w:r>
            <w:r w:rsidRPr="00B324C8">
              <w:rPr>
                <w:rFonts w:ascii="Times New Roman" w:hAnsi="Times New Roman" w:cs="Times New Roman"/>
                <w:color w:val="000000"/>
                <w:sz w:val="22"/>
                <w:szCs w:val="22"/>
                <w:lang w:val="en-SE" w:eastAsia="en-SE"/>
              </w:rPr>
              <w:t>)</w:t>
            </w:r>
          </w:p>
        </w:tc>
        <w:tc>
          <w:tcPr>
            <w:tcW w:w="1559" w:type="dxa"/>
            <w:shd w:val="clear" w:color="auto" w:fill="auto"/>
            <w:vAlign w:val="center"/>
          </w:tcPr>
          <w:p w14:paraId="0F1D7F8B" w14:textId="5983DBF3" w:rsidR="005C4D9C" w:rsidRPr="00B324C8" w:rsidRDefault="005C4D9C"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B324C8">
              <w:rPr>
                <w:rFonts w:ascii="Times New Roman" w:hAnsi="Times New Roman" w:cs="Times New Roman"/>
                <w:color w:val="000000"/>
                <w:sz w:val="22"/>
                <w:szCs w:val="22"/>
              </w:rPr>
              <w:t>0.021289</w:t>
            </w:r>
            <w:proofErr w:type="gramEnd"/>
          </w:p>
        </w:tc>
        <w:tc>
          <w:tcPr>
            <w:tcW w:w="1984" w:type="dxa"/>
            <w:shd w:val="clear" w:color="auto" w:fill="auto"/>
            <w:vAlign w:val="center"/>
          </w:tcPr>
          <w:p w14:paraId="79B29F48" w14:textId="553055F2" w:rsidR="005C4D9C" w:rsidRPr="00B324C8" w:rsidRDefault="005C4D9C"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B324C8">
              <w:rPr>
                <w:rFonts w:ascii="Times New Roman" w:hAnsi="Times New Roman" w:cs="Times New Roman"/>
                <w:color w:val="000000"/>
                <w:sz w:val="22"/>
                <w:szCs w:val="22"/>
              </w:rPr>
              <w:t>0.020879</w:t>
            </w:r>
            <w:proofErr w:type="gramEnd"/>
          </w:p>
        </w:tc>
        <w:tc>
          <w:tcPr>
            <w:tcW w:w="1418" w:type="dxa"/>
            <w:shd w:val="clear" w:color="auto" w:fill="auto"/>
            <w:vAlign w:val="center"/>
          </w:tcPr>
          <w:p w14:paraId="5495784E" w14:textId="43593FE8" w:rsidR="005C4D9C" w:rsidRPr="00B324C8" w:rsidRDefault="005C4D9C"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B324C8">
              <w:rPr>
                <w:rFonts w:ascii="Times New Roman" w:hAnsi="Times New Roman" w:cs="Times New Roman"/>
                <w:color w:val="000000"/>
                <w:sz w:val="22"/>
                <w:szCs w:val="22"/>
              </w:rPr>
              <w:t>0.3083</w:t>
            </w:r>
            <w:proofErr w:type="gramEnd"/>
          </w:p>
        </w:tc>
      </w:tr>
      <w:tr w:rsidR="005C4D9C" w:rsidRPr="00F730AA" w14:paraId="708167F0" w14:textId="77777777" w:rsidTr="009F5902">
        <w:trPr>
          <w:gridAfter w:val="2"/>
          <w:wAfter w:w="472" w:type="dxa"/>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6425A933" w14:textId="510E6374" w:rsidR="005C4D9C" w:rsidRPr="00B324C8" w:rsidRDefault="005C4D9C" w:rsidP="00B324C8">
            <w:pPr>
              <w:jc w:val="center"/>
              <w:rPr>
                <w:rFonts w:ascii="Times New Roman" w:hAnsi="Times New Roman" w:cs="Times New Roman"/>
                <w:color w:val="000000"/>
                <w:sz w:val="22"/>
                <w:szCs w:val="22"/>
              </w:rPr>
            </w:pPr>
            <w:r w:rsidRPr="00B324C8">
              <w:rPr>
                <w:rFonts w:ascii="Times New Roman" w:hAnsi="Times New Roman" w:cs="Times New Roman"/>
                <w:color w:val="000000"/>
                <w:sz w:val="22"/>
                <w:szCs w:val="22"/>
              </w:rPr>
              <w:t>COMP-BID</w:t>
            </w:r>
          </w:p>
        </w:tc>
        <w:tc>
          <w:tcPr>
            <w:tcW w:w="1559" w:type="dxa"/>
            <w:shd w:val="clear" w:color="auto" w:fill="auto"/>
            <w:vAlign w:val="center"/>
          </w:tcPr>
          <w:p w14:paraId="13D8F487" w14:textId="11A060E0" w:rsidR="005C4D9C" w:rsidRPr="00B324C8" w:rsidRDefault="005C4D9C"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B324C8">
              <w:rPr>
                <w:rFonts w:ascii="Times New Roman" w:hAnsi="Times New Roman" w:cs="Times New Roman"/>
                <w:color w:val="000000"/>
                <w:sz w:val="22"/>
                <w:szCs w:val="22"/>
              </w:rPr>
              <w:t>0.247672</w:t>
            </w:r>
            <w:proofErr w:type="gramEnd"/>
          </w:p>
        </w:tc>
        <w:tc>
          <w:tcPr>
            <w:tcW w:w="1984" w:type="dxa"/>
            <w:shd w:val="clear" w:color="auto" w:fill="auto"/>
            <w:vAlign w:val="center"/>
          </w:tcPr>
          <w:p w14:paraId="0529A135" w14:textId="3A99E5EE" w:rsidR="005C4D9C" w:rsidRPr="00B324C8" w:rsidRDefault="005C4D9C"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B324C8">
              <w:rPr>
                <w:rFonts w:ascii="Times New Roman" w:hAnsi="Times New Roman" w:cs="Times New Roman"/>
                <w:color w:val="000000"/>
                <w:sz w:val="22"/>
                <w:szCs w:val="22"/>
              </w:rPr>
              <w:t>0.320397</w:t>
            </w:r>
            <w:proofErr w:type="gramEnd"/>
          </w:p>
        </w:tc>
        <w:tc>
          <w:tcPr>
            <w:tcW w:w="1418" w:type="dxa"/>
            <w:shd w:val="clear" w:color="auto" w:fill="auto"/>
            <w:vAlign w:val="center"/>
          </w:tcPr>
          <w:p w14:paraId="291A30A4" w14:textId="2D13472E" w:rsidR="005C4D9C" w:rsidRPr="00B324C8" w:rsidRDefault="005C4D9C"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B324C8">
              <w:rPr>
                <w:rFonts w:ascii="Times New Roman" w:hAnsi="Times New Roman" w:cs="Times New Roman"/>
                <w:color w:val="000000"/>
                <w:sz w:val="22"/>
                <w:szCs w:val="22"/>
              </w:rPr>
              <w:t>0.4398</w:t>
            </w:r>
            <w:proofErr w:type="gramEnd"/>
          </w:p>
        </w:tc>
      </w:tr>
      <w:tr w:rsidR="005C4D9C" w:rsidRPr="00F730AA" w14:paraId="06570FF4" w14:textId="77777777" w:rsidTr="009F5902">
        <w:trPr>
          <w:gridAfter w:val="2"/>
          <w:cnfStyle w:val="000000100000" w:firstRow="0" w:lastRow="0" w:firstColumn="0" w:lastColumn="0" w:oddVBand="0" w:evenVBand="0" w:oddHBand="1" w:evenHBand="0" w:firstRowFirstColumn="0" w:firstRowLastColumn="0" w:lastRowFirstColumn="0" w:lastRowLastColumn="0"/>
          <w:wAfter w:w="472" w:type="dxa"/>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2F7D549B" w14:textId="7335EFC3" w:rsidR="005C4D9C" w:rsidRPr="00B324C8" w:rsidRDefault="005C4D9C" w:rsidP="00B324C8">
            <w:pPr>
              <w:jc w:val="center"/>
              <w:rPr>
                <w:rFonts w:ascii="Times New Roman" w:hAnsi="Times New Roman" w:cs="Times New Roman"/>
                <w:color w:val="000000"/>
                <w:sz w:val="22"/>
                <w:szCs w:val="22"/>
              </w:rPr>
            </w:pPr>
            <w:r w:rsidRPr="00B324C8">
              <w:rPr>
                <w:rFonts w:ascii="Times New Roman" w:hAnsi="Times New Roman" w:cs="Times New Roman"/>
                <w:color w:val="000000"/>
                <w:sz w:val="22"/>
                <w:szCs w:val="22"/>
              </w:rPr>
              <w:t>CON-M</w:t>
            </w:r>
          </w:p>
        </w:tc>
        <w:tc>
          <w:tcPr>
            <w:tcW w:w="1559" w:type="dxa"/>
            <w:shd w:val="clear" w:color="auto" w:fill="auto"/>
            <w:vAlign w:val="center"/>
          </w:tcPr>
          <w:p w14:paraId="76237FDE" w14:textId="522BBBD5" w:rsidR="005C4D9C" w:rsidRPr="00B324C8" w:rsidRDefault="005C4D9C"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B324C8">
              <w:rPr>
                <w:rFonts w:ascii="Times New Roman" w:hAnsi="Times New Roman" w:cs="Times New Roman"/>
                <w:color w:val="000000"/>
                <w:sz w:val="22"/>
                <w:szCs w:val="22"/>
              </w:rPr>
              <w:t>0.015565</w:t>
            </w:r>
            <w:proofErr w:type="gramEnd"/>
          </w:p>
        </w:tc>
        <w:tc>
          <w:tcPr>
            <w:tcW w:w="1984" w:type="dxa"/>
            <w:shd w:val="clear" w:color="auto" w:fill="auto"/>
            <w:vAlign w:val="center"/>
          </w:tcPr>
          <w:p w14:paraId="4AED6561" w14:textId="74B33AB7" w:rsidR="005C4D9C" w:rsidRPr="00B324C8" w:rsidRDefault="005C4D9C"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B324C8">
              <w:rPr>
                <w:rFonts w:ascii="Times New Roman" w:hAnsi="Times New Roman" w:cs="Times New Roman"/>
                <w:color w:val="000000"/>
                <w:sz w:val="22"/>
                <w:szCs w:val="22"/>
              </w:rPr>
              <w:t>0.029757</w:t>
            </w:r>
            <w:proofErr w:type="gramEnd"/>
          </w:p>
        </w:tc>
        <w:tc>
          <w:tcPr>
            <w:tcW w:w="1418" w:type="dxa"/>
            <w:shd w:val="clear" w:color="auto" w:fill="auto"/>
            <w:vAlign w:val="center"/>
          </w:tcPr>
          <w:p w14:paraId="10570C4A" w14:textId="315D51D7" w:rsidR="005C4D9C" w:rsidRPr="00B324C8" w:rsidRDefault="005C4D9C"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B324C8">
              <w:rPr>
                <w:rFonts w:ascii="Times New Roman" w:hAnsi="Times New Roman" w:cs="Times New Roman"/>
                <w:color w:val="000000"/>
                <w:sz w:val="22"/>
                <w:szCs w:val="22"/>
              </w:rPr>
              <w:t>0.6011</w:t>
            </w:r>
            <w:proofErr w:type="gramEnd"/>
          </w:p>
        </w:tc>
      </w:tr>
      <w:tr w:rsidR="005C4D9C" w:rsidRPr="00F730AA" w14:paraId="775C2CEE" w14:textId="77777777" w:rsidTr="009F5902">
        <w:trPr>
          <w:gridAfter w:val="2"/>
          <w:wAfter w:w="472" w:type="dxa"/>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550BAAFA" w14:textId="3EDA9619" w:rsidR="005C4D9C" w:rsidRPr="00B324C8" w:rsidRDefault="005C4D9C" w:rsidP="00B324C8">
            <w:pPr>
              <w:jc w:val="center"/>
              <w:rPr>
                <w:rFonts w:ascii="Times New Roman" w:hAnsi="Times New Roman" w:cs="Times New Roman"/>
                <w:color w:val="000000"/>
                <w:sz w:val="22"/>
                <w:szCs w:val="22"/>
              </w:rPr>
            </w:pPr>
            <w:r w:rsidRPr="00B324C8">
              <w:rPr>
                <w:rFonts w:ascii="Times New Roman" w:hAnsi="Times New Roman" w:cs="Times New Roman"/>
                <w:color w:val="000000"/>
                <w:sz w:val="22"/>
                <w:szCs w:val="22"/>
              </w:rPr>
              <w:t>STOCK</w:t>
            </w:r>
          </w:p>
        </w:tc>
        <w:tc>
          <w:tcPr>
            <w:tcW w:w="1559" w:type="dxa"/>
            <w:shd w:val="clear" w:color="auto" w:fill="auto"/>
            <w:vAlign w:val="center"/>
          </w:tcPr>
          <w:p w14:paraId="3BAB2086" w14:textId="0B338CC3" w:rsidR="005C4D9C" w:rsidRPr="00B324C8" w:rsidRDefault="005C4D9C"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B324C8">
              <w:rPr>
                <w:rFonts w:ascii="Times New Roman" w:hAnsi="Times New Roman" w:cs="Times New Roman"/>
                <w:color w:val="000000"/>
                <w:sz w:val="22"/>
                <w:szCs w:val="22"/>
              </w:rPr>
              <w:t>-</w:t>
            </w:r>
            <w:proofErr w:type="gramStart"/>
            <w:r w:rsidRPr="00B324C8">
              <w:rPr>
                <w:rFonts w:ascii="Times New Roman" w:hAnsi="Times New Roman" w:cs="Times New Roman"/>
                <w:color w:val="000000"/>
                <w:sz w:val="22"/>
                <w:szCs w:val="22"/>
              </w:rPr>
              <w:t>0.121096</w:t>
            </w:r>
            <w:proofErr w:type="gramEnd"/>
          </w:p>
        </w:tc>
        <w:tc>
          <w:tcPr>
            <w:tcW w:w="1984" w:type="dxa"/>
            <w:shd w:val="clear" w:color="auto" w:fill="auto"/>
            <w:vAlign w:val="center"/>
          </w:tcPr>
          <w:p w14:paraId="2F0B7724" w14:textId="02C89F3A" w:rsidR="005C4D9C" w:rsidRPr="00B324C8" w:rsidRDefault="005C4D9C"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B324C8">
              <w:rPr>
                <w:rFonts w:ascii="Times New Roman" w:hAnsi="Times New Roman" w:cs="Times New Roman"/>
                <w:color w:val="000000"/>
                <w:sz w:val="22"/>
                <w:szCs w:val="22"/>
              </w:rPr>
              <w:t>0.020941</w:t>
            </w:r>
            <w:proofErr w:type="gramEnd"/>
          </w:p>
        </w:tc>
        <w:tc>
          <w:tcPr>
            <w:tcW w:w="1418" w:type="dxa"/>
            <w:shd w:val="clear" w:color="auto" w:fill="auto"/>
            <w:vAlign w:val="center"/>
          </w:tcPr>
          <w:p w14:paraId="65E67E56" w14:textId="0DA6CC07" w:rsidR="005C4D9C" w:rsidRPr="00B324C8" w:rsidRDefault="005C4D9C"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B324C8">
              <w:rPr>
                <w:rFonts w:ascii="Times New Roman" w:hAnsi="Times New Roman" w:cs="Times New Roman"/>
                <w:color w:val="000000"/>
                <w:sz w:val="22"/>
                <w:szCs w:val="22"/>
              </w:rPr>
              <w:t>0</w:t>
            </w:r>
          </w:p>
        </w:tc>
      </w:tr>
      <w:tr w:rsidR="005C4D9C" w:rsidRPr="00F730AA" w14:paraId="769886A8" w14:textId="77777777" w:rsidTr="009F5902">
        <w:trPr>
          <w:gridAfter w:val="2"/>
          <w:cnfStyle w:val="000000100000" w:firstRow="0" w:lastRow="0" w:firstColumn="0" w:lastColumn="0" w:oddVBand="0" w:evenVBand="0" w:oddHBand="1" w:evenHBand="0" w:firstRowFirstColumn="0" w:firstRowLastColumn="0" w:lastRowFirstColumn="0" w:lastRowLastColumn="0"/>
          <w:wAfter w:w="472" w:type="dxa"/>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2634B128" w14:textId="52EDDD11" w:rsidR="005C4D9C" w:rsidRPr="00B324C8" w:rsidRDefault="005C4D9C" w:rsidP="00B324C8">
            <w:pPr>
              <w:jc w:val="center"/>
              <w:rPr>
                <w:rFonts w:ascii="Times New Roman" w:hAnsi="Times New Roman" w:cs="Times New Roman"/>
                <w:color w:val="000000"/>
                <w:sz w:val="22"/>
                <w:szCs w:val="22"/>
              </w:rPr>
            </w:pPr>
          </w:p>
        </w:tc>
        <w:tc>
          <w:tcPr>
            <w:tcW w:w="1559" w:type="dxa"/>
            <w:shd w:val="clear" w:color="auto" w:fill="auto"/>
            <w:vAlign w:val="center"/>
          </w:tcPr>
          <w:p w14:paraId="4E7D0766" w14:textId="0A46BBAE" w:rsidR="005C4D9C" w:rsidRPr="00B324C8" w:rsidRDefault="005C4D9C"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
        </w:tc>
        <w:tc>
          <w:tcPr>
            <w:tcW w:w="1984" w:type="dxa"/>
            <w:shd w:val="clear" w:color="auto" w:fill="auto"/>
            <w:vAlign w:val="center"/>
          </w:tcPr>
          <w:p w14:paraId="2D91B2EA" w14:textId="569AC845" w:rsidR="005C4D9C" w:rsidRPr="00B324C8" w:rsidRDefault="005C4D9C"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
        </w:tc>
        <w:tc>
          <w:tcPr>
            <w:tcW w:w="1418" w:type="dxa"/>
            <w:shd w:val="clear" w:color="auto" w:fill="auto"/>
            <w:vAlign w:val="center"/>
          </w:tcPr>
          <w:p w14:paraId="49899333" w14:textId="0B01D28A" w:rsidR="005C4D9C" w:rsidRPr="00B324C8" w:rsidRDefault="005C4D9C" w:rsidP="00B324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
        </w:tc>
      </w:tr>
      <w:tr w:rsidR="005C4D9C" w:rsidRPr="00F730AA" w14:paraId="35F32D04" w14:textId="77777777" w:rsidTr="009F5902">
        <w:trPr>
          <w:trHeight w:val="300"/>
          <w:jc w:val="center"/>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vAlign w:val="center"/>
            <w:hideMark/>
          </w:tcPr>
          <w:p w14:paraId="5FF6B8F2" w14:textId="77777777" w:rsidR="005C4D9C" w:rsidRPr="00B324C8" w:rsidRDefault="005C4D9C" w:rsidP="00B324C8">
            <w:pPr>
              <w:jc w:val="center"/>
              <w:rPr>
                <w:rFonts w:ascii="Times New Roman" w:hAnsi="Times New Roman" w:cs="Times New Roman"/>
                <w:bCs w:val="0"/>
                <w:color w:val="000000" w:themeColor="text1"/>
                <w:sz w:val="22"/>
                <w:szCs w:val="22"/>
              </w:rPr>
            </w:pPr>
            <w:r w:rsidRPr="00B324C8">
              <w:rPr>
                <w:rFonts w:ascii="Times New Roman" w:hAnsi="Times New Roman" w:cs="Times New Roman"/>
                <w:bCs w:val="0"/>
                <w:color w:val="000000" w:themeColor="text1"/>
                <w:sz w:val="22"/>
                <w:szCs w:val="22"/>
              </w:rPr>
              <w:t>Sample size</w:t>
            </w:r>
          </w:p>
          <w:p w14:paraId="5472C760" w14:textId="1721FA54" w:rsidR="005C4D9C" w:rsidRPr="00B324C8" w:rsidRDefault="005C4D9C" w:rsidP="00B324C8">
            <w:pPr>
              <w:jc w:val="center"/>
              <w:rPr>
                <w:rFonts w:ascii="Times New Roman" w:hAnsi="Times New Roman" w:cs="Times New Roman"/>
                <w:color w:val="000000" w:themeColor="text1"/>
                <w:sz w:val="22"/>
                <w:szCs w:val="22"/>
              </w:rPr>
            </w:pPr>
            <w:r w:rsidRPr="00B324C8">
              <w:rPr>
                <w:rFonts w:ascii="Times New Roman" w:hAnsi="Times New Roman" w:cs="Times New Roman"/>
                <w:color w:val="000000" w:themeColor="text1"/>
                <w:sz w:val="22"/>
                <w:szCs w:val="22"/>
              </w:rPr>
              <w:t>R-squared</w:t>
            </w:r>
          </w:p>
        </w:tc>
        <w:tc>
          <w:tcPr>
            <w:tcW w:w="1559" w:type="dxa"/>
            <w:shd w:val="clear" w:color="auto" w:fill="auto"/>
            <w:vAlign w:val="center"/>
          </w:tcPr>
          <w:p w14:paraId="5257A0E4" w14:textId="77777777" w:rsidR="005C4D9C" w:rsidRPr="00B324C8" w:rsidRDefault="005C4D9C"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
        </w:tc>
        <w:tc>
          <w:tcPr>
            <w:tcW w:w="1984" w:type="dxa"/>
            <w:shd w:val="clear" w:color="auto" w:fill="auto"/>
            <w:vAlign w:val="center"/>
          </w:tcPr>
          <w:p w14:paraId="0D8D16E6" w14:textId="77777777" w:rsidR="005C4D9C" w:rsidRPr="00B324C8" w:rsidRDefault="005C4D9C"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shd w:val="clear" w:color="auto" w:fill="FFFFFF"/>
              </w:rPr>
            </w:pPr>
            <w:r w:rsidRPr="00B324C8">
              <w:rPr>
                <w:rFonts w:ascii="Times New Roman" w:hAnsi="Times New Roman" w:cs="Times New Roman"/>
                <w:color w:val="000000"/>
                <w:sz w:val="22"/>
                <w:szCs w:val="22"/>
                <w:shd w:val="clear" w:color="auto" w:fill="FFFFFF"/>
              </w:rPr>
              <w:t>604</w:t>
            </w:r>
          </w:p>
          <w:p w14:paraId="06C41DB4" w14:textId="78B439BC" w:rsidR="005C4D9C" w:rsidRPr="00B324C8" w:rsidRDefault="005C4D9C"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roofErr w:type="gramStart"/>
            <w:r w:rsidRPr="00B324C8">
              <w:rPr>
                <w:rFonts w:ascii="Times New Roman" w:hAnsi="Times New Roman" w:cs="Times New Roman"/>
                <w:color w:val="000000"/>
                <w:sz w:val="22"/>
                <w:szCs w:val="22"/>
                <w:shd w:val="clear" w:color="auto" w:fill="FFFFFF"/>
              </w:rPr>
              <w:t>0.093048</w:t>
            </w:r>
            <w:proofErr w:type="gramEnd"/>
          </w:p>
        </w:tc>
        <w:tc>
          <w:tcPr>
            <w:tcW w:w="1418" w:type="dxa"/>
            <w:shd w:val="clear" w:color="auto" w:fill="auto"/>
            <w:vAlign w:val="center"/>
          </w:tcPr>
          <w:p w14:paraId="2CB431D2" w14:textId="77777777" w:rsidR="005C4D9C" w:rsidRPr="00B324C8" w:rsidRDefault="005C4D9C" w:rsidP="00B324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
        </w:tc>
        <w:tc>
          <w:tcPr>
            <w:tcW w:w="236" w:type="dxa"/>
            <w:hideMark/>
          </w:tcPr>
          <w:p w14:paraId="3EDF6815" w14:textId="77777777" w:rsidR="005C4D9C" w:rsidRPr="002324F6" w:rsidRDefault="005C4D9C" w:rsidP="005B34C8">
            <w:pPr>
              <w:cnfStyle w:val="000000000000" w:firstRow="0" w:lastRow="0" w:firstColumn="0" w:lastColumn="0" w:oddVBand="0" w:evenVBand="0" w:oddHBand="0" w:evenHBand="0" w:firstRowFirstColumn="0" w:firstRowLastColumn="0" w:lastRowFirstColumn="0" w:lastRowLastColumn="0"/>
              <w:rPr>
                <w:sz w:val="22"/>
                <w:szCs w:val="22"/>
              </w:rPr>
            </w:pPr>
          </w:p>
        </w:tc>
        <w:tc>
          <w:tcPr>
            <w:tcW w:w="236" w:type="dxa"/>
            <w:hideMark/>
          </w:tcPr>
          <w:p w14:paraId="1BA8CDFD" w14:textId="77777777" w:rsidR="005C4D9C" w:rsidRPr="002324F6" w:rsidRDefault="005C4D9C" w:rsidP="005B34C8">
            <w:pPr>
              <w:cnfStyle w:val="000000000000" w:firstRow="0" w:lastRow="0" w:firstColumn="0" w:lastColumn="0" w:oddVBand="0" w:evenVBand="0" w:oddHBand="0" w:evenHBand="0" w:firstRowFirstColumn="0" w:firstRowLastColumn="0" w:lastRowFirstColumn="0" w:lastRowLastColumn="0"/>
              <w:rPr>
                <w:sz w:val="22"/>
                <w:szCs w:val="22"/>
              </w:rPr>
            </w:pPr>
          </w:p>
        </w:tc>
      </w:tr>
      <w:tr w:rsidR="005C4D9C" w:rsidRPr="00F730AA" w14:paraId="79D177A1" w14:textId="77777777" w:rsidTr="00E00831">
        <w:trPr>
          <w:gridAfter w:val="2"/>
          <w:cnfStyle w:val="000000100000" w:firstRow="0" w:lastRow="0" w:firstColumn="0" w:lastColumn="0" w:oddVBand="0" w:evenVBand="0" w:oddHBand="1" w:evenHBand="0" w:firstRowFirstColumn="0" w:firstRowLastColumn="0" w:lastRowFirstColumn="0" w:lastRowLastColumn="0"/>
          <w:wAfter w:w="472" w:type="dxa"/>
          <w:trHeight w:val="483"/>
          <w:jc w:val="center"/>
        </w:trPr>
        <w:tc>
          <w:tcPr>
            <w:cnfStyle w:val="001000000000" w:firstRow="0" w:lastRow="0" w:firstColumn="1" w:lastColumn="0" w:oddVBand="0" w:evenVBand="0" w:oddHBand="0" w:evenHBand="0" w:firstRowFirstColumn="0" w:firstRowLastColumn="0" w:lastRowFirstColumn="0" w:lastRowLastColumn="0"/>
            <w:tcW w:w="2694" w:type="dxa"/>
            <w:tcBorders>
              <w:bottom w:val="double" w:sz="4" w:space="0" w:color="auto"/>
            </w:tcBorders>
            <w:shd w:val="clear" w:color="auto" w:fill="auto"/>
            <w:hideMark/>
          </w:tcPr>
          <w:p w14:paraId="63262295" w14:textId="71E1E9D8" w:rsidR="005C4D9C" w:rsidRPr="00B324C8" w:rsidRDefault="005C4D9C" w:rsidP="00E00831">
            <w:pPr>
              <w:jc w:val="center"/>
              <w:rPr>
                <w:rFonts w:ascii="Times New Roman" w:hAnsi="Times New Roman" w:cs="Times New Roman"/>
                <w:color w:val="000000" w:themeColor="text1"/>
                <w:sz w:val="22"/>
                <w:szCs w:val="22"/>
              </w:rPr>
            </w:pPr>
            <w:r w:rsidRPr="00B324C8">
              <w:rPr>
                <w:rFonts w:ascii="Times New Roman" w:hAnsi="Times New Roman" w:cs="Times New Roman"/>
                <w:color w:val="000000" w:themeColor="text1"/>
                <w:sz w:val="22"/>
                <w:szCs w:val="22"/>
              </w:rPr>
              <w:t>Adjusted R-squared</w:t>
            </w:r>
          </w:p>
        </w:tc>
        <w:tc>
          <w:tcPr>
            <w:tcW w:w="1559" w:type="dxa"/>
            <w:tcBorders>
              <w:bottom w:val="double" w:sz="4" w:space="0" w:color="auto"/>
            </w:tcBorders>
            <w:shd w:val="clear" w:color="auto" w:fill="auto"/>
          </w:tcPr>
          <w:p w14:paraId="4909A0C5" w14:textId="77777777" w:rsidR="005C4D9C" w:rsidRPr="00B324C8" w:rsidRDefault="005C4D9C" w:rsidP="00E008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c>
          <w:tcPr>
            <w:tcW w:w="1984" w:type="dxa"/>
            <w:tcBorders>
              <w:bottom w:val="double" w:sz="4" w:space="0" w:color="auto"/>
            </w:tcBorders>
            <w:shd w:val="clear" w:color="auto" w:fill="auto"/>
          </w:tcPr>
          <w:p w14:paraId="16C55068" w14:textId="00BD4AC5" w:rsidR="005C4D9C" w:rsidRPr="00B324C8" w:rsidRDefault="005C4D9C" w:rsidP="00E008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proofErr w:type="gramStart"/>
            <w:r w:rsidRPr="00B324C8">
              <w:rPr>
                <w:rFonts w:ascii="Times New Roman" w:hAnsi="Times New Roman" w:cs="Times New Roman"/>
                <w:color w:val="000000"/>
                <w:sz w:val="22"/>
                <w:szCs w:val="22"/>
                <w:shd w:val="clear" w:color="auto" w:fill="FFFFFF"/>
              </w:rPr>
              <w:t>0.082396</w:t>
            </w:r>
            <w:proofErr w:type="gramEnd"/>
          </w:p>
        </w:tc>
        <w:tc>
          <w:tcPr>
            <w:tcW w:w="1418" w:type="dxa"/>
            <w:tcBorders>
              <w:bottom w:val="double" w:sz="4" w:space="0" w:color="auto"/>
            </w:tcBorders>
            <w:shd w:val="clear" w:color="auto" w:fill="auto"/>
            <w:vAlign w:val="center"/>
          </w:tcPr>
          <w:p w14:paraId="2AAA5690" w14:textId="77777777" w:rsidR="005C4D9C" w:rsidRPr="00B324C8" w:rsidRDefault="005C4D9C" w:rsidP="00E008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r>
    </w:tbl>
    <w:p w14:paraId="23D5B4EF" w14:textId="7B168D0B" w:rsidR="00542DEC" w:rsidRPr="009A53E3" w:rsidRDefault="000B6FC7" w:rsidP="005B34C8">
      <w:pPr>
        <w:rPr>
          <w:sz w:val="16"/>
          <w:szCs w:val="16"/>
        </w:rPr>
      </w:pPr>
      <w:r w:rsidRPr="009A53E3">
        <w:rPr>
          <w:sz w:val="16"/>
          <w:szCs w:val="16"/>
        </w:rPr>
        <w:t xml:space="preserve">Table 5 shows the results from regression model 2. The dependent variable is </w:t>
      </w:r>
      <w:r w:rsidRPr="00C6096B">
        <w:rPr>
          <w:b/>
          <w:bCs/>
          <w:sz w:val="16"/>
          <w:szCs w:val="16"/>
        </w:rPr>
        <w:t>PREMIUM</w:t>
      </w:r>
      <w:r w:rsidRPr="009A53E3">
        <w:rPr>
          <w:sz w:val="16"/>
          <w:szCs w:val="16"/>
        </w:rPr>
        <w:t xml:space="preserve"> (announced total value of bid / market cap (target)) and represents the bid premium. The second regression includes all significant independent variables from model 1 and ESG_DIF. The independent variables included in the table are: </w:t>
      </w:r>
      <w:r w:rsidRPr="009A53E3">
        <w:rPr>
          <w:b/>
          <w:sz w:val="16"/>
          <w:szCs w:val="16"/>
        </w:rPr>
        <w:t>(1) ESG_PORTFOLIO</w:t>
      </w:r>
      <w:r w:rsidRPr="009A53E3">
        <w:rPr>
          <w:sz w:val="16"/>
          <w:szCs w:val="16"/>
        </w:rPr>
        <w:t xml:space="preserve"> (average target ESG-rating (sum of existing ratings from </w:t>
      </w:r>
      <w:proofErr w:type="spellStart"/>
      <w:r w:rsidRPr="009A53E3">
        <w:rPr>
          <w:sz w:val="16"/>
          <w:szCs w:val="16"/>
        </w:rPr>
        <w:t>Sustainalytics</w:t>
      </w:r>
      <w:proofErr w:type="spellEnd"/>
      <w:r w:rsidRPr="009A53E3">
        <w:rPr>
          <w:sz w:val="16"/>
          <w:szCs w:val="16"/>
        </w:rPr>
        <w:t xml:space="preserve">, </w:t>
      </w:r>
      <w:proofErr w:type="spellStart"/>
      <w:r w:rsidRPr="009A53E3">
        <w:rPr>
          <w:sz w:val="16"/>
          <w:szCs w:val="16"/>
        </w:rPr>
        <w:t>RobecoSAM</w:t>
      </w:r>
      <w:proofErr w:type="spellEnd"/>
      <w:r w:rsidRPr="009A53E3">
        <w:rPr>
          <w:sz w:val="16"/>
          <w:szCs w:val="16"/>
        </w:rPr>
        <w:t xml:space="preserve">, ISS Quality Score and Bloomberg ESG Disclosure score converted into a 0-100 scale divided with the number of existing ratings)) </w:t>
      </w:r>
      <w:r w:rsidRPr="009A53E3">
        <w:rPr>
          <w:b/>
          <w:sz w:val="16"/>
          <w:szCs w:val="16"/>
        </w:rPr>
        <w:t>(2) ESG_DIF</w:t>
      </w:r>
      <w:r w:rsidRPr="009A53E3">
        <w:rPr>
          <w:sz w:val="16"/>
          <w:szCs w:val="16"/>
        </w:rPr>
        <w:t xml:space="preserve"> (ESG-PORTFOLIO (acquirer) - ESG-PORTFOLIO  (target)) </w:t>
      </w:r>
      <w:r w:rsidRPr="009A53E3">
        <w:rPr>
          <w:b/>
          <w:sz w:val="16"/>
          <w:szCs w:val="16"/>
        </w:rPr>
        <w:t xml:space="preserve">(3) MCAP_DIF </w:t>
      </w:r>
      <w:r w:rsidRPr="009A53E3">
        <w:rPr>
          <w:sz w:val="16"/>
          <w:szCs w:val="16"/>
        </w:rPr>
        <w:t xml:space="preserve">(market cap (acquirer) - market cap (target)) </w:t>
      </w:r>
      <w:r w:rsidRPr="009A53E3">
        <w:rPr>
          <w:b/>
          <w:sz w:val="16"/>
          <w:szCs w:val="16"/>
        </w:rPr>
        <w:t xml:space="preserve">(4) BOOK/MARKET (A) </w:t>
      </w:r>
      <w:r w:rsidRPr="009A53E3">
        <w:rPr>
          <w:sz w:val="16"/>
          <w:szCs w:val="16"/>
        </w:rPr>
        <w:t xml:space="preserve">(total assets - total liabilities/ market cap(acquirer)) </w:t>
      </w:r>
      <w:r w:rsidRPr="009A53E3">
        <w:rPr>
          <w:b/>
          <w:sz w:val="16"/>
          <w:szCs w:val="16"/>
        </w:rPr>
        <w:t xml:space="preserve">(5) COMP_BID </w:t>
      </w:r>
      <w:r w:rsidRPr="009A53E3">
        <w:rPr>
          <w:sz w:val="16"/>
          <w:szCs w:val="16"/>
        </w:rPr>
        <w:t xml:space="preserve">(dummy variable that equals to 1 if there was a competing bid and 0 if there was no competing bid) </w:t>
      </w:r>
      <w:r w:rsidRPr="009A53E3">
        <w:rPr>
          <w:b/>
          <w:sz w:val="16"/>
          <w:szCs w:val="16"/>
        </w:rPr>
        <w:t>(6)</w:t>
      </w:r>
      <w:r w:rsidRPr="009A53E3">
        <w:rPr>
          <w:sz w:val="16"/>
          <w:szCs w:val="16"/>
        </w:rPr>
        <w:t xml:space="preserve"> </w:t>
      </w:r>
      <w:r w:rsidRPr="009A53E3">
        <w:rPr>
          <w:b/>
          <w:sz w:val="16"/>
          <w:szCs w:val="16"/>
        </w:rPr>
        <w:t xml:space="preserve">CON_M </w:t>
      </w:r>
      <w:r w:rsidRPr="009A53E3">
        <w:rPr>
          <w:sz w:val="16"/>
          <w:szCs w:val="16"/>
        </w:rPr>
        <w:t xml:space="preserve">(dummy variable that equals to 1 if there was a conglomerate merger and 0 if it was a non-conglomerate merger) </w:t>
      </w:r>
      <w:r w:rsidRPr="009A53E3">
        <w:rPr>
          <w:b/>
          <w:sz w:val="16"/>
          <w:szCs w:val="16"/>
        </w:rPr>
        <w:t xml:space="preserve">(7) STOCK </w:t>
      </w:r>
      <w:r w:rsidRPr="009A53E3">
        <w:rPr>
          <w:sz w:val="16"/>
          <w:szCs w:val="16"/>
        </w:rPr>
        <w:t xml:space="preserve">(dummy variable that equals 1 if the payment was only done through stock). The coefficient, standard error and P-value are shown for each variable. The table also includes the sample size, R^2 and adjusted R-squared. </w:t>
      </w:r>
    </w:p>
    <w:p w14:paraId="588B04B2" w14:textId="6FB826EB" w:rsidR="00542DEC" w:rsidRDefault="000B6FC7">
      <w:r>
        <w:t>We omit redundant variables to combat the misspecification that model 1 suffers from. Model 2 is similar</w:t>
      </w:r>
      <w:r w:rsidR="005B34C8">
        <w:t xml:space="preserve"> </w:t>
      </w:r>
      <w:r>
        <w:t xml:space="preserve">to model 1 but excludes the insignificant variables’ LTD/BV, FIN_LEV, BOOK/MARKET (T), COMP_BID and CON_M. This increased the sample size to 604 from 570. The control variable CASH/ASSETS is also excluded as it appears that the data may suffer from semi-systematic measurement errors that worsens the endogeneity. Model 1 returned a p-value of less than 0,001 for the variable CASH/ASSETS which caught our attention. After investigating our data </w:t>
      </w:r>
      <w:r w:rsidR="005B34C8">
        <w:t>set,</w:t>
      </w:r>
      <w:r>
        <w:t xml:space="preserve"> we noticed that the data for CASH/ASSETS may suffer from semi-systematic measurement errors that worsens the endogeneity. We have chosen to keep the independent variable ESG_DIF even though it shows no significant effect in the first regression as it is important for the hypothesis testing. The result of Model 2 shows that ESG-portfolio-rating has a coefficient of -0.0001472 and ESG-DIF has a coefficient of -0.001335. None of </w:t>
      </w:r>
      <w:r>
        <w:lastRenderedPageBreak/>
        <w:t xml:space="preserve">the two ESG-variables appear to have a significant effect on the bid premium. The Ramsey RESET test returns a p-value of 0.9131 in Model 2. The null that the model is correctly specified is accepted. We can assume that the model is exogenous and that the parameters are unbiased and consistent. Model 2 includes White’s robust standard errors to address the heterogeneity. The error terms are still </w:t>
      </w:r>
      <w:r w:rsidR="005B34C8">
        <w:t>heteroscedastic,</w:t>
      </w:r>
      <w:r>
        <w:t xml:space="preserve"> but the model has robust standard </w:t>
      </w:r>
      <w:r w:rsidR="005B34C8">
        <w:t>errors,</w:t>
      </w:r>
      <w:r>
        <w:t xml:space="preserve"> so it is possible to ignore the required condition for homoscedasticity. The model can explain around 9.3 % of the total variance in bid premium. </w:t>
      </w:r>
    </w:p>
    <w:p w14:paraId="684012A1" w14:textId="039A07AB" w:rsidR="00542DEC" w:rsidRDefault="000B6FC7">
      <w:pPr>
        <w:pStyle w:val="Heading3"/>
      </w:pPr>
      <w:bookmarkStart w:id="69" w:name="_Toc61125934"/>
      <w:bookmarkStart w:id="70" w:name="_Toc61126707"/>
      <w:r>
        <w:t>6.1.3 Model 3: Logarithmic data transformation of model 2</w:t>
      </w:r>
      <w:bookmarkEnd w:id="69"/>
      <w:bookmarkEnd w:id="70"/>
    </w:p>
    <w:p w14:paraId="7D178EE4" w14:textId="77777777" w:rsidR="00542DEC" w:rsidRDefault="00542DEC">
      <w:pPr>
        <w:spacing w:before="0" w:after="0"/>
        <w:jc w:val="center"/>
        <w:rPr>
          <w:b/>
        </w:rPr>
      </w:pPr>
    </w:p>
    <w:p w14:paraId="4B8CE25E" w14:textId="08C58AFA" w:rsidR="005B34C8" w:rsidRPr="005B34C8" w:rsidRDefault="000B6FC7" w:rsidP="005B34C8">
      <w:pPr>
        <w:spacing w:before="0" w:after="0"/>
        <w:jc w:val="center"/>
        <w:rPr>
          <w:b/>
        </w:rPr>
      </w:pPr>
      <w:r>
        <w:rPr>
          <w:b/>
        </w:rPr>
        <w:t>Table 6. Results from model 3</w:t>
      </w:r>
    </w:p>
    <w:tbl>
      <w:tblPr>
        <w:tblStyle w:val="PlainTable4"/>
        <w:tblW w:w="7655" w:type="dxa"/>
        <w:jc w:val="center"/>
        <w:tblLayout w:type="fixed"/>
        <w:tblLook w:val="04A0" w:firstRow="1" w:lastRow="0" w:firstColumn="1" w:lastColumn="0" w:noHBand="0" w:noVBand="1"/>
      </w:tblPr>
      <w:tblGrid>
        <w:gridCol w:w="2977"/>
        <w:gridCol w:w="1276"/>
        <w:gridCol w:w="1984"/>
        <w:gridCol w:w="1418"/>
      </w:tblGrid>
      <w:tr w:rsidR="009A53E3" w:rsidRPr="00741DFD" w14:paraId="0E37E628" w14:textId="77777777" w:rsidTr="009A53E3">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77" w:type="dxa"/>
            <w:tcBorders>
              <w:top w:val="double" w:sz="4" w:space="0" w:color="auto"/>
              <w:bottom w:val="single" w:sz="4" w:space="0" w:color="auto"/>
            </w:tcBorders>
            <w:shd w:val="clear" w:color="auto" w:fill="auto"/>
            <w:hideMark/>
          </w:tcPr>
          <w:p w14:paraId="76D51260" w14:textId="77777777" w:rsidR="009A53E3" w:rsidRPr="005B34C8" w:rsidRDefault="009A53E3" w:rsidP="009A53E3">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Variable</w:t>
            </w:r>
          </w:p>
        </w:tc>
        <w:tc>
          <w:tcPr>
            <w:tcW w:w="1276" w:type="dxa"/>
            <w:tcBorders>
              <w:top w:val="double" w:sz="4" w:space="0" w:color="auto"/>
              <w:bottom w:val="single" w:sz="4" w:space="0" w:color="auto"/>
            </w:tcBorders>
          </w:tcPr>
          <w:p w14:paraId="672EF218" w14:textId="77777777" w:rsidR="009A53E3" w:rsidRPr="005B34C8" w:rsidRDefault="009A53E3" w:rsidP="009A53E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Coefficient</w:t>
            </w:r>
          </w:p>
        </w:tc>
        <w:tc>
          <w:tcPr>
            <w:tcW w:w="1984" w:type="dxa"/>
            <w:tcBorders>
              <w:top w:val="double" w:sz="4" w:space="0" w:color="auto"/>
              <w:bottom w:val="single" w:sz="4" w:space="0" w:color="auto"/>
            </w:tcBorders>
          </w:tcPr>
          <w:p w14:paraId="0F0A816D" w14:textId="77777777" w:rsidR="009A53E3" w:rsidRPr="005B34C8" w:rsidRDefault="009A53E3" w:rsidP="009A53E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Std. Error</w:t>
            </w:r>
          </w:p>
        </w:tc>
        <w:tc>
          <w:tcPr>
            <w:tcW w:w="1418" w:type="dxa"/>
            <w:tcBorders>
              <w:top w:val="double" w:sz="4" w:space="0" w:color="auto"/>
              <w:bottom w:val="single" w:sz="4" w:space="0" w:color="auto"/>
            </w:tcBorders>
          </w:tcPr>
          <w:p w14:paraId="2113EBFF" w14:textId="77777777" w:rsidR="009A53E3" w:rsidRPr="005B34C8" w:rsidRDefault="009A53E3" w:rsidP="009A53E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P-value</w:t>
            </w:r>
          </w:p>
        </w:tc>
      </w:tr>
      <w:tr w:rsidR="009A53E3" w:rsidRPr="00741DFD" w14:paraId="0565DB9A" w14:textId="77777777" w:rsidTr="00E00831">
        <w:trPr>
          <w:cnfStyle w:val="000000100000" w:firstRow="0" w:lastRow="0" w:firstColumn="0" w:lastColumn="0" w:oddVBand="0" w:evenVBand="0" w:oddHBand="1" w:evenHBand="0" w:firstRowFirstColumn="0" w:firstRowLastColumn="0" w:lastRowFirstColumn="0" w:lastRowLastColumn="0"/>
          <w:trHeight w:val="499"/>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62560DA9" w14:textId="77777777" w:rsidR="009A53E3" w:rsidRPr="005B34C8" w:rsidRDefault="009A53E3" w:rsidP="009A53E3">
            <w:pPr>
              <w:jc w:val="center"/>
              <w:rPr>
                <w:rFonts w:ascii="Times New Roman" w:hAnsi="Times New Roman" w:cs="Times New Roman"/>
                <w:color w:val="000000"/>
                <w:sz w:val="22"/>
                <w:szCs w:val="22"/>
              </w:rPr>
            </w:pPr>
            <w:r w:rsidRPr="005B34C8">
              <w:rPr>
                <w:rFonts w:ascii="Times New Roman" w:hAnsi="Times New Roman" w:cs="Times New Roman"/>
                <w:color w:val="000000"/>
                <w:sz w:val="22"/>
                <w:szCs w:val="22"/>
              </w:rPr>
              <w:t>C</w:t>
            </w:r>
          </w:p>
        </w:tc>
        <w:tc>
          <w:tcPr>
            <w:tcW w:w="1276" w:type="dxa"/>
            <w:shd w:val="clear" w:color="auto" w:fill="auto"/>
            <w:vAlign w:val="bottom"/>
          </w:tcPr>
          <w:p w14:paraId="1A56E8DC"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0.294465</w:t>
            </w:r>
            <w:proofErr w:type="gramEnd"/>
          </w:p>
        </w:tc>
        <w:tc>
          <w:tcPr>
            <w:tcW w:w="1984" w:type="dxa"/>
            <w:shd w:val="clear" w:color="auto" w:fill="auto"/>
            <w:vAlign w:val="bottom"/>
          </w:tcPr>
          <w:p w14:paraId="132FF8F2"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0.122794</w:t>
            </w:r>
            <w:proofErr w:type="gramEnd"/>
          </w:p>
        </w:tc>
        <w:tc>
          <w:tcPr>
            <w:tcW w:w="1418" w:type="dxa"/>
            <w:shd w:val="clear" w:color="auto" w:fill="auto"/>
            <w:vAlign w:val="bottom"/>
          </w:tcPr>
          <w:p w14:paraId="326E1828"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0.0169</w:t>
            </w:r>
            <w:proofErr w:type="gramEnd"/>
          </w:p>
        </w:tc>
      </w:tr>
      <w:tr w:rsidR="009A53E3" w:rsidRPr="00741DFD" w14:paraId="1A77D8BD" w14:textId="77777777" w:rsidTr="009A53E3">
        <w:trPr>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2FA65047" w14:textId="5682A759" w:rsidR="009A53E3" w:rsidRPr="005B34C8" w:rsidRDefault="009A53E3" w:rsidP="009A53E3">
            <w:pPr>
              <w:jc w:val="center"/>
              <w:rPr>
                <w:rFonts w:ascii="Times New Roman" w:hAnsi="Times New Roman" w:cs="Times New Roman"/>
                <w:color w:val="000000"/>
                <w:sz w:val="22"/>
                <w:szCs w:val="22"/>
              </w:rPr>
            </w:pPr>
            <w:r w:rsidRPr="005B34C8">
              <w:rPr>
                <w:rFonts w:ascii="Times New Roman" w:hAnsi="Times New Roman" w:cs="Times New Roman"/>
                <w:color w:val="000000"/>
                <w:sz w:val="22"/>
                <w:szCs w:val="22"/>
              </w:rPr>
              <w:t>ESG</w:t>
            </w:r>
            <w:r>
              <w:rPr>
                <w:rFonts w:ascii="Times New Roman" w:hAnsi="Times New Roman" w:cs="Times New Roman"/>
                <w:color w:val="000000"/>
                <w:sz w:val="22"/>
                <w:szCs w:val="22"/>
              </w:rPr>
              <w:t>-</w:t>
            </w:r>
            <w:r w:rsidRPr="005B34C8">
              <w:rPr>
                <w:rFonts w:ascii="Times New Roman" w:hAnsi="Times New Roman" w:cs="Times New Roman"/>
                <w:color w:val="000000"/>
                <w:sz w:val="22"/>
                <w:szCs w:val="22"/>
              </w:rPr>
              <w:t>PORTFOLIO</w:t>
            </w:r>
          </w:p>
        </w:tc>
        <w:tc>
          <w:tcPr>
            <w:tcW w:w="1276" w:type="dxa"/>
            <w:shd w:val="clear" w:color="auto" w:fill="auto"/>
            <w:vAlign w:val="bottom"/>
          </w:tcPr>
          <w:p w14:paraId="1A628983" w14:textId="77777777" w:rsidR="009A53E3" w:rsidRPr="005B34C8" w:rsidRDefault="009A53E3" w:rsidP="009A53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5B34C8">
              <w:rPr>
                <w:rFonts w:ascii="Times New Roman" w:hAnsi="Times New Roman" w:cs="Times New Roman"/>
                <w:color w:val="000000"/>
                <w:sz w:val="22"/>
                <w:szCs w:val="22"/>
              </w:rPr>
              <w:t>-</w:t>
            </w:r>
            <w:proofErr w:type="gramStart"/>
            <w:r w:rsidRPr="005B34C8">
              <w:rPr>
                <w:rFonts w:ascii="Times New Roman" w:hAnsi="Times New Roman" w:cs="Times New Roman"/>
                <w:color w:val="000000"/>
                <w:sz w:val="22"/>
                <w:szCs w:val="22"/>
              </w:rPr>
              <w:t>0.002467</w:t>
            </w:r>
            <w:proofErr w:type="gramEnd"/>
          </w:p>
        </w:tc>
        <w:tc>
          <w:tcPr>
            <w:tcW w:w="1984" w:type="dxa"/>
            <w:shd w:val="clear" w:color="auto" w:fill="auto"/>
            <w:vAlign w:val="bottom"/>
          </w:tcPr>
          <w:p w14:paraId="514238A3" w14:textId="77777777" w:rsidR="009A53E3" w:rsidRPr="005B34C8" w:rsidRDefault="009A53E3" w:rsidP="009A53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0.000845</w:t>
            </w:r>
            <w:proofErr w:type="gramEnd"/>
          </w:p>
        </w:tc>
        <w:tc>
          <w:tcPr>
            <w:tcW w:w="1418" w:type="dxa"/>
            <w:shd w:val="clear" w:color="auto" w:fill="auto"/>
            <w:vAlign w:val="bottom"/>
          </w:tcPr>
          <w:p w14:paraId="74839B14" w14:textId="77777777" w:rsidR="009A53E3" w:rsidRPr="005B34C8" w:rsidRDefault="009A53E3" w:rsidP="009A53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0.0037</w:t>
            </w:r>
            <w:proofErr w:type="gramEnd"/>
          </w:p>
        </w:tc>
      </w:tr>
      <w:tr w:rsidR="009A53E3" w:rsidRPr="00741DFD" w14:paraId="37941F71" w14:textId="77777777" w:rsidTr="009A53E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02C28C14" w14:textId="2BB4723F" w:rsidR="009A53E3" w:rsidRPr="005B34C8" w:rsidRDefault="009A53E3" w:rsidP="009A53E3">
            <w:pPr>
              <w:jc w:val="center"/>
              <w:rPr>
                <w:rFonts w:ascii="Times New Roman" w:hAnsi="Times New Roman" w:cs="Times New Roman"/>
                <w:color w:val="000000"/>
                <w:sz w:val="22"/>
                <w:szCs w:val="22"/>
              </w:rPr>
            </w:pPr>
            <w:r w:rsidRPr="005B34C8">
              <w:rPr>
                <w:rFonts w:ascii="Times New Roman" w:hAnsi="Times New Roman" w:cs="Times New Roman"/>
                <w:color w:val="000000"/>
                <w:sz w:val="22"/>
                <w:szCs w:val="22"/>
              </w:rPr>
              <w:t>ESG</w:t>
            </w:r>
            <w:r>
              <w:rPr>
                <w:rFonts w:ascii="Times New Roman" w:hAnsi="Times New Roman" w:cs="Times New Roman"/>
                <w:color w:val="000000"/>
                <w:sz w:val="22"/>
                <w:szCs w:val="22"/>
              </w:rPr>
              <w:t>-</w:t>
            </w:r>
            <w:r w:rsidRPr="005B34C8">
              <w:rPr>
                <w:rFonts w:ascii="Times New Roman" w:hAnsi="Times New Roman" w:cs="Times New Roman"/>
                <w:color w:val="000000"/>
                <w:sz w:val="22"/>
                <w:szCs w:val="22"/>
              </w:rPr>
              <w:t>DIF</w:t>
            </w:r>
          </w:p>
        </w:tc>
        <w:tc>
          <w:tcPr>
            <w:tcW w:w="1276" w:type="dxa"/>
            <w:shd w:val="clear" w:color="auto" w:fill="auto"/>
            <w:vAlign w:val="bottom"/>
          </w:tcPr>
          <w:p w14:paraId="7C847E54"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r w:rsidRPr="005B34C8">
              <w:rPr>
                <w:rFonts w:ascii="Times New Roman" w:hAnsi="Times New Roman" w:cs="Times New Roman"/>
                <w:color w:val="000000"/>
                <w:sz w:val="22"/>
                <w:szCs w:val="22"/>
              </w:rPr>
              <w:t>-</w:t>
            </w:r>
            <w:proofErr w:type="gramStart"/>
            <w:r w:rsidRPr="005B34C8">
              <w:rPr>
                <w:rFonts w:ascii="Times New Roman" w:hAnsi="Times New Roman" w:cs="Times New Roman"/>
                <w:color w:val="000000"/>
                <w:sz w:val="22"/>
                <w:szCs w:val="22"/>
              </w:rPr>
              <w:t>0.000167</w:t>
            </w:r>
            <w:proofErr w:type="gramEnd"/>
          </w:p>
        </w:tc>
        <w:tc>
          <w:tcPr>
            <w:tcW w:w="1984" w:type="dxa"/>
            <w:shd w:val="clear" w:color="auto" w:fill="auto"/>
            <w:vAlign w:val="bottom"/>
          </w:tcPr>
          <w:p w14:paraId="01EF5D06"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0.000618</w:t>
            </w:r>
            <w:proofErr w:type="gramEnd"/>
          </w:p>
        </w:tc>
        <w:tc>
          <w:tcPr>
            <w:tcW w:w="1418" w:type="dxa"/>
            <w:shd w:val="clear" w:color="auto" w:fill="auto"/>
            <w:vAlign w:val="bottom"/>
          </w:tcPr>
          <w:p w14:paraId="56D06700"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0.7868</w:t>
            </w:r>
            <w:proofErr w:type="gramEnd"/>
          </w:p>
        </w:tc>
      </w:tr>
      <w:tr w:rsidR="009A53E3" w:rsidRPr="00741DFD" w14:paraId="1FB83850" w14:textId="77777777" w:rsidTr="009A53E3">
        <w:trPr>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48870CF0" w14:textId="32F3C1AC" w:rsidR="009A53E3" w:rsidRPr="005B34C8" w:rsidRDefault="009A53E3" w:rsidP="009A53E3">
            <w:pPr>
              <w:jc w:val="center"/>
              <w:rPr>
                <w:rFonts w:ascii="Times New Roman" w:hAnsi="Times New Roman" w:cs="Times New Roman"/>
                <w:color w:val="000000"/>
                <w:sz w:val="22"/>
                <w:szCs w:val="22"/>
              </w:rPr>
            </w:pPr>
            <w:r w:rsidRPr="005B34C8">
              <w:rPr>
                <w:rFonts w:ascii="Times New Roman" w:hAnsi="Times New Roman" w:cs="Times New Roman"/>
                <w:color w:val="000000"/>
                <w:sz w:val="22"/>
                <w:szCs w:val="22"/>
              </w:rPr>
              <w:t>LOG</w:t>
            </w:r>
            <w:r>
              <w:rPr>
                <w:rFonts w:ascii="Times New Roman" w:hAnsi="Times New Roman" w:cs="Times New Roman"/>
                <w:color w:val="000000"/>
                <w:sz w:val="22"/>
                <w:szCs w:val="22"/>
              </w:rPr>
              <w:t>(</w:t>
            </w:r>
            <w:r w:rsidRPr="005B34C8">
              <w:rPr>
                <w:rFonts w:ascii="Times New Roman" w:hAnsi="Times New Roman" w:cs="Times New Roman"/>
                <w:color w:val="000000"/>
                <w:sz w:val="22"/>
                <w:szCs w:val="22"/>
              </w:rPr>
              <w:t>LTD</w:t>
            </w:r>
            <w:r>
              <w:rPr>
                <w:rFonts w:ascii="Times New Roman" w:hAnsi="Times New Roman" w:cs="Times New Roman"/>
                <w:color w:val="000000"/>
                <w:sz w:val="22"/>
                <w:szCs w:val="22"/>
              </w:rPr>
              <w:t>/BV)</w:t>
            </w:r>
          </w:p>
        </w:tc>
        <w:tc>
          <w:tcPr>
            <w:tcW w:w="1276" w:type="dxa"/>
            <w:shd w:val="clear" w:color="auto" w:fill="auto"/>
            <w:vAlign w:val="bottom"/>
          </w:tcPr>
          <w:p w14:paraId="000839B2" w14:textId="77777777" w:rsidR="009A53E3" w:rsidRPr="005B34C8" w:rsidRDefault="009A53E3" w:rsidP="009A53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5B34C8">
              <w:rPr>
                <w:rFonts w:ascii="Times New Roman" w:hAnsi="Times New Roman" w:cs="Times New Roman"/>
                <w:color w:val="000000"/>
                <w:sz w:val="22"/>
                <w:szCs w:val="22"/>
              </w:rPr>
              <w:t>-</w:t>
            </w:r>
            <w:proofErr w:type="gramStart"/>
            <w:r w:rsidRPr="005B34C8">
              <w:rPr>
                <w:rFonts w:ascii="Times New Roman" w:hAnsi="Times New Roman" w:cs="Times New Roman"/>
                <w:color w:val="000000"/>
                <w:sz w:val="22"/>
                <w:szCs w:val="22"/>
              </w:rPr>
              <w:t>0.017196</w:t>
            </w:r>
            <w:proofErr w:type="gramEnd"/>
          </w:p>
        </w:tc>
        <w:tc>
          <w:tcPr>
            <w:tcW w:w="1984" w:type="dxa"/>
            <w:shd w:val="clear" w:color="auto" w:fill="auto"/>
            <w:vAlign w:val="bottom"/>
          </w:tcPr>
          <w:p w14:paraId="569A015C" w14:textId="77777777" w:rsidR="009A53E3" w:rsidRPr="005B34C8" w:rsidRDefault="009A53E3" w:rsidP="009A53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0.007012</w:t>
            </w:r>
            <w:proofErr w:type="gramEnd"/>
          </w:p>
        </w:tc>
        <w:tc>
          <w:tcPr>
            <w:tcW w:w="1418" w:type="dxa"/>
            <w:shd w:val="clear" w:color="auto" w:fill="auto"/>
            <w:vAlign w:val="bottom"/>
          </w:tcPr>
          <w:p w14:paraId="6D32F9E4" w14:textId="77777777" w:rsidR="009A53E3" w:rsidRPr="005B34C8" w:rsidRDefault="009A53E3" w:rsidP="009A53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0.0146</w:t>
            </w:r>
            <w:proofErr w:type="gramEnd"/>
          </w:p>
        </w:tc>
      </w:tr>
      <w:tr w:rsidR="009A53E3" w:rsidRPr="00741DFD" w14:paraId="1C4F2A2F" w14:textId="77777777" w:rsidTr="009A53E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79551BA4" w14:textId="1CA94A43" w:rsidR="009A53E3" w:rsidRPr="00B324C8" w:rsidRDefault="009A53E3" w:rsidP="009A53E3">
            <w:pPr>
              <w:jc w:val="center"/>
              <w:rPr>
                <w:rFonts w:ascii="Times New Roman" w:hAnsi="Times New Roman" w:cs="Times New Roman"/>
                <w:bCs w:val="0"/>
                <w:color w:val="000000"/>
                <w:sz w:val="22"/>
                <w:szCs w:val="22"/>
              </w:rPr>
            </w:pPr>
            <w:proofErr w:type="gramStart"/>
            <w:r w:rsidRPr="00B324C8">
              <w:rPr>
                <w:rFonts w:ascii="Times New Roman" w:hAnsi="Times New Roman" w:cs="Times New Roman"/>
                <w:bCs w:val="0"/>
                <w:sz w:val="22"/>
                <w:szCs w:val="22"/>
              </w:rPr>
              <w:t>LOG(</w:t>
            </w:r>
            <w:proofErr w:type="gramEnd"/>
            <w:r w:rsidRPr="00B324C8">
              <w:rPr>
                <w:rFonts w:ascii="Times New Roman" w:hAnsi="Times New Roman" w:cs="Times New Roman"/>
                <w:bCs w:val="0"/>
                <w:sz w:val="22"/>
                <w:szCs w:val="22"/>
              </w:rPr>
              <w:t>BOOK/MARKET (A))</w:t>
            </w:r>
          </w:p>
        </w:tc>
        <w:tc>
          <w:tcPr>
            <w:tcW w:w="1276" w:type="dxa"/>
            <w:shd w:val="clear" w:color="auto" w:fill="auto"/>
            <w:vAlign w:val="bottom"/>
          </w:tcPr>
          <w:p w14:paraId="511266D3"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0.015615</w:t>
            </w:r>
            <w:proofErr w:type="gramEnd"/>
          </w:p>
        </w:tc>
        <w:tc>
          <w:tcPr>
            <w:tcW w:w="1984" w:type="dxa"/>
            <w:shd w:val="clear" w:color="auto" w:fill="auto"/>
            <w:vAlign w:val="bottom"/>
          </w:tcPr>
          <w:p w14:paraId="49FF9D6B"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0.012615</w:t>
            </w:r>
            <w:proofErr w:type="gramEnd"/>
          </w:p>
        </w:tc>
        <w:tc>
          <w:tcPr>
            <w:tcW w:w="1418" w:type="dxa"/>
            <w:shd w:val="clear" w:color="auto" w:fill="auto"/>
            <w:vAlign w:val="bottom"/>
          </w:tcPr>
          <w:p w14:paraId="6E46F9DE"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0.2165</w:t>
            </w:r>
            <w:proofErr w:type="gramEnd"/>
          </w:p>
        </w:tc>
      </w:tr>
      <w:tr w:rsidR="009A53E3" w:rsidRPr="00741DFD" w14:paraId="1379D9C7" w14:textId="77777777" w:rsidTr="009A53E3">
        <w:trPr>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24121C5A" w14:textId="79E8C7F3" w:rsidR="009A53E3" w:rsidRPr="00B324C8" w:rsidRDefault="009A53E3" w:rsidP="009A53E3">
            <w:pPr>
              <w:jc w:val="center"/>
              <w:rPr>
                <w:rFonts w:ascii="Times New Roman" w:hAnsi="Times New Roman" w:cs="Times New Roman"/>
                <w:bCs w:val="0"/>
                <w:color w:val="000000"/>
                <w:sz w:val="22"/>
                <w:szCs w:val="22"/>
              </w:rPr>
            </w:pPr>
            <w:proofErr w:type="gramStart"/>
            <w:r w:rsidRPr="00B324C8">
              <w:rPr>
                <w:rFonts w:ascii="Times New Roman" w:hAnsi="Times New Roman" w:cs="Times New Roman"/>
                <w:bCs w:val="0"/>
                <w:sz w:val="22"/>
                <w:szCs w:val="22"/>
              </w:rPr>
              <w:t>LOG(</w:t>
            </w:r>
            <w:proofErr w:type="gramEnd"/>
            <w:r w:rsidRPr="00B324C8">
              <w:rPr>
                <w:rFonts w:ascii="Times New Roman" w:hAnsi="Times New Roman" w:cs="Times New Roman"/>
                <w:bCs w:val="0"/>
                <w:sz w:val="22"/>
                <w:szCs w:val="22"/>
              </w:rPr>
              <w:t>BOOK/MARKET (T))</w:t>
            </w:r>
          </w:p>
        </w:tc>
        <w:tc>
          <w:tcPr>
            <w:tcW w:w="1276" w:type="dxa"/>
            <w:shd w:val="clear" w:color="auto" w:fill="auto"/>
            <w:vAlign w:val="bottom"/>
          </w:tcPr>
          <w:p w14:paraId="65D662EA" w14:textId="77777777" w:rsidR="009A53E3" w:rsidRPr="005B34C8" w:rsidRDefault="009A53E3" w:rsidP="009A53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5B34C8">
              <w:rPr>
                <w:rFonts w:ascii="Times New Roman" w:hAnsi="Times New Roman" w:cs="Times New Roman"/>
                <w:color w:val="000000"/>
                <w:sz w:val="22"/>
                <w:szCs w:val="22"/>
              </w:rPr>
              <w:t>-</w:t>
            </w:r>
            <w:proofErr w:type="gramStart"/>
            <w:r w:rsidRPr="005B34C8">
              <w:rPr>
                <w:rFonts w:ascii="Times New Roman" w:hAnsi="Times New Roman" w:cs="Times New Roman"/>
                <w:color w:val="000000"/>
                <w:sz w:val="22"/>
                <w:szCs w:val="22"/>
              </w:rPr>
              <w:t>0.027366</w:t>
            </w:r>
            <w:proofErr w:type="gramEnd"/>
          </w:p>
        </w:tc>
        <w:tc>
          <w:tcPr>
            <w:tcW w:w="1984" w:type="dxa"/>
            <w:shd w:val="clear" w:color="auto" w:fill="auto"/>
            <w:vAlign w:val="bottom"/>
          </w:tcPr>
          <w:p w14:paraId="6C9D8A04" w14:textId="77777777" w:rsidR="009A53E3" w:rsidRPr="005B34C8" w:rsidRDefault="009A53E3" w:rsidP="009A53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0.012677</w:t>
            </w:r>
            <w:proofErr w:type="gramEnd"/>
          </w:p>
        </w:tc>
        <w:tc>
          <w:tcPr>
            <w:tcW w:w="1418" w:type="dxa"/>
            <w:shd w:val="clear" w:color="auto" w:fill="auto"/>
            <w:vAlign w:val="bottom"/>
          </w:tcPr>
          <w:p w14:paraId="72C4A194" w14:textId="77777777" w:rsidR="009A53E3" w:rsidRPr="005B34C8" w:rsidRDefault="009A53E3" w:rsidP="009A53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0.0315</w:t>
            </w:r>
            <w:proofErr w:type="gramEnd"/>
          </w:p>
        </w:tc>
      </w:tr>
      <w:tr w:rsidR="009A53E3" w:rsidRPr="00741DFD" w14:paraId="0E0B4150" w14:textId="77777777" w:rsidTr="009A53E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44A46928" w14:textId="273821BD" w:rsidR="009A53E3" w:rsidRPr="005B34C8" w:rsidRDefault="009A53E3" w:rsidP="009A53E3">
            <w:pPr>
              <w:jc w:val="center"/>
              <w:rPr>
                <w:rFonts w:ascii="Times New Roman" w:hAnsi="Times New Roman" w:cs="Times New Roman"/>
                <w:color w:val="000000"/>
                <w:sz w:val="22"/>
                <w:szCs w:val="22"/>
              </w:rPr>
            </w:pPr>
            <w:r w:rsidRPr="005B34C8">
              <w:rPr>
                <w:rFonts w:ascii="Times New Roman" w:hAnsi="Times New Roman" w:cs="Times New Roman"/>
                <w:color w:val="000000"/>
                <w:sz w:val="22"/>
                <w:szCs w:val="22"/>
              </w:rPr>
              <w:t>LOG</w:t>
            </w:r>
            <w:r>
              <w:rPr>
                <w:rFonts w:ascii="Times New Roman" w:hAnsi="Times New Roman" w:cs="Times New Roman"/>
                <w:color w:val="000000"/>
                <w:sz w:val="22"/>
                <w:szCs w:val="22"/>
              </w:rPr>
              <w:t>(</w:t>
            </w:r>
            <w:r w:rsidRPr="005B34C8">
              <w:rPr>
                <w:rFonts w:ascii="Times New Roman" w:hAnsi="Times New Roman" w:cs="Times New Roman"/>
                <w:color w:val="000000"/>
                <w:sz w:val="22"/>
                <w:szCs w:val="22"/>
              </w:rPr>
              <w:t>FIN</w:t>
            </w:r>
            <w:r>
              <w:rPr>
                <w:rFonts w:ascii="Times New Roman" w:hAnsi="Times New Roman" w:cs="Times New Roman"/>
                <w:color w:val="000000"/>
                <w:sz w:val="22"/>
                <w:szCs w:val="22"/>
              </w:rPr>
              <w:t>_</w:t>
            </w:r>
            <w:r w:rsidRPr="005B34C8">
              <w:rPr>
                <w:rFonts w:ascii="Times New Roman" w:hAnsi="Times New Roman" w:cs="Times New Roman"/>
                <w:color w:val="000000"/>
                <w:sz w:val="22"/>
                <w:szCs w:val="22"/>
              </w:rPr>
              <w:t>LEV</w:t>
            </w:r>
            <w:r>
              <w:rPr>
                <w:rFonts w:ascii="Times New Roman" w:hAnsi="Times New Roman" w:cs="Times New Roman"/>
                <w:color w:val="000000"/>
                <w:sz w:val="22"/>
                <w:szCs w:val="22"/>
              </w:rPr>
              <w:t>)</w:t>
            </w:r>
          </w:p>
        </w:tc>
        <w:tc>
          <w:tcPr>
            <w:tcW w:w="1276" w:type="dxa"/>
            <w:shd w:val="clear" w:color="auto" w:fill="auto"/>
            <w:vAlign w:val="bottom"/>
          </w:tcPr>
          <w:p w14:paraId="7262F068"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r w:rsidRPr="005B34C8">
              <w:rPr>
                <w:rFonts w:ascii="Times New Roman" w:hAnsi="Times New Roman" w:cs="Times New Roman"/>
                <w:color w:val="000000"/>
                <w:sz w:val="22"/>
                <w:szCs w:val="22"/>
              </w:rPr>
              <w:t>-</w:t>
            </w:r>
            <w:proofErr w:type="gramStart"/>
            <w:r w:rsidRPr="005B34C8">
              <w:rPr>
                <w:rFonts w:ascii="Times New Roman" w:hAnsi="Times New Roman" w:cs="Times New Roman"/>
                <w:color w:val="000000"/>
                <w:sz w:val="22"/>
                <w:szCs w:val="22"/>
              </w:rPr>
              <w:t>0.006283</w:t>
            </w:r>
            <w:proofErr w:type="gramEnd"/>
          </w:p>
        </w:tc>
        <w:tc>
          <w:tcPr>
            <w:tcW w:w="1984" w:type="dxa"/>
            <w:shd w:val="clear" w:color="auto" w:fill="auto"/>
            <w:vAlign w:val="bottom"/>
          </w:tcPr>
          <w:p w14:paraId="58ADAD8E"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0.008728</w:t>
            </w:r>
            <w:proofErr w:type="gramEnd"/>
          </w:p>
        </w:tc>
        <w:tc>
          <w:tcPr>
            <w:tcW w:w="1418" w:type="dxa"/>
            <w:shd w:val="clear" w:color="auto" w:fill="auto"/>
            <w:vAlign w:val="bottom"/>
          </w:tcPr>
          <w:p w14:paraId="19E81075"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0.472</w:t>
            </w:r>
            <w:proofErr w:type="gramEnd"/>
          </w:p>
        </w:tc>
      </w:tr>
      <w:tr w:rsidR="009A53E3" w:rsidRPr="00741DFD" w14:paraId="687CD056" w14:textId="77777777" w:rsidTr="009A53E3">
        <w:trPr>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60D5636A" w14:textId="5E4E4792" w:rsidR="009A53E3" w:rsidRPr="005B34C8" w:rsidRDefault="009A53E3" w:rsidP="009A53E3">
            <w:pPr>
              <w:jc w:val="center"/>
              <w:rPr>
                <w:rFonts w:ascii="Times New Roman" w:hAnsi="Times New Roman" w:cs="Times New Roman"/>
                <w:color w:val="000000"/>
                <w:sz w:val="22"/>
                <w:szCs w:val="22"/>
              </w:rPr>
            </w:pPr>
            <w:r w:rsidRPr="005B34C8">
              <w:rPr>
                <w:rFonts w:ascii="Times New Roman" w:hAnsi="Times New Roman" w:cs="Times New Roman"/>
                <w:color w:val="000000"/>
                <w:sz w:val="22"/>
                <w:szCs w:val="22"/>
              </w:rPr>
              <w:t>LOG</w:t>
            </w:r>
            <w:r>
              <w:rPr>
                <w:rFonts w:ascii="Times New Roman" w:hAnsi="Times New Roman" w:cs="Times New Roman"/>
                <w:color w:val="000000"/>
                <w:sz w:val="22"/>
                <w:szCs w:val="22"/>
              </w:rPr>
              <w:t>(</w:t>
            </w:r>
            <w:r w:rsidRPr="005B34C8">
              <w:rPr>
                <w:rFonts w:ascii="Times New Roman" w:hAnsi="Times New Roman" w:cs="Times New Roman"/>
                <w:color w:val="000000"/>
                <w:sz w:val="22"/>
                <w:szCs w:val="22"/>
              </w:rPr>
              <w:t>MCAP</w:t>
            </w:r>
            <w:r>
              <w:rPr>
                <w:rFonts w:ascii="Times New Roman" w:hAnsi="Times New Roman" w:cs="Times New Roman"/>
                <w:color w:val="000000"/>
                <w:sz w:val="22"/>
                <w:szCs w:val="22"/>
              </w:rPr>
              <w:t>_DIF)</w:t>
            </w:r>
          </w:p>
        </w:tc>
        <w:tc>
          <w:tcPr>
            <w:tcW w:w="1276" w:type="dxa"/>
            <w:shd w:val="clear" w:color="auto" w:fill="auto"/>
            <w:vAlign w:val="bottom"/>
          </w:tcPr>
          <w:p w14:paraId="7553D30A" w14:textId="77777777" w:rsidR="009A53E3" w:rsidRPr="005B34C8" w:rsidRDefault="009A53E3" w:rsidP="009A53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0.01844</w:t>
            </w:r>
            <w:proofErr w:type="gramEnd"/>
          </w:p>
        </w:tc>
        <w:tc>
          <w:tcPr>
            <w:tcW w:w="1984" w:type="dxa"/>
            <w:shd w:val="clear" w:color="auto" w:fill="auto"/>
            <w:vAlign w:val="bottom"/>
          </w:tcPr>
          <w:p w14:paraId="2BD4184D" w14:textId="77777777" w:rsidR="009A53E3" w:rsidRPr="005B34C8" w:rsidRDefault="009A53E3" w:rsidP="009A53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0.005834</w:t>
            </w:r>
            <w:proofErr w:type="gramEnd"/>
          </w:p>
        </w:tc>
        <w:tc>
          <w:tcPr>
            <w:tcW w:w="1418" w:type="dxa"/>
            <w:shd w:val="clear" w:color="auto" w:fill="auto"/>
            <w:vAlign w:val="bottom"/>
          </w:tcPr>
          <w:p w14:paraId="02B50A95" w14:textId="77777777" w:rsidR="009A53E3" w:rsidRPr="005B34C8" w:rsidRDefault="009A53E3" w:rsidP="009A53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0.0017</w:t>
            </w:r>
            <w:proofErr w:type="gramEnd"/>
          </w:p>
        </w:tc>
      </w:tr>
      <w:tr w:rsidR="009A53E3" w:rsidRPr="00741DFD" w14:paraId="3BE48904" w14:textId="77777777" w:rsidTr="009A53E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tcPr>
          <w:p w14:paraId="17514F08" w14:textId="77777777" w:rsidR="009A53E3" w:rsidRPr="005B34C8" w:rsidRDefault="009A53E3" w:rsidP="009A53E3">
            <w:pPr>
              <w:jc w:val="center"/>
              <w:rPr>
                <w:rFonts w:ascii="Times New Roman" w:hAnsi="Times New Roman" w:cs="Times New Roman"/>
                <w:color w:val="000000"/>
                <w:sz w:val="22"/>
                <w:szCs w:val="22"/>
              </w:rPr>
            </w:pPr>
            <w:r w:rsidRPr="005B34C8">
              <w:rPr>
                <w:rFonts w:ascii="Times New Roman" w:hAnsi="Times New Roman" w:cs="Times New Roman"/>
                <w:color w:val="000000"/>
                <w:sz w:val="22"/>
                <w:szCs w:val="22"/>
              </w:rPr>
              <w:t>STOCKS</w:t>
            </w:r>
          </w:p>
        </w:tc>
        <w:tc>
          <w:tcPr>
            <w:tcW w:w="1276" w:type="dxa"/>
            <w:shd w:val="clear" w:color="auto" w:fill="auto"/>
            <w:vAlign w:val="bottom"/>
          </w:tcPr>
          <w:p w14:paraId="2551ACF1"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r w:rsidRPr="005B34C8">
              <w:rPr>
                <w:rFonts w:ascii="Times New Roman" w:hAnsi="Times New Roman" w:cs="Times New Roman"/>
                <w:color w:val="000000"/>
                <w:sz w:val="22"/>
                <w:szCs w:val="22"/>
              </w:rPr>
              <w:t>-</w:t>
            </w:r>
            <w:proofErr w:type="gramStart"/>
            <w:r w:rsidRPr="005B34C8">
              <w:rPr>
                <w:rFonts w:ascii="Times New Roman" w:hAnsi="Times New Roman" w:cs="Times New Roman"/>
                <w:color w:val="000000"/>
                <w:sz w:val="22"/>
                <w:szCs w:val="22"/>
              </w:rPr>
              <w:t>0.082993</w:t>
            </w:r>
            <w:proofErr w:type="gramEnd"/>
          </w:p>
        </w:tc>
        <w:tc>
          <w:tcPr>
            <w:tcW w:w="1984" w:type="dxa"/>
            <w:shd w:val="clear" w:color="auto" w:fill="auto"/>
            <w:vAlign w:val="bottom"/>
          </w:tcPr>
          <w:p w14:paraId="49645485"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0.023642</w:t>
            </w:r>
            <w:proofErr w:type="gramEnd"/>
          </w:p>
        </w:tc>
        <w:tc>
          <w:tcPr>
            <w:tcW w:w="1418" w:type="dxa"/>
            <w:shd w:val="clear" w:color="auto" w:fill="auto"/>
            <w:vAlign w:val="bottom"/>
          </w:tcPr>
          <w:p w14:paraId="290B4A49"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0.0005</w:t>
            </w:r>
            <w:proofErr w:type="gramEnd"/>
          </w:p>
        </w:tc>
      </w:tr>
      <w:tr w:rsidR="009A53E3" w:rsidRPr="00741DFD" w14:paraId="373D0FA3" w14:textId="77777777" w:rsidTr="009A53E3">
        <w:trPr>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tcPr>
          <w:p w14:paraId="49692350" w14:textId="77777777" w:rsidR="009A53E3" w:rsidRPr="005B34C8" w:rsidRDefault="009A53E3" w:rsidP="009A53E3">
            <w:pPr>
              <w:jc w:val="center"/>
              <w:rPr>
                <w:rFonts w:ascii="Times New Roman" w:hAnsi="Times New Roman" w:cs="Times New Roman"/>
                <w:color w:val="000000"/>
                <w:sz w:val="22"/>
                <w:szCs w:val="22"/>
              </w:rPr>
            </w:pPr>
          </w:p>
        </w:tc>
        <w:tc>
          <w:tcPr>
            <w:tcW w:w="1276" w:type="dxa"/>
            <w:shd w:val="clear" w:color="auto" w:fill="auto"/>
            <w:vAlign w:val="bottom"/>
          </w:tcPr>
          <w:p w14:paraId="617C8B21" w14:textId="77777777" w:rsidR="009A53E3" w:rsidRPr="005B34C8" w:rsidRDefault="009A53E3" w:rsidP="009A53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
        </w:tc>
        <w:tc>
          <w:tcPr>
            <w:tcW w:w="1984" w:type="dxa"/>
            <w:shd w:val="clear" w:color="auto" w:fill="auto"/>
            <w:vAlign w:val="bottom"/>
          </w:tcPr>
          <w:p w14:paraId="01F24D61" w14:textId="77777777" w:rsidR="009A53E3" w:rsidRPr="005B34C8" w:rsidRDefault="009A53E3" w:rsidP="009A53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
        </w:tc>
        <w:tc>
          <w:tcPr>
            <w:tcW w:w="1418" w:type="dxa"/>
            <w:shd w:val="clear" w:color="auto" w:fill="auto"/>
            <w:vAlign w:val="bottom"/>
          </w:tcPr>
          <w:p w14:paraId="478F344A" w14:textId="77777777" w:rsidR="009A53E3" w:rsidRPr="005B34C8" w:rsidRDefault="009A53E3" w:rsidP="009A53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
        </w:tc>
      </w:tr>
      <w:tr w:rsidR="009A53E3" w:rsidRPr="00741DFD" w14:paraId="650A55C6" w14:textId="77777777" w:rsidTr="00E00831">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hideMark/>
          </w:tcPr>
          <w:p w14:paraId="3C8DC49F" w14:textId="77777777" w:rsidR="009A53E3" w:rsidRPr="005B34C8" w:rsidRDefault="009A53E3" w:rsidP="009A53E3">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Sample size</w:t>
            </w:r>
          </w:p>
        </w:tc>
        <w:tc>
          <w:tcPr>
            <w:tcW w:w="1276" w:type="dxa"/>
            <w:shd w:val="clear" w:color="auto" w:fill="auto"/>
          </w:tcPr>
          <w:p w14:paraId="25BCCA86"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c>
          <w:tcPr>
            <w:tcW w:w="1984" w:type="dxa"/>
            <w:shd w:val="clear" w:color="auto" w:fill="auto"/>
          </w:tcPr>
          <w:p w14:paraId="56B24A73"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5B34C8">
              <w:rPr>
                <w:rFonts w:ascii="Times New Roman" w:hAnsi="Times New Roman" w:cs="Times New Roman"/>
                <w:sz w:val="22"/>
                <w:szCs w:val="22"/>
              </w:rPr>
              <w:t>409</w:t>
            </w:r>
          </w:p>
        </w:tc>
        <w:tc>
          <w:tcPr>
            <w:tcW w:w="1418" w:type="dxa"/>
            <w:shd w:val="clear" w:color="auto" w:fill="auto"/>
          </w:tcPr>
          <w:p w14:paraId="10DEFA78"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r>
      <w:tr w:rsidR="009A53E3" w:rsidRPr="00741DFD" w14:paraId="00E9EB1D" w14:textId="77777777" w:rsidTr="009A53E3">
        <w:trPr>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tcPr>
          <w:p w14:paraId="58896964" w14:textId="77777777" w:rsidR="009A53E3" w:rsidRPr="005B34C8" w:rsidRDefault="009A53E3" w:rsidP="009A53E3">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R-squared</w:t>
            </w:r>
          </w:p>
        </w:tc>
        <w:tc>
          <w:tcPr>
            <w:tcW w:w="1276" w:type="dxa"/>
            <w:shd w:val="clear" w:color="auto" w:fill="auto"/>
          </w:tcPr>
          <w:p w14:paraId="2A9D00B7" w14:textId="77777777" w:rsidR="009A53E3" w:rsidRPr="005B34C8" w:rsidRDefault="009A53E3" w:rsidP="009A53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
        </w:tc>
        <w:tc>
          <w:tcPr>
            <w:tcW w:w="1984" w:type="dxa"/>
            <w:shd w:val="clear" w:color="auto" w:fill="auto"/>
          </w:tcPr>
          <w:p w14:paraId="643128B9" w14:textId="77777777" w:rsidR="009A53E3" w:rsidRPr="005B34C8" w:rsidRDefault="009A53E3" w:rsidP="009A53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roofErr w:type="gramStart"/>
            <w:r w:rsidRPr="005B34C8">
              <w:rPr>
                <w:rFonts w:ascii="Times New Roman" w:hAnsi="Times New Roman" w:cs="Times New Roman"/>
                <w:color w:val="000000"/>
                <w:sz w:val="22"/>
                <w:szCs w:val="22"/>
                <w:shd w:val="clear" w:color="auto" w:fill="FFFFFF"/>
              </w:rPr>
              <w:t>0.14859</w:t>
            </w:r>
            <w:proofErr w:type="gramEnd"/>
          </w:p>
        </w:tc>
        <w:tc>
          <w:tcPr>
            <w:tcW w:w="1418" w:type="dxa"/>
            <w:shd w:val="clear" w:color="auto" w:fill="auto"/>
          </w:tcPr>
          <w:p w14:paraId="4CF41C8B" w14:textId="77777777" w:rsidR="009A53E3" w:rsidRPr="005B34C8" w:rsidRDefault="009A53E3" w:rsidP="009A53E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
        </w:tc>
      </w:tr>
      <w:tr w:rsidR="009A53E3" w:rsidRPr="00741DFD" w14:paraId="0FEEBD1C" w14:textId="77777777" w:rsidTr="00E00831">
        <w:trPr>
          <w:cnfStyle w:val="000000100000" w:firstRow="0" w:lastRow="0" w:firstColumn="0" w:lastColumn="0" w:oddVBand="0" w:evenVBand="0" w:oddHBand="1" w:evenHBand="0" w:firstRowFirstColumn="0" w:firstRowLastColumn="0" w:lastRowFirstColumn="0" w:lastRowLastColumn="0"/>
          <w:trHeight w:val="447"/>
          <w:jc w:val="center"/>
        </w:trPr>
        <w:tc>
          <w:tcPr>
            <w:cnfStyle w:val="001000000000" w:firstRow="0" w:lastRow="0" w:firstColumn="1" w:lastColumn="0" w:oddVBand="0" w:evenVBand="0" w:oddHBand="0" w:evenHBand="0" w:firstRowFirstColumn="0" w:firstRowLastColumn="0" w:lastRowFirstColumn="0" w:lastRowLastColumn="0"/>
            <w:tcW w:w="2977" w:type="dxa"/>
            <w:tcBorders>
              <w:bottom w:val="double" w:sz="4" w:space="0" w:color="auto"/>
            </w:tcBorders>
            <w:shd w:val="clear" w:color="auto" w:fill="auto"/>
          </w:tcPr>
          <w:p w14:paraId="28ED66E4" w14:textId="77777777" w:rsidR="009A53E3" w:rsidRPr="005B34C8" w:rsidRDefault="009A53E3" w:rsidP="009A53E3">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Adjusted R-squared</w:t>
            </w:r>
          </w:p>
        </w:tc>
        <w:tc>
          <w:tcPr>
            <w:tcW w:w="1276" w:type="dxa"/>
            <w:tcBorders>
              <w:bottom w:val="double" w:sz="4" w:space="0" w:color="auto"/>
            </w:tcBorders>
            <w:shd w:val="clear" w:color="auto" w:fill="auto"/>
          </w:tcPr>
          <w:p w14:paraId="36910AE0"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c>
          <w:tcPr>
            <w:tcW w:w="1984" w:type="dxa"/>
            <w:tcBorders>
              <w:bottom w:val="double" w:sz="4" w:space="0" w:color="auto"/>
            </w:tcBorders>
            <w:shd w:val="clear" w:color="auto" w:fill="auto"/>
          </w:tcPr>
          <w:p w14:paraId="755B14BE"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shd w:val="clear" w:color="auto" w:fill="FFFFFF"/>
              </w:rPr>
            </w:pPr>
            <w:proofErr w:type="gramStart"/>
            <w:r w:rsidRPr="005B34C8">
              <w:rPr>
                <w:rFonts w:ascii="Times New Roman" w:hAnsi="Times New Roman" w:cs="Times New Roman"/>
                <w:color w:val="000000"/>
                <w:sz w:val="22"/>
                <w:szCs w:val="22"/>
                <w:shd w:val="clear" w:color="auto" w:fill="FFFFFF"/>
              </w:rPr>
              <w:t>0.131561</w:t>
            </w:r>
            <w:proofErr w:type="gramEnd"/>
          </w:p>
        </w:tc>
        <w:tc>
          <w:tcPr>
            <w:tcW w:w="1418" w:type="dxa"/>
            <w:tcBorders>
              <w:bottom w:val="double" w:sz="4" w:space="0" w:color="auto"/>
            </w:tcBorders>
            <w:shd w:val="clear" w:color="auto" w:fill="auto"/>
          </w:tcPr>
          <w:p w14:paraId="4237AB9E" w14:textId="77777777" w:rsidR="009A53E3" w:rsidRPr="005B34C8" w:rsidRDefault="009A53E3" w:rsidP="009A53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r>
    </w:tbl>
    <w:p w14:paraId="2AF4F31C" w14:textId="77777777" w:rsidR="005B34C8" w:rsidRDefault="005B34C8" w:rsidP="005B34C8">
      <w:pPr>
        <w:spacing w:before="0" w:after="0"/>
        <w:rPr>
          <w:sz w:val="22"/>
          <w:szCs w:val="22"/>
        </w:rPr>
      </w:pPr>
    </w:p>
    <w:p w14:paraId="75F1E73C" w14:textId="05E485FD" w:rsidR="00542DEC" w:rsidRPr="009A53E3" w:rsidRDefault="000B6FC7" w:rsidP="005B34C8">
      <w:pPr>
        <w:spacing w:before="0" w:after="0"/>
        <w:rPr>
          <w:sz w:val="16"/>
          <w:szCs w:val="16"/>
        </w:rPr>
      </w:pPr>
      <w:r w:rsidRPr="009A53E3">
        <w:rPr>
          <w:sz w:val="16"/>
          <w:szCs w:val="16"/>
        </w:rPr>
        <w:t xml:space="preserve">Table 6 shows the results from regression model 3. The dependent variable is </w:t>
      </w:r>
      <w:r w:rsidRPr="00C6096B">
        <w:rPr>
          <w:b/>
          <w:bCs/>
          <w:sz w:val="16"/>
          <w:szCs w:val="16"/>
        </w:rPr>
        <w:t>PREMIUM</w:t>
      </w:r>
      <w:r w:rsidRPr="009A53E3">
        <w:rPr>
          <w:sz w:val="16"/>
          <w:szCs w:val="16"/>
        </w:rPr>
        <w:t xml:space="preserve"> (announced total value of bid / market cap (target)) and represents the bid premium. The table contains the independent variables: </w:t>
      </w:r>
      <w:r w:rsidRPr="009A53E3">
        <w:rPr>
          <w:b/>
          <w:sz w:val="16"/>
          <w:szCs w:val="16"/>
        </w:rPr>
        <w:t xml:space="preserve">(1) ESG-PORTFOLIO </w:t>
      </w:r>
      <w:r w:rsidRPr="009A53E3">
        <w:rPr>
          <w:sz w:val="16"/>
          <w:szCs w:val="16"/>
        </w:rPr>
        <w:t xml:space="preserve">(average target ESG-rating (sum of existing ratings from </w:t>
      </w:r>
      <w:proofErr w:type="spellStart"/>
      <w:r w:rsidRPr="009A53E3">
        <w:rPr>
          <w:sz w:val="16"/>
          <w:szCs w:val="16"/>
        </w:rPr>
        <w:t>Sustainalytics</w:t>
      </w:r>
      <w:proofErr w:type="spellEnd"/>
      <w:r w:rsidRPr="009A53E3">
        <w:rPr>
          <w:sz w:val="16"/>
          <w:szCs w:val="16"/>
        </w:rPr>
        <w:t xml:space="preserve">, </w:t>
      </w:r>
      <w:proofErr w:type="spellStart"/>
      <w:r w:rsidRPr="009A53E3">
        <w:rPr>
          <w:sz w:val="16"/>
          <w:szCs w:val="16"/>
        </w:rPr>
        <w:t>RobecoSAM</w:t>
      </w:r>
      <w:proofErr w:type="spellEnd"/>
      <w:r w:rsidRPr="009A53E3">
        <w:rPr>
          <w:sz w:val="16"/>
          <w:szCs w:val="16"/>
        </w:rPr>
        <w:t xml:space="preserve">, ISS Quality Score and Bloomberg ESG Disclosure score converted into a 0-100 scale divided with the amount of existing ratings)) </w:t>
      </w:r>
      <w:r w:rsidRPr="009A53E3">
        <w:rPr>
          <w:b/>
          <w:sz w:val="16"/>
          <w:szCs w:val="16"/>
        </w:rPr>
        <w:t xml:space="preserve">(2) ESG_DIF </w:t>
      </w:r>
      <w:r w:rsidRPr="009A53E3">
        <w:rPr>
          <w:sz w:val="16"/>
          <w:szCs w:val="16"/>
        </w:rPr>
        <w:t xml:space="preserve">((ESG-PORTFOLIO (acquirer) - ESG-PORTFOLIO  (target)) </w:t>
      </w:r>
      <w:r w:rsidRPr="009A53E3">
        <w:rPr>
          <w:b/>
          <w:sz w:val="16"/>
          <w:szCs w:val="16"/>
        </w:rPr>
        <w:t xml:space="preserve">(3) LOG(LTD/BV) </w:t>
      </w:r>
      <w:r w:rsidRPr="009A53E3">
        <w:rPr>
          <w:sz w:val="16"/>
          <w:szCs w:val="16"/>
        </w:rPr>
        <w:t xml:space="preserve">(the logarithm of </w:t>
      </w:r>
      <w:r w:rsidRPr="009A53E3">
        <w:rPr>
          <w:b/>
          <w:sz w:val="16"/>
          <w:szCs w:val="16"/>
        </w:rPr>
        <w:t xml:space="preserve"> (</w:t>
      </w:r>
      <w:r w:rsidRPr="009A53E3">
        <w:rPr>
          <w:sz w:val="16"/>
          <w:szCs w:val="16"/>
        </w:rPr>
        <w:t xml:space="preserve">long-term debt / total assets) (target)) </w:t>
      </w:r>
      <w:r w:rsidRPr="009A53E3">
        <w:rPr>
          <w:b/>
          <w:sz w:val="16"/>
          <w:szCs w:val="16"/>
        </w:rPr>
        <w:t xml:space="preserve">(4) LOG(BOOK/MARKET (A)) </w:t>
      </w:r>
      <w:r w:rsidRPr="009A53E3">
        <w:rPr>
          <w:sz w:val="16"/>
          <w:szCs w:val="16"/>
        </w:rPr>
        <w:t xml:space="preserve">(logarithm of ((total assets - total liabilities) / market cap) (acquirer)) </w:t>
      </w:r>
      <w:r w:rsidRPr="009A53E3">
        <w:rPr>
          <w:b/>
          <w:sz w:val="16"/>
          <w:szCs w:val="16"/>
        </w:rPr>
        <w:t xml:space="preserve">(5) LOG(BOOK/MARKET (T)) </w:t>
      </w:r>
      <w:r w:rsidRPr="009A53E3">
        <w:rPr>
          <w:sz w:val="16"/>
          <w:szCs w:val="16"/>
        </w:rPr>
        <w:t xml:space="preserve">(logarithm of ((total assets - total liabilities) / market cap) (target) </w:t>
      </w:r>
      <w:r w:rsidRPr="009A53E3">
        <w:rPr>
          <w:b/>
          <w:sz w:val="16"/>
          <w:szCs w:val="16"/>
        </w:rPr>
        <w:t xml:space="preserve">(6) LOG(MCAP_DIF) </w:t>
      </w:r>
      <w:r w:rsidRPr="009A53E3">
        <w:rPr>
          <w:sz w:val="16"/>
          <w:szCs w:val="16"/>
        </w:rPr>
        <w:t xml:space="preserve">(logarithm of (market cap (acquirer) - market cap (target)) </w:t>
      </w:r>
      <w:r w:rsidRPr="009A53E3">
        <w:rPr>
          <w:b/>
          <w:sz w:val="16"/>
          <w:szCs w:val="16"/>
        </w:rPr>
        <w:t xml:space="preserve">(7) LOG(FIN_LEV) </w:t>
      </w:r>
      <w:r w:rsidRPr="009A53E3">
        <w:rPr>
          <w:sz w:val="16"/>
          <w:szCs w:val="16"/>
        </w:rPr>
        <w:t xml:space="preserve">(logarithm of (liabilities / equity (target)) </w:t>
      </w:r>
      <w:r w:rsidRPr="009A53E3">
        <w:rPr>
          <w:b/>
          <w:sz w:val="16"/>
          <w:szCs w:val="16"/>
        </w:rPr>
        <w:t xml:space="preserve">(8) STOCK </w:t>
      </w:r>
      <w:r w:rsidRPr="009A53E3">
        <w:rPr>
          <w:sz w:val="16"/>
          <w:szCs w:val="16"/>
        </w:rPr>
        <w:t>(dummy variable that equals 1 if the payment was only done through stock). The coefficient, standard error and P-value are shown for each variable. The table also includes the sample size, R^2 and adjusted R-squared.</w:t>
      </w:r>
    </w:p>
    <w:p w14:paraId="5C40E28E" w14:textId="220446B6" w:rsidR="00542DEC" w:rsidRDefault="000B6FC7">
      <w:r>
        <w:t xml:space="preserve">After plotting each variable against the bid premium in scatterplots it appears that a couple </w:t>
      </w:r>
      <w:r w:rsidR="005B34C8">
        <w:t xml:space="preserve">of variables </w:t>
      </w:r>
      <w:r>
        <w:t xml:space="preserve">do not have a linear relationship with the bid premium.  MCAP-DIF, BOOK/MARKET(A), BOOK/MARKET(T), FIN_LEV and LTD/BV appear to have a </w:t>
      </w:r>
      <w:r>
        <w:lastRenderedPageBreak/>
        <w:t xml:space="preserve">logarithmic relationship (see figure 2 in appendix). A third regression model, model 3, is created to capture these relationships. By applying the new respecified variables into the third regression model it should combat some misspecification problems from the first regression without having too few variables.  </w:t>
      </w:r>
    </w:p>
    <w:p w14:paraId="404041DE" w14:textId="7D882C9F" w:rsidR="00542DEC" w:rsidRDefault="000B6FC7">
      <w:r>
        <w:t xml:space="preserve">The data transformation conducted in model 3 has resulted in variables that now have </w:t>
      </w:r>
      <w:r w:rsidR="005B34C8">
        <w:t>a significant</w:t>
      </w:r>
      <w:r>
        <w:t xml:space="preserve"> effect on the bid premium. The ESG-rating of the target company has a negative and statistically significant relationship with bid premiums at a 5 % significance level. The model is a linear-log model meaning that an increase with one unit in the independent variable ESG-rating will result in a decrease in the bid premium with -0.002467 / 100 percent. The results show that ESG-DIF has a p-value of 0</w:t>
      </w:r>
      <w:r w:rsidR="00607A2B">
        <w:t>.</w:t>
      </w:r>
      <w:r>
        <w:t xml:space="preserve">7868 and it is therefore not possible to claim that the variable has a significant effect </w:t>
      </w:r>
      <w:r w:rsidR="005B34C8">
        <w:t>the</w:t>
      </w:r>
      <w:r>
        <w:t xml:space="preserve"> difference in ESG-ratings between the target and the acquirer does not appear to have a significant effect on the bid premium.</w:t>
      </w:r>
    </w:p>
    <w:p w14:paraId="7C2BCB25" w14:textId="2D9FAE22" w:rsidR="00542DEC" w:rsidRDefault="000B6FC7">
      <w:r>
        <w:t xml:space="preserve">The Ramsey RESET test returns a p-value of 0.1052 indicating that we can assume that the model is correctly specified on a 5 % significance level and exogeneity is present in the regression model. The Breusch Pagan heteroscedasticity test returns a p-value of 0.0739 indicating that the model is homoscedasticity. The results from these tests show that the Gauss Markov assumptions hold for the regression model and we can conclude that the variables are unbiased and </w:t>
      </w:r>
      <w:r w:rsidR="005B34C8">
        <w:t>consistent,</w:t>
      </w:r>
      <w:r>
        <w:t xml:space="preserve"> and we can assume model 3 is BLUE. The explanatory variables in this model can explain 14.86 % of the total variance in bid premium. This is a decrease from the first regression model. This can perhaps be explained by the excluded negative numbers that a logarithmic model </w:t>
      </w:r>
      <w:r w:rsidR="005B34C8">
        <w:t>cannot</w:t>
      </w:r>
      <w:r>
        <w:t xml:space="preserve"> capture. </w:t>
      </w:r>
    </w:p>
    <w:p w14:paraId="2066937B" w14:textId="77777777" w:rsidR="005B34C8" w:rsidRDefault="005B34C8">
      <w:pPr>
        <w:rPr>
          <w:color w:val="434343"/>
        </w:rPr>
      </w:pPr>
      <w:r>
        <w:br w:type="page"/>
      </w:r>
    </w:p>
    <w:p w14:paraId="371D410E" w14:textId="14A6B282" w:rsidR="00542DEC" w:rsidRDefault="000B6FC7">
      <w:pPr>
        <w:pStyle w:val="Heading3"/>
      </w:pPr>
      <w:bookmarkStart w:id="71" w:name="_Toc61125935"/>
      <w:bookmarkStart w:id="72" w:name="_Toc61126708"/>
      <w:r>
        <w:lastRenderedPageBreak/>
        <w:t xml:space="preserve">6.1.4 Model 4: </w:t>
      </w:r>
      <w:proofErr w:type="spellStart"/>
      <w:r>
        <w:t>Winsorization</w:t>
      </w:r>
      <w:proofErr w:type="spellEnd"/>
      <w:r>
        <w:t xml:space="preserve"> of model 3</w:t>
      </w:r>
      <w:bookmarkEnd w:id="71"/>
      <w:bookmarkEnd w:id="72"/>
    </w:p>
    <w:p w14:paraId="02D8E74B" w14:textId="77777777" w:rsidR="00542DEC" w:rsidRDefault="00542DEC">
      <w:pPr>
        <w:spacing w:before="0" w:after="0"/>
        <w:jc w:val="left"/>
        <w:rPr>
          <w:b/>
          <w:sz w:val="22"/>
          <w:szCs w:val="22"/>
        </w:rPr>
      </w:pPr>
    </w:p>
    <w:p w14:paraId="0B1EDFCA" w14:textId="0CD67D9C" w:rsidR="005B34C8" w:rsidRPr="005B34C8" w:rsidRDefault="000B6FC7" w:rsidP="005B34C8">
      <w:pPr>
        <w:spacing w:before="0" w:after="0"/>
        <w:jc w:val="center"/>
        <w:rPr>
          <w:b/>
          <w:sz w:val="22"/>
          <w:szCs w:val="22"/>
        </w:rPr>
      </w:pPr>
      <w:r>
        <w:rPr>
          <w:b/>
          <w:sz w:val="22"/>
          <w:szCs w:val="22"/>
        </w:rPr>
        <w:t>Table 7. Results from model 4</w:t>
      </w:r>
    </w:p>
    <w:tbl>
      <w:tblPr>
        <w:tblStyle w:val="PlainTable4"/>
        <w:tblW w:w="7655" w:type="dxa"/>
        <w:jc w:val="center"/>
        <w:tblLayout w:type="fixed"/>
        <w:tblLook w:val="04A0" w:firstRow="1" w:lastRow="0" w:firstColumn="1" w:lastColumn="0" w:noHBand="0" w:noVBand="1"/>
      </w:tblPr>
      <w:tblGrid>
        <w:gridCol w:w="2977"/>
        <w:gridCol w:w="1276"/>
        <w:gridCol w:w="1984"/>
        <w:gridCol w:w="1418"/>
      </w:tblGrid>
      <w:tr w:rsidR="009F5902" w:rsidRPr="00741DFD" w14:paraId="5BEAC170" w14:textId="77777777" w:rsidTr="009F5902">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77" w:type="dxa"/>
            <w:tcBorders>
              <w:top w:val="double" w:sz="4" w:space="0" w:color="auto"/>
              <w:bottom w:val="single" w:sz="4" w:space="0" w:color="auto"/>
            </w:tcBorders>
            <w:shd w:val="clear" w:color="auto" w:fill="auto"/>
            <w:hideMark/>
          </w:tcPr>
          <w:p w14:paraId="3A7BF198" w14:textId="77777777" w:rsidR="009F5902" w:rsidRPr="005B34C8" w:rsidRDefault="009F5902" w:rsidP="009F5902">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Variable</w:t>
            </w:r>
          </w:p>
        </w:tc>
        <w:tc>
          <w:tcPr>
            <w:tcW w:w="1276" w:type="dxa"/>
            <w:tcBorders>
              <w:top w:val="double" w:sz="4" w:space="0" w:color="auto"/>
              <w:bottom w:val="single" w:sz="4" w:space="0" w:color="auto"/>
            </w:tcBorders>
          </w:tcPr>
          <w:p w14:paraId="3FF02A50" w14:textId="77777777" w:rsidR="009F5902" w:rsidRPr="005B34C8" w:rsidRDefault="009F5902" w:rsidP="009F590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Coefficient</w:t>
            </w:r>
          </w:p>
        </w:tc>
        <w:tc>
          <w:tcPr>
            <w:tcW w:w="1984" w:type="dxa"/>
            <w:tcBorders>
              <w:top w:val="double" w:sz="4" w:space="0" w:color="auto"/>
              <w:bottom w:val="single" w:sz="4" w:space="0" w:color="auto"/>
            </w:tcBorders>
          </w:tcPr>
          <w:p w14:paraId="7B940D96" w14:textId="77777777" w:rsidR="009F5902" w:rsidRPr="005B34C8" w:rsidRDefault="009F5902" w:rsidP="009F590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Std. Error</w:t>
            </w:r>
          </w:p>
        </w:tc>
        <w:tc>
          <w:tcPr>
            <w:tcW w:w="1418" w:type="dxa"/>
            <w:tcBorders>
              <w:top w:val="double" w:sz="4" w:space="0" w:color="auto"/>
              <w:bottom w:val="single" w:sz="4" w:space="0" w:color="auto"/>
            </w:tcBorders>
          </w:tcPr>
          <w:p w14:paraId="79DA1B1D" w14:textId="77777777" w:rsidR="009F5902" w:rsidRPr="005B34C8" w:rsidRDefault="009F5902" w:rsidP="009F590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P-value</w:t>
            </w:r>
          </w:p>
        </w:tc>
      </w:tr>
      <w:tr w:rsidR="009F5902" w:rsidRPr="00741DFD" w14:paraId="62264630" w14:textId="77777777" w:rsidTr="00E00831">
        <w:trPr>
          <w:cnfStyle w:val="000000100000" w:firstRow="0" w:lastRow="0" w:firstColumn="0" w:lastColumn="0" w:oddVBand="0" w:evenVBand="0" w:oddHBand="1" w:evenHBand="0" w:firstRowFirstColumn="0" w:firstRowLastColumn="0" w:lastRowFirstColumn="0" w:lastRowLastColumn="0"/>
          <w:trHeight w:val="523"/>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4E4FD960" w14:textId="5FA78364" w:rsidR="009F5902" w:rsidRPr="005B34C8" w:rsidRDefault="009F5902" w:rsidP="009F5902">
            <w:pPr>
              <w:jc w:val="center"/>
              <w:rPr>
                <w:rFonts w:ascii="Times New Roman" w:hAnsi="Times New Roman" w:cs="Times New Roman"/>
                <w:color w:val="000000"/>
                <w:sz w:val="22"/>
                <w:szCs w:val="22"/>
              </w:rPr>
            </w:pPr>
            <w:r w:rsidRPr="005B34C8">
              <w:rPr>
                <w:rFonts w:ascii="Times New Roman" w:hAnsi="Times New Roman" w:cs="Times New Roman"/>
                <w:color w:val="000000"/>
                <w:sz w:val="22"/>
                <w:szCs w:val="22"/>
              </w:rPr>
              <w:t>C</w:t>
            </w:r>
          </w:p>
        </w:tc>
        <w:tc>
          <w:tcPr>
            <w:tcW w:w="1276" w:type="dxa"/>
            <w:shd w:val="clear" w:color="auto" w:fill="auto"/>
            <w:vAlign w:val="bottom"/>
          </w:tcPr>
          <w:p w14:paraId="68531D1A"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0.370109</w:t>
            </w:r>
            <w:proofErr w:type="gramEnd"/>
          </w:p>
        </w:tc>
        <w:tc>
          <w:tcPr>
            <w:tcW w:w="1984" w:type="dxa"/>
            <w:shd w:val="clear" w:color="auto" w:fill="auto"/>
            <w:vAlign w:val="bottom"/>
          </w:tcPr>
          <w:p w14:paraId="5790577E"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0.15271</w:t>
            </w:r>
            <w:proofErr w:type="gramEnd"/>
          </w:p>
        </w:tc>
        <w:tc>
          <w:tcPr>
            <w:tcW w:w="1418" w:type="dxa"/>
            <w:shd w:val="clear" w:color="auto" w:fill="auto"/>
            <w:vAlign w:val="bottom"/>
          </w:tcPr>
          <w:p w14:paraId="57796FF0"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0.0158</w:t>
            </w:r>
            <w:proofErr w:type="gramEnd"/>
          </w:p>
        </w:tc>
      </w:tr>
      <w:tr w:rsidR="009F5902" w:rsidRPr="00741DFD" w14:paraId="0E3DD6ED" w14:textId="77777777" w:rsidTr="009F5902">
        <w:trPr>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715F7933" w14:textId="1C24E5BF" w:rsidR="009F5902" w:rsidRPr="005B34C8" w:rsidRDefault="009F5902" w:rsidP="009F5902">
            <w:pPr>
              <w:jc w:val="center"/>
              <w:rPr>
                <w:rFonts w:ascii="Times New Roman" w:hAnsi="Times New Roman" w:cs="Times New Roman"/>
                <w:color w:val="000000"/>
                <w:sz w:val="22"/>
                <w:szCs w:val="22"/>
              </w:rPr>
            </w:pPr>
            <w:r w:rsidRPr="005B34C8">
              <w:rPr>
                <w:rFonts w:ascii="Times New Roman" w:hAnsi="Times New Roman" w:cs="Times New Roman"/>
                <w:color w:val="000000"/>
                <w:sz w:val="22"/>
                <w:szCs w:val="22"/>
              </w:rPr>
              <w:t>ESG</w:t>
            </w:r>
            <w:r>
              <w:rPr>
                <w:rFonts w:ascii="Times New Roman" w:hAnsi="Times New Roman" w:cs="Times New Roman"/>
                <w:color w:val="000000"/>
                <w:sz w:val="22"/>
                <w:szCs w:val="22"/>
              </w:rPr>
              <w:t>-</w:t>
            </w:r>
            <w:r w:rsidRPr="005B34C8">
              <w:rPr>
                <w:rFonts w:ascii="Times New Roman" w:hAnsi="Times New Roman" w:cs="Times New Roman"/>
                <w:color w:val="000000"/>
                <w:sz w:val="22"/>
                <w:szCs w:val="22"/>
              </w:rPr>
              <w:t>PORTFOLIO</w:t>
            </w:r>
          </w:p>
        </w:tc>
        <w:tc>
          <w:tcPr>
            <w:tcW w:w="1276" w:type="dxa"/>
            <w:shd w:val="clear" w:color="auto" w:fill="auto"/>
            <w:vAlign w:val="bottom"/>
          </w:tcPr>
          <w:p w14:paraId="76B98A97" w14:textId="77777777" w:rsidR="009F5902" w:rsidRPr="005B34C8" w:rsidRDefault="009F5902" w:rsidP="009F590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5B34C8">
              <w:rPr>
                <w:rFonts w:ascii="Times New Roman" w:hAnsi="Times New Roman" w:cs="Times New Roman"/>
                <w:color w:val="000000"/>
                <w:sz w:val="22"/>
                <w:szCs w:val="22"/>
              </w:rPr>
              <w:t>-</w:t>
            </w:r>
            <w:proofErr w:type="gramStart"/>
            <w:r w:rsidRPr="005B34C8">
              <w:rPr>
                <w:rFonts w:ascii="Times New Roman" w:hAnsi="Times New Roman" w:cs="Times New Roman"/>
                <w:color w:val="000000"/>
                <w:sz w:val="22"/>
                <w:szCs w:val="22"/>
              </w:rPr>
              <w:t>0.00254</w:t>
            </w:r>
            <w:proofErr w:type="gramEnd"/>
          </w:p>
        </w:tc>
        <w:tc>
          <w:tcPr>
            <w:tcW w:w="1984" w:type="dxa"/>
            <w:shd w:val="clear" w:color="auto" w:fill="auto"/>
            <w:vAlign w:val="bottom"/>
          </w:tcPr>
          <w:p w14:paraId="4706C6CE" w14:textId="77777777" w:rsidR="009F5902" w:rsidRPr="005B34C8" w:rsidRDefault="009F5902" w:rsidP="009F590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0.000858</w:t>
            </w:r>
            <w:proofErr w:type="gramEnd"/>
          </w:p>
        </w:tc>
        <w:tc>
          <w:tcPr>
            <w:tcW w:w="1418" w:type="dxa"/>
            <w:shd w:val="clear" w:color="auto" w:fill="auto"/>
            <w:vAlign w:val="bottom"/>
          </w:tcPr>
          <w:p w14:paraId="6A05A1BA" w14:textId="77777777" w:rsidR="009F5902" w:rsidRPr="005B34C8" w:rsidRDefault="009F5902" w:rsidP="009F590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0.0032</w:t>
            </w:r>
            <w:proofErr w:type="gramEnd"/>
          </w:p>
        </w:tc>
      </w:tr>
      <w:tr w:rsidR="009F5902" w:rsidRPr="00741DFD" w14:paraId="4C6B33E1" w14:textId="77777777" w:rsidTr="009F5902">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756AF7AB" w14:textId="4F6DA40A" w:rsidR="009F5902" w:rsidRPr="005B34C8" w:rsidRDefault="009F5902" w:rsidP="009F5902">
            <w:pPr>
              <w:jc w:val="center"/>
              <w:rPr>
                <w:rFonts w:ascii="Times New Roman" w:hAnsi="Times New Roman" w:cs="Times New Roman"/>
                <w:color w:val="000000"/>
                <w:sz w:val="22"/>
                <w:szCs w:val="22"/>
              </w:rPr>
            </w:pPr>
            <w:r w:rsidRPr="005B34C8">
              <w:rPr>
                <w:rFonts w:ascii="Times New Roman" w:hAnsi="Times New Roman" w:cs="Times New Roman"/>
                <w:color w:val="000000"/>
                <w:sz w:val="22"/>
                <w:szCs w:val="22"/>
              </w:rPr>
              <w:t>ESG</w:t>
            </w:r>
            <w:r>
              <w:rPr>
                <w:rFonts w:ascii="Times New Roman" w:hAnsi="Times New Roman" w:cs="Times New Roman"/>
                <w:color w:val="000000"/>
                <w:sz w:val="22"/>
                <w:szCs w:val="22"/>
              </w:rPr>
              <w:t>-</w:t>
            </w:r>
            <w:r w:rsidRPr="005B34C8">
              <w:rPr>
                <w:rFonts w:ascii="Times New Roman" w:hAnsi="Times New Roman" w:cs="Times New Roman"/>
                <w:color w:val="000000"/>
                <w:sz w:val="22"/>
                <w:szCs w:val="22"/>
              </w:rPr>
              <w:t>DIF</w:t>
            </w:r>
          </w:p>
        </w:tc>
        <w:tc>
          <w:tcPr>
            <w:tcW w:w="1276" w:type="dxa"/>
            <w:shd w:val="clear" w:color="auto" w:fill="auto"/>
            <w:vAlign w:val="bottom"/>
          </w:tcPr>
          <w:p w14:paraId="23AC5675"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r w:rsidRPr="005B34C8">
              <w:rPr>
                <w:rFonts w:ascii="Times New Roman" w:hAnsi="Times New Roman" w:cs="Times New Roman"/>
                <w:color w:val="000000"/>
                <w:sz w:val="22"/>
                <w:szCs w:val="22"/>
              </w:rPr>
              <w:t>-</w:t>
            </w:r>
            <w:proofErr w:type="gramStart"/>
            <w:r w:rsidRPr="005B34C8">
              <w:rPr>
                <w:rFonts w:ascii="Times New Roman" w:hAnsi="Times New Roman" w:cs="Times New Roman"/>
                <w:color w:val="000000"/>
                <w:sz w:val="22"/>
                <w:szCs w:val="22"/>
              </w:rPr>
              <w:t>0.000141</w:t>
            </w:r>
            <w:proofErr w:type="gramEnd"/>
          </w:p>
        </w:tc>
        <w:tc>
          <w:tcPr>
            <w:tcW w:w="1984" w:type="dxa"/>
            <w:shd w:val="clear" w:color="auto" w:fill="auto"/>
            <w:vAlign w:val="bottom"/>
          </w:tcPr>
          <w:p w14:paraId="257D7962"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0.000625</w:t>
            </w:r>
            <w:proofErr w:type="gramEnd"/>
          </w:p>
        </w:tc>
        <w:tc>
          <w:tcPr>
            <w:tcW w:w="1418" w:type="dxa"/>
            <w:shd w:val="clear" w:color="auto" w:fill="auto"/>
            <w:vAlign w:val="bottom"/>
          </w:tcPr>
          <w:p w14:paraId="59A664E4"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0.8221</w:t>
            </w:r>
            <w:proofErr w:type="gramEnd"/>
          </w:p>
        </w:tc>
      </w:tr>
      <w:tr w:rsidR="009F5902" w:rsidRPr="00741DFD" w14:paraId="7AFA8881" w14:textId="77777777" w:rsidTr="009F5902">
        <w:trPr>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47B226AA" w14:textId="3B9E0DAA" w:rsidR="009F5902" w:rsidRPr="005B34C8" w:rsidRDefault="009F5902" w:rsidP="009F5902">
            <w:pPr>
              <w:jc w:val="center"/>
              <w:rPr>
                <w:rFonts w:ascii="Times New Roman" w:hAnsi="Times New Roman" w:cs="Times New Roman"/>
                <w:color w:val="000000"/>
                <w:sz w:val="22"/>
                <w:szCs w:val="22"/>
              </w:rPr>
            </w:pPr>
            <w:r w:rsidRPr="005B34C8">
              <w:rPr>
                <w:rFonts w:ascii="Times New Roman" w:hAnsi="Times New Roman" w:cs="Times New Roman"/>
                <w:color w:val="000000"/>
                <w:sz w:val="22"/>
                <w:szCs w:val="22"/>
              </w:rPr>
              <w:t>LOG</w:t>
            </w:r>
            <w:r>
              <w:rPr>
                <w:rFonts w:ascii="Times New Roman" w:hAnsi="Times New Roman" w:cs="Times New Roman"/>
                <w:color w:val="000000"/>
                <w:sz w:val="22"/>
                <w:szCs w:val="22"/>
              </w:rPr>
              <w:t>(</w:t>
            </w:r>
            <w:r w:rsidRPr="005B34C8">
              <w:rPr>
                <w:rFonts w:ascii="Times New Roman" w:hAnsi="Times New Roman" w:cs="Times New Roman"/>
                <w:color w:val="000000"/>
                <w:sz w:val="22"/>
                <w:szCs w:val="22"/>
              </w:rPr>
              <w:t>LTD</w:t>
            </w:r>
            <w:r>
              <w:rPr>
                <w:rFonts w:ascii="Times New Roman" w:hAnsi="Times New Roman" w:cs="Times New Roman"/>
                <w:color w:val="000000"/>
                <w:sz w:val="22"/>
                <w:szCs w:val="22"/>
              </w:rPr>
              <w:t>/BV)</w:t>
            </w:r>
          </w:p>
        </w:tc>
        <w:tc>
          <w:tcPr>
            <w:tcW w:w="1276" w:type="dxa"/>
            <w:shd w:val="clear" w:color="auto" w:fill="auto"/>
            <w:vAlign w:val="bottom"/>
          </w:tcPr>
          <w:p w14:paraId="18821F20" w14:textId="77777777" w:rsidR="009F5902" w:rsidRPr="005B34C8" w:rsidRDefault="009F5902" w:rsidP="009F590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5B34C8">
              <w:rPr>
                <w:rFonts w:ascii="Times New Roman" w:hAnsi="Times New Roman" w:cs="Times New Roman"/>
                <w:color w:val="000000"/>
                <w:sz w:val="22"/>
                <w:szCs w:val="22"/>
              </w:rPr>
              <w:t>-</w:t>
            </w:r>
            <w:proofErr w:type="gramStart"/>
            <w:r w:rsidRPr="005B34C8">
              <w:rPr>
                <w:rFonts w:ascii="Times New Roman" w:hAnsi="Times New Roman" w:cs="Times New Roman"/>
                <w:color w:val="000000"/>
                <w:sz w:val="22"/>
                <w:szCs w:val="22"/>
              </w:rPr>
              <w:t>0.017995</w:t>
            </w:r>
            <w:proofErr w:type="gramEnd"/>
          </w:p>
        </w:tc>
        <w:tc>
          <w:tcPr>
            <w:tcW w:w="1984" w:type="dxa"/>
            <w:shd w:val="clear" w:color="auto" w:fill="auto"/>
            <w:vAlign w:val="bottom"/>
          </w:tcPr>
          <w:p w14:paraId="52F0E085" w14:textId="77777777" w:rsidR="009F5902" w:rsidRPr="005B34C8" w:rsidRDefault="009F5902" w:rsidP="009F590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0.007227</w:t>
            </w:r>
            <w:proofErr w:type="gramEnd"/>
          </w:p>
        </w:tc>
        <w:tc>
          <w:tcPr>
            <w:tcW w:w="1418" w:type="dxa"/>
            <w:shd w:val="clear" w:color="auto" w:fill="auto"/>
            <w:vAlign w:val="bottom"/>
          </w:tcPr>
          <w:p w14:paraId="7DE23C9B" w14:textId="77777777" w:rsidR="009F5902" w:rsidRPr="005B34C8" w:rsidRDefault="009F5902" w:rsidP="009F590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0.0132</w:t>
            </w:r>
            <w:proofErr w:type="gramEnd"/>
          </w:p>
        </w:tc>
      </w:tr>
      <w:tr w:rsidR="009F5902" w:rsidRPr="00741DFD" w14:paraId="0188FF06" w14:textId="77777777" w:rsidTr="009F5902">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7853ABAE" w14:textId="5932E557" w:rsidR="009F5902" w:rsidRPr="005B34C8" w:rsidRDefault="009F5902" w:rsidP="009F5902">
            <w:pPr>
              <w:jc w:val="center"/>
              <w:rPr>
                <w:rFonts w:ascii="Times New Roman" w:hAnsi="Times New Roman" w:cs="Times New Roman"/>
                <w:color w:val="000000"/>
                <w:sz w:val="22"/>
                <w:szCs w:val="22"/>
              </w:rPr>
            </w:pPr>
            <w:proofErr w:type="gramStart"/>
            <w:r w:rsidRPr="00B324C8">
              <w:rPr>
                <w:rFonts w:ascii="Times New Roman" w:hAnsi="Times New Roman" w:cs="Times New Roman"/>
                <w:bCs w:val="0"/>
                <w:sz w:val="22"/>
                <w:szCs w:val="22"/>
              </w:rPr>
              <w:t>LOG(</w:t>
            </w:r>
            <w:proofErr w:type="gramEnd"/>
            <w:r w:rsidRPr="00B324C8">
              <w:rPr>
                <w:rFonts w:ascii="Times New Roman" w:hAnsi="Times New Roman" w:cs="Times New Roman"/>
                <w:bCs w:val="0"/>
                <w:sz w:val="22"/>
                <w:szCs w:val="22"/>
              </w:rPr>
              <w:t>BOOK/MARKET (A))</w:t>
            </w:r>
          </w:p>
        </w:tc>
        <w:tc>
          <w:tcPr>
            <w:tcW w:w="1276" w:type="dxa"/>
            <w:shd w:val="clear" w:color="auto" w:fill="auto"/>
            <w:vAlign w:val="bottom"/>
          </w:tcPr>
          <w:p w14:paraId="3CEE24ED"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0.017069</w:t>
            </w:r>
            <w:proofErr w:type="gramEnd"/>
          </w:p>
        </w:tc>
        <w:tc>
          <w:tcPr>
            <w:tcW w:w="1984" w:type="dxa"/>
            <w:shd w:val="clear" w:color="auto" w:fill="auto"/>
            <w:vAlign w:val="bottom"/>
          </w:tcPr>
          <w:p w14:paraId="170B7589"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0.01279</w:t>
            </w:r>
            <w:proofErr w:type="gramEnd"/>
          </w:p>
        </w:tc>
        <w:tc>
          <w:tcPr>
            <w:tcW w:w="1418" w:type="dxa"/>
            <w:shd w:val="clear" w:color="auto" w:fill="auto"/>
            <w:vAlign w:val="bottom"/>
          </w:tcPr>
          <w:p w14:paraId="2DA8CFA7"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0.1828</w:t>
            </w:r>
            <w:proofErr w:type="gramEnd"/>
          </w:p>
        </w:tc>
      </w:tr>
      <w:tr w:rsidR="009F5902" w:rsidRPr="00741DFD" w14:paraId="38CA0CE9" w14:textId="77777777" w:rsidTr="009F5902">
        <w:trPr>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7FAC4558" w14:textId="445A92C6" w:rsidR="009F5902" w:rsidRPr="005B34C8" w:rsidRDefault="009F5902" w:rsidP="009F5902">
            <w:pPr>
              <w:jc w:val="center"/>
              <w:rPr>
                <w:rFonts w:ascii="Times New Roman" w:hAnsi="Times New Roman" w:cs="Times New Roman"/>
                <w:color w:val="000000"/>
                <w:sz w:val="22"/>
                <w:szCs w:val="22"/>
              </w:rPr>
            </w:pPr>
            <w:proofErr w:type="gramStart"/>
            <w:r w:rsidRPr="00B324C8">
              <w:rPr>
                <w:rFonts w:ascii="Times New Roman" w:hAnsi="Times New Roman" w:cs="Times New Roman"/>
                <w:bCs w:val="0"/>
                <w:sz w:val="22"/>
                <w:szCs w:val="22"/>
              </w:rPr>
              <w:t>LOG(</w:t>
            </w:r>
            <w:proofErr w:type="gramEnd"/>
            <w:r w:rsidRPr="00B324C8">
              <w:rPr>
                <w:rFonts w:ascii="Times New Roman" w:hAnsi="Times New Roman" w:cs="Times New Roman"/>
                <w:bCs w:val="0"/>
                <w:sz w:val="22"/>
                <w:szCs w:val="22"/>
              </w:rPr>
              <w:t>BOOK/MARKET (T))</w:t>
            </w:r>
          </w:p>
        </w:tc>
        <w:tc>
          <w:tcPr>
            <w:tcW w:w="1276" w:type="dxa"/>
            <w:shd w:val="clear" w:color="auto" w:fill="auto"/>
            <w:vAlign w:val="bottom"/>
          </w:tcPr>
          <w:p w14:paraId="0EED3BB5" w14:textId="77777777" w:rsidR="009F5902" w:rsidRPr="005B34C8" w:rsidRDefault="009F5902" w:rsidP="009F590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5B34C8">
              <w:rPr>
                <w:rFonts w:ascii="Times New Roman" w:hAnsi="Times New Roman" w:cs="Times New Roman"/>
                <w:color w:val="000000"/>
                <w:sz w:val="22"/>
                <w:szCs w:val="22"/>
              </w:rPr>
              <w:t>-2.97E-02</w:t>
            </w:r>
          </w:p>
        </w:tc>
        <w:tc>
          <w:tcPr>
            <w:tcW w:w="1984" w:type="dxa"/>
            <w:shd w:val="clear" w:color="auto" w:fill="auto"/>
            <w:vAlign w:val="bottom"/>
          </w:tcPr>
          <w:p w14:paraId="3E183BA3" w14:textId="77777777" w:rsidR="009F5902" w:rsidRPr="005B34C8" w:rsidRDefault="009F5902" w:rsidP="009F590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5B34C8">
              <w:rPr>
                <w:rFonts w:ascii="Times New Roman" w:hAnsi="Times New Roman" w:cs="Times New Roman"/>
                <w:color w:val="000000"/>
                <w:sz w:val="22"/>
                <w:szCs w:val="22"/>
              </w:rPr>
              <w:t>1.32E-02</w:t>
            </w:r>
          </w:p>
        </w:tc>
        <w:tc>
          <w:tcPr>
            <w:tcW w:w="1418" w:type="dxa"/>
            <w:shd w:val="clear" w:color="auto" w:fill="auto"/>
            <w:vAlign w:val="bottom"/>
          </w:tcPr>
          <w:p w14:paraId="42B4AE7C" w14:textId="77777777" w:rsidR="009F5902" w:rsidRPr="005B34C8" w:rsidRDefault="009F5902" w:rsidP="009F590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0.0252</w:t>
            </w:r>
            <w:proofErr w:type="gramEnd"/>
          </w:p>
        </w:tc>
      </w:tr>
      <w:tr w:rsidR="009F5902" w:rsidRPr="00741DFD" w14:paraId="3B8469A6" w14:textId="77777777" w:rsidTr="009F5902">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3A5E1565" w14:textId="3F1097F2" w:rsidR="009F5902" w:rsidRPr="005B34C8" w:rsidRDefault="009F5902" w:rsidP="009F5902">
            <w:pPr>
              <w:jc w:val="center"/>
              <w:rPr>
                <w:rFonts w:ascii="Times New Roman" w:hAnsi="Times New Roman" w:cs="Times New Roman"/>
                <w:color w:val="000000"/>
                <w:sz w:val="22"/>
                <w:szCs w:val="22"/>
              </w:rPr>
            </w:pPr>
            <w:r w:rsidRPr="005B34C8">
              <w:rPr>
                <w:rFonts w:ascii="Times New Roman" w:hAnsi="Times New Roman" w:cs="Times New Roman"/>
                <w:color w:val="000000"/>
                <w:sz w:val="22"/>
                <w:szCs w:val="22"/>
              </w:rPr>
              <w:t>LOG</w:t>
            </w:r>
            <w:r>
              <w:rPr>
                <w:rFonts w:ascii="Times New Roman" w:hAnsi="Times New Roman" w:cs="Times New Roman"/>
                <w:color w:val="000000"/>
                <w:sz w:val="22"/>
                <w:szCs w:val="22"/>
              </w:rPr>
              <w:t>(</w:t>
            </w:r>
            <w:r w:rsidRPr="005B34C8">
              <w:rPr>
                <w:rFonts w:ascii="Times New Roman" w:hAnsi="Times New Roman" w:cs="Times New Roman"/>
                <w:color w:val="000000"/>
                <w:sz w:val="22"/>
                <w:szCs w:val="22"/>
              </w:rPr>
              <w:t>FIN</w:t>
            </w:r>
            <w:r>
              <w:rPr>
                <w:rFonts w:ascii="Times New Roman" w:hAnsi="Times New Roman" w:cs="Times New Roman"/>
                <w:color w:val="000000"/>
                <w:sz w:val="22"/>
                <w:szCs w:val="22"/>
              </w:rPr>
              <w:t>_</w:t>
            </w:r>
            <w:r w:rsidRPr="005B34C8">
              <w:rPr>
                <w:rFonts w:ascii="Times New Roman" w:hAnsi="Times New Roman" w:cs="Times New Roman"/>
                <w:color w:val="000000"/>
                <w:sz w:val="22"/>
                <w:szCs w:val="22"/>
              </w:rPr>
              <w:t>LEV</w:t>
            </w:r>
            <w:r>
              <w:rPr>
                <w:rFonts w:ascii="Times New Roman" w:hAnsi="Times New Roman" w:cs="Times New Roman"/>
                <w:color w:val="000000"/>
                <w:sz w:val="22"/>
                <w:szCs w:val="22"/>
              </w:rPr>
              <w:t>)</w:t>
            </w:r>
          </w:p>
        </w:tc>
        <w:tc>
          <w:tcPr>
            <w:tcW w:w="1276" w:type="dxa"/>
            <w:shd w:val="clear" w:color="auto" w:fill="auto"/>
            <w:vAlign w:val="bottom"/>
          </w:tcPr>
          <w:p w14:paraId="466799DC"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r w:rsidRPr="005B34C8">
              <w:rPr>
                <w:rFonts w:ascii="Times New Roman" w:hAnsi="Times New Roman" w:cs="Times New Roman"/>
                <w:color w:val="000000"/>
                <w:sz w:val="22"/>
                <w:szCs w:val="22"/>
              </w:rPr>
              <w:t>-</w:t>
            </w:r>
            <w:proofErr w:type="gramStart"/>
            <w:r w:rsidRPr="005B34C8">
              <w:rPr>
                <w:rFonts w:ascii="Times New Roman" w:hAnsi="Times New Roman" w:cs="Times New Roman"/>
                <w:color w:val="000000"/>
                <w:sz w:val="22"/>
                <w:szCs w:val="22"/>
              </w:rPr>
              <w:t>0.011555</w:t>
            </w:r>
            <w:proofErr w:type="gramEnd"/>
          </w:p>
        </w:tc>
        <w:tc>
          <w:tcPr>
            <w:tcW w:w="1984" w:type="dxa"/>
            <w:shd w:val="clear" w:color="auto" w:fill="auto"/>
            <w:vAlign w:val="bottom"/>
          </w:tcPr>
          <w:p w14:paraId="0F86626B"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0.01094</w:t>
            </w:r>
            <w:proofErr w:type="gramEnd"/>
          </w:p>
        </w:tc>
        <w:tc>
          <w:tcPr>
            <w:tcW w:w="1418" w:type="dxa"/>
            <w:shd w:val="clear" w:color="auto" w:fill="auto"/>
            <w:vAlign w:val="bottom"/>
          </w:tcPr>
          <w:p w14:paraId="317A6004"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0.2915</w:t>
            </w:r>
            <w:proofErr w:type="gramEnd"/>
          </w:p>
        </w:tc>
      </w:tr>
      <w:tr w:rsidR="009F5902" w:rsidRPr="00741DFD" w14:paraId="5796F651" w14:textId="77777777" w:rsidTr="009F5902">
        <w:trPr>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61D5DD7E" w14:textId="34F8BCF5" w:rsidR="009F5902" w:rsidRPr="005B34C8" w:rsidRDefault="009F5902" w:rsidP="009F5902">
            <w:pPr>
              <w:jc w:val="center"/>
              <w:rPr>
                <w:rFonts w:ascii="Times New Roman" w:hAnsi="Times New Roman" w:cs="Times New Roman"/>
                <w:color w:val="000000"/>
                <w:sz w:val="22"/>
                <w:szCs w:val="22"/>
              </w:rPr>
            </w:pPr>
            <w:r w:rsidRPr="005B34C8">
              <w:rPr>
                <w:rFonts w:ascii="Times New Roman" w:hAnsi="Times New Roman" w:cs="Times New Roman"/>
                <w:color w:val="000000"/>
                <w:sz w:val="22"/>
                <w:szCs w:val="22"/>
              </w:rPr>
              <w:t>LOG</w:t>
            </w:r>
            <w:r>
              <w:rPr>
                <w:rFonts w:ascii="Times New Roman" w:hAnsi="Times New Roman" w:cs="Times New Roman"/>
                <w:color w:val="000000"/>
                <w:sz w:val="22"/>
                <w:szCs w:val="22"/>
              </w:rPr>
              <w:t>(</w:t>
            </w:r>
            <w:r w:rsidRPr="005B34C8">
              <w:rPr>
                <w:rFonts w:ascii="Times New Roman" w:hAnsi="Times New Roman" w:cs="Times New Roman"/>
                <w:color w:val="000000"/>
                <w:sz w:val="22"/>
                <w:szCs w:val="22"/>
              </w:rPr>
              <w:t>MCAP</w:t>
            </w:r>
            <w:r>
              <w:rPr>
                <w:rFonts w:ascii="Times New Roman" w:hAnsi="Times New Roman" w:cs="Times New Roman"/>
                <w:color w:val="000000"/>
                <w:sz w:val="22"/>
                <w:szCs w:val="22"/>
              </w:rPr>
              <w:t>_DIF)</w:t>
            </w:r>
          </w:p>
        </w:tc>
        <w:tc>
          <w:tcPr>
            <w:tcW w:w="1276" w:type="dxa"/>
            <w:shd w:val="clear" w:color="auto" w:fill="auto"/>
            <w:vAlign w:val="bottom"/>
          </w:tcPr>
          <w:p w14:paraId="649F22F5" w14:textId="77777777" w:rsidR="009F5902" w:rsidRPr="005B34C8" w:rsidRDefault="009F5902" w:rsidP="009F590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0.017655</w:t>
            </w:r>
            <w:proofErr w:type="gramEnd"/>
          </w:p>
        </w:tc>
        <w:tc>
          <w:tcPr>
            <w:tcW w:w="1984" w:type="dxa"/>
            <w:shd w:val="clear" w:color="auto" w:fill="auto"/>
            <w:vAlign w:val="bottom"/>
          </w:tcPr>
          <w:p w14:paraId="480CF854" w14:textId="77777777" w:rsidR="009F5902" w:rsidRPr="005B34C8" w:rsidRDefault="009F5902" w:rsidP="009F590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0.006054</w:t>
            </w:r>
            <w:proofErr w:type="gramEnd"/>
          </w:p>
        </w:tc>
        <w:tc>
          <w:tcPr>
            <w:tcW w:w="1418" w:type="dxa"/>
            <w:shd w:val="clear" w:color="auto" w:fill="auto"/>
            <w:vAlign w:val="bottom"/>
          </w:tcPr>
          <w:p w14:paraId="349F9ADD" w14:textId="77777777" w:rsidR="009F5902" w:rsidRPr="005B34C8" w:rsidRDefault="009F5902" w:rsidP="009F590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0.0037</w:t>
            </w:r>
            <w:proofErr w:type="gramEnd"/>
          </w:p>
        </w:tc>
      </w:tr>
      <w:tr w:rsidR="009F5902" w:rsidRPr="00741DFD" w14:paraId="7DF76F9B" w14:textId="77777777" w:rsidTr="009F5902">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tcPr>
          <w:p w14:paraId="55745F76" w14:textId="5202C60B" w:rsidR="009F5902" w:rsidRPr="005B34C8" w:rsidRDefault="009F5902" w:rsidP="009F5902">
            <w:pPr>
              <w:jc w:val="center"/>
              <w:rPr>
                <w:rFonts w:ascii="Times New Roman" w:hAnsi="Times New Roman" w:cs="Times New Roman"/>
                <w:color w:val="000000"/>
                <w:sz w:val="22"/>
                <w:szCs w:val="22"/>
              </w:rPr>
            </w:pPr>
            <w:r w:rsidRPr="005B34C8">
              <w:rPr>
                <w:rFonts w:ascii="Times New Roman" w:hAnsi="Times New Roman" w:cs="Times New Roman"/>
                <w:color w:val="000000"/>
                <w:sz w:val="22"/>
                <w:szCs w:val="22"/>
              </w:rPr>
              <w:t>STOCKS</w:t>
            </w:r>
          </w:p>
        </w:tc>
        <w:tc>
          <w:tcPr>
            <w:tcW w:w="1276" w:type="dxa"/>
            <w:shd w:val="clear" w:color="auto" w:fill="auto"/>
            <w:vAlign w:val="bottom"/>
          </w:tcPr>
          <w:p w14:paraId="6C7F0A21"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r w:rsidRPr="005B34C8">
              <w:rPr>
                <w:rFonts w:ascii="Times New Roman" w:hAnsi="Times New Roman" w:cs="Times New Roman"/>
                <w:color w:val="000000"/>
                <w:sz w:val="22"/>
                <w:szCs w:val="22"/>
              </w:rPr>
              <w:t>-</w:t>
            </w:r>
            <w:proofErr w:type="gramStart"/>
            <w:r w:rsidRPr="005B34C8">
              <w:rPr>
                <w:rFonts w:ascii="Times New Roman" w:hAnsi="Times New Roman" w:cs="Times New Roman"/>
                <w:color w:val="000000"/>
                <w:sz w:val="22"/>
                <w:szCs w:val="22"/>
              </w:rPr>
              <w:t>0.090181</w:t>
            </w:r>
            <w:proofErr w:type="gramEnd"/>
          </w:p>
        </w:tc>
        <w:tc>
          <w:tcPr>
            <w:tcW w:w="1984" w:type="dxa"/>
            <w:shd w:val="clear" w:color="auto" w:fill="auto"/>
            <w:vAlign w:val="bottom"/>
          </w:tcPr>
          <w:p w14:paraId="60B49324"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0.024213</w:t>
            </w:r>
            <w:proofErr w:type="gramEnd"/>
          </w:p>
        </w:tc>
        <w:tc>
          <w:tcPr>
            <w:tcW w:w="1418" w:type="dxa"/>
            <w:shd w:val="clear" w:color="auto" w:fill="auto"/>
            <w:vAlign w:val="bottom"/>
          </w:tcPr>
          <w:p w14:paraId="0A7DAF5D"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proofErr w:type="gramStart"/>
            <w:r w:rsidRPr="005B34C8">
              <w:rPr>
                <w:rFonts w:ascii="Times New Roman" w:hAnsi="Times New Roman" w:cs="Times New Roman"/>
                <w:color w:val="000000"/>
                <w:sz w:val="22"/>
                <w:szCs w:val="22"/>
              </w:rPr>
              <w:t>0.0002</w:t>
            </w:r>
            <w:proofErr w:type="gramEnd"/>
          </w:p>
        </w:tc>
      </w:tr>
      <w:tr w:rsidR="009F5902" w:rsidRPr="00741DFD" w14:paraId="39BF0E5A" w14:textId="77777777" w:rsidTr="009F5902">
        <w:trPr>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tcPr>
          <w:p w14:paraId="18818ABE" w14:textId="77777777" w:rsidR="009F5902" w:rsidRPr="005B34C8" w:rsidRDefault="009F5902" w:rsidP="009F5902">
            <w:pPr>
              <w:jc w:val="center"/>
              <w:rPr>
                <w:rFonts w:ascii="Times New Roman" w:hAnsi="Times New Roman" w:cs="Times New Roman"/>
                <w:color w:val="000000"/>
                <w:sz w:val="22"/>
                <w:szCs w:val="22"/>
              </w:rPr>
            </w:pPr>
          </w:p>
        </w:tc>
        <w:tc>
          <w:tcPr>
            <w:tcW w:w="1276" w:type="dxa"/>
            <w:shd w:val="clear" w:color="auto" w:fill="auto"/>
            <w:vAlign w:val="bottom"/>
          </w:tcPr>
          <w:p w14:paraId="3CB45132" w14:textId="77777777" w:rsidR="009F5902" w:rsidRPr="005B34C8" w:rsidRDefault="009F5902" w:rsidP="009F590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
        </w:tc>
        <w:tc>
          <w:tcPr>
            <w:tcW w:w="1984" w:type="dxa"/>
            <w:shd w:val="clear" w:color="auto" w:fill="auto"/>
            <w:vAlign w:val="bottom"/>
          </w:tcPr>
          <w:p w14:paraId="6C9BD184" w14:textId="77777777" w:rsidR="009F5902" w:rsidRPr="005B34C8" w:rsidRDefault="009F5902" w:rsidP="009F590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
        </w:tc>
        <w:tc>
          <w:tcPr>
            <w:tcW w:w="1418" w:type="dxa"/>
            <w:shd w:val="clear" w:color="auto" w:fill="auto"/>
            <w:vAlign w:val="bottom"/>
          </w:tcPr>
          <w:p w14:paraId="30C19370" w14:textId="77777777" w:rsidR="009F5902" w:rsidRPr="005B34C8" w:rsidRDefault="009F5902" w:rsidP="009F590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
        </w:tc>
      </w:tr>
      <w:tr w:rsidR="009F5902" w:rsidRPr="00741DFD" w14:paraId="59FBCEE3" w14:textId="77777777" w:rsidTr="00E00831">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hideMark/>
          </w:tcPr>
          <w:p w14:paraId="71967406" w14:textId="77777777" w:rsidR="009F5902" w:rsidRPr="005B34C8" w:rsidRDefault="009F5902" w:rsidP="009F5902">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Sample size</w:t>
            </w:r>
          </w:p>
        </w:tc>
        <w:tc>
          <w:tcPr>
            <w:tcW w:w="1276" w:type="dxa"/>
            <w:shd w:val="clear" w:color="auto" w:fill="auto"/>
          </w:tcPr>
          <w:p w14:paraId="33EE0883"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c>
          <w:tcPr>
            <w:tcW w:w="1984" w:type="dxa"/>
            <w:shd w:val="clear" w:color="auto" w:fill="auto"/>
          </w:tcPr>
          <w:p w14:paraId="4DC946A8"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5B34C8">
              <w:rPr>
                <w:rFonts w:ascii="Times New Roman" w:hAnsi="Times New Roman" w:cs="Times New Roman"/>
                <w:sz w:val="22"/>
                <w:szCs w:val="22"/>
              </w:rPr>
              <w:t>400</w:t>
            </w:r>
          </w:p>
        </w:tc>
        <w:tc>
          <w:tcPr>
            <w:tcW w:w="1418" w:type="dxa"/>
            <w:shd w:val="clear" w:color="auto" w:fill="auto"/>
          </w:tcPr>
          <w:p w14:paraId="3DA8764B"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r>
      <w:tr w:rsidR="009F5902" w:rsidRPr="00741DFD" w14:paraId="3BE6C11D" w14:textId="77777777" w:rsidTr="00787A5C">
        <w:trPr>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tcPr>
          <w:p w14:paraId="2C3CAFD0" w14:textId="77777777" w:rsidR="009F5902" w:rsidRPr="005B34C8" w:rsidRDefault="009F5902" w:rsidP="009F5902">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R-squared</w:t>
            </w:r>
          </w:p>
        </w:tc>
        <w:tc>
          <w:tcPr>
            <w:tcW w:w="1276" w:type="dxa"/>
            <w:shd w:val="clear" w:color="auto" w:fill="auto"/>
          </w:tcPr>
          <w:p w14:paraId="2F3184C6" w14:textId="77777777" w:rsidR="009F5902" w:rsidRPr="005B34C8" w:rsidRDefault="009F5902" w:rsidP="009F590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
        </w:tc>
        <w:tc>
          <w:tcPr>
            <w:tcW w:w="1984" w:type="dxa"/>
            <w:shd w:val="clear" w:color="auto" w:fill="auto"/>
          </w:tcPr>
          <w:p w14:paraId="19BF5AFA" w14:textId="77777777" w:rsidR="009F5902" w:rsidRPr="005B34C8" w:rsidRDefault="009F5902" w:rsidP="009F590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roofErr w:type="gramStart"/>
            <w:r w:rsidRPr="005B34C8">
              <w:rPr>
                <w:rFonts w:ascii="Times New Roman" w:hAnsi="Times New Roman" w:cs="Times New Roman"/>
                <w:color w:val="000000"/>
                <w:sz w:val="22"/>
                <w:szCs w:val="22"/>
              </w:rPr>
              <w:t>0.156881</w:t>
            </w:r>
            <w:proofErr w:type="gramEnd"/>
          </w:p>
        </w:tc>
        <w:tc>
          <w:tcPr>
            <w:tcW w:w="1418" w:type="dxa"/>
            <w:shd w:val="clear" w:color="auto" w:fill="auto"/>
          </w:tcPr>
          <w:p w14:paraId="5D11E164" w14:textId="77777777" w:rsidR="009F5902" w:rsidRPr="005B34C8" w:rsidRDefault="009F5902" w:rsidP="009F590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p>
        </w:tc>
      </w:tr>
      <w:tr w:rsidR="009F5902" w:rsidRPr="00741DFD" w14:paraId="5D4A561D" w14:textId="77777777" w:rsidTr="00E00831">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77" w:type="dxa"/>
            <w:tcBorders>
              <w:bottom w:val="double" w:sz="4" w:space="0" w:color="auto"/>
            </w:tcBorders>
            <w:shd w:val="clear" w:color="auto" w:fill="auto"/>
          </w:tcPr>
          <w:p w14:paraId="1E8B36E0" w14:textId="77777777" w:rsidR="009F5902" w:rsidRPr="005B34C8" w:rsidRDefault="009F5902" w:rsidP="009F5902">
            <w:pPr>
              <w:jc w:val="center"/>
              <w:rPr>
                <w:rFonts w:ascii="Times New Roman" w:hAnsi="Times New Roman" w:cs="Times New Roman"/>
                <w:color w:val="000000" w:themeColor="text1"/>
                <w:sz w:val="22"/>
                <w:szCs w:val="22"/>
              </w:rPr>
            </w:pPr>
            <w:r w:rsidRPr="005B34C8">
              <w:rPr>
                <w:rFonts w:ascii="Times New Roman" w:hAnsi="Times New Roman" w:cs="Times New Roman"/>
                <w:color w:val="000000" w:themeColor="text1"/>
                <w:sz w:val="22"/>
                <w:szCs w:val="22"/>
              </w:rPr>
              <w:t>Adjusted R-squared</w:t>
            </w:r>
          </w:p>
        </w:tc>
        <w:tc>
          <w:tcPr>
            <w:tcW w:w="1276" w:type="dxa"/>
            <w:tcBorders>
              <w:bottom w:val="double" w:sz="4" w:space="0" w:color="auto"/>
            </w:tcBorders>
            <w:shd w:val="clear" w:color="auto" w:fill="auto"/>
          </w:tcPr>
          <w:p w14:paraId="5DC4F1D6"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c>
          <w:tcPr>
            <w:tcW w:w="1984" w:type="dxa"/>
            <w:tcBorders>
              <w:bottom w:val="double" w:sz="4" w:space="0" w:color="auto"/>
            </w:tcBorders>
            <w:shd w:val="clear" w:color="auto" w:fill="auto"/>
          </w:tcPr>
          <w:p w14:paraId="677E7D00"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proofErr w:type="gramStart"/>
            <w:r w:rsidRPr="005B34C8">
              <w:rPr>
                <w:rFonts w:ascii="Times New Roman" w:hAnsi="Times New Roman" w:cs="Times New Roman"/>
                <w:color w:val="000000"/>
                <w:sz w:val="22"/>
                <w:szCs w:val="22"/>
                <w:shd w:val="clear" w:color="auto" w:fill="FFFFFF"/>
              </w:rPr>
              <w:t>0.13963</w:t>
            </w:r>
            <w:proofErr w:type="gramEnd"/>
          </w:p>
          <w:p w14:paraId="7A8E562B"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shd w:val="clear" w:color="auto" w:fill="FFFFFF"/>
              </w:rPr>
            </w:pPr>
          </w:p>
        </w:tc>
        <w:tc>
          <w:tcPr>
            <w:tcW w:w="1418" w:type="dxa"/>
            <w:tcBorders>
              <w:bottom w:val="double" w:sz="4" w:space="0" w:color="auto"/>
            </w:tcBorders>
            <w:shd w:val="clear" w:color="auto" w:fill="auto"/>
          </w:tcPr>
          <w:p w14:paraId="418CA269" w14:textId="77777777" w:rsidR="009F5902" w:rsidRPr="005B34C8" w:rsidRDefault="009F5902" w:rsidP="009F590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r>
    </w:tbl>
    <w:p w14:paraId="251271D0" w14:textId="77777777" w:rsidR="005B34C8" w:rsidRDefault="005B34C8" w:rsidP="005B34C8">
      <w:pPr>
        <w:spacing w:before="0" w:after="0"/>
        <w:rPr>
          <w:sz w:val="22"/>
          <w:szCs w:val="22"/>
        </w:rPr>
      </w:pPr>
    </w:p>
    <w:p w14:paraId="17B44B3A" w14:textId="2E80FA63" w:rsidR="00542DEC" w:rsidRPr="005B34C8" w:rsidRDefault="000B6FC7" w:rsidP="005B34C8">
      <w:pPr>
        <w:spacing w:before="0" w:after="0"/>
        <w:rPr>
          <w:sz w:val="22"/>
          <w:szCs w:val="22"/>
        </w:rPr>
      </w:pPr>
      <w:r>
        <w:rPr>
          <w:sz w:val="16"/>
          <w:szCs w:val="16"/>
        </w:rPr>
        <w:t xml:space="preserve">Table 7 shows the results from regression model 4. The dependent variable is </w:t>
      </w:r>
      <w:r w:rsidRPr="00C6096B">
        <w:rPr>
          <w:b/>
          <w:bCs/>
          <w:sz w:val="16"/>
          <w:szCs w:val="16"/>
        </w:rPr>
        <w:t>PREMIUM</w:t>
      </w:r>
      <w:r>
        <w:rPr>
          <w:sz w:val="16"/>
          <w:szCs w:val="16"/>
        </w:rPr>
        <w:t xml:space="preserve"> (announced total value of bid / market cap (target)) and represents the bid premium. Table 7 shows the result from a regression model on the dependent variable bid premium. </w:t>
      </w:r>
      <w:r>
        <w:rPr>
          <w:sz w:val="18"/>
          <w:szCs w:val="18"/>
        </w:rPr>
        <w:t xml:space="preserve">The table contains the variables: </w:t>
      </w:r>
      <w:r>
        <w:rPr>
          <w:b/>
          <w:sz w:val="18"/>
          <w:szCs w:val="18"/>
        </w:rPr>
        <w:t xml:space="preserve">(1) ESG_PORTFOLIO </w:t>
      </w:r>
      <w:r>
        <w:rPr>
          <w:sz w:val="18"/>
          <w:szCs w:val="18"/>
        </w:rPr>
        <w:t xml:space="preserve">(average target ESG-rating (sum of existing ratings from </w:t>
      </w:r>
      <w:proofErr w:type="spellStart"/>
      <w:r>
        <w:rPr>
          <w:sz w:val="18"/>
          <w:szCs w:val="18"/>
        </w:rPr>
        <w:t>Sustainalytics</w:t>
      </w:r>
      <w:proofErr w:type="spellEnd"/>
      <w:r>
        <w:rPr>
          <w:sz w:val="18"/>
          <w:szCs w:val="18"/>
        </w:rPr>
        <w:t xml:space="preserve">, </w:t>
      </w:r>
      <w:proofErr w:type="spellStart"/>
      <w:r>
        <w:rPr>
          <w:sz w:val="18"/>
          <w:szCs w:val="18"/>
        </w:rPr>
        <w:t>RobecoSAM</w:t>
      </w:r>
      <w:proofErr w:type="spellEnd"/>
      <w:r>
        <w:rPr>
          <w:sz w:val="18"/>
          <w:szCs w:val="18"/>
        </w:rPr>
        <w:t xml:space="preserve">, ISS Quality Score and Bloomberg ESG Disclosure score converted into a 0-100 scale divided with the amount of existing ratings)) </w:t>
      </w:r>
      <w:r>
        <w:rPr>
          <w:b/>
          <w:sz w:val="18"/>
          <w:szCs w:val="18"/>
        </w:rPr>
        <w:t xml:space="preserve">(2) ESG_DIF </w:t>
      </w:r>
      <w:r>
        <w:rPr>
          <w:sz w:val="18"/>
          <w:szCs w:val="18"/>
        </w:rPr>
        <w:t xml:space="preserve">((ESG-PORTFOLIO (acquirer) - ESG-PORTFOLIO  (target)) </w:t>
      </w:r>
      <w:r>
        <w:rPr>
          <w:b/>
          <w:sz w:val="18"/>
          <w:szCs w:val="18"/>
        </w:rPr>
        <w:t xml:space="preserve">(3) LOG(LTD/BV) </w:t>
      </w:r>
      <w:r>
        <w:rPr>
          <w:sz w:val="18"/>
          <w:szCs w:val="18"/>
        </w:rPr>
        <w:t xml:space="preserve">(the logarithm of </w:t>
      </w:r>
      <w:r>
        <w:rPr>
          <w:b/>
          <w:sz w:val="18"/>
          <w:szCs w:val="18"/>
        </w:rPr>
        <w:t xml:space="preserve"> </w:t>
      </w:r>
      <w:r>
        <w:rPr>
          <w:sz w:val="18"/>
          <w:szCs w:val="18"/>
        </w:rPr>
        <w:t xml:space="preserve">long-term debt / total assets (target)) </w:t>
      </w:r>
      <w:r>
        <w:rPr>
          <w:b/>
          <w:sz w:val="18"/>
          <w:szCs w:val="18"/>
        </w:rPr>
        <w:t xml:space="preserve">(4) LOG(BOOK/MARKET (A)) </w:t>
      </w:r>
      <w:r>
        <w:rPr>
          <w:sz w:val="18"/>
          <w:szCs w:val="18"/>
        </w:rPr>
        <w:t xml:space="preserve">(logarithm of (total assets - total liabilities) / market cap (acquirer)) </w:t>
      </w:r>
      <w:r>
        <w:rPr>
          <w:b/>
          <w:sz w:val="18"/>
          <w:szCs w:val="18"/>
        </w:rPr>
        <w:t xml:space="preserve">(5) LOG(BOOK/MARKET (T)) </w:t>
      </w:r>
      <w:r>
        <w:rPr>
          <w:sz w:val="18"/>
          <w:szCs w:val="18"/>
        </w:rPr>
        <w:t xml:space="preserve">(logarithm of (total assets - total liabilities) / market cap (target) </w:t>
      </w:r>
      <w:r>
        <w:rPr>
          <w:b/>
          <w:sz w:val="18"/>
          <w:szCs w:val="18"/>
        </w:rPr>
        <w:t xml:space="preserve">(6) LOG(MCAP_DIF) </w:t>
      </w:r>
      <w:r>
        <w:rPr>
          <w:sz w:val="18"/>
          <w:szCs w:val="18"/>
        </w:rPr>
        <w:t xml:space="preserve">(logarithm of  (market cap (acquirer) - market cap (target)) </w:t>
      </w:r>
      <w:r>
        <w:rPr>
          <w:b/>
          <w:sz w:val="18"/>
          <w:szCs w:val="18"/>
        </w:rPr>
        <w:t xml:space="preserve">(7) LOG(FIN_LEV) </w:t>
      </w:r>
      <w:r>
        <w:rPr>
          <w:sz w:val="18"/>
          <w:szCs w:val="18"/>
        </w:rPr>
        <w:t xml:space="preserve">(logarithm of (liabilities / equity (target)) </w:t>
      </w:r>
      <w:r>
        <w:rPr>
          <w:b/>
          <w:sz w:val="18"/>
          <w:szCs w:val="18"/>
        </w:rPr>
        <w:t xml:space="preserve">(8) STOCK </w:t>
      </w:r>
      <w:r>
        <w:rPr>
          <w:sz w:val="18"/>
          <w:szCs w:val="18"/>
        </w:rPr>
        <w:t xml:space="preserve">(dummy variable that equals 1 if the payment was only done through stock). All variables except ESG_PORTFOLIO and ESG_DIF have been </w:t>
      </w:r>
      <w:proofErr w:type="spellStart"/>
      <w:r>
        <w:rPr>
          <w:sz w:val="18"/>
          <w:szCs w:val="18"/>
        </w:rPr>
        <w:t>winsorized</w:t>
      </w:r>
      <w:proofErr w:type="spellEnd"/>
      <w:r>
        <w:rPr>
          <w:sz w:val="18"/>
          <w:szCs w:val="18"/>
        </w:rPr>
        <w:t xml:space="preserve"> at the </w:t>
      </w:r>
      <w:proofErr w:type="gramStart"/>
      <w:r>
        <w:rPr>
          <w:sz w:val="18"/>
          <w:szCs w:val="18"/>
        </w:rPr>
        <w:t>1th</w:t>
      </w:r>
      <w:proofErr w:type="gramEnd"/>
      <w:r>
        <w:rPr>
          <w:sz w:val="18"/>
          <w:szCs w:val="18"/>
        </w:rPr>
        <w:t xml:space="preserve"> and 99th percentile. The coefficient, standard error and P-value are shown for each variable. The table also includes the sample size, R^2 and adjusted R-squared.</w:t>
      </w:r>
    </w:p>
    <w:p w14:paraId="7AB69E00" w14:textId="77777777" w:rsidR="00542DEC" w:rsidRDefault="000B6FC7">
      <w:r>
        <w:t xml:space="preserve">The boxplots in figure 3 (see appendix) simplifies the discovery of outliers. Outliers are present in almost every variable. The data for every variable except ESG-PORTFOLIO and ESG-DIF is therefore </w:t>
      </w:r>
      <w:proofErr w:type="spellStart"/>
      <w:r>
        <w:t>winsorized</w:t>
      </w:r>
      <w:proofErr w:type="spellEnd"/>
      <w:r>
        <w:t xml:space="preserve"> at the </w:t>
      </w:r>
      <w:proofErr w:type="gramStart"/>
      <w:r>
        <w:t>1th</w:t>
      </w:r>
      <w:proofErr w:type="gramEnd"/>
      <w:r>
        <w:t xml:space="preserve"> and 99th percentile. The data from ESG-PORTFOLIO and ESG-DIF is not </w:t>
      </w:r>
      <w:proofErr w:type="spellStart"/>
      <w:r>
        <w:t>winzorised</w:t>
      </w:r>
      <w:proofErr w:type="spellEnd"/>
      <w:r>
        <w:t xml:space="preserve"> because every data point is within the expected range. Remember, the range of ESG-PORTFOLIO and ESG-DIF is between 0 and 100. The </w:t>
      </w:r>
      <w:proofErr w:type="spellStart"/>
      <w:r>
        <w:t>winsorization</w:t>
      </w:r>
      <w:proofErr w:type="spellEnd"/>
      <w:r>
        <w:t xml:space="preserve"> reduced the final sample to 400 from 409 in model 3.</w:t>
      </w:r>
    </w:p>
    <w:p w14:paraId="4AD84D1A" w14:textId="6C449DCF" w:rsidR="00542DEC" w:rsidRDefault="004A326F">
      <w:r>
        <w:t>The results</w:t>
      </w:r>
      <w:r w:rsidR="000B6FC7">
        <w:t xml:space="preserve"> from the </w:t>
      </w:r>
      <w:proofErr w:type="spellStart"/>
      <w:r w:rsidR="000B6FC7">
        <w:t>winsorized</w:t>
      </w:r>
      <w:proofErr w:type="spellEnd"/>
      <w:r w:rsidR="000B6FC7">
        <w:t xml:space="preserve"> regression model shows that ESG-rating has a coefficient of -0.00254 and a p-value of less than 0.0032. The coefficient is significant and shows that target </w:t>
      </w:r>
      <w:r w:rsidR="000B6FC7">
        <w:lastRenderedPageBreak/>
        <w:t xml:space="preserve">companies with higher ESG-rating leads on average to a decrease in bid premium. The regression shows that ESG-DIF has a coefficient of -0.000141 and a p-value of 0.8221. The coefficient is </w:t>
      </w:r>
      <w:r>
        <w:t>insignificant,</w:t>
      </w:r>
      <w:r w:rsidR="000B6FC7">
        <w:t xml:space="preserve"> and we </w:t>
      </w:r>
      <w:r>
        <w:t>cannot</w:t>
      </w:r>
      <w:r w:rsidR="000B6FC7">
        <w:t xml:space="preserve"> claim that the difference in ESG-rating between the target and the acquirer has any effect on the bid premium. The Ramsey RESET test returns a p-value of 0.0907 indicating that the model is exogenous. The result from the Ramsey RESET test is a little bit worse than the result from model 3. The Breusch-Pagan heteroskedasticity test returns a p-value of 0.1026 indicating that the model does not suffer from heteroscedasticity. This result from the Breusch-Pagan test is a small improvement from model 3. We can conclude from these tests that the model is still BLUE since the Gauss</w:t>
      </w:r>
      <w:r>
        <w:t>-</w:t>
      </w:r>
      <w:r w:rsidR="000B6FC7">
        <w:t>Marko</w:t>
      </w:r>
      <w:r>
        <w:t>v</w:t>
      </w:r>
      <w:r w:rsidR="000B6FC7">
        <w:t xml:space="preserve"> assumptions still hold. R-squared has increased to 0.156881 from model 3. The total variance of the included explanatory variables can explain around 15.7 % of the variance in bid premiums. This is an improvement from model 3. </w:t>
      </w:r>
    </w:p>
    <w:p w14:paraId="6712B5E2" w14:textId="4F66D9C0" w:rsidR="00542DEC" w:rsidRDefault="000B6FC7">
      <w:r>
        <w:t xml:space="preserve">It is difficult to assess if </w:t>
      </w:r>
      <w:proofErr w:type="spellStart"/>
      <w:r>
        <w:t>winsorizing</w:t>
      </w:r>
      <w:proofErr w:type="spellEnd"/>
      <w:r>
        <w:t xml:space="preserve"> the data was necessary. We will however treat this model as the model we </w:t>
      </w:r>
      <w:r w:rsidR="004A326F">
        <w:t>analyze</w:t>
      </w:r>
      <w:r>
        <w:t xml:space="preserve"> for the remainder of this paper and the one we will use to answer the hypothesis. The reasons for this are that the parameters appear to be unbiased and consistent, the error terms appear to be consistent and the coefficients appear to be in the range of what we expected the parameters to be. The R-squared is also similar to the R-squared found in previous literature.</w:t>
      </w:r>
    </w:p>
    <w:p w14:paraId="53D89E54" w14:textId="329AF794" w:rsidR="00542DEC" w:rsidRDefault="000B6FC7">
      <w:pPr>
        <w:pStyle w:val="Heading2"/>
      </w:pPr>
      <w:bookmarkStart w:id="73" w:name="_Toc61125936"/>
      <w:bookmarkStart w:id="74" w:name="_Toc61126709"/>
      <w:r>
        <w:t>6.2 Multicollinearity</w:t>
      </w:r>
      <w:bookmarkEnd w:id="73"/>
      <w:bookmarkEnd w:id="74"/>
    </w:p>
    <w:p w14:paraId="383EE6B1" w14:textId="16BA373C" w:rsidR="00542DEC" w:rsidRDefault="000B6FC7">
      <w:r>
        <w:t>Matrix 1 (see appendix) shows that the pairwise correlation between the explanatory variables in model 4 ranges from -0</w:t>
      </w:r>
      <w:r w:rsidR="00E96852">
        <w:t>.</w:t>
      </w:r>
      <w:r>
        <w:t>443106 to 0</w:t>
      </w:r>
      <w:r w:rsidR="00E96852">
        <w:t>.</w:t>
      </w:r>
      <w:r>
        <w:t xml:space="preserve">665484. The largest positive correlation is observed between ESG-rating and ESG-DIF. The largest negative correlation is observed between the logarithmic value of the book to market ratio of the target </w:t>
      </w:r>
      <w:proofErr w:type="gramStart"/>
      <w:r>
        <w:t>LOG(</w:t>
      </w:r>
      <w:proofErr w:type="gramEnd"/>
      <w:r>
        <w:t>BOOK/MARKET (T) and the logarithmic value of the difference in market cap between the target and the acquirer LOG(MCAP-DIF). Result from table 8 (see appendix) shows that the variance inflation factor test indicates that pairwise correlation as well as higher order correlations are not any concern that may cause multicollinearity.</w:t>
      </w:r>
    </w:p>
    <w:p w14:paraId="6024D689" w14:textId="48A8D0AA" w:rsidR="00542DEC" w:rsidRDefault="000B6FC7">
      <w:pPr>
        <w:pStyle w:val="Heading2"/>
      </w:pPr>
      <w:bookmarkStart w:id="75" w:name="_Toc61125937"/>
      <w:bookmarkStart w:id="76" w:name="_Toc61126710"/>
      <w:r>
        <w:lastRenderedPageBreak/>
        <w:t>6.3 Answering the hypothesis</w:t>
      </w:r>
      <w:bookmarkEnd w:id="75"/>
      <w:bookmarkEnd w:id="76"/>
      <w:r>
        <w:t xml:space="preserve"> </w:t>
      </w:r>
    </w:p>
    <w:p w14:paraId="0047357E" w14:textId="77777777" w:rsidR="00542DEC" w:rsidRDefault="000B6FC7">
      <w:r>
        <w:t>The null hypothesis that ESG-commitment of the target company has no effect on the bid premium can with the results from model 4 be rejected at a 5 % significance level. The results show that a higher ESG-rating leads to a lower bid premium. This is contradictory to the hypothesis in section 2.6 where we thought that the relationship would be positive. Reasoning behind why this is will be conducted in section 7.</w:t>
      </w:r>
    </w:p>
    <w:p w14:paraId="46DBCF95" w14:textId="77777777" w:rsidR="00542DEC" w:rsidRDefault="00542DEC"/>
    <w:p w14:paraId="79B7526E" w14:textId="77777777" w:rsidR="00542DEC" w:rsidRDefault="000B6FC7">
      <w:pPr>
        <w:pStyle w:val="Heading1"/>
      </w:pPr>
      <w:bookmarkStart w:id="77" w:name="_kikk7grgypfd" w:colFirst="0" w:colLast="0"/>
      <w:bookmarkEnd w:id="77"/>
      <w:r>
        <w:br w:type="page"/>
      </w:r>
    </w:p>
    <w:p w14:paraId="08E2433F" w14:textId="364F2F1A" w:rsidR="00542DEC" w:rsidRDefault="000B6FC7">
      <w:pPr>
        <w:pStyle w:val="Heading1"/>
      </w:pPr>
      <w:bookmarkStart w:id="78" w:name="_Toc61125938"/>
      <w:bookmarkStart w:id="79" w:name="_Toc61126711"/>
      <w:r>
        <w:lastRenderedPageBreak/>
        <w:t>7. Analysis</w:t>
      </w:r>
      <w:bookmarkEnd w:id="78"/>
      <w:bookmarkEnd w:id="79"/>
    </w:p>
    <w:p w14:paraId="6B3A6FF9" w14:textId="77777777" w:rsidR="00542DEC" w:rsidRDefault="000B6FC7">
      <w:pPr>
        <w:rPr>
          <w:color w:val="BF9000"/>
        </w:rPr>
      </w:pPr>
      <w:r>
        <w:t xml:space="preserve">The purpose of this paper is to study if ESG-commitments of the target company have an effect on bid premiums in mergers and acquisitions. </w:t>
      </w:r>
    </w:p>
    <w:p w14:paraId="3BE6841D" w14:textId="2FA928BD" w:rsidR="00542DEC" w:rsidRDefault="000B6FC7">
      <w:r>
        <w:t xml:space="preserve">The results from model 4 suggest that there exists a small but significant negative relationship between ESG-ratings of the target company and bid premiums. Higher ESG-ratings appear to decrease bid premiums. The result is not consistent with previous literature (Gomes &amp; </w:t>
      </w:r>
      <w:proofErr w:type="spellStart"/>
      <w:r>
        <w:t>Marsat</w:t>
      </w:r>
      <w:proofErr w:type="spellEnd"/>
      <w:r>
        <w:t xml:space="preserve">, 2018) that has shown that ESG-commitments of target companies tend to increase bid premiums. The result is however consistent with the result from the paper (Chen &amp; </w:t>
      </w:r>
      <w:proofErr w:type="spellStart"/>
      <w:r>
        <w:t>Gavious</w:t>
      </w:r>
      <w:proofErr w:type="spellEnd"/>
      <w:r>
        <w:t xml:space="preserve">, 2015). A reason for why the results differ with the paper (Gomes &amp; </w:t>
      </w:r>
      <w:proofErr w:type="spellStart"/>
      <w:r>
        <w:t>Marsat</w:t>
      </w:r>
      <w:proofErr w:type="spellEnd"/>
      <w:r>
        <w:t xml:space="preserve">, 2018) could be the difference in how the papers measure ESG-commitments. It is difficult to assess which method returns the most accurate ratings. The intangible nature associated with ESG is, as previously noted in literature, an extensive problem when constructing accurate ESG-ratings. This paper tries to circumvent the issue in two ways. Firstly, it includes more ratings than in previous literature. Secondly, it includes ratings that are regarded as ones with high quality. Another reason for the different results may be because (Gomes &amp; </w:t>
      </w:r>
      <w:proofErr w:type="spellStart"/>
      <w:r>
        <w:t>Marsat</w:t>
      </w:r>
      <w:proofErr w:type="spellEnd"/>
      <w:r>
        <w:t xml:space="preserve">, 2018) looks at a worldwide sample of mergers and acquisitions. This distinction is particularly important for not only how reliable the result is, but also how relevant and useful it is. A weakness in the paper (Chen &amp; </w:t>
      </w:r>
      <w:proofErr w:type="spellStart"/>
      <w:r>
        <w:t>Gavious</w:t>
      </w:r>
      <w:proofErr w:type="spellEnd"/>
      <w:r>
        <w:t xml:space="preserve">, 2015) is the sample of 134 firms listed on the Tel Aviv Stock Exchange. It is questionable if the result is relevant to any market participant except the ones on the </w:t>
      </w:r>
      <w:r w:rsidR="004A326F">
        <w:t>Israeli</w:t>
      </w:r>
      <w:r>
        <w:t xml:space="preserve"> market. The paper (Gomes &amp; </w:t>
      </w:r>
      <w:proofErr w:type="spellStart"/>
      <w:r>
        <w:t>Marsat</w:t>
      </w:r>
      <w:proofErr w:type="spellEnd"/>
      <w:r>
        <w:t xml:space="preserve">, 2018) aimed to add to the findings by the paper (Chen &amp; </w:t>
      </w:r>
      <w:proofErr w:type="spellStart"/>
      <w:r>
        <w:t>Gavious</w:t>
      </w:r>
      <w:proofErr w:type="spellEnd"/>
      <w:r>
        <w:t>, 2015) by extending the study to the world market, as mentioned in section 3.0. This is also questionable as the results could be too general and in-turn less useful. The results from this paper are useful for participants of the US market. It is also useful for similar markets such as markets in Europe or Canada. Looking back to</w:t>
      </w:r>
      <w:r w:rsidR="004A326F">
        <w:t xml:space="preserve"> graph 1 </w:t>
      </w:r>
      <w:r>
        <w:t>in section 5.2 we see that a large portion of the deals in our sample were conducted in the years 2000-2010. We believe this could contribute to the negative effect that ESG-performance has on the bid premium</w:t>
      </w:r>
      <w:r w:rsidR="004A326F">
        <w:t xml:space="preserve"> in our result since sustainability did not </w:t>
      </w:r>
      <w:r w:rsidR="00E92BD0">
        <w:t xml:space="preserve">receive the same </w:t>
      </w:r>
      <w:r w:rsidR="004A326F">
        <w:t xml:space="preserve">emphasis </w:t>
      </w:r>
      <w:r w:rsidR="00E92BD0">
        <w:t xml:space="preserve">a decade ago </w:t>
      </w:r>
      <w:r w:rsidR="004A326F">
        <w:t xml:space="preserve">as it </w:t>
      </w:r>
      <w:r w:rsidR="00E92BD0">
        <w:t>receives</w:t>
      </w:r>
      <w:r w:rsidR="004A326F">
        <w:t xml:space="preserve"> today.</w:t>
      </w:r>
    </w:p>
    <w:p w14:paraId="156732AA" w14:textId="6B70C400" w:rsidR="00542DEC" w:rsidRDefault="000B6FC7">
      <w:r>
        <w:t xml:space="preserve">The method returned a larger sample than the paper (Chen &amp; </w:t>
      </w:r>
      <w:proofErr w:type="spellStart"/>
      <w:r>
        <w:t>Gavious</w:t>
      </w:r>
      <w:proofErr w:type="spellEnd"/>
      <w:r>
        <w:t xml:space="preserve">, 2015) that looked at companies listed on the Tel Aviv Stock Exchange and the paper </w:t>
      </w:r>
      <w:r w:rsidR="004A326F">
        <w:t xml:space="preserve">(Gomes &amp; </w:t>
      </w:r>
      <w:proofErr w:type="spellStart"/>
      <w:r w:rsidR="004A326F">
        <w:t>Marsat</w:t>
      </w:r>
      <w:proofErr w:type="spellEnd"/>
      <w:r w:rsidR="004A326F">
        <w:t>, 2018)</w:t>
      </w:r>
      <w:r>
        <w:t xml:space="preserve"> that </w:t>
      </w:r>
      <w:r>
        <w:lastRenderedPageBreak/>
        <w:t xml:space="preserve">looked at a worldwide sample of mergers and acquisitions. </w:t>
      </w:r>
      <w:r w:rsidR="007A4998">
        <w:t xml:space="preserve">The method used in this paper have not only multiple ESG-ratings, but also managed to end up with a larger sample that previous research. </w:t>
      </w:r>
      <w:r w:rsidR="004A326F">
        <w:t>However,</w:t>
      </w:r>
      <w:r>
        <w:t xml:space="preserve"> a problem with the method used is that the rating is calculated on the number of available ratings. Table 2 in section 5.3 reveals that ISS Quality score and Bloomberg ESG disclosure score both return a sample size much larger than what </w:t>
      </w:r>
      <w:proofErr w:type="spellStart"/>
      <w:r>
        <w:t>Sustanalytics</w:t>
      </w:r>
      <w:proofErr w:type="spellEnd"/>
      <w:r>
        <w:t xml:space="preserve"> and </w:t>
      </w:r>
      <w:proofErr w:type="spellStart"/>
      <w:r>
        <w:t>RobecoSAM</w:t>
      </w:r>
      <w:proofErr w:type="spellEnd"/>
      <w:r>
        <w:t xml:space="preserve"> return. It is therefore expected that a large portion of the final sample included in the models are only made up of ISS Quality score and Bloomberg ESG disclosure score. This is particularly troublesome given that the ISS Quality score only reports on sustainability aspects with regards to governance and Bloomberg ESG Disclosure score only reports on the number of data points the company discloses without any regard to the value of the data points. </w:t>
      </w:r>
    </w:p>
    <w:p w14:paraId="330F6D57" w14:textId="34A1EA2D" w:rsidR="00542DEC" w:rsidRDefault="000B6FC7" w:rsidP="00E92BD0">
      <w:r>
        <w:t xml:space="preserve">Section 2.4.1 presents that merger strategies are driven by two main motives, synergetic </w:t>
      </w:r>
      <w:r w:rsidR="006761C9">
        <w:t>efficiencies,</w:t>
      </w:r>
      <w:r>
        <w:t xml:space="preserve"> and rapid growth. One of the forms of synergies are financial synergies where the goal is primarily to decrease the cost of capital. The paper (</w:t>
      </w:r>
      <w:proofErr w:type="spellStart"/>
      <w:r>
        <w:t>Ghouel</w:t>
      </w:r>
      <w:proofErr w:type="spellEnd"/>
      <w:r>
        <w:t xml:space="preserve"> et.al, 2011) points out how ESG-commitments lower the cost of capital, as mentioned in section 3. This would speak in favor for a result where higher ESG-rated companies would receive higher bid premiums. Acquiring </w:t>
      </w:r>
      <w:r w:rsidR="00E92BD0">
        <w:t>more sustainable</w:t>
      </w:r>
      <w:r>
        <w:t xml:space="preserve"> companies will then on average lead to synergistic efficiencies and the cost of capital decreases partly because that ESG-committed companies tend to have a lower cost of capital. The thought-process is however not supported by the result from this study. There is a possibility that there </w:t>
      </w:r>
      <w:r w:rsidR="00417B2A">
        <w:t>exist</w:t>
      </w:r>
      <w:r>
        <w:t xml:space="preserve"> synergistic efficiencies with merging with ESG-committed </w:t>
      </w:r>
      <w:r w:rsidR="00417B2A">
        <w:t>companies,</w:t>
      </w:r>
      <w:r>
        <w:t xml:space="preserve"> but analysts primarily use Comparable Company Analysis and Precedent Transaction Analysis and disregard or underestimate the potential synergies in their valuation. The analysis can be broadened by </w:t>
      </w:r>
      <w:r w:rsidR="00417B2A">
        <w:t>analyzing</w:t>
      </w:r>
      <w:r>
        <w:t xml:space="preserve"> the other main motive for mergers and acquisitions. The latter motive for mergers and acquisitions is to achieve rapid growth. The main reasoning behind merger strategies could be to achieve rapid growth. Section 2.2.1 presents that growth potential is a fundamental part of Comparable Company Analysis. The result indicates that ESG-commitments of target companies may have a negative effect on at least one of these two motives. The data </w:t>
      </w:r>
      <w:r w:rsidR="00417B2A">
        <w:t>cannot</w:t>
      </w:r>
      <w:r>
        <w:t xml:space="preserve"> give an answer on which one of the motives it is that </w:t>
      </w:r>
      <w:r w:rsidR="00E92BD0">
        <w:t>makes ESG-commitments something that decreases bid premiums.</w:t>
      </w:r>
    </w:p>
    <w:p w14:paraId="71E26451" w14:textId="4A660EF9" w:rsidR="00542DEC" w:rsidRDefault="000B6FC7">
      <w:r>
        <w:t xml:space="preserve">By rejecting the null and claiming that ESG-ratings in fact have a significant effect on bid premiums, in this case a negative effect, we could assume that there is a discrepancy between the valuation conducted by the acquirer and the valuation conducted by the investors that trade </w:t>
      </w:r>
      <w:r>
        <w:lastRenderedPageBreak/>
        <w:t xml:space="preserve">on a stock exchange. Seeing bid premium as a </w:t>
      </w:r>
      <w:r w:rsidR="00417B2A">
        <w:t>visualizer</w:t>
      </w:r>
      <w:r>
        <w:t xml:space="preserve"> for valuation indifferences between investors has been studied in the paper (Chen &amp; </w:t>
      </w:r>
      <w:proofErr w:type="spellStart"/>
      <w:r>
        <w:t>Gavious</w:t>
      </w:r>
      <w:proofErr w:type="spellEnd"/>
      <w:r w:rsidR="00A412C0">
        <w:t>,</w:t>
      </w:r>
      <w:r>
        <w:t xml:space="preserve"> 2015). As mentioned in section 3, this difference is mainly due to differences in risk and information. Valuations conducted during the due diligence process are perhaps more precise given the expertise of analysts and the more financial information they can access. The result</w:t>
      </w:r>
      <w:r w:rsidR="00E92BD0">
        <w:t>s</w:t>
      </w:r>
      <w:r>
        <w:t xml:space="preserve"> indicate that the analysts think ESG-commitments are not good for the valuation of a company. Marginal investors either miss this in their valuation due to the </w:t>
      </w:r>
      <w:r w:rsidR="006761C9">
        <w:t>above-mentioned</w:t>
      </w:r>
      <w:r>
        <w:t xml:space="preserve"> </w:t>
      </w:r>
      <w:r w:rsidR="00417B2A">
        <w:t>reasons or</w:t>
      </w:r>
      <w:r>
        <w:t xml:space="preserve"> incorporate other things. The traditional view is that the goal of a business is to generate profits for its shareholders. This idea is not directly applicable to marginal investors. Marginal investors are perhaps willing to sacrifice some of their profits, or parts of their wages, for causes that extend beyond their own needs. An example of that is how individuals donate to charities. Marginal investors could with a similar reasoning be more willing to invest in companies that commit more to sustainability, even though they may risk losing out on some of the profits. The additional value of synergistic efficiencies regarding lower cost of capital may be lower than the additional willingness marginal investors have for investing in sustainable companies. This may explain the result why a higher ESG-rating in general leads to a lower bid premium.</w:t>
      </w:r>
      <w:r w:rsidR="00352F45">
        <w:t xml:space="preserve"> The implications of this could be useful for smaller businesses that are looking to raise capital. The result can indicate which type of investors </w:t>
      </w:r>
      <w:r w:rsidR="00892CB3">
        <w:t>would be</w:t>
      </w:r>
      <w:r w:rsidR="00352F45">
        <w:t xml:space="preserve"> </w:t>
      </w:r>
      <w:r w:rsidR="00892CB3">
        <w:t>willing to invest the most.</w:t>
      </w:r>
      <w:r w:rsidR="00352F45">
        <w:t xml:space="preserve">  </w:t>
      </w:r>
    </w:p>
    <w:p w14:paraId="152F5CBB" w14:textId="77777777" w:rsidR="00542DEC" w:rsidRDefault="000B6FC7">
      <w:pPr>
        <w:rPr>
          <w:b/>
        </w:rPr>
      </w:pPr>
      <w:r>
        <w:t xml:space="preserve">The model suggests that a higher difference in ESG-rating between the acquirer and the target does not change the bid premium. We have not found any other literature that has studied if the difference has any effect. Literature that studies abnormal return has shown that a larger difference of ESG-rating does have a significant effect on abnormal return. </w:t>
      </w:r>
    </w:p>
    <w:p w14:paraId="55053B96" w14:textId="77777777" w:rsidR="00542DEC" w:rsidRDefault="000B6FC7">
      <w:pPr>
        <w:pStyle w:val="Heading1"/>
        <w:jc w:val="left"/>
      </w:pPr>
      <w:bookmarkStart w:id="80" w:name="_hsf23c9dulro" w:colFirst="0" w:colLast="0"/>
      <w:bookmarkEnd w:id="80"/>
      <w:r>
        <w:br w:type="page"/>
      </w:r>
    </w:p>
    <w:p w14:paraId="44CBD889" w14:textId="4516726B" w:rsidR="00542DEC" w:rsidRDefault="000B6FC7">
      <w:pPr>
        <w:pStyle w:val="Heading1"/>
        <w:rPr>
          <w:rFonts w:ascii="Arial" w:eastAsia="Arial" w:hAnsi="Arial" w:cs="Arial"/>
          <w:color w:val="FF0000"/>
        </w:rPr>
      </w:pPr>
      <w:bookmarkStart w:id="81" w:name="_Toc61125939"/>
      <w:bookmarkStart w:id="82" w:name="_Toc61126712"/>
      <w:r>
        <w:lastRenderedPageBreak/>
        <w:t>8. Conclusion</w:t>
      </w:r>
      <w:bookmarkEnd w:id="81"/>
      <w:bookmarkEnd w:id="82"/>
    </w:p>
    <w:p w14:paraId="5B3EE0F3" w14:textId="77777777" w:rsidR="00542DEC" w:rsidRDefault="000B6FC7">
      <w:r>
        <w:t>The paper studies ESG-commitments of companies and bid premiums in mergers and acquisitions between the years 2000 and 2020 by constructing a multivariate regression analysis to see which variables help explain the bid premium. We found a small, yet statistically significant, relationship between a target company’s ESG-rating and the bid premium. A higher ESG-rating resulted in a lower bid premium. We found that the difference between how much the target and the acquirer commit to ESG has no effect on the bid premium.</w:t>
      </w:r>
    </w:p>
    <w:p w14:paraId="1648BAAC" w14:textId="3E5371E0" w:rsidR="00542DEC" w:rsidRDefault="000B6FC7">
      <w:r>
        <w:t xml:space="preserve">The results from this paper can serve as an indication that ESG-commitments of the target company do on average lead to a lower bid premium in mergers and acquisitions. It also gives indications that investors involved in mergers and acquisitions value ESG-commitments lower than what marginal investors do. This study answers the “if”. Future studies can use the results from this paper to study the “why” and thereby the effects of ESG-commitments on the two motives for merger </w:t>
      </w:r>
      <w:r w:rsidR="0059229A">
        <w:t>strategy:</w:t>
      </w:r>
      <w:r>
        <w:t xml:space="preserve"> growth and synergistic efficiencies. </w:t>
      </w:r>
    </w:p>
    <w:p w14:paraId="7F2E1DA4" w14:textId="77777777" w:rsidR="00542DEC" w:rsidRDefault="000B6FC7">
      <w:r>
        <w:t>Policy makers could use this information to understand what incentives drive socially responsible investments (SRI). The result can also be useful for smaller businesses that are looking to raise capital. The implications of the result can perhaps be extended and indicate whether there is a difference of different types of investors' value ESG-commitments.</w:t>
      </w:r>
    </w:p>
    <w:p w14:paraId="27340F85" w14:textId="77777777" w:rsidR="00542DEC" w:rsidRDefault="00542DEC"/>
    <w:p w14:paraId="13442D5F" w14:textId="77777777" w:rsidR="00542DEC" w:rsidRDefault="00542DEC"/>
    <w:p w14:paraId="398D5700" w14:textId="77777777" w:rsidR="00542DEC" w:rsidRDefault="000B6FC7">
      <w:pPr>
        <w:pStyle w:val="Heading1"/>
      </w:pPr>
      <w:bookmarkStart w:id="83" w:name="_o3pkk4yalgh0" w:colFirst="0" w:colLast="0"/>
      <w:bookmarkEnd w:id="83"/>
      <w:r>
        <w:br w:type="page"/>
      </w:r>
    </w:p>
    <w:p w14:paraId="7E4F6B65" w14:textId="5FD3594F" w:rsidR="00542DEC" w:rsidRDefault="000B6FC7">
      <w:pPr>
        <w:pStyle w:val="Heading1"/>
      </w:pPr>
      <w:bookmarkStart w:id="84" w:name="_Toc61125940"/>
      <w:bookmarkStart w:id="85" w:name="_Toc61126713"/>
      <w:r>
        <w:lastRenderedPageBreak/>
        <w:t>9. References</w:t>
      </w:r>
      <w:bookmarkEnd w:id="84"/>
      <w:bookmarkEnd w:id="85"/>
    </w:p>
    <w:p w14:paraId="47D7FE12" w14:textId="77777777" w:rsidR="00542DEC" w:rsidRPr="00D90487" w:rsidRDefault="000B6FC7">
      <w:pPr>
        <w:rPr>
          <w:sz w:val="23"/>
          <w:szCs w:val="23"/>
        </w:rPr>
      </w:pPr>
      <w:r w:rsidRPr="00D90487">
        <w:rPr>
          <w:sz w:val="23"/>
          <w:szCs w:val="23"/>
          <w:highlight w:val="white"/>
        </w:rPr>
        <w:t xml:space="preserve">Ager, David L. "The emotional impact and behavioral consequences of post-M&amp;A integration: An ethnographic case study in the software industry.", </w:t>
      </w:r>
      <w:r w:rsidRPr="00D90487">
        <w:rPr>
          <w:i/>
          <w:sz w:val="23"/>
          <w:szCs w:val="23"/>
          <w:highlight w:val="white"/>
        </w:rPr>
        <w:t>Journal of Contemporary Ethnography</w:t>
      </w:r>
      <w:r w:rsidRPr="00D90487">
        <w:rPr>
          <w:sz w:val="23"/>
          <w:szCs w:val="23"/>
          <w:highlight w:val="white"/>
        </w:rPr>
        <w:t xml:space="preserve"> 40.2 (2011): 199-230.</w:t>
      </w:r>
    </w:p>
    <w:p w14:paraId="443AE675" w14:textId="77777777" w:rsidR="00542DEC" w:rsidRPr="00D90487" w:rsidRDefault="000B6FC7">
      <w:pPr>
        <w:rPr>
          <w:sz w:val="23"/>
          <w:szCs w:val="23"/>
          <w:highlight w:val="white"/>
        </w:rPr>
      </w:pPr>
      <w:proofErr w:type="spellStart"/>
      <w:r w:rsidRPr="00D90487">
        <w:rPr>
          <w:sz w:val="23"/>
          <w:szCs w:val="23"/>
          <w:highlight w:val="white"/>
        </w:rPr>
        <w:t>Aktas</w:t>
      </w:r>
      <w:proofErr w:type="spellEnd"/>
      <w:r w:rsidRPr="00D90487">
        <w:rPr>
          <w:sz w:val="23"/>
          <w:szCs w:val="23"/>
          <w:highlight w:val="white"/>
        </w:rPr>
        <w:t xml:space="preserve">, Nihat, Eric De </w:t>
      </w:r>
      <w:proofErr w:type="spellStart"/>
      <w:r w:rsidRPr="00D90487">
        <w:rPr>
          <w:sz w:val="23"/>
          <w:szCs w:val="23"/>
          <w:highlight w:val="white"/>
        </w:rPr>
        <w:t>Bodt</w:t>
      </w:r>
      <w:proofErr w:type="spellEnd"/>
      <w:r w:rsidRPr="00D90487">
        <w:rPr>
          <w:sz w:val="23"/>
          <w:szCs w:val="23"/>
          <w:highlight w:val="white"/>
        </w:rPr>
        <w:t xml:space="preserve">, and Jean-Gabriel Cousin. "Do financial markets care about SRI? Evidence from mergers and acquisitions." </w:t>
      </w:r>
      <w:r w:rsidRPr="00D90487">
        <w:rPr>
          <w:i/>
          <w:sz w:val="23"/>
          <w:szCs w:val="23"/>
          <w:highlight w:val="white"/>
        </w:rPr>
        <w:t>Journal of Banking &amp; Finance</w:t>
      </w:r>
      <w:r w:rsidRPr="00D90487">
        <w:rPr>
          <w:sz w:val="23"/>
          <w:szCs w:val="23"/>
          <w:highlight w:val="white"/>
        </w:rPr>
        <w:t xml:space="preserve"> 35.7 (2011): 1753-1761.</w:t>
      </w:r>
    </w:p>
    <w:p w14:paraId="22A80241" w14:textId="77777777" w:rsidR="00542DEC" w:rsidRPr="00D90487" w:rsidRDefault="000B6FC7">
      <w:pPr>
        <w:rPr>
          <w:sz w:val="23"/>
          <w:szCs w:val="23"/>
          <w:highlight w:val="white"/>
        </w:rPr>
      </w:pPr>
      <w:r w:rsidRPr="00D90487">
        <w:rPr>
          <w:sz w:val="23"/>
          <w:szCs w:val="23"/>
          <w:highlight w:val="white"/>
        </w:rPr>
        <w:t xml:space="preserve">Berk, Jonathon and </w:t>
      </w:r>
      <w:proofErr w:type="spellStart"/>
      <w:r w:rsidRPr="00D90487">
        <w:rPr>
          <w:sz w:val="23"/>
          <w:szCs w:val="23"/>
          <w:highlight w:val="white"/>
        </w:rPr>
        <w:t>DeMarzo</w:t>
      </w:r>
      <w:proofErr w:type="spellEnd"/>
      <w:r w:rsidRPr="00D90487">
        <w:rPr>
          <w:sz w:val="23"/>
          <w:szCs w:val="23"/>
          <w:highlight w:val="white"/>
        </w:rPr>
        <w:t>, Peter. “</w:t>
      </w:r>
      <w:r w:rsidRPr="00D90487">
        <w:rPr>
          <w:i/>
          <w:sz w:val="23"/>
          <w:szCs w:val="23"/>
          <w:highlight w:val="white"/>
        </w:rPr>
        <w:t>Fundamentals of corporate finance”</w:t>
      </w:r>
      <w:r w:rsidRPr="00D90487">
        <w:rPr>
          <w:sz w:val="23"/>
          <w:szCs w:val="23"/>
          <w:highlight w:val="white"/>
        </w:rPr>
        <w:t>, Pearson Higher Education AU, 2017.</w:t>
      </w:r>
    </w:p>
    <w:p w14:paraId="226B32BC" w14:textId="77777777" w:rsidR="00542DEC" w:rsidRPr="00D90487" w:rsidRDefault="000B6FC7">
      <w:pPr>
        <w:rPr>
          <w:sz w:val="23"/>
          <w:szCs w:val="23"/>
          <w:highlight w:val="white"/>
        </w:rPr>
      </w:pPr>
      <w:r w:rsidRPr="00D90487">
        <w:rPr>
          <w:sz w:val="23"/>
          <w:szCs w:val="23"/>
          <w:highlight w:val="white"/>
        </w:rPr>
        <w:t xml:space="preserve">Chen, Ester, and </w:t>
      </w:r>
      <w:proofErr w:type="spellStart"/>
      <w:r w:rsidRPr="00D90487">
        <w:rPr>
          <w:sz w:val="23"/>
          <w:szCs w:val="23"/>
          <w:highlight w:val="white"/>
        </w:rPr>
        <w:t>Ilanit</w:t>
      </w:r>
      <w:proofErr w:type="spellEnd"/>
      <w:r w:rsidRPr="00D90487">
        <w:rPr>
          <w:sz w:val="23"/>
          <w:szCs w:val="23"/>
          <w:highlight w:val="white"/>
        </w:rPr>
        <w:t xml:space="preserve"> </w:t>
      </w:r>
      <w:proofErr w:type="spellStart"/>
      <w:r w:rsidRPr="00D90487">
        <w:rPr>
          <w:sz w:val="23"/>
          <w:szCs w:val="23"/>
          <w:highlight w:val="white"/>
        </w:rPr>
        <w:t>Gavious</w:t>
      </w:r>
      <w:proofErr w:type="spellEnd"/>
      <w:r w:rsidRPr="00D90487">
        <w:rPr>
          <w:sz w:val="23"/>
          <w:szCs w:val="23"/>
          <w:highlight w:val="white"/>
        </w:rPr>
        <w:t xml:space="preserve">. "Does CSR have different value implications for different shareholders?", </w:t>
      </w:r>
      <w:r w:rsidRPr="00D90487">
        <w:rPr>
          <w:i/>
          <w:sz w:val="23"/>
          <w:szCs w:val="23"/>
          <w:highlight w:val="white"/>
        </w:rPr>
        <w:t>Finance Research Letters</w:t>
      </w:r>
      <w:r w:rsidRPr="00D90487">
        <w:rPr>
          <w:sz w:val="23"/>
          <w:szCs w:val="23"/>
          <w:highlight w:val="white"/>
        </w:rPr>
        <w:t xml:space="preserve"> 14 (2015): 29-35.</w:t>
      </w:r>
    </w:p>
    <w:p w14:paraId="058615D7" w14:textId="77777777" w:rsidR="00542DEC" w:rsidRPr="00D90487" w:rsidRDefault="000B6FC7">
      <w:pPr>
        <w:rPr>
          <w:sz w:val="23"/>
          <w:szCs w:val="23"/>
          <w:highlight w:val="white"/>
        </w:rPr>
      </w:pPr>
      <w:r w:rsidRPr="00D90487">
        <w:rPr>
          <w:sz w:val="23"/>
          <w:szCs w:val="23"/>
          <w:highlight w:val="white"/>
        </w:rPr>
        <w:t xml:space="preserve">Corporate Finance Institute. 2020. </w:t>
      </w:r>
      <w:r w:rsidRPr="00D90487">
        <w:rPr>
          <w:i/>
          <w:sz w:val="23"/>
          <w:szCs w:val="23"/>
          <w:highlight w:val="white"/>
        </w:rPr>
        <w:t xml:space="preserve">Friendly Takeovers Vs Hostile Takeovers - Know </w:t>
      </w:r>
      <w:proofErr w:type="gramStart"/>
      <w:r w:rsidRPr="00D90487">
        <w:rPr>
          <w:i/>
          <w:sz w:val="23"/>
          <w:szCs w:val="23"/>
          <w:highlight w:val="white"/>
        </w:rPr>
        <w:t>The</w:t>
      </w:r>
      <w:proofErr w:type="gramEnd"/>
      <w:r w:rsidRPr="00D90487">
        <w:rPr>
          <w:i/>
          <w:sz w:val="23"/>
          <w:szCs w:val="23"/>
          <w:highlight w:val="white"/>
        </w:rPr>
        <w:t xml:space="preserve"> Differences</w:t>
      </w:r>
      <w:r w:rsidRPr="00D90487">
        <w:rPr>
          <w:sz w:val="23"/>
          <w:szCs w:val="23"/>
          <w:highlight w:val="white"/>
        </w:rPr>
        <w:t>. [online] Available at: &lt;</w:t>
      </w:r>
      <w:hyperlink r:id="rId12">
        <w:r w:rsidRPr="00D90487">
          <w:rPr>
            <w:color w:val="000000" w:themeColor="text1"/>
            <w:sz w:val="23"/>
            <w:szCs w:val="23"/>
            <w:highlight w:val="white"/>
          </w:rPr>
          <w:t>https://corporatefinanceinstitute.com/resources/knowledge/deals/friendly-takeovers-vs-hostile-takeovers/</w:t>
        </w:r>
      </w:hyperlink>
      <w:r w:rsidRPr="00D90487">
        <w:rPr>
          <w:color w:val="000000" w:themeColor="text1"/>
          <w:sz w:val="23"/>
          <w:szCs w:val="23"/>
          <w:highlight w:val="white"/>
        </w:rPr>
        <w:t xml:space="preserve"> </w:t>
      </w:r>
      <w:r w:rsidRPr="00D90487">
        <w:rPr>
          <w:sz w:val="23"/>
          <w:szCs w:val="23"/>
          <w:highlight w:val="white"/>
        </w:rPr>
        <w:t>&gt; [ Last screening 9th of January 2021].</w:t>
      </w:r>
    </w:p>
    <w:p w14:paraId="04008DC9" w14:textId="77777777" w:rsidR="00542DEC" w:rsidRPr="00D90487" w:rsidRDefault="000B6FC7">
      <w:pPr>
        <w:rPr>
          <w:sz w:val="23"/>
          <w:szCs w:val="23"/>
          <w:highlight w:val="white"/>
        </w:rPr>
      </w:pPr>
      <w:r w:rsidRPr="00D90487">
        <w:rPr>
          <w:sz w:val="23"/>
          <w:szCs w:val="23"/>
          <w:highlight w:val="white"/>
        </w:rPr>
        <w:t xml:space="preserve">De La </w:t>
      </w:r>
      <w:proofErr w:type="spellStart"/>
      <w:r w:rsidRPr="00D90487">
        <w:rPr>
          <w:sz w:val="23"/>
          <w:szCs w:val="23"/>
          <w:highlight w:val="white"/>
        </w:rPr>
        <w:t>Bruslerie</w:t>
      </w:r>
      <w:proofErr w:type="spellEnd"/>
      <w:r w:rsidRPr="00D90487">
        <w:rPr>
          <w:sz w:val="23"/>
          <w:szCs w:val="23"/>
          <w:highlight w:val="white"/>
        </w:rPr>
        <w:t xml:space="preserve">, Hubert. "Crossing takeover premiums and mix of payment: An empirical test of contractual setting in M&amp;A transactions.", </w:t>
      </w:r>
      <w:r w:rsidRPr="00D90487">
        <w:rPr>
          <w:i/>
          <w:sz w:val="23"/>
          <w:szCs w:val="23"/>
          <w:highlight w:val="white"/>
        </w:rPr>
        <w:t>Journal of Banking &amp; Finance</w:t>
      </w:r>
      <w:r w:rsidRPr="00D90487">
        <w:rPr>
          <w:sz w:val="23"/>
          <w:szCs w:val="23"/>
          <w:highlight w:val="white"/>
        </w:rPr>
        <w:t xml:space="preserve"> 37.6 (2013): 2106-2123.</w:t>
      </w:r>
    </w:p>
    <w:p w14:paraId="244BFFBC" w14:textId="77777777" w:rsidR="00542DEC" w:rsidRPr="00D90487" w:rsidRDefault="000B6FC7">
      <w:pPr>
        <w:rPr>
          <w:sz w:val="23"/>
          <w:szCs w:val="23"/>
          <w:highlight w:val="white"/>
        </w:rPr>
      </w:pPr>
      <w:r w:rsidRPr="00D90487">
        <w:rPr>
          <w:sz w:val="23"/>
          <w:szCs w:val="23"/>
          <w:highlight w:val="white"/>
        </w:rPr>
        <w:t xml:space="preserve">Dong, Ming, et al. "Does investor </w:t>
      </w:r>
      <w:proofErr w:type="spellStart"/>
      <w:r w:rsidRPr="00D90487">
        <w:rPr>
          <w:sz w:val="23"/>
          <w:szCs w:val="23"/>
          <w:highlight w:val="white"/>
        </w:rPr>
        <w:t>misvaluation</w:t>
      </w:r>
      <w:proofErr w:type="spellEnd"/>
      <w:r w:rsidRPr="00D90487">
        <w:rPr>
          <w:sz w:val="23"/>
          <w:szCs w:val="23"/>
          <w:highlight w:val="white"/>
        </w:rPr>
        <w:t xml:space="preserve"> drive the takeover market?", </w:t>
      </w:r>
      <w:r w:rsidRPr="00D90487">
        <w:rPr>
          <w:i/>
          <w:sz w:val="23"/>
          <w:szCs w:val="23"/>
          <w:highlight w:val="white"/>
        </w:rPr>
        <w:t>The Journal of Finance</w:t>
      </w:r>
      <w:r w:rsidRPr="00D90487">
        <w:rPr>
          <w:sz w:val="23"/>
          <w:szCs w:val="23"/>
          <w:highlight w:val="white"/>
        </w:rPr>
        <w:t xml:space="preserve"> 61.2 (2006): 725-762.</w:t>
      </w:r>
    </w:p>
    <w:p w14:paraId="129E8D1E" w14:textId="77777777" w:rsidR="00542DEC" w:rsidRPr="00D90487" w:rsidRDefault="000B6FC7">
      <w:pPr>
        <w:rPr>
          <w:sz w:val="23"/>
          <w:szCs w:val="23"/>
          <w:highlight w:val="white"/>
        </w:rPr>
      </w:pPr>
      <w:r w:rsidRPr="00D90487">
        <w:rPr>
          <w:color w:val="222222"/>
          <w:sz w:val="23"/>
          <w:szCs w:val="23"/>
          <w:highlight w:val="white"/>
          <w:lang w:val="sv-SE"/>
        </w:rPr>
        <w:t xml:space="preserve">El Ghoul, Sadok, et al. </w:t>
      </w:r>
      <w:r w:rsidRPr="00D90487">
        <w:rPr>
          <w:color w:val="222222"/>
          <w:sz w:val="23"/>
          <w:szCs w:val="23"/>
          <w:highlight w:val="white"/>
        </w:rPr>
        <w:t xml:space="preserve">"Does corporate social responsibility affect the cost of capital?", </w:t>
      </w:r>
      <w:r w:rsidRPr="00D90487">
        <w:rPr>
          <w:i/>
          <w:color w:val="222222"/>
          <w:sz w:val="23"/>
          <w:szCs w:val="23"/>
          <w:highlight w:val="white"/>
        </w:rPr>
        <w:t>Journal of Banking &amp; Finance</w:t>
      </w:r>
      <w:r w:rsidRPr="00D90487">
        <w:rPr>
          <w:color w:val="222222"/>
          <w:sz w:val="23"/>
          <w:szCs w:val="23"/>
          <w:highlight w:val="white"/>
        </w:rPr>
        <w:t xml:space="preserve"> 35.9 (2011): 2388-2406.</w:t>
      </w:r>
    </w:p>
    <w:p w14:paraId="679865C1" w14:textId="77777777" w:rsidR="00542DEC" w:rsidRPr="00D90487" w:rsidRDefault="000B6FC7">
      <w:pPr>
        <w:rPr>
          <w:rFonts w:ascii="Arial" w:eastAsia="Arial" w:hAnsi="Arial" w:cs="Arial"/>
          <w:color w:val="222222"/>
          <w:sz w:val="23"/>
          <w:szCs w:val="23"/>
        </w:rPr>
      </w:pPr>
      <w:proofErr w:type="spellStart"/>
      <w:r w:rsidRPr="00D90487">
        <w:rPr>
          <w:sz w:val="23"/>
          <w:szCs w:val="23"/>
        </w:rPr>
        <w:t>Gaughan</w:t>
      </w:r>
      <w:proofErr w:type="spellEnd"/>
      <w:r w:rsidRPr="00D90487">
        <w:rPr>
          <w:sz w:val="23"/>
          <w:szCs w:val="23"/>
        </w:rPr>
        <w:t xml:space="preserve"> A. Patrick. </w:t>
      </w:r>
      <w:r w:rsidRPr="00D90487">
        <w:rPr>
          <w:i/>
          <w:sz w:val="23"/>
          <w:szCs w:val="23"/>
        </w:rPr>
        <w:t>“Mergers, Acquisitions, &amp; Corporate Restructurings”</w:t>
      </w:r>
      <w:r w:rsidRPr="00D90487">
        <w:rPr>
          <w:sz w:val="23"/>
          <w:szCs w:val="23"/>
        </w:rPr>
        <w:t xml:space="preserve">, Wiley Corporate F&amp;A, 2018, seventh edition. </w:t>
      </w:r>
    </w:p>
    <w:p w14:paraId="5C847D3F" w14:textId="77777777" w:rsidR="00542DEC" w:rsidRPr="00D90487" w:rsidRDefault="000B6FC7">
      <w:pPr>
        <w:rPr>
          <w:sz w:val="23"/>
          <w:szCs w:val="23"/>
        </w:rPr>
      </w:pPr>
      <w:r w:rsidRPr="00D90487">
        <w:rPr>
          <w:sz w:val="23"/>
          <w:szCs w:val="23"/>
        </w:rPr>
        <w:t xml:space="preserve">Global Sustainable Investment Alliance (GSIA). </w:t>
      </w:r>
      <w:r w:rsidRPr="00D90487">
        <w:rPr>
          <w:i/>
          <w:sz w:val="23"/>
          <w:szCs w:val="23"/>
        </w:rPr>
        <w:t xml:space="preserve">"Global sustainable investment review 2018" </w:t>
      </w:r>
      <w:r w:rsidRPr="00D90487">
        <w:rPr>
          <w:sz w:val="23"/>
          <w:szCs w:val="23"/>
        </w:rPr>
        <w:t>(2018),</w:t>
      </w:r>
      <w:r w:rsidRPr="00D90487">
        <w:rPr>
          <w:i/>
          <w:sz w:val="23"/>
          <w:szCs w:val="23"/>
        </w:rPr>
        <w:t xml:space="preserve"> </w:t>
      </w:r>
      <w:r w:rsidRPr="00D90487">
        <w:rPr>
          <w:sz w:val="23"/>
          <w:szCs w:val="23"/>
          <w:highlight w:val="white"/>
        </w:rPr>
        <w:t>[ Last screening 9th of January 2021].</w:t>
      </w:r>
    </w:p>
    <w:p w14:paraId="61C5B573" w14:textId="77777777" w:rsidR="00542DEC" w:rsidRPr="00D90487" w:rsidRDefault="000B6FC7">
      <w:pPr>
        <w:rPr>
          <w:color w:val="222222"/>
          <w:sz w:val="23"/>
          <w:szCs w:val="23"/>
          <w:highlight w:val="white"/>
        </w:rPr>
      </w:pPr>
      <w:r w:rsidRPr="00D90487">
        <w:rPr>
          <w:color w:val="222222"/>
          <w:sz w:val="23"/>
          <w:szCs w:val="23"/>
          <w:highlight w:val="white"/>
        </w:rPr>
        <w:lastRenderedPageBreak/>
        <w:t xml:space="preserve">Gomes, Mathieu, and Sylvain </w:t>
      </w:r>
      <w:proofErr w:type="spellStart"/>
      <w:r w:rsidRPr="00D90487">
        <w:rPr>
          <w:color w:val="222222"/>
          <w:sz w:val="23"/>
          <w:szCs w:val="23"/>
          <w:highlight w:val="white"/>
        </w:rPr>
        <w:t>Marsat</w:t>
      </w:r>
      <w:proofErr w:type="spellEnd"/>
      <w:r w:rsidRPr="00D90487">
        <w:rPr>
          <w:color w:val="222222"/>
          <w:sz w:val="23"/>
          <w:szCs w:val="23"/>
          <w:highlight w:val="white"/>
        </w:rPr>
        <w:t xml:space="preserve">. "Does CSR impact premiums in M&amp;A transactions?", </w:t>
      </w:r>
      <w:r w:rsidRPr="00D90487">
        <w:rPr>
          <w:i/>
          <w:color w:val="222222"/>
          <w:sz w:val="23"/>
          <w:szCs w:val="23"/>
          <w:highlight w:val="white"/>
        </w:rPr>
        <w:t>Finance Research Letters</w:t>
      </w:r>
      <w:r w:rsidRPr="00D90487">
        <w:rPr>
          <w:color w:val="222222"/>
          <w:sz w:val="23"/>
          <w:szCs w:val="23"/>
          <w:highlight w:val="white"/>
        </w:rPr>
        <w:t xml:space="preserve"> 26 (2018): 71-80.</w:t>
      </w:r>
    </w:p>
    <w:p w14:paraId="78CED544" w14:textId="129C2839" w:rsidR="00542DEC" w:rsidRPr="00D90487" w:rsidRDefault="000B6FC7">
      <w:pPr>
        <w:rPr>
          <w:color w:val="000000" w:themeColor="text1"/>
          <w:sz w:val="23"/>
          <w:szCs w:val="23"/>
          <w:highlight w:val="white"/>
        </w:rPr>
      </w:pPr>
      <w:r w:rsidRPr="00D90487">
        <w:rPr>
          <w:sz w:val="23"/>
          <w:szCs w:val="23"/>
          <w:highlight w:val="white"/>
        </w:rPr>
        <w:t>Harford, Jarrad. "</w:t>
      </w:r>
      <w:r w:rsidRPr="00D90487">
        <w:rPr>
          <w:color w:val="000000" w:themeColor="text1"/>
          <w:sz w:val="23"/>
          <w:szCs w:val="23"/>
          <w:highlight w:val="white"/>
        </w:rPr>
        <w:t xml:space="preserve">Corporate cash reserves and acquisitions.", </w:t>
      </w:r>
      <w:r w:rsidRPr="00D90487">
        <w:rPr>
          <w:i/>
          <w:color w:val="000000" w:themeColor="text1"/>
          <w:sz w:val="23"/>
          <w:szCs w:val="23"/>
          <w:highlight w:val="white"/>
        </w:rPr>
        <w:t>The Journal of Finance</w:t>
      </w:r>
      <w:r w:rsidRPr="00D90487">
        <w:rPr>
          <w:color w:val="000000" w:themeColor="text1"/>
          <w:sz w:val="23"/>
          <w:szCs w:val="23"/>
          <w:highlight w:val="white"/>
        </w:rPr>
        <w:t xml:space="preserve"> 54.6 (1999): 1969-1997.</w:t>
      </w:r>
    </w:p>
    <w:p w14:paraId="0BBFE0B6" w14:textId="7BBED75D" w:rsidR="00D90487" w:rsidRPr="00E00831" w:rsidRDefault="00D90487">
      <w:pPr>
        <w:rPr>
          <w:color w:val="000000" w:themeColor="text1"/>
          <w:sz w:val="23"/>
          <w:szCs w:val="23"/>
          <w:highlight w:val="white"/>
        </w:rPr>
      </w:pPr>
      <w:r w:rsidRPr="00E00831">
        <w:rPr>
          <w:color w:val="000000" w:themeColor="text1"/>
          <w:sz w:val="23"/>
          <w:szCs w:val="23"/>
          <w:shd w:val="clear" w:color="auto" w:fill="FFFFFF"/>
        </w:rPr>
        <w:t>Investopedia.com, 2020, [online], available at: &lt;</w:t>
      </w:r>
      <w:hyperlink r:id="rId13" w:history="1">
        <w:r w:rsidRPr="00E00831">
          <w:rPr>
            <w:rStyle w:val="Hyperlink"/>
            <w:color w:val="000000" w:themeColor="text1"/>
            <w:sz w:val="23"/>
            <w:szCs w:val="23"/>
            <w:u w:val="none"/>
            <w:shd w:val="clear" w:color="auto" w:fill="FFFFFF"/>
          </w:rPr>
          <w:t>https://www.investopedia.com/terms/m/mergersandacquisitions.asp</w:t>
        </w:r>
      </w:hyperlink>
      <w:r w:rsidRPr="00E00831">
        <w:rPr>
          <w:color w:val="000000" w:themeColor="text1"/>
          <w:sz w:val="23"/>
          <w:szCs w:val="23"/>
          <w:shd w:val="clear" w:color="auto" w:fill="FFFFFF"/>
        </w:rPr>
        <w:t xml:space="preserve"> &gt;, [Last screening 9th of January 2021].</w:t>
      </w:r>
    </w:p>
    <w:p w14:paraId="599C42E5" w14:textId="77777777" w:rsidR="00542DEC" w:rsidRPr="00D90487" w:rsidRDefault="000B6FC7">
      <w:pPr>
        <w:rPr>
          <w:color w:val="000000" w:themeColor="text1"/>
          <w:sz w:val="23"/>
          <w:szCs w:val="23"/>
          <w:highlight w:val="white"/>
        </w:rPr>
      </w:pPr>
      <w:r w:rsidRPr="00D90487">
        <w:rPr>
          <w:color w:val="000000" w:themeColor="text1"/>
          <w:sz w:val="23"/>
          <w:szCs w:val="23"/>
          <w:highlight w:val="white"/>
        </w:rPr>
        <w:t xml:space="preserve">Luo, </w:t>
      </w:r>
      <w:proofErr w:type="spellStart"/>
      <w:r w:rsidRPr="00D90487">
        <w:rPr>
          <w:color w:val="000000" w:themeColor="text1"/>
          <w:sz w:val="23"/>
          <w:szCs w:val="23"/>
          <w:highlight w:val="white"/>
        </w:rPr>
        <w:t>Xueming</w:t>
      </w:r>
      <w:proofErr w:type="spellEnd"/>
      <w:r w:rsidRPr="00D90487">
        <w:rPr>
          <w:color w:val="000000" w:themeColor="text1"/>
          <w:sz w:val="23"/>
          <w:szCs w:val="23"/>
          <w:highlight w:val="white"/>
        </w:rPr>
        <w:t xml:space="preserve">, and Chitra Bhanu Bhattacharya. "Corporate social responsibility, customer satisfaction, and market value.", </w:t>
      </w:r>
      <w:r w:rsidRPr="00D90487">
        <w:rPr>
          <w:i/>
          <w:color w:val="000000" w:themeColor="text1"/>
          <w:sz w:val="23"/>
          <w:szCs w:val="23"/>
          <w:highlight w:val="white"/>
        </w:rPr>
        <w:t>Journal of marketing</w:t>
      </w:r>
      <w:r w:rsidRPr="00D90487">
        <w:rPr>
          <w:color w:val="000000" w:themeColor="text1"/>
          <w:sz w:val="23"/>
          <w:szCs w:val="23"/>
          <w:highlight w:val="white"/>
        </w:rPr>
        <w:t xml:space="preserve"> 70.4 (2006): 1-18.</w:t>
      </w:r>
    </w:p>
    <w:p w14:paraId="5ABF3909" w14:textId="77777777" w:rsidR="00542DEC" w:rsidRPr="00D90487" w:rsidRDefault="000B6FC7">
      <w:pPr>
        <w:rPr>
          <w:color w:val="000000" w:themeColor="text1"/>
          <w:sz w:val="23"/>
          <w:szCs w:val="23"/>
          <w:highlight w:val="white"/>
        </w:rPr>
      </w:pPr>
      <w:proofErr w:type="spellStart"/>
      <w:r w:rsidRPr="00D90487">
        <w:rPr>
          <w:color w:val="000000" w:themeColor="text1"/>
          <w:sz w:val="23"/>
          <w:szCs w:val="23"/>
          <w:highlight w:val="white"/>
        </w:rPr>
        <w:t>Maquieira</w:t>
      </w:r>
      <w:proofErr w:type="spellEnd"/>
      <w:r w:rsidRPr="00D90487">
        <w:rPr>
          <w:color w:val="000000" w:themeColor="text1"/>
          <w:sz w:val="23"/>
          <w:szCs w:val="23"/>
          <w:highlight w:val="white"/>
        </w:rPr>
        <w:t xml:space="preserve">, Carlos P., William L. Megginson, and Lance Nail. "Wealth creation versus wealth redistributions in pure stock-for-stock mergers.", </w:t>
      </w:r>
      <w:r w:rsidRPr="00D90487">
        <w:rPr>
          <w:i/>
          <w:color w:val="000000" w:themeColor="text1"/>
          <w:sz w:val="23"/>
          <w:szCs w:val="23"/>
          <w:highlight w:val="white"/>
        </w:rPr>
        <w:t>Journal of financial Economics</w:t>
      </w:r>
      <w:r w:rsidRPr="00D90487">
        <w:rPr>
          <w:color w:val="000000" w:themeColor="text1"/>
          <w:sz w:val="23"/>
          <w:szCs w:val="23"/>
          <w:highlight w:val="white"/>
        </w:rPr>
        <w:t xml:space="preserve"> 48.1 (1998): 3-33.</w:t>
      </w:r>
    </w:p>
    <w:p w14:paraId="74FBF30C" w14:textId="77777777" w:rsidR="00542DEC" w:rsidRPr="00D90487" w:rsidRDefault="000B6FC7">
      <w:pPr>
        <w:rPr>
          <w:color w:val="000000" w:themeColor="text1"/>
          <w:sz w:val="23"/>
          <w:szCs w:val="23"/>
        </w:rPr>
      </w:pPr>
      <w:proofErr w:type="spellStart"/>
      <w:r w:rsidRPr="00D90487">
        <w:rPr>
          <w:color w:val="000000" w:themeColor="text1"/>
          <w:sz w:val="23"/>
          <w:szCs w:val="23"/>
        </w:rPr>
        <w:t>Schwert</w:t>
      </w:r>
      <w:proofErr w:type="spellEnd"/>
      <w:r w:rsidRPr="00D90487">
        <w:rPr>
          <w:color w:val="000000" w:themeColor="text1"/>
          <w:sz w:val="23"/>
          <w:szCs w:val="23"/>
        </w:rPr>
        <w:t xml:space="preserve">, G.W. (2000). Hostility in takeovers: In the eyes of the beholder? Journal of Finance, 55(6), 2599–2640. </w:t>
      </w:r>
    </w:p>
    <w:p w14:paraId="00A7F8F7" w14:textId="77777777" w:rsidR="00542DEC" w:rsidRPr="00D90487" w:rsidRDefault="000B6FC7">
      <w:pPr>
        <w:rPr>
          <w:color w:val="000000" w:themeColor="text1"/>
          <w:sz w:val="23"/>
          <w:szCs w:val="23"/>
          <w:highlight w:val="white"/>
        </w:rPr>
      </w:pPr>
      <w:proofErr w:type="spellStart"/>
      <w:r w:rsidRPr="00D90487">
        <w:rPr>
          <w:color w:val="000000" w:themeColor="text1"/>
          <w:sz w:val="23"/>
          <w:szCs w:val="23"/>
          <w:highlight w:val="white"/>
        </w:rPr>
        <w:t>Simonyan</w:t>
      </w:r>
      <w:proofErr w:type="spellEnd"/>
      <w:r w:rsidRPr="00D90487">
        <w:rPr>
          <w:color w:val="000000" w:themeColor="text1"/>
          <w:sz w:val="23"/>
          <w:szCs w:val="23"/>
          <w:highlight w:val="white"/>
        </w:rPr>
        <w:t xml:space="preserve">, Karen. "What determines takeover premia: An empirical analysis." </w:t>
      </w:r>
      <w:r w:rsidRPr="00D90487">
        <w:rPr>
          <w:i/>
          <w:color w:val="000000" w:themeColor="text1"/>
          <w:sz w:val="23"/>
          <w:szCs w:val="23"/>
          <w:highlight w:val="white"/>
        </w:rPr>
        <w:t>Journal of Economics and Business</w:t>
      </w:r>
      <w:r w:rsidRPr="00D90487">
        <w:rPr>
          <w:color w:val="000000" w:themeColor="text1"/>
          <w:sz w:val="23"/>
          <w:szCs w:val="23"/>
          <w:highlight w:val="white"/>
        </w:rPr>
        <w:t xml:space="preserve"> 75 (2014): 93-125.</w:t>
      </w:r>
    </w:p>
    <w:p w14:paraId="4706DAE5" w14:textId="77777777" w:rsidR="00542DEC" w:rsidRPr="00D90487" w:rsidRDefault="000B6FC7">
      <w:pPr>
        <w:rPr>
          <w:color w:val="000000" w:themeColor="text1"/>
          <w:sz w:val="23"/>
          <w:szCs w:val="23"/>
          <w:highlight w:val="white"/>
        </w:rPr>
      </w:pPr>
      <w:r w:rsidRPr="00D90487">
        <w:rPr>
          <w:color w:val="000000" w:themeColor="text1"/>
          <w:sz w:val="23"/>
          <w:szCs w:val="23"/>
          <w:highlight w:val="white"/>
        </w:rPr>
        <w:t>Sustainability.com, 2021, [online], available at: &lt;</w:t>
      </w:r>
      <w:hyperlink r:id="rId14">
        <w:r w:rsidRPr="00D90487">
          <w:rPr>
            <w:color w:val="000000" w:themeColor="text1"/>
            <w:sz w:val="23"/>
            <w:szCs w:val="23"/>
            <w:highlight w:val="white"/>
          </w:rPr>
          <w:t>https://www.sustainability.com/globalassets/sustainability.com/thinking/pdfs/sustainability-ratetheraters2020-report.pdf?fbclid=IwAR3MNhvwhDNgwz0_C2_W2EI2YY7MVA-LkyXMuzlZR7JPLWaMDCTCpdVmZno</w:t>
        </w:r>
      </w:hyperlink>
      <w:r w:rsidRPr="00D90487">
        <w:rPr>
          <w:color w:val="000000" w:themeColor="text1"/>
          <w:sz w:val="23"/>
          <w:szCs w:val="23"/>
          <w:highlight w:val="white"/>
        </w:rPr>
        <w:t xml:space="preserve"> &gt;, [ Last screening 9th of January 2021].</w:t>
      </w:r>
    </w:p>
    <w:p w14:paraId="6D0861C0" w14:textId="363D10F0" w:rsidR="00542DEC" w:rsidRPr="00D90487" w:rsidRDefault="000B6FC7">
      <w:pPr>
        <w:rPr>
          <w:color w:val="000000" w:themeColor="text1"/>
          <w:sz w:val="23"/>
          <w:szCs w:val="23"/>
          <w:highlight w:val="white"/>
        </w:rPr>
      </w:pPr>
      <w:r w:rsidRPr="00D90487">
        <w:rPr>
          <w:color w:val="000000" w:themeColor="text1"/>
          <w:sz w:val="23"/>
          <w:szCs w:val="23"/>
          <w:highlight w:val="white"/>
        </w:rPr>
        <w:t xml:space="preserve">Systainalytics.com, 2021, [online], available </w:t>
      </w:r>
      <w:proofErr w:type="gramStart"/>
      <w:r w:rsidRPr="00D90487">
        <w:rPr>
          <w:color w:val="000000" w:themeColor="text1"/>
          <w:sz w:val="23"/>
          <w:szCs w:val="23"/>
          <w:highlight w:val="white"/>
        </w:rPr>
        <w:t>at :</w:t>
      </w:r>
      <w:proofErr w:type="gramEnd"/>
      <w:r w:rsidRPr="00D90487">
        <w:rPr>
          <w:color w:val="000000" w:themeColor="text1"/>
          <w:sz w:val="23"/>
          <w:szCs w:val="23"/>
          <w:highlight w:val="white"/>
        </w:rPr>
        <w:t xml:space="preserve"> &lt;</w:t>
      </w:r>
      <w:hyperlink r:id="rId15">
        <w:r w:rsidRPr="00D90487">
          <w:rPr>
            <w:color w:val="000000" w:themeColor="text1"/>
            <w:sz w:val="23"/>
            <w:szCs w:val="23"/>
            <w:highlight w:val="white"/>
          </w:rPr>
          <w:t>https://www.sustainalytics.com/esg-ratings/</w:t>
        </w:r>
      </w:hyperlink>
      <w:r w:rsidRPr="00D90487">
        <w:rPr>
          <w:color w:val="000000" w:themeColor="text1"/>
          <w:sz w:val="23"/>
          <w:szCs w:val="23"/>
          <w:highlight w:val="white"/>
        </w:rPr>
        <w:t xml:space="preserve"> &gt;,  [ Last screening 9th of January 2021].</w:t>
      </w:r>
    </w:p>
    <w:p w14:paraId="759AF0E4" w14:textId="77777777" w:rsidR="00542DEC" w:rsidRPr="00D90487" w:rsidRDefault="000B6FC7">
      <w:pPr>
        <w:rPr>
          <w:color w:val="000000" w:themeColor="text1"/>
          <w:sz w:val="23"/>
          <w:szCs w:val="23"/>
          <w:highlight w:val="white"/>
        </w:rPr>
      </w:pPr>
      <w:r w:rsidRPr="00D90487">
        <w:rPr>
          <w:sz w:val="23"/>
          <w:szCs w:val="23"/>
          <w:highlight w:val="white"/>
        </w:rPr>
        <w:t xml:space="preserve">S&amp;P Global, </w:t>
      </w:r>
      <w:r w:rsidRPr="00D90487">
        <w:rPr>
          <w:color w:val="000000" w:themeColor="text1"/>
          <w:sz w:val="23"/>
          <w:szCs w:val="23"/>
          <w:highlight w:val="white"/>
        </w:rPr>
        <w:t>2021,</w:t>
      </w:r>
      <w:r w:rsidRPr="00D90487">
        <w:rPr>
          <w:i/>
          <w:color w:val="000000" w:themeColor="text1"/>
          <w:sz w:val="23"/>
          <w:szCs w:val="23"/>
          <w:highlight w:val="white"/>
        </w:rPr>
        <w:t xml:space="preserve"> SAM Sustainability Yearbook 2020</w:t>
      </w:r>
      <w:r w:rsidRPr="00D90487">
        <w:rPr>
          <w:color w:val="000000" w:themeColor="text1"/>
          <w:sz w:val="23"/>
          <w:szCs w:val="23"/>
          <w:highlight w:val="white"/>
        </w:rPr>
        <w:t>, [online], available at: &lt;</w:t>
      </w:r>
      <w:hyperlink r:id="rId16">
        <w:r w:rsidRPr="00D90487">
          <w:rPr>
            <w:color w:val="000000" w:themeColor="text1"/>
            <w:sz w:val="23"/>
            <w:szCs w:val="23"/>
            <w:highlight w:val="white"/>
          </w:rPr>
          <w:t>https://www.spglobal.com/esg/csa/yearbook/ranking</w:t>
        </w:r>
      </w:hyperlink>
      <w:r w:rsidRPr="00D90487">
        <w:rPr>
          <w:color w:val="000000" w:themeColor="text1"/>
          <w:sz w:val="23"/>
          <w:szCs w:val="23"/>
          <w:highlight w:val="white"/>
        </w:rPr>
        <w:t xml:space="preserve"> /&gt; [ Last screening 9th of January 2021].</w:t>
      </w:r>
    </w:p>
    <w:p w14:paraId="4580129E" w14:textId="77777777" w:rsidR="00542DEC" w:rsidRPr="00D90487" w:rsidRDefault="000B6FC7">
      <w:pPr>
        <w:pStyle w:val="Heading1"/>
        <w:rPr>
          <w:sz w:val="23"/>
          <w:szCs w:val="23"/>
        </w:rPr>
      </w:pPr>
      <w:bookmarkStart w:id="86" w:name="_v0geogqeahvu" w:colFirst="0" w:colLast="0"/>
      <w:bookmarkEnd w:id="86"/>
      <w:r w:rsidRPr="00D90487">
        <w:rPr>
          <w:sz w:val="23"/>
          <w:szCs w:val="23"/>
        </w:rPr>
        <w:br w:type="page"/>
      </w:r>
    </w:p>
    <w:p w14:paraId="5D571D26" w14:textId="77777777" w:rsidR="00542DEC" w:rsidRDefault="000B6FC7">
      <w:pPr>
        <w:pStyle w:val="Heading1"/>
      </w:pPr>
      <w:bookmarkStart w:id="87" w:name="_Toc61125941"/>
      <w:bookmarkStart w:id="88" w:name="_Toc61126714"/>
      <w:r>
        <w:lastRenderedPageBreak/>
        <w:t>10. Appendix</w:t>
      </w:r>
      <w:bookmarkEnd w:id="87"/>
      <w:bookmarkEnd w:id="88"/>
    </w:p>
    <w:p w14:paraId="72062E44" w14:textId="77777777" w:rsidR="00542DEC" w:rsidRDefault="000B6FC7">
      <w:pPr>
        <w:jc w:val="center"/>
      </w:pPr>
      <w:r>
        <w:rPr>
          <w:b/>
        </w:rPr>
        <w:t>Figure 2. Compilation of the scatterplots that show misspecification</w:t>
      </w:r>
    </w:p>
    <w:p w14:paraId="7229E362" w14:textId="77777777" w:rsidR="00542DEC" w:rsidRDefault="000B6FC7">
      <w:pPr>
        <w:jc w:val="center"/>
        <w:rPr>
          <w:sz w:val="18"/>
          <w:szCs w:val="18"/>
        </w:rPr>
      </w:pPr>
      <w:r>
        <w:rPr>
          <w:b/>
          <w:noProof/>
        </w:rPr>
        <w:drawing>
          <wp:inline distT="114300" distB="114300" distL="114300" distR="114300" wp14:anchorId="0ED704EB" wp14:editId="69E4666A">
            <wp:extent cx="3871013" cy="2053834"/>
            <wp:effectExtent l="0" t="0" r="0" b="0"/>
            <wp:docPr id="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7"/>
                    <a:srcRect/>
                    <a:stretch>
                      <a:fillRect/>
                    </a:stretch>
                  </pic:blipFill>
                  <pic:spPr>
                    <a:xfrm>
                      <a:off x="0" y="0"/>
                      <a:ext cx="3871013" cy="2053834"/>
                    </a:xfrm>
                    <a:prstGeom prst="rect">
                      <a:avLst/>
                    </a:prstGeom>
                    <a:ln/>
                  </pic:spPr>
                </pic:pic>
              </a:graphicData>
            </a:graphic>
          </wp:inline>
        </w:drawing>
      </w:r>
      <w:r>
        <w:rPr>
          <w:noProof/>
          <w:sz w:val="18"/>
          <w:szCs w:val="18"/>
        </w:rPr>
        <w:drawing>
          <wp:inline distT="114300" distB="114300" distL="114300" distR="114300" wp14:anchorId="7A39CF70" wp14:editId="16D80136">
            <wp:extent cx="4299638" cy="2173794"/>
            <wp:effectExtent l="0" t="0" r="0" b="0"/>
            <wp:docPr id="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8"/>
                    <a:srcRect/>
                    <a:stretch>
                      <a:fillRect/>
                    </a:stretch>
                  </pic:blipFill>
                  <pic:spPr>
                    <a:xfrm>
                      <a:off x="0" y="0"/>
                      <a:ext cx="4299638" cy="2173794"/>
                    </a:xfrm>
                    <a:prstGeom prst="rect">
                      <a:avLst/>
                    </a:prstGeom>
                    <a:ln/>
                  </pic:spPr>
                </pic:pic>
              </a:graphicData>
            </a:graphic>
          </wp:inline>
        </w:drawing>
      </w:r>
      <w:r>
        <w:rPr>
          <w:noProof/>
          <w:sz w:val="18"/>
          <w:szCs w:val="18"/>
        </w:rPr>
        <w:drawing>
          <wp:inline distT="114300" distB="114300" distL="114300" distR="114300" wp14:anchorId="77B34277" wp14:editId="3309C4DE">
            <wp:extent cx="2327963" cy="1864189"/>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9"/>
                    <a:srcRect/>
                    <a:stretch>
                      <a:fillRect/>
                    </a:stretch>
                  </pic:blipFill>
                  <pic:spPr>
                    <a:xfrm>
                      <a:off x="0" y="0"/>
                      <a:ext cx="2327963" cy="1864189"/>
                    </a:xfrm>
                    <a:prstGeom prst="rect">
                      <a:avLst/>
                    </a:prstGeom>
                    <a:ln/>
                  </pic:spPr>
                </pic:pic>
              </a:graphicData>
            </a:graphic>
          </wp:inline>
        </w:drawing>
      </w:r>
    </w:p>
    <w:p w14:paraId="4C050A08" w14:textId="49DA437D" w:rsidR="00542DEC" w:rsidRDefault="000B6FC7">
      <w:r>
        <w:rPr>
          <w:sz w:val="18"/>
          <w:szCs w:val="18"/>
        </w:rPr>
        <w:t xml:space="preserve">This figure shows five different scatterplots. </w:t>
      </w:r>
      <w:r w:rsidR="0059229A">
        <w:rPr>
          <w:sz w:val="18"/>
          <w:szCs w:val="18"/>
        </w:rPr>
        <w:t>All</w:t>
      </w:r>
      <w:r>
        <w:rPr>
          <w:sz w:val="18"/>
          <w:szCs w:val="18"/>
        </w:rPr>
        <w:t xml:space="preserve"> scatter plots have the bid premium (</w:t>
      </w:r>
      <w:r>
        <w:rPr>
          <w:b/>
          <w:sz w:val="20"/>
          <w:szCs w:val="20"/>
        </w:rPr>
        <w:t>PREMIUM</w:t>
      </w:r>
      <w:r>
        <w:rPr>
          <w:sz w:val="20"/>
          <w:szCs w:val="20"/>
        </w:rPr>
        <w:t>)</w:t>
      </w:r>
      <w:r>
        <w:rPr>
          <w:sz w:val="18"/>
          <w:szCs w:val="18"/>
        </w:rPr>
        <w:t xml:space="preserve"> as the dependent variable. The Northwestern shows </w:t>
      </w:r>
      <w:r>
        <w:rPr>
          <w:b/>
          <w:sz w:val="18"/>
          <w:szCs w:val="18"/>
        </w:rPr>
        <w:t xml:space="preserve">BOOK/MARKET (T) </w:t>
      </w:r>
      <w:r>
        <w:rPr>
          <w:sz w:val="18"/>
          <w:szCs w:val="18"/>
        </w:rPr>
        <w:t xml:space="preserve">on the X-axis, the Northeastern shows </w:t>
      </w:r>
      <w:r>
        <w:rPr>
          <w:b/>
          <w:sz w:val="18"/>
          <w:szCs w:val="18"/>
        </w:rPr>
        <w:t xml:space="preserve">BOOK/MARKET (A) </w:t>
      </w:r>
      <w:r>
        <w:rPr>
          <w:sz w:val="18"/>
          <w:szCs w:val="18"/>
        </w:rPr>
        <w:t xml:space="preserve">on the X-axis, the Southwestern shows </w:t>
      </w:r>
      <w:r>
        <w:rPr>
          <w:b/>
          <w:sz w:val="18"/>
          <w:szCs w:val="18"/>
        </w:rPr>
        <w:t xml:space="preserve">FIN_LEV </w:t>
      </w:r>
      <w:r>
        <w:rPr>
          <w:sz w:val="18"/>
          <w:szCs w:val="18"/>
        </w:rPr>
        <w:t xml:space="preserve">on the X-axis, the Southeastern shows </w:t>
      </w:r>
      <w:r>
        <w:rPr>
          <w:b/>
          <w:sz w:val="18"/>
          <w:szCs w:val="18"/>
        </w:rPr>
        <w:t xml:space="preserve">MCAP_DIF </w:t>
      </w:r>
      <w:r>
        <w:rPr>
          <w:sz w:val="18"/>
          <w:szCs w:val="18"/>
        </w:rPr>
        <w:t xml:space="preserve">on the X-axis and the Southernmost shows </w:t>
      </w:r>
      <w:r>
        <w:rPr>
          <w:b/>
          <w:sz w:val="18"/>
          <w:szCs w:val="18"/>
        </w:rPr>
        <w:t xml:space="preserve">LTD/BV </w:t>
      </w:r>
      <w:r>
        <w:rPr>
          <w:sz w:val="18"/>
          <w:szCs w:val="18"/>
        </w:rPr>
        <w:t xml:space="preserve">on the X-axis. </w:t>
      </w:r>
    </w:p>
    <w:p w14:paraId="785EB03E" w14:textId="77777777" w:rsidR="00542DEC" w:rsidRDefault="000B6FC7">
      <w:pPr>
        <w:jc w:val="center"/>
        <w:rPr>
          <w:b/>
        </w:rPr>
      </w:pPr>
      <w:r>
        <w:rPr>
          <w:b/>
        </w:rPr>
        <w:lastRenderedPageBreak/>
        <w:t>Figure 3. Boxplots for the independent variables</w:t>
      </w:r>
    </w:p>
    <w:p w14:paraId="639C2478" w14:textId="095EFA84" w:rsidR="00542DEC" w:rsidRDefault="000B6FC7">
      <w:r>
        <w:rPr>
          <w:noProof/>
        </w:rPr>
        <w:drawing>
          <wp:inline distT="114300" distB="114300" distL="114300" distR="114300" wp14:anchorId="18D25962" wp14:editId="58BBCB2F">
            <wp:extent cx="5745600" cy="4978400"/>
            <wp:effectExtent l="0" t="0" r="0" b="0"/>
            <wp:docPr id="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0"/>
                    <a:srcRect/>
                    <a:stretch>
                      <a:fillRect/>
                    </a:stretch>
                  </pic:blipFill>
                  <pic:spPr>
                    <a:xfrm>
                      <a:off x="0" y="0"/>
                      <a:ext cx="5745600" cy="4978400"/>
                    </a:xfrm>
                    <a:prstGeom prst="rect">
                      <a:avLst/>
                    </a:prstGeom>
                    <a:ln/>
                  </pic:spPr>
                </pic:pic>
              </a:graphicData>
            </a:graphic>
          </wp:inline>
        </w:drawing>
      </w:r>
    </w:p>
    <w:p w14:paraId="783009CC" w14:textId="77777777" w:rsidR="00542DEC" w:rsidRDefault="000B6FC7">
      <w:pPr>
        <w:rPr>
          <w:b/>
        </w:rPr>
      </w:pPr>
      <w:r>
        <w:rPr>
          <w:sz w:val="18"/>
          <w:szCs w:val="18"/>
        </w:rPr>
        <w:t xml:space="preserve">The figure represents the box plots for seven different independent variables. The variables represented are: </w:t>
      </w:r>
      <w:r>
        <w:rPr>
          <w:b/>
          <w:sz w:val="18"/>
          <w:szCs w:val="18"/>
        </w:rPr>
        <w:t xml:space="preserve">(1) </w:t>
      </w:r>
      <w:r>
        <w:rPr>
          <w:b/>
          <w:sz w:val="20"/>
          <w:szCs w:val="20"/>
        </w:rPr>
        <w:t xml:space="preserve"> ESG_PORTFOLIO </w:t>
      </w:r>
      <w:r>
        <w:rPr>
          <w:sz w:val="20"/>
          <w:szCs w:val="20"/>
        </w:rPr>
        <w:t xml:space="preserve">(average target ESG-rating (sum of existing ratings from </w:t>
      </w:r>
      <w:proofErr w:type="spellStart"/>
      <w:r>
        <w:rPr>
          <w:sz w:val="20"/>
          <w:szCs w:val="20"/>
        </w:rPr>
        <w:t>Sustainalytics</w:t>
      </w:r>
      <w:proofErr w:type="spellEnd"/>
      <w:r>
        <w:rPr>
          <w:sz w:val="20"/>
          <w:szCs w:val="20"/>
        </w:rPr>
        <w:t xml:space="preserve">, </w:t>
      </w:r>
      <w:proofErr w:type="spellStart"/>
      <w:r>
        <w:rPr>
          <w:sz w:val="20"/>
          <w:szCs w:val="20"/>
        </w:rPr>
        <w:t>RobecoSAM</w:t>
      </w:r>
      <w:proofErr w:type="spellEnd"/>
      <w:r>
        <w:rPr>
          <w:sz w:val="20"/>
          <w:szCs w:val="20"/>
        </w:rPr>
        <w:t xml:space="preserve">, ISS Quality Score and Bloomberg ESG Disclosure score converted into a 0-100 scale divided with the amount of existing ratings)) </w:t>
      </w:r>
      <w:r>
        <w:rPr>
          <w:b/>
          <w:sz w:val="20"/>
          <w:szCs w:val="20"/>
        </w:rPr>
        <w:t xml:space="preserve">(2) ESG_DIF </w:t>
      </w:r>
      <w:r>
        <w:rPr>
          <w:sz w:val="20"/>
          <w:szCs w:val="20"/>
        </w:rPr>
        <w:t xml:space="preserve">((ESG-PORTFOLIO (acquirer) - ESG-PORTFOLIO  (target)) </w:t>
      </w:r>
      <w:r>
        <w:rPr>
          <w:b/>
          <w:sz w:val="20"/>
          <w:szCs w:val="20"/>
        </w:rPr>
        <w:t xml:space="preserve">(3) LOG(LTD/BV) </w:t>
      </w:r>
      <w:r>
        <w:rPr>
          <w:sz w:val="20"/>
          <w:szCs w:val="20"/>
        </w:rPr>
        <w:t xml:space="preserve">(the logarithm of </w:t>
      </w:r>
      <w:r>
        <w:rPr>
          <w:b/>
          <w:sz w:val="20"/>
          <w:szCs w:val="20"/>
        </w:rPr>
        <w:t xml:space="preserve"> </w:t>
      </w:r>
      <w:r>
        <w:rPr>
          <w:sz w:val="20"/>
          <w:szCs w:val="20"/>
        </w:rPr>
        <w:t xml:space="preserve">long-term debt / total assets (target)) </w:t>
      </w:r>
      <w:r>
        <w:rPr>
          <w:b/>
          <w:sz w:val="20"/>
          <w:szCs w:val="20"/>
        </w:rPr>
        <w:t xml:space="preserve">(4) LOG(BOOK/MARKET (T)) </w:t>
      </w:r>
      <w:r>
        <w:rPr>
          <w:sz w:val="20"/>
          <w:szCs w:val="20"/>
        </w:rPr>
        <w:t xml:space="preserve">( logarithm of (total assets - total liabilities) / market cap (target)) </w:t>
      </w:r>
      <w:r>
        <w:rPr>
          <w:b/>
          <w:sz w:val="20"/>
          <w:szCs w:val="20"/>
        </w:rPr>
        <w:t xml:space="preserve">(5) LOG(BOOK/MARKET (A)) </w:t>
      </w:r>
      <w:r>
        <w:rPr>
          <w:sz w:val="20"/>
          <w:szCs w:val="20"/>
        </w:rPr>
        <w:t xml:space="preserve">(logarithm of (total assets - total liabilities) / market cap (acquirer) </w:t>
      </w:r>
      <w:r>
        <w:rPr>
          <w:b/>
          <w:sz w:val="20"/>
          <w:szCs w:val="20"/>
        </w:rPr>
        <w:t xml:space="preserve">(6) LOG(MCAP_DIF) </w:t>
      </w:r>
      <w:r>
        <w:rPr>
          <w:sz w:val="20"/>
          <w:szCs w:val="20"/>
        </w:rPr>
        <w:t xml:space="preserve">(logarithm of (market cap (acquirer) - market cap (target)) </w:t>
      </w:r>
      <w:r>
        <w:rPr>
          <w:b/>
          <w:sz w:val="20"/>
          <w:szCs w:val="20"/>
        </w:rPr>
        <w:t xml:space="preserve">(7) LOG(FIN_LEV) </w:t>
      </w:r>
      <w:r>
        <w:rPr>
          <w:sz w:val="20"/>
          <w:szCs w:val="20"/>
        </w:rPr>
        <w:t>(logarithm of (liabilities / equity (target)).</w:t>
      </w:r>
    </w:p>
    <w:p w14:paraId="65F4E120" w14:textId="77777777" w:rsidR="00542DEC" w:rsidRDefault="000B6FC7">
      <w:pPr>
        <w:jc w:val="center"/>
        <w:rPr>
          <w:b/>
        </w:rPr>
      </w:pPr>
      <w:r>
        <w:br w:type="page"/>
      </w:r>
    </w:p>
    <w:p w14:paraId="17F8B4A5" w14:textId="287D063B" w:rsidR="009F5902" w:rsidRDefault="009F5902" w:rsidP="009F5902">
      <w:pPr>
        <w:jc w:val="center"/>
        <w:rPr>
          <w:b/>
        </w:rPr>
      </w:pPr>
      <w:r>
        <w:rPr>
          <w:noProof/>
        </w:rPr>
        <w:lastRenderedPageBreak/>
        <w:drawing>
          <wp:anchor distT="114300" distB="114300" distL="114300" distR="114300" simplePos="0" relativeHeight="251661312" behindDoc="0" locked="0" layoutInCell="1" hidden="0" allowOverlap="1" wp14:anchorId="376EA7F6" wp14:editId="64F25B80">
            <wp:simplePos x="0" y="0"/>
            <wp:positionH relativeFrom="margin">
              <wp:posOffset>-764540</wp:posOffset>
            </wp:positionH>
            <wp:positionV relativeFrom="paragraph">
              <wp:posOffset>514350</wp:posOffset>
            </wp:positionV>
            <wp:extent cx="7277100" cy="1429385"/>
            <wp:effectExtent l="0" t="0" r="0" b="0"/>
            <wp:wrapTopAndBottom distT="114300" distB="114300"/>
            <wp:docPr id="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7277100" cy="1429385"/>
                    </a:xfrm>
                    <a:prstGeom prst="rect">
                      <a:avLst/>
                    </a:prstGeom>
                    <a:ln/>
                  </pic:spPr>
                </pic:pic>
              </a:graphicData>
            </a:graphic>
            <wp14:sizeRelH relativeFrom="margin">
              <wp14:pctWidth>0</wp14:pctWidth>
            </wp14:sizeRelH>
            <wp14:sizeRelV relativeFrom="margin">
              <wp14:pctHeight>0</wp14:pctHeight>
            </wp14:sizeRelV>
          </wp:anchor>
        </w:drawing>
      </w:r>
      <w:r w:rsidR="000B6FC7">
        <w:rPr>
          <w:b/>
        </w:rPr>
        <w:t>Matrix 1. Correlation Matrix for the variables in regression model 4</w:t>
      </w:r>
    </w:p>
    <w:p w14:paraId="48C59A1B" w14:textId="0BD96EA6" w:rsidR="00542DEC" w:rsidRDefault="000B6FC7">
      <w:pPr>
        <w:spacing w:line="276" w:lineRule="auto"/>
        <w:rPr>
          <w:sz w:val="18"/>
          <w:szCs w:val="18"/>
        </w:rPr>
      </w:pPr>
      <w:r>
        <w:rPr>
          <w:sz w:val="18"/>
          <w:szCs w:val="18"/>
        </w:rPr>
        <w:t xml:space="preserve">This matrix shows the pairwise correlation between the explanatory variables in model 4. A darker </w:t>
      </w:r>
      <w:proofErr w:type="spellStart"/>
      <w:r>
        <w:rPr>
          <w:sz w:val="18"/>
          <w:szCs w:val="18"/>
        </w:rPr>
        <w:t>colour</w:t>
      </w:r>
      <w:proofErr w:type="spellEnd"/>
      <w:r>
        <w:rPr>
          <w:sz w:val="18"/>
          <w:szCs w:val="18"/>
        </w:rPr>
        <w:t xml:space="preserve"> indicates a higher degree of correlation. The matrix contains the variables: </w:t>
      </w:r>
      <w:r>
        <w:rPr>
          <w:b/>
          <w:sz w:val="18"/>
          <w:szCs w:val="18"/>
        </w:rPr>
        <w:t xml:space="preserve">(1) ESG_PORTFOLIO </w:t>
      </w:r>
      <w:r>
        <w:rPr>
          <w:sz w:val="18"/>
          <w:szCs w:val="18"/>
        </w:rPr>
        <w:t xml:space="preserve">(average target ESG-rating (sum of existing ratings from </w:t>
      </w:r>
      <w:proofErr w:type="spellStart"/>
      <w:r>
        <w:rPr>
          <w:sz w:val="18"/>
          <w:szCs w:val="18"/>
        </w:rPr>
        <w:t>Sustainalytics</w:t>
      </w:r>
      <w:proofErr w:type="spellEnd"/>
      <w:r>
        <w:rPr>
          <w:sz w:val="18"/>
          <w:szCs w:val="18"/>
        </w:rPr>
        <w:t xml:space="preserve">, </w:t>
      </w:r>
      <w:proofErr w:type="spellStart"/>
      <w:r>
        <w:rPr>
          <w:sz w:val="18"/>
          <w:szCs w:val="18"/>
        </w:rPr>
        <w:t>RobecoSAM</w:t>
      </w:r>
      <w:proofErr w:type="spellEnd"/>
      <w:r>
        <w:rPr>
          <w:sz w:val="18"/>
          <w:szCs w:val="18"/>
        </w:rPr>
        <w:t xml:space="preserve">, ISS Quality Score and Bloomberg ESG Disclosure Score converted into a 0-100 scale divided with the amount of existing ratings)) </w:t>
      </w:r>
      <w:r>
        <w:rPr>
          <w:b/>
          <w:sz w:val="18"/>
          <w:szCs w:val="18"/>
        </w:rPr>
        <w:t xml:space="preserve">(2) ESG_DIF </w:t>
      </w:r>
      <w:r>
        <w:rPr>
          <w:sz w:val="18"/>
          <w:szCs w:val="18"/>
        </w:rPr>
        <w:t xml:space="preserve">((ESG-PORTFOLIO (acquirer) - ESG-PORTFOLIO  (target)) </w:t>
      </w:r>
      <w:r>
        <w:rPr>
          <w:b/>
          <w:sz w:val="18"/>
          <w:szCs w:val="18"/>
        </w:rPr>
        <w:t xml:space="preserve">(3) LOG(LTD/BV) </w:t>
      </w:r>
      <w:r>
        <w:rPr>
          <w:sz w:val="18"/>
          <w:szCs w:val="18"/>
        </w:rPr>
        <w:t xml:space="preserve">(the logarithm of </w:t>
      </w:r>
      <w:r>
        <w:rPr>
          <w:b/>
          <w:sz w:val="18"/>
          <w:szCs w:val="18"/>
        </w:rPr>
        <w:t xml:space="preserve"> (</w:t>
      </w:r>
      <w:r>
        <w:rPr>
          <w:sz w:val="18"/>
          <w:szCs w:val="18"/>
        </w:rPr>
        <w:t xml:space="preserve">long-term debt / total assets) (target)) </w:t>
      </w:r>
      <w:r>
        <w:rPr>
          <w:b/>
          <w:sz w:val="18"/>
          <w:szCs w:val="18"/>
        </w:rPr>
        <w:t xml:space="preserve">(4) LOG(BOOK/MARKET (T)) </w:t>
      </w:r>
      <w:r>
        <w:rPr>
          <w:sz w:val="18"/>
          <w:szCs w:val="18"/>
        </w:rPr>
        <w:t xml:space="preserve">(logarithm of (total assets - total liabilities) / market cap (target)) </w:t>
      </w:r>
      <w:r>
        <w:rPr>
          <w:b/>
          <w:sz w:val="18"/>
          <w:szCs w:val="18"/>
        </w:rPr>
        <w:t xml:space="preserve">(5) LOG(BOOK/MARKET (A)) </w:t>
      </w:r>
      <w:r>
        <w:rPr>
          <w:sz w:val="18"/>
          <w:szCs w:val="18"/>
        </w:rPr>
        <w:t xml:space="preserve">(logarithm of (total assets - total liabilities) / market cap (acquirer) </w:t>
      </w:r>
      <w:r>
        <w:rPr>
          <w:b/>
          <w:sz w:val="18"/>
          <w:szCs w:val="18"/>
        </w:rPr>
        <w:t xml:space="preserve">(6) LOG(MCAP_DIF) </w:t>
      </w:r>
      <w:r>
        <w:rPr>
          <w:sz w:val="18"/>
          <w:szCs w:val="18"/>
        </w:rPr>
        <w:t xml:space="preserve">(logarithm of (market cap (acquirer) - market cap (target)) </w:t>
      </w:r>
      <w:r>
        <w:rPr>
          <w:b/>
          <w:sz w:val="18"/>
          <w:szCs w:val="18"/>
        </w:rPr>
        <w:t xml:space="preserve">(7) LOG(FIN_LEV) </w:t>
      </w:r>
      <w:r>
        <w:rPr>
          <w:sz w:val="18"/>
          <w:szCs w:val="18"/>
        </w:rPr>
        <w:t xml:space="preserve">(logarithm of (liabilities / equity (target)) </w:t>
      </w:r>
      <w:r>
        <w:rPr>
          <w:b/>
          <w:sz w:val="18"/>
          <w:szCs w:val="18"/>
        </w:rPr>
        <w:t xml:space="preserve">(8) STOCK </w:t>
      </w:r>
      <w:r>
        <w:rPr>
          <w:sz w:val="18"/>
          <w:szCs w:val="18"/>
        </w:rPr>
        <w:t xml:space="preserve">(dummy variable that equals 1 if the payment was only done through stock). </w:t>
      </w:r>
    </w:p>
    <w:p w14:paraId="212DA443" w14:textId="77777777" w:rsidR="0059229A" w:rsidRDefault="0059229A">
      <w:pPr>
        <w:spacing w:before="0" w:after="0"/>
        <w:jc w:val="center"/>
        <w:rPr>
          <w:sz w:val="18"/>
          <w:szCs w:val="18"/>
        </w:rPr>
      </w:pPr>
    </w:p>
    <w:p w14:paraId="697554D0" w14:textId="7B951403" w:rsidR="00542DEC" w:rsidRDefault="000B6FC7">
      <w:pPr>
        <w:spacing w:before="0" w:after="0"/>
        <w:jc w:val="center"/>
        <w:rPr>
          <w:b/>
          <w:sz w:val="22"/>
          <w:szCs w:val="22"/>
        </w:rPr>
      </w:pPr>
      <w:r>
        <w:rPr>
          <w:b/>
        </w:rPr>
        <w:t>Table 8. Results from VIF test of the variables in regression model 4</w:t>
      </w:r>
    </w:p>
    <w:p w14:paraId="18EF68E9" w14:textId="77777777" w:rsidR="0059229A" w:rsidRDefault="0059229A">
      <w:pPr>
        <w:shd w:val="clear" w:color="auto" w:fill="FFFFFF"/>
        <w:spacing w:before="0" w:after="0"/>
        <w:rPr>
          <w:sz w:val="18"/>
          <w:szCs w:val="18"/>
        </w:rPr>
      </w:pPr>
    </w:p>
    <w:tbl>
      <w:tblPr>
        <w:tblStyle w:val="PlainTable4"/>
        <w:tblW w:w="7158" w:type="dxa"/>
        <w:jc w:val="center"/>
        <w:tblLayout w:type="fixed"/>
        <w:tblLook w:val="04A0" w:firstRow="1" w:lastRow="0" w:firstColumn="1" w:lastColumn="0" w:noHBand="0" w:noVBand="1"/>
      </w:tblPr>
      <w:tblGrid>
        <w:gridCol w:w="2977"/>
        <w:gridCol w:w="1276"/>
        <w:gridCol w:w="2669"/>
        <w:gridCol w:w="236"/>
      </w:tblGrid>
      <w:tr w:rsidR="0059229A" w:rsidRPr="007362F2" w14:paraId="0B2B6CEA" w14:textId="77777777" w:rsidTr="00FC0BC6">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77" w:type="dxa"/>
            <w:tcBorders>
              <w:top w:val="double" w:sz="4" w:space="0" w:color="auto"/>
              <w:bottom w:val="single" w:sz="4" w:space="0" w:color="auto"/>
            </w:tcBorders>
            <w:shd w:val="clear" w:color="auto" w:fill="auto"/>
            <w:vAlign w:val="center"/>
            <w:hideMark/>
          </w:tcPr>
          <w:p w14:paraId="76C2C11E" w14:textId="77777777" w:rsidR="0059229A" w:rsidRPr="0059229A" w:rsidRDefault="0059229A" w:rsidP="0059229A">
            <w:pPr>
              <w:jc w:val="center"/>
              <w:rPr>
                <w:rFonts w:ascii="Times New Roman" w:hAnsi="Times New Roman" w:cs="Times New Roman"/>
                <w:color w:val="000000" w:themeColor="text1"/>
                <w:sz w:val="22"/>
                <w:szCs w:val="22"/>
              </w:rPr>
            </w:pPr>
            <w:r w:rsidRPr="0059229A">
              <w:rPr>
                <w:rFonts w:ascii="Times New Roman" w:hAnsi="Times New Roman" w:cs="Times New Roman"/>
                <w:color w:val="000000" w:themeColor="text1"/>
                <w:sz w:val="22"/>
                <w:szCs w:val="22"/>
              </w:rPr>
              <w:t>Variable</w:t>
            </w:r>
          </w:p>
        </w:tc>
        <w:tc>
          <w:tcPr>
            <w:tcW w:w="1276" w:type="dxa"/>
            <w:tcBorders>
              <w:top w:val="double" w:sz="4" w:space="0" w:color="auto"/>
              <w:bottom w:val="single" w:sz="4" w:space="0" w:color="auto"/>
            </w:tcBorders>
            <w:vAlign w:val="center"/>
          </w:tcPr>
          <w:p w14:paraId="2877944F" w14:textId="77777777" w:rsidR="0059229A" w:rsidRPr="0059229A" w:rsidRDefault="0059229A" w:rsidP="0059229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sidRPr="0059229A">
              <w:rPr>
                <w:rFonts w:ascii="Times New Roman" w:hAnsi="Times New Roman" w:cs="Times New Roman"/>
                <w:color w:val="000000" w:themeColor="text1"/>
                <w:sz w:val="22"/>
                <w:szCs w:val="22"/>
              </w:rPr>
              <w:t>Coefficient</w:t>
            </w:r>
          </w:p>
        </w:tc>
        <w:tc>
          <w:tcPr>
            <w:tcW w:w="2669" w:type="dxa"/>
            <w:tcBorders>
              <w:top w:val="double" w:sz="4" w:space="0" w:color="auto"/>
              <w:bottom w:val="single" w:sz="4" w:space="0" w:color="auto"/>
            </w:tcBorders>
            <w:vAlign w:val="center"/>
          </w:tcPr>
          <w:p w14:paraId="0E8170A5" w14:textId="77777777" w:rsidR="0059229A" w:rsidRPr="0059229A" w:rsidRDefault="0059229A" w:rsidP="0059229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sidRPr="0059229A">
              <w:rPr>
                <w:rFonts w:ascii="Times New Roman" w:hAnsi="Times New Roman" w:cs="Times New Roman"/>
                <w:color w:val="000000" w:themeColor="text1"/>
                <w:sz w:val="22"/>
                <w:szCs w:val="22"/>
              </w:rPr>
              <w:t>Degree of multicollinearity</w:t>
            </w:r>
          </w:p>
        </w:tc>
        <w:tc>
          <w:tcPr>
            <w:tcW w:w="236" w:type="dxa"/>
            <w:tcBorders>
              <w:top w:val="double" w:sz="4" w:space="0" w:color="auto"/>
              <w:bottom w:val="single" w:sz="4" w:space="0" w:color="auto"/>
            </w:tcBorders>
          </w:tcPr>
          <w:p w14:paraId="16CB2A88" w14:textId="77777777" w:rsidR="0059229A" w:rsidRPr="007362F2" w:rsidRDefault="0059229A" w:rsidP="00082A69">
            <w:pPr>
              <w:jc w:val="center"/>
              <w:cnfStyle w:val="100000000000" w:firstRow="1" w:lastRow="0" w:firstColumn="0" w:lastColumn="0" w:oddVBand="0" w:evenVBand="0" w:oddHBand="0" w:evenHBand="0" w:firstRowFirstColumn="0" w:firstRowLastColumn="0" w:lastRowFirstColumn="0" w:lastRowLastColumn="0"/>
              <w:rPr>
                <w:color w:val="000000" w:themeColor="text1"/>
                <w:sz w:val="22"/>
                <w:szCs w:val="22"/>
              </w:rPr>
            </w:pPr>
          </w:p>
        </w:tc>
      </w:tr>
      <w:tr w:rsidR="0059229A" w:rsidRPr="007362F2" w14:paraId="1D5BF278" w14:textId="77777777" w:rsidTr="00FC0BC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center"/>
          </w:tcPr>
          <w:p w14:paraId="1BFE07C1" w14:textId="77777777" w:rsidR="0059229A" w:rsidRPr="0059229A" w:rsidRDefault="0059229A" w:rsidP="0059229A">
            <w:pPr>
              <w:jc w:val="center"/>
              <w:rPr>
                <w:rFonts w:ascii="Times New Roman" w:hAnsi="Times New Roman" w:cs="Times New Roman"/>
                <w:color w:val="000000" w:themeColor="text1"/>
                <w:sz w:val="22"/>
                <w:szCs w:val="22"/>
              </w:rPr>
            </w:pPr>
          </w:p>
        </w:tc>
        <w:tc>
          <w:tcPr>
            <w:tcW w:w="1276" w:type="dxa"/>
            <w:shd w:val="clear" w:color="auto" w:fill="auto"/>
            <w:vAlign w:val="center"/>
          </w:tcPr>
          <w:p w14:paraId="7B7C3A2C" w14:textId="77777777" w:rsidR="0059229A" w:rsidRPr="0059229A" w:rsidRDefault="0059229A" w:rsidP="005922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c>
          <w:tcPr>
            <w:tcW w:w="2669" w:type="dxa"/>
            <w:shd w:val="clear" w:color="auto" w:fill="auto"/>
            <w:vAlign w:val="center"/>
          </w:tcPr>
          <w:p w14:paraId="67D099A0" w14:textId="77777777" w:rsidR="0059229A" w:rsidRPr="0059229A" w:rsidRDefault="0059229A" w:rsidP="005922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p>
        </w:tc>
        <w:tc>
          <w:tcPr>
            <w:tcW w:w="236" w:type="dxa"/>
            <w:shd w:val="clear" w:color="auto" w:fill="auto"/>
          </w:tcPr>
          <w:p w14:paraId="48A281D7" w14:textId="77777777" w:rsidR="0059229A" w:rsidRPr="007362F2" w:rsidRDefault="0059229A" w:rsidP="00082A69">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p>
        </w:tc>
      </w:tr>
      <w:tr w:rsidR="00FC0BC6" w:rsidRPr="007362F2" w14:paraId="343442A7" w14:textId="77777777" w:rsidTr="00FC0BC6">
        <w:trPr>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6B71A581" w14:textId="6B28616F" w:rsidR="00FC0BC6" w:rsidRPr="0059229A" w:rsidRDefault="00FC0BC6" w:rsidP="00FC0BC6">
            <w:pPr>
              <w:jc w:val="center"/>
              <w:rPr>
                <w:rFonts w:ascii="Times New Roman" w:hAnsi="Times New Roman" w:cs="Times New Roman"/>
                <w:color w:val="000000"/>
                <w:sz w:val="22"/>
                <w:szCs w:val="22"/>
              </w:rPr>
            </w:pPr>
            <w:r w:rsidRPr="005B34C8">
              <w:rPr>
                <w:rFonts w:ascii="Times New Roman" w:hAnsi="Times New Roman" w:cs="Times New Roman"/>
                <w:color w:val="000000"/>
                <w:sz w:val="22"/>
                <w:szCs w:val="22"/>
              </w:rPr>
              <w:t>ESG</w:t>
            </w:r>
            <w:r>
              <w:rPr>
                <w:rFonts w:ascii="Times New Roman" w:hAnsi="Times New Roman" w:cs="Times New Roman"/>
                <w:color w:val="000000"/>
                <w:sz w:val="22"/>
                <w:szCs w:val="22"/>
              </w:rPr>
              <w:t>-</w:t>
            </w:r>
            <w:r w:rsidRPr="005B34C8">
              <w:rPr>
                <w:rFonts w:ascii="Times New Roman" w:hAnsi="Times New Roman" w:cs="Times New Roman"/>
                <w:color w:val="000000"/>
                <w:sz w:val="22"/>
                <w:szCs w:val="22"/>
              </w:rPr>
              <w:t>PORTFOLIO</w:t>
            </w:r>
          </w:p>
        </w:tc>
        <w:tc>
          <w:tcPr>
            <w:tcW w:w="1276" w:type="dxa"/>
            <w:shd w:val="clear" w:color="auto" w:fill="auto"/>
            <w:vAlign w:val="center"/>
          </w:tcPr>
          <w:p w14:paraId="01E743BF" w14:textId="77777777" w:rsidR="00FC0BC6" w:rsidRPr="0059229A" w:rsidRDefault="00FC0BC6" w:rsidP="00FC0BC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59229A">
              <w:rPr>
                <w:rFonts w:ascii="Times New Roman" w:hAnsi="Times New Roman" w:cs="Times New Roman"/>
                <w:color w:val="000000"/>
                <w:sz w:val="22"/>
                <w:szCs w:val="22"/>
              </w:rPr>
              <w:t>2.202895</w:t>
            </w:r>
            <w:proofErr w:type="gramEnd"/>
          </w:p>
        </w:tc>
        <w:tc>
          <w:tcPr>
            <w:tcW w:w="2669" w:type="dxa"/>
            <w:shd w:val="clear" w:color="auto" w:fill="auto"/>
            <w:vAlign w:val="center"/>
          </w:tcPr>
          <w:p w14:paraId="201EAFDC" w14:textId="77777777" w:rsidR="00FC0BC6" w:rsidRPr="0059229A" w:rsidRDefault="00FC0BC6" w:rsidP="00FC0BC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59229A">
              <w:rPr>
                <w:rFonts w:ascii="Times New Roman" w:hAnsi="Times New Roman" w:cs="Times New Roman"/>
                <w:color w:val="000000"/>
                <w:sz w:val="22"/>
                <w:szCs w:val="22"/>
              </w:rPr>
              <w:t>Low</w:t>
            </w:r>
          </w:p>
        </w:tc>
        <w:tc>
          <w:tcPr>
            <w:tcW w:w="236" w:type="dxa"/>
            <w:shd w:val="clear" w:color="auto" w:fill="auto"/>
          </w:tcPr>
          <w:p w14:paraId="544D4A9D" w14:textId="77777777" w:rsidR="00FC0BC6" w:rsidRPr="007362F2" w:rsidRDefault="00FC0BC6" w:rsidP="00FC0BC6">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p>
        </w:tc>
      </w:tr>
      <w:tr w:rsidR="00FC0BC6" w:rsidRPr="007362F2" w14:paraId="0DE795AA" w14:textId="77777777" w:rsidTr="00FC0BC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53EDBD6F" w14:textId="2B2B3C69" w:rsidR="00FC0BC6" w:rsidRPr="0059229A" w:rsidRDefault="00FC0BC6" w:rsidP="00FC0BC6">
            <w:pPr>
              <w:jc w:val="center"/>
              <w:rPr>
                <w:rFonts w:ascii="Times New Roman" w:hAnsi="Times New Roman" w:cs="Times New Roman"/>
                <w:color w:val="000000"/>
                <w:sz w:val="22"/>
                <w:szCs w:val="22"/>
              </w:rPr>
            </w:pPr>
            <w:r w:rsidRPr="005B34C8">
              <w:rPr>
                <w:rFonts w:ascii="Times New Roman" w:hAnsi="Times New Roman" w:cs="Times New Roman"/>
                <w:color w:val="000000"/>
                <w:sz w:val="22"/>
                <w:szCs w:val="22"/>
              </w:rPr>
              <w:t>ESG</w:t>
            </w:r>
            <w:r>
              <w:rPr>
                <w:rFonts w:ascii="Times New Roman" w:hAnsi="Times New Roman" w:cs="Times New Roman"/>
                <w:color w:val="000000"/>
                <w:sz w:val="22"/>
                <w:szCs w:val="22"/>
              </w:rPr>
              <w:t>-</w:t>
            </w:r>
            <w:r w:rsidRPr="005B34C8">
              <w:rPr>
                <w:rFonts w:ascii="Times New Roman" w:hAnsi="Times New Roman" w:cs="Times New Roman"/>
                <w:color w:val="000000"/>
                <w:sz w:val="22"/>
                <w:szCs w:val="22"/>
              </w:rPr>
              <w:t>DIF</w:t>
            </w:r>
          </w:p>
        </w:tc>
        <w:tc>
          <w:tcPr>
            <w:tcW w:w="1276" w:type="dxa"/>
            <w:shd w:val="clear" w:color="auto" w:fill="auto"/>
            <w:vAlign w:val="center"/>
          </w:tcPr>
          <w:p w14:paraId="62893113" w14:textId="77777777" w:rsidR="00FC0BC6" w:rsidRPr="0059229A" w:rsidRDefault="00FC0BC6" w:rsidP="00FC0BC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roofErr w:type="gramStart"/>
            <w:r w:rsidRPr="0059229A">
              <w:rPr>
                <w:rFonts w:ascii="Times New Roman" w:hAnsi="Times New Roman" w:cs="Times New Roman"/>
                <w:color w:val="000000"/>
                <w:sz w:val="22"/>
                <w:szCs w:val="22"/>
              </w:rPr>
              <w:t>2.211018</w:t>
            </w:r>
            <w:proofErr w:type="gramEnd"/>
          </w:p>
        </w:tc>
        <w:tc>
          <w:tcPr>
            <w:tcW w:w="2669" w:type="dxa"/>
            <w:shd w:val="clear" w:color="auto" w:fill="auto"/>
            <w:vAlign w:val="center"/>
          </w:tcPr>
          <w:p w14:paraId="442C995E" w14:textId="77777777" w:rsidR="00FC0BC6" w:rsidRPr="0059229A" w:rsidRDefault="00FC0BC6" w:rsidP="00FC0BC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r w:rsidRPr="0059229A">
              <w:rPr>
                <w:rFonts w:ascii="Times New Roman" w:hAnsi="Times New Roman" w:cs="Times New Roman"/>
                <w:color w:val="000000"/>
                <w:sz w:val="22"/>
                <w:szCs w:val="22"/>
              </w:rPr>
              <w:t>Low</w:t>
            </w:r>
          </w:p>
        </w:tc>
        <w:tc>
          <w:tcPr>
            <w:tcW w:w="236" w:type="dxa"/>
            <w:shd w:val="clear" w:color="auto" w:fill="auto"/>
          </w:tcPr>
          <w:p w14:paraId="7E048176" w14:textId="77777777" w:rsidR="00FC0BC6" w:rsidRPr="007362F2" w:rsidRDefault="00FC0BC6" w:rsidP="00FC0BC6">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p>
        </w:tc>
      </w:tr>
      <w:tr w:rsidR="00FC0BC6" w:rsidRPr="007362F2" w14:paraId="47942510" w14:textId="77777777" w:rsidTr="00FC0BC6">
        <w:trPr>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08654FBC" w14:textId="45A0815A" w:rsidR="00FC0BC6" w:rsidRPr="0059229A" w:rsidRDefault="00FC0BC6" w:rsidP="00FC0BC6">
            <w:pPr>
              <w:jc w:val="center"/>
              <w:rPr>
                <w:rFonts w:ascii="Times New Roman" w:hAnsi="Times New Roman" w:cs="Times New Roman"/>
                <w:color w:val="000000"/>
                <w:sz w:val="22"/>
                <w:szCs w:val="22"/>
              </w:rPr>
            </w:pPr>
            <w:r w:rsidRPr="005B34C8">
              <w:rPr>
                <w:rFonts w:ascii="Times New Roman" w:hAnsi="Times New Roman" w:cs="Times New Roman"/>
                <w:color w:val="000000"/>
                <w:sz w:val="22"/>
                <w:szCs w:val="22"/>
              </w:rPr>
              <w:t>LOG</w:t>
            </w:r>
            <w:r>
              <w:rPr>
                <w:rFonts w:ascii="Times New Roman" w:hAnsi="Times New Roman" w:cs="Times New Roman"/>
                <w:color w:val="000000"/>
                <w:sz w:val="22"/>
                <w:szCs w:val="22"/>
              </w:rPr>
              <w:t>(</w:t>
            </w:r>
            <w:r w:rsidRPr="005B34C8">
              <w:rPr>
                <w:rFonts w:ascii="Times New Roman" w:hAnsi="Times New Roman" w:cs="Times New Roman"/>
                <w:color w:val="000000"/>
                <w:sz w:val="22"/>
                <w:szCs w:val="22"/>
              </w:rPr>
              <w:t>LTD</w:t>
            </w:r>
            <w:r>
              <w:rPr>
                <w:rFonts w:ascii="Times New Roman" w:hAnsi="Times New Roman" w:cs="Times New Roman"/>
                <w:color w:val="000000"/>
                <w:sz w:val="22"/>
                <w:szCs w:val="22"/>
              </w:rPr>
              <w:t>/BV)</w:t>
            </w:r>
          </w:p>
        </w:tc>
        <w:tc>
          <w:tcPr>
            <w:tcW w:w="1276" w:type="dxa"/>
            <w:shd w:val="clear" w:color="auto" w:fill="auto"/>
            <w:vAlign w:val="center"/>
          </w:tcPr>
          <w:p w14:paraId="31B0A2E2" w14:textId="77777777" w:rsidR="00FC0BC6" w:rsidRPr="0059229A" w:rsidRDefault="00FC0BC6" w:rsidP="00FC0BC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59229A">
              <w:rPr>
                <w:rFonts w:ascii="Times New Roman" w:hAnsi="Times New Roman" w:cs="Times New Roman"/>
                <w:color w:val="000000"/>
                <w:sz w:val="22"/>
                <w:szCs w:val="22"/>
              </w:rPr>
              <w:t>1.118793</w:t>
            </w:r>
            <w:proofErr w:type="gramEnd"/>
          </w:p>
        </w:tc>
        <w:tc>
          <w:tcPr>
            <w:tcW w:w="2669" w:type="dxa"/>
            <w:shd w:val="clear" w:color="auto" w:fill="auto"/>
            <w:vAlign w:val="center"/>
          </w:tcPr>
          <w:p w14:paraId="60658BCB" w14:textId="77777777" w:rsidR="00FC0BC6" w:rsidRPr="0059229A" w:rsidRDefault="00FC0BC6" w:rsidP="00FC0BC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59229A">
              <w:rPr>
                <w:rFonts w:ascii="Times New Roman" w:hAnsi="Times New Roman" w:cs="Times New Roman"/>
                <w:color w:val="000000"/>
                <w:sz w:val="22"/>
                <w:szCs w:val="22"/>
              </w:rPr>
              <w:t>Low</w:t>
            </w:r>
          </w:p>
        </w:tc>
        <w:tc>
          <w:tcPr>
            <w:tcW w:w="236" w:type="dxa"/>
            <w:shd w:val="clear" w:color="auto" w:fill="auto"/>
          </w:tcPr>
          <w:p w14:paraId="32B0E6D4" w14:textId="77777777" w:rsidR="00FC0BC6" w:rsidRPr="007362F2" w:rsidRDefault="00FC0BC6" w:rsidP="00FC0BC6">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p>
        </w:tc>
      </w:tr>
      <w:tr w:rsidR="00FC0BC6" w:rsidRPr="007362F2" w14:paraId="20C9217C" w14:textId="77777777" w:rsidTr="00FC0BC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195EACAF" w14:textId="432C5DCC" w:rsidR="00FC0BC6" w:rsidRPr="0059229A" w:rsidRDefault="00FC0BC6" w:rsidP="00FC0BC6">
            <w:pPr>
              <w:jc w:val="center"/>
              <w:rPr>
                <w:rFonts w:ascii="Times New Roman" w:hAnsi="Times New Roman" w:cs="Times New Roman"/>
                <w:color w:val="000000"/>
                <w:sz w:val="22"/>
                <w:szCs w:val="22"/>
              </w:rPr>
            </w:pPr>
            <w:proofErr w:type="gramStart"/>
            <w:r w:rsidRPr="00B324C8">
              <w:rPr>
                <w:rFonts w:ascii="Times New Roman" w:hAnsi="Times New Roman" w:cs="Times New Roman"/>
                <w:bCs w:val="0"/>
                <w:sz w:val="22"/>
                <w:szCs w:val="22"/>
              </w:rPr>
              <w:t>LOG(</w:t>
            </w:r>
            <w:proofErr w:type="gramEnd"/>
            <w:r w:rsidRPr="00B324C8">
              <w:rPr>
                <w:rFonts w:ascii="Times New Roman" w:hAnsi="Times New Roman" w:cs="Times New Roman"/>
                <w:bCs w:val="0"/>
                <w:sz w:val="22"/>
                <w:szCs w:val="22"/>
              </w:rPr>
              <w:t>BOOK/MARKET (A))</w:t>
            </w:r>
          </w:p>
        </w:tc>
        <w:tc>
          <w:tcPr>
            <w:tcW w:w="1276" w:type="dxa"/>
            <w:shd w:val="clear" w:color="auto" w:fill="auto"/>
            <w:vAlign w:val="center"/>
          </w:tcPr>
          <w:p w14:paraId="60136F31" w14:textId="77777777" w:rsidR="00FC0BC6" w:rsidRPr="0059229A" w:rsidRDefault="00FC0BC6" w:rsidP="00FC0BC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roofErr w:type="gramStart"/>
            <w:r w:rsidRPr="0059229A">
              <w:rPr>
                <w:rFonts w:ascii="Times New Roman" w:hAnsi="Times New Roman" w:cs="Times New Roman"/>
                <w:color w:val="000000"/>
                <w:sz w:val="22"/>
                <w:szCs w:val="22"/>
              </w:rPr>
              <w:t>1.377705</w:t>
            </w:r>
            <w:proofErr w:type="gramEnd"/>
          </w:p>
        </w:tc>
        <w:tc>
          <w:tcPr>
            <w:tcW w:w="2669" w:type="dxa"/>
            <w:shd w:val="clear" w:color="auto" w:fill="auto"/>
            <w:vAlign w:val="center"/>
          </w:tcPr>
          <w:p w14:paraId="649D9ECA" w14:textId="77777777" w:rsidR="00FC0BC6" w:rsidRPr="0059229A" w:rsidRDefault="00FC0BC6" w:rsidP="00FC0BC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r w:rsidRPr="0059229A">
              <w:rPr>
                <w:rFonts w:ascii="Times New Roman" w:hAnsi="Times New Roman" w:cs="Times New Roman"/>
                <w:color w:val="000000"/>
                <w:sz w:val="22"/>
                <w:szCs w:val="22"/>
              </w:rPr>
              <w:t>Low</w:t>
            </w:r>
          </w:p>
        </w:tc>
        <w:tc>
          <w:tcPr>
            <w:tcW w:w="236" w:type="dxa"/>
            <w:shd w:val="clear" w:color="auto" w:fill="auto"/>
          </w:tcPr>
          <w:p w14:paraId="0DE18C1E" w14:textId="77777777" w:rsidR="00FC0BC6" w:rsidRPr="007362F2" w:rsidRDefault="00FC0BC6" w:rsidP="00FC0BC6">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p>
        </w:tc>
      </w:tr>
      <w:tr w:rsidR="00FC0BC6" w:rsidRPr="007362F2" w14:paraId="212C48E5" w14:textId="77777777" w:rsidTr="00FC0BC6">
        <w:trPr>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5F164991" w14:textId="4F7C273F" w:rsidR="00FC0BC6" w:rsidRPr="0059229A" w:rsidRDefault="00FC0BC6" w:rsidP="00FC0BC6">
            <w:pPr>
              <w:jc w:val="center"/>
              <w:rPr>
                <w:rFonts w:ascii="Times New Roman" w:hAnsi="Times New Roman" w:cs="Times New Roman"/>
                <w:color w:val="000000"/>
                <w:sz w:val="22"/>
                <w:szCs w:val="22"/>
              </w:rPr>
            </w:pPr>
            <w:proofErr w:type="gramStart"/>
            <w:r w:rsidRPr="00B324C8">
              <w:rPr>
                <w:rFonts w:ascii="Times New Roman" w:hAnsi="Times New Roman" w:cs="Times New Roman"/>
                <w:bCs w:val="0"/>
                <w:sz w:val="22"/>
                <w:szCs w:val="22"/>
              </w:rPr>
              <w:t>LOG(</w:t>
            </w:r>
            <w:proofErr w:type="gramEnd"/>
            <w:r w:rsidRPr="00B324C8">
              <w:rPr>
                <w:rFonts w:ascii="Times New Roman" w:hAnsi="Times New Roman" w:cs="Times New Roman"/>
                <w:bCs w:val="0"/>
                <w:sz w:val="22"/>
                <w:szCs w:val="22"/>
              </w:rPr>
              <w:t>BOOK/MARKET (T))</w:t>
            </w:r>
          </w:p>
        </w:tc>
        <w:tc>
          <w:tcPr>
            <w:tcW w:w="1276" w:type="dxa"/>
            <w:shd w:val="clear" w:color="auto" w:fill="auto"/>
            <w:vAlign w:val="center"/>
          </w:tcPr>
          <w:p w14:paraId="7511305D" w14:textId="77777777" w:rsidR="00FC0BC6" w:rsidRPr="0059229A" w:rsidRDefault="00FC0BC6" w:rsidP="00FC0BC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59229A">
              <w:rPr>
                <w:rFonts w:ascii="Times New Roman" w:hAnsi="Times New Roman" w:cs="Times New Roman"/>
                <w:color w:val="000000"/>
                <w:sz w:val="22"/>
                <w:szCs w:val="22"/>
              </w:rPr>
              <w:t>1.463481</w:t>
            </w:r>
            <w:proofErr w:type="gramEnd"/>
          </w:p>
        </w:tc>
        <w:tc>
          <w:tcPr>
            <w:tcW w:w="2669" w:type="dxa"/>
            <w:shd w:val="clear" w:color="auto" w:fill="auto"/>
            <w:vAlign w:val="center"/>
          </w:tcPr>
          <w:p w14:paraId="2F79672F" w14:textId="77777777" w:rsidR="00FC0BC6" w:rsidRPr="0059229A" w:rsidRDefault="00FC0BC6" w:rsidP="00FC0BC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59229A">
              <w:rPr>
                <w:rFonts w:ascii="Times New Roman" w:hAnsi="Times New Roman" w:cs="Times New Roman"/>
                <w:color w:val="000000"/>
                <w:sz w:val="22"/>
                <w:szCs w:val="22"/>
              </w:rPr>
              <w:t>Low</w:t>
            </w:r>
          </w:p>
        </w:tc>
        <w:tc>
          <w:tcPr>
            <w:tcW w:w="236" w:type="dxa"/>
            <w:shd w:val="clear" w:color="auto" w:fill="auto"/>
          </w:tcPr>
          <w:p w14:paraId="5F78323D" w14:textId="77777777" w:rsidR="00FC0BC6" w:rsidRPr="007362F2" w:rsidRDefault="00FC0BC6" w:rsidP="00FC0BC6">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p>
        </w:tc>
      </w:tr>
      <w:tr w:rsidR="00FC0BC6" w:rsidRPr="007362F2" w14:paraId="57FC98CD" w14:textId="77777777" w:rsidTr="00FC0BC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3AF540E6" w14:textId="6E37F312" w:rsidR="00FC0BC6" w:rsidRPr="0059229A" w:rsidRDefault="00FC0BC6" w:rsidP="00FC0BC6">
            <w:pPr>
              <w:jc w:val="center"/>
              <w:rPr>
                <w:rFonts w:ascii="Times New Roman" w:hAnsi="Times New Roman" w:cs="Times New Roman"/>
                <w:color w:val="000000"/>
                <w:sz w:val="22"/>
                <w:szCs w:val="22"/>
              </w:rPr>
            </w:pPr>
            <w:r w:rsidRPr="005B34C8">
              <w:rPr>
                <w:rFonts w:ascii="Times New Roman" w:hAnsi="Times New Roman" w:cs="Times New Roman"/>
                <w:color w:val="000000"/>
                <w:sz w:val="22"/>
                <w:szCs w:val="22"/>
              </w:rPr>
              <w:t>LOG</w:t>
            </w:r>
            <w:r>
              <w:rPr>
                <w:rFonts w:ascii="Times New Roman" w:hAnsi="Times New Roman" w:cs="Times New Roman"/>
                <w:color w:val="000000"/>
                <w:sz w:val="22"/>
                <w:szCs w:val="22"/>
              </w:rPr>
              <w:t>(</w:t>
            </w:r>
            <w:r w:rsidRPr="005B34C8">
              <w:rPr>
                <w:rFonts w:ascii="Times New Roman" w:hAnsi="Times New Roman" w:cs="Times New Roman"/>
                <w:color w:val="000000"/>
                <w:sz w:val="22"/>
                <w:szCs w:val="22"/>
              </w:rPr>
              <w:t>FIN</w:t>
            </w:r>
            <w:r>
              <w:rPr>
                <w:rFonts w:ascii="Times New Roman" w:hAnsi="Times New Roman" w:cs="Times New Roman"/>
                <w:color w:val="000000"/>
                <w:sz w:val="22"/>
                <w:szCs w:val="22"/>
              </w:rPr>
              <w:t>_</w:t>
            </w:r>
            <w:r w:rsidRPr="005B34C8">
              <w:rPr>
                <w:rFonts w:ascii="Times New Roman" w:hAnsi="Times New Roman" w:cs="Times New Roman"/>
                <w:color w:val="000000"/>
                <w:sz w:val="22"/>
                <w:szCs w:val="22"/>
              </w:rPr>
              <w:t>LEV</w:t>
            </w:r>
            <w:r>
              <w:rPr>
                <w:rFonts w:ascii="Times New Roman" w:hAnsi="Times New Roman" w:cs="Times New Roman"/>
                <w:color w:val="000000"/>
                <w:sz w:val="22"/>
                <w:szCs w:val="22"/>
              </w:rPr>
              <w:t>)</w:t>
            </w:r>
          </w:p>
        </w:tc>
        <w:tc>
          <w:tcPr>
            <w:tcW w:w="1276" w:type="dxa"/>
            <w:shd w:val="clear" w:color="auto" w:fill="auto"/>
            <w:vAlign w:val="center"/>
          </w:tcPr>
          <w:p w14:paraId="6DC78ADF" w14:textId="77777777" w:rsidR="00FC0BC6" w:rsidRPr="0059229A" w:rsidRDefault="00FC0BC6" w:rsidP="00FC0BC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roofErr w:type="gramStart"/>
            <w:r w:rsidRPr="0059229A">
              <w:rPr>
                <w:rFonts w:ascii="Times New Roman" w:hAnsi="Times New Roman" w:cs="Times New Roman"/>
                <w:color w:val="000000"/>
                <w:sz w:val="22"/>
                <w:szCs w:val="22"/>
              </w:rPr>
              <w:t>1.541543</w:t>
            </w:r>
            <w:proofErr w:type="gramEnd"/>
          </w:p>
        </w:tc>
        <w:tc>
          <w:tcPr>
            <w:tcW w:w="2669" w:type="dxa"/>
            <w:shd w:val="clear" w:color="auto" w:fill="auto"/>
            <w:vAlign w:val="center"/>
          </w:tcPr>
          <w:p w14:paraId="1B278C9E" w14:textId="77777777" w:rsidR="00FC0BC6" w:rsidRPr="0059229A" w:rsidRDefault="00FC0BC6" w:rsidP="00FC0BC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r w:rsidRPr="0059229A">
              <w:rPr>
                <w:rFonts w:ascii="Times New Roman" w:hAnsi="Times New Roman" w:cs="Times New Roman"/>
                <w:color w:val="000000"/>
                <w:sz w:val="22"/>
                <w:szCs w:val="22"/>
              </w:rPr>
              <w:t>Low</w:t>
            </w:r>
          </w:p>
        </w:tc>
        <w:tc>
          <w:tcPr>
            <w:tcW w:w="236" w:type="dxa"/>
            <w:shd w:val="clear" w:color="auto" w:fill="auto"/>
          </w:tcPr>
          <w:p w14:paraId="574A49C3" w14:textId="77777777" w:rsidR="00FC0BC6" w:rsidRPr="007362F2" w:rsidRDefault="00FC0BC6" w:rsidP="00FC0BC6">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p>
        </w:tc>
      </w:tr>
      <w:tr w:rsidR="00FC0BC6" w:rsidRPr="007362F2" w14:paraId="55DCF48F" w14:textId="77777777" w:rsidTr="00FC0BC6">
        <w:trPr>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hideMark/>
          </w:tcPr>
          <w:p w14:paraId="107EDDF2" w14:textId="6A30593F" w:rsidR="00FC0BC6" w:rsidRPr="0059229A" w:rsidRDefault="00FC0BC6" w:rsidP="00FC0BC6">
            <w:pPr>
              <w:jc w:val="center"/>
              <w:rPr>
                <w:rFonts w:ascii="Times New Roman" w:hAnsi="Times New Roman" w:cs="Times New Roman"/>
                <w:color w:val="000000"/>
                <w:sz w:val="22"/>
                <w:szCs w:val="22"/>
              </w:rPr>
            </w:pPr>
            <w:r w:rsidRPr="005B34C8">
              <w:rPr>
                <w:rFonts w:ascii="Times New Roman" w:hAnsi="Times New Roman" w:cs="Times New Roman"/>
                <w:color w:val="000000"/>
                <w:sz w:val="22"/>
                <w:szCs w:val="22"/>
              </w:rPr>
              <w:t>LOG</w:t>
            </w:r>
            <w:r>
              <w:rPr>
                <w:rFonts w:ascii="Times New Roman" w:hAnsi="Times New Roman" w:cs="Times New Roman"/>
                <w:color w:val="000000"/>
                <w:sz w:val="22"/>
                <w:szCs w:val="22"/>
              </w:rPr>
              <w:t>(</w:t>
            </w:r>
            <w:r w:rsidRPr="005B34C8">
              <w:rPr>
                <w:rFonts w:ascii="Times New Roman" w:hAnsi="Times New Roman" w:cs="Times New Roman"/>
                <w:color w:val="000000"/>
                <w:sz w:val="22"/>
                <w:szCs w:val="22"/>
              </w:rPr>
              <w:t>MCAP</w:t>
            </w:r>
            <w:r>
              <w:rPr>
                <w:rFonts w:ascii="Times New Roman" w:hAnsi="Times New Roman" w:cs="Times New Roman"/>
                <w:color w:val="000000"/>
                <w:sz w:val="22"/>
                <w:szCs w:val="22"/>
              </w:rPr>
              <w:t>_DIF)</w:t>
            </w:r>
          </w:p>
        </w:tc>
        <w:tc>
          <w:tcPr>
            <w:tcW w:w="1276" w:type="dxa"/>
            <w:shd w:val="clear" w:color="auto" w:fill="auto"/>
            <w:vAlign w:val="center"/>
          </w:tcPr>
          <w:p w14:paraId="6E154ED9" w14:textId="77777777" w:rsidR="00FC0BC6" w:rsidRPr="0059229A" w:rsidRDefault="00FC0BC6" w:rsidP="00FC0BC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59229A">
              <w:rPr>
                <w:rFonts w:ascii="Times New Roman" w:hAnsi="Times New Roman" w:cs="Times New Roman"/>
                <w:color w:val="000000"/>
                <w:sz w:val="22"/>
                <w:szCs w:val="22"/>
              </w:rPr>
              <w:t>1.052986</w:t>
            </w:r>
            <w:proofErr w:type="gramEnd"/>
          </w:p>
        </w:tc>
        <w:tc>
          <w:tcPr>
            <w:tcW w:w="2669" w:type="dxa"/>
            <w:shd w:val="clear" w:color="auto" w:fill="auto"/>
            <w:vAlign w:val="center"/>
          </w:tcPr>
          <w:p w14:paraId="427ED50A" w14:textId="77777777" w:rsidR="00FC0BC6" w:rsidRPr="0059229A" w:rsidRDefault="00FC0BC6" w:rsidP="00FC0BC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r w:rsidRPr="0059229A">
              <w:rPr>
                <w:rFonts w:ascii="Times New Roman" w:hAnsi="Times New Roman" w:cs="Times New Roman"/>
                <w:color w:val="000000"/>
                <w:sz w:val="22"/>
                <w:szCs w:val="22"/>
              </w:rPr>
              <w:t>Low</w:t>
            </w:r>
          </w:p>
        </w:tc>
        <w:tc>
          <w:tcPr>
            <w:tcW w:w="236" w:type="dxa"/>
            <w:shd w:val="clear" w:color="auto" w:fill="auto"/>
          </w:tcPr>
          <w:p w14:paraId="16BFC45D" w14:textId="77777777" w:rsidR="00FC0BC6" w:rsidRPr="007362F2" w:rsidRDefault="00FC0BC6" w:rsidP="00FC0BC6">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p>
        </w:tc>
      </w:tr>
      <w:tr w:rsidR="00FC0BC6" w:rsidRPr="007362F2" w14:paraId="6F9EA273" w14:textId="77777777" w:rsidTr="00FC0BC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vAlign w:val="bottom"/>
          </w:tcPr>
          <w:p w14:paraId="189EE473" w14:textId="3EF03A4E" w:rsidR="00FC0BC6" w:rsidRPr="0059229A" w:rsidRDefault="00FC0BC6" w:rsidP="00FC0BC6">
            <w:pPr>
              <w:jc w:val="center"/>
              <w:rPr>
                <w:rFonts w:ascii="Times New Roman" w:hAnsi="Times New Roman" w:cs="Times New Roman"/>
                <w:color w:val="000000"/>
                <w:sz w:val="22"/>
                <w:szCs w:val="22"/>
              </w:rPr>
            </w:pPr>
            <w:r w:rsidRPr="005B34C8">
              <w:rPr>
                <w:rFonts w:ascii="Times New Roman" w:hAnsi="Times New Roman" w:cs="Times New Roman"/>
                <w:color w:val="000000"/>
                <w:sz w:val="22"/>
                <w:szCs w:val="22"/>
              </w:rPr>
              <w:t>STOCKS</w:t>
            </w:r>
          </w:p>
        </w:tc>
        <w:tc>
          <w:tcPr>
            <w:tcW w:w="1276" w:type="dxa"/>
            <w:shd w:val="clear" w:color="auto" w:fill="auto"/>
            <w:vAlign w:val="center"/>
          </w:tcPr>
          <w:p w14:paraId="22AEC2BB" w14:textId="77777777" w:rsidR="00FC0BC6" w:rsidRPr="0059229A" w:rsidRDefault="00FC0BC6" w:rsidP="00FC0BC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roofErr w:type="gramStart"/>
            <w:r w:rsidRPr="0059229A">
              <w:rPr>
                <w:rFonts w:ascii="Times New Roman" w:hAnsi="Times New Roman" w:cs="Times New Roman"/>
                <w:color w:val="000000"/>
                <w:sz w:val="22"/>
                <w:szCs w:val="22"/>
              </w:rPr>
              <w:t>1.159393</w:t>
            </w:r>
            <w:proofErr w:type="gramEnd"/>
          </w:p>
        </w:tc>
        <w:tc>
          <w:tcPr>
            <w:tcW w:w="2669" w:type="dxa"/>
            <w:shd w:val="clear" w:color="auto" w:fill="auto"/>
            <w:vAlign w:val="center"/>
          </w:tcPr>
          <w:p w14:paraId="25714731" w14:textId="77777777" w:rsidR="00FC0BC6" w:rsidRPr="0059229A" w:rsidRDefault="00FC0BC6" w:rsidP="00FC0BC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r w:rsidRPr="0059229A">
              <w:rPr>
                <w:rFonts w:ascii="Times New Roman" w:hAnsi="Times New Roman" w:cs="Times New Roman"/>
                <w:color w:val="000000"/>
                <w:sz w:val="22"/>
                <w:szCs w:val="22"/>
              </w:rPr>
              <w:t>Low</w:t>
            </w:r>
          </w:p>
        </w:tc>
        <w:tc>
          <w:tcPr>
            <w:tcW w:w="236" w:type="dxa"/>
            <w:shd w:val="clear" w:color="auto" w:fill="auto"/>
          </w:tcPr>
          <w:p w14:paraId="05C4F2AE" w14:textId="77777777" w:rsidR="00FC0BC6" w:rsidRPr="007362F2" w:rsidRDefault="00FC0BC6" w:rsidP="00FC0BC6">
            <w:pPr>
              <w:jc w:val="center"/>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p>
        </w:tc>
      </w:tr>
      <w:tr w:rsidR="0059229A" w:rsidRPr="007362F2" w14:paraId="48C11FCB" w14:textId="77777777" w:rsidTr="00FC0BC6">
        <w:trPr>
          <w:trHeight w:val="300"/>
          <w:jc w:val="center"/>
        </w:trPr>
        <w:tc>
          <w:tcPr>
            <w:cnfStyle w:val="001000000000" w:firstRow="0" w:lastRow="0" w:firstColumn="1" w:lastColumn="0" w:oddVBand="0" w:evenVBand="0" w:oddHBand="0" w:evenHBand="0" w:firstRowFirstColumn="0" w:firstRowLastColumn="0" w:lastRowFirstColumn="0" w:lastRowLastColumn="0"/>
            <w:tcW w:w="2977" w:type="dxa"/>
            <w:tcBorders>
              <w:bottom w:val="double" w:sz="4" w:space="0" w:color="auto"/>
            </w:tcBorders>
            <w:shd w:val="clear" w:color="auto" w:fill="auto"/>
            <w:vAlign w:val="center"/>
          </w:tcPr>
          <w:p w14:paraId="33CAFA2F" w14:textId="77777777" w:rsidR="0059229A" w:rsidRPr="0059229A" w:rsidRDefault="0059229A" w:rsidP="0059229A">
            <w:pPr>
              <w:jc w:val="center"/>
              <w:rPr>
                <w:rFonts w:ascii="Times New Roman" w:hAnsi="Times New Roman" w:cs="Times New Roman"/>
                <w:color w:val="000000"/>
                <w:sz w:val="22"/>
                <w:szCs w:val="22"/>
              </w:rPr>
            </w:pPr>
          </w:p>
        </w:tc>
        <w:tc>
          <w:tcPr>
            <w:tcW w:w="1276" w:type="dxa"/>
            <w:tcBorders>
              <w:bottom w:val="double" w:sz="4" w:space="0" w:color="auto"/>
            </w:tcBorders>
            <w:shd w:val="clear" w:color="auto" w:fill="auto"/>
            <w:vAlign w:val="center"/>
          </w:tcPr>
          <w:p w14:paraId="0CEC9FD7" w14:textId="77777777" w:rsidR="0059229A" w:rsidRPr="0059229A" w:rsidRDefault="0059229A" w:rsidP="005922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
        </w:tc>
        <w:tc>
          <w:tcPr>
            <w:tcW w:w="2669" w:type="dxa"/>
            <w:tcBorders>
              <w:bottom w:val="double" w:sz="4" w:space="0" w:color="auto"/>
            </w:tcBorders>
            <w:shd w:val="clear" w:color="auto" w:fill="auto"/>
            <w:vAlign w:val="center"/>
          </w:tcPr>
          <w:p w14:paraId="6CBCA882" w14:textId="77777777" w:rsidR="0059229A" w:rsidRPr="0059229A" w:rsidRDefault="0059229A" w:rsidP="0059229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
        </w:tc>
        <w:tc>
          <w:tcPr>
            <w:tcW w:w="236" w:type="dxa"/>
            <w:shd w:val="clear" w:color="auto" w:fill="auto"/>
          </w:tcPr>
          <w:p w14:paraId="1C998647" w14:textId="77777777" w:rsidR="0059229A" w:rsidRPr="007362F2" w:rsidRDefault="0059229A" w:rsidP="00082A6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p>
        </w:tc>
      </w:tr>
    </w:tbl>
    <w:p w14:paraId="78AF43A3" w14:textId="77777777" w:rsidR="0059229A" w:rsidRDefault="0059229A">
      <w:pPr>
        <w:shd w:val="clear" w:color="auto" w:fill="FFFFFF"/>
        <w:spacing w:before="0" w:after="0"/>
        <w:rPr>
          <w:sz w:val="18"/>
          <w:szCs w:val="18"/>
        </w:rPr>
      </w:pPr>
    </w:p>
    <w:p w14:paraId="4CE9CF18" w14:textId="1087AF77" w:rsidR="00542DEC" w:rsidRDefault="000B6FC7" w:rsidP="009F5902">
      <w:pPr>
        <w:shd w:val="clear" w:color="auto" w:fill="FFFFFF"/>
        <w:spacing w:before="0" w:after="0"/>
        <w:rPr>
          <w:sz w:val="18"/>
          <w:szCs w:val="18"/>
        </w:rPr>
      </w:pPr>
      <w:r>
        <w:rPr>
          <w:sz w:val="18"/>
          <w:szCs w:val="18"/>
        </w:rPr>
        <w:t xml:space="preserve">This table shows the VIF values for each independent variable. The table contains the variables: </w:t>
      </w:r>
      <w:r>
        <w:rPr>
          <w:b/>
          <w:sz w:val="18"/>
          <w:szCs w:val="18"/>
        </w:rPr>
        <w:t xml:space="preserve">(1) ESG-PORTFOLIO </w:t>
      </w:r>
      <w:r>
        <w:rPr>
          <w:sz w:val="18"/>
          <w:szCs w:val="18"/>
        </w:rPr>
        <w:t xml:space="preserve">(average target ESG-rating (sum of existing ratings from </w:t>
      </w:r>
      <w:proofErr w:type="spellStart"/>
      <w:r>
        <w:rPr>
          <w:sz w:val="18"/>
          <w:szCs w:val="18"/>
        </w:rPr>
        <w:t>Sustainalytics</w:t>
      </w:r>
      <w:proofErr w:type="spellEnd"/>
      <w:r>
        <w:rPr>
          <w:sz w:val="18"/>
          <w:szCs w:val="18"/>
        </w:rPr>
        <w:t xml:space="preserve">, </w:t>
      </w:r>
      <w:proofErr w:type="spellStart"/>
      <w:r>
        <w:rPr>
          <w:sz w:val="18"/>
          <w:szCs w:val="18"/>
        </w:rPr>
        <w:t>RobecoSAM</w:t>
      </w:r>
      <w:proofErr w:type="spellEnd"/>
      <w:r>
        <w:rPr>
          <w:sz w:val="18"/>
          <w:szCs w:val="18"/>
        </w:rPr>
        <w:t xml:space="preserve">, ISS Quality Score and Bloomberg ESG Disclosure score converted into a 0-100 scale divided with the amount of existing ratings)) </w:t>
      </w:r>
      <w:r>
        <w:rPr>
          <w:b/>
          <w:sz w:val="18"/>
          <w:szCs w:val="18"/>
        </w:rPr>
        <w:t xml:space="preserve">(2) ESG-DIF </w:t>
      </w:r>
      <w:r>
        <w:rPr>
          <w:sz w:val="18"/>
          <w:szCs w:val="18"/>
        </w:rPr>
        <w:t xml:space="preserve">(ESG-PORTFOLIO (acquirer) - ESG-PORTFOLIO (target) </w:t>
      </w:r>
      <w:r>
        <w:rPr>
          <w:b/>
          <w:sz w:val="18"/>
          <w:szCs w:val="18"/>
        </w:rPr>
        <w:t xml:space="preserve">(3) LOG(LTD/BV) </w:t>
      </w:r>
      <w:r>
        <w:rPr>
          <w:sz w:val="18"/>
          <w:szCs w:val="18"/>
        </w:rPr>
        <w:t xml:space="preserve">(the logarithm of </w:t>
      </w:r>
      <w:r>
        <w:rPr>
          <w:b/>
          <w:sz w:val="18"/>
          <w:szCs w:val="18"/>
        </w:rPr>
        <w:t xml:space="preserve"> </w:t>
      </w:r>
      <w:r>
        <w:rPr>
          <w:sz w:val="18"/>
          <w:szCs w:val="18"/>
        </w:rPr>
        <w:t xml:space="preserve">long-term debt / total assets (target)) </w:t>
      </w:r>
      <w:r>
        <w:rPr>
          <w:b/>
          <w:sz w:val="18"/>
          <w:szCs w:val="18"/>
        </w:rPr>
        <w:t xml:space="preserve">(4) LOG(BOOK/MARKET (T)) </w:t>
      </w:r>
      <w:r>
        <w:rPr>
          <w:sz w:val="18"/>
          <w:szCs w:val="18"/>
        </w:rPr>
        <w:t xml:space="preserve">(logarithm of (total assets - total liabilities) / market cap (target)) </w:t>
      </w:r>
      <w:r>
        <w:rPr>
          <w:b/>
          <w:sz w:val="18"/>
          <w:szCs w:val="18"/>
        </w:rPr>
        <w:t xml:space="preserve">(5) LOG(BOOK/MARKET(A)) </w:t>
      </w:r>
      <w:r>
        <w:rPr>
          <w:sz w:val="18"/>
          <w:szCs w:val="18"/>
        </w:rPr>
        <w:t xml:space="preserve">(logarithm of (total assets - total liabilities) / market cap (acquirer)) </w:t>
      </w:r>
      <w:r>
        <w:rPr>
          <w:b/>
          <w:sz w:val="18"/>
          <w:szCs w:val="18"/>
        </w:rPr>
        <w:t xml:space="preserve">(6) LOG(MCAP-DIF) </w:t>
      </w:r>
      <w:r>
        <w:rPr>
          <w:sz w:val="18"/>
          <w:szCs w:val="18"/>
        </w:rPr>
        <w:t xml:space="preserve">(logarithm of (market cap (acquirer) - market cap (target)) </w:t>
      </w:r>
      <w:r>
        <w:rPr>
          <w:b/>
          <w:sz w:val="18"/>
          <w:szCs w:val="18"/>
        </w:rPr>
        <w:t xml:space="preserve">(7) LOG(FIN-LEV) </w:t>
      </w:r>
      <w:r>
        <w:rPr>
          <w:sz w:val="18"/>
          <w:szCs w:val="18"/>
        </w:rPr>
        <w:t xml:space="preserve">(logarithm of (liabilities / equity (target)) </w:t>
      </w:r>
      <w:r>
        <w:rPr>
          <w:b/>
          <w:sz w:val="18"/>
          <w:szCs w:val="18"/>
        </w:rPr>
        <w:t xml:space="preserve">(8) STOCK </w:t>
      </w:r>
      <w:r>
        <w:rPr>
          <w:sz w:val="18"/>
          <w:szCs w:val="18"/>
        </w:rPr>
        <w:t xml:space="preserve">(dummy variable that equals 1 if the payment was only done through stock). </w:t>
      </w:r>
    </w:p>
    <w:p w14:paraId="40631B2F" w14:textId="3516A155" w:rsidR="00FC0BC6" w:rsidRDefault="00FC0BC6" w:rsidP="009F5902">
      <w:pPr>
        <w:shd w:val="clear" w:color="auto" w:fill="FFFFFF"/>
        <w:spacing w:before="0" w:after="0"/>
        <w:rPr>
          <w:sz w:val="18"/>
          <w:szCs w:val="18"/>
        </w:rPr>
      </w:pPr>
    </w:p>
    <w:p w14:paraId="403809C1" w14:textId="77777777" w:rsidR="00FC0BC6" w:rsidRPr="009F5902" w:rsidRDefault="00FC0BC6" w:rsidP="009F5902">
      <w:pPr>
        <w:shd w:val="clear" w:color="auto" w:fill="FFFFFF"/>
        <w:spacing w:before="0" w:after="0"/>
        <w:rPr>
          <w:sz w:val="18"/>
          <w:szCs w:val="18"/>
        </w:rPr>
      </w:pPr>
    </w:p>
    <w:sectPr w:rsidR="00FC0BC6" w:rsidRPr="009F5902">
      <w:footerReference w:type="default" r:id="rId22"/>
      <w:pgSz w:w="11909" w:h="16834"/>
      <w:pgMar w:top="1440" w:right="1440" w:bottom="1440" w:left="1417"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A2D7A8A" w14:textId="77777777" w:rsidR="001E7790" w:rsidRDefault="001E7790">
      <w:pPr>
        <w:spacing w:before="0" w:after="0" w:line="240" w:lineRule="auto"/>
      </w:pPr>
      <w:r>
        <w:separator/>
      </w:r>
    </w:p>
  </w:endnote>
  <w:endnote w:type="continuationSeparator" w:id="0">
    <w:p w14:paraId="012C3C74" w14:textId="77777777" w:rsidR="001E7790" w:rsidRDefault="001E7790">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Roboto">
    <w:altName w:val="Arial"/>
    <w:panose1 w:val="020B0604020202020204"/>
    <w:charset w:val="00"/>
    <w:family w:val="auto"/>
    <w:pitch w:val="default"/>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606A24" w14:textId="77777777" w:rsidR="005C4D9C" w:rsidRDefault="005C4D9C">
    <w:pPr>
      <w:jc w:val="right"/>
    </w:pPr>
    <w:r>
      <w:fldChar w:fldCharType="begin"/>
    </w:r>
    <w:r>
      <w:instrText>PAGE</w:instrText>
    </w:r>
    <w:r>
      <w:fldChar w:fldCharType="separate"/>
    </w:r>
    <w:r>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FC3A4FF" w14:textId="77777777" w:rsidR="001E7790" w:rsidRDefault="001E7790">
      <w:pPr>
        <w:spacing w:before="0" w:after="0" w:line="240" w:lineRule="auto"/>
      </w:pPr>
      <w:r>
        <w:separator/>
      </w:r>
    </w:p>
  </w:footnote>
  <w:footnote w:type="continuationSeparator" w:id="0">
    <w:p w14:paraId="363B8462" w14:textId="77777777" w:rsidR="001E7790" w:rsidRDefault="001E7790">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3C505F2"/>
    <w:multiLevelType w:val="multilevel"/>
    <w:tmpl w:val="A8844D0E"/>
    <w:lvl w:ilvl="0">
      <w:start w:val="1"/>
      <w:numFmt w:val="bullet"/>
      <w:lvlText w:val="❏"/>
      <w:lvlJc w:val="left"/>
      <w:pPr>
        <w:ind w:left="720" w:hanging="360"/>
      </w:pPr>
      <w:rPr>
        <w:color w:val="FFFFFF"/>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5F370D7"/>
    <w:multiLevelType w:val="hybridMultilevel"/>
    <w:tmpl w:val="78AE3090"/>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3DB914D2"/>
    <w:multiLevelType w:val="multilevel"/>
    <w:tmpl w:val="F57078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DFB5D31"/>
    <w:multiLevelType w:val="hybridMultilevel"/>
    <w:tmpl w:val="C5E42F78"/>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7F204348"/>
    <w:multiLevelType w:val="hybridMultilevel"/>
    <w:tmpl w:val="C5AAA09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9"/>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2DEC"/>
    <w:rsid w:val="0006049E"/>
    <w:rsid w:val="00082A69"/>
    <w:rsid w:val="000B6FC7"/>
    <w:rsid w:val="001E7790"/>
    <w:rsid w:val="00255F60"/>
    <w:rsid w:val="002622D4"/>
    <w:rsid w:val="0026582E"/>
    <w:rsid w:val="002A3AEF"/>
    <w:rsid w:val="00352F45"/>
    <w:rsid w:val="003847F0"/>
    <w:rsid w:val="00401962"/>
    <w:rsid w:val="00417B2A"/>
    <w:rsid w:val="004912FE"/>
    <w:rsid w:val="004A326F"/>
    <w:rsid w:val="004C5C00"/>
    <w:rsid w:val="005102EB"/>
    <w:rsid w:val="00542DEC"/>
    <w:rsid w:val="00562FD3"/>
    <w:rsid w:val="0059229A"/>
    <w:rsid w:val="005B34C8"/>
    <w:rsid w:val="005C4D9C"/>
    <w:rsid w:val="005E044F"/>
    <w:rsid w:val="005E361F"/>
    <w:rsid w:val="00607A2B"/>
    <w:rsid w:val="00633D37"/>
    <w:rsid w:val="00652982"/>
    <w:rsid w:val="006761C9"/>
    <w:rsid w:val="006E1FCA"/>
    <w:rsid w:val="00756647"/>
    <w:rsid w:val="00787A5C"/>
    <w:rsid w:val="007A4998"/>
    <w:rsid w:val="00837AB5"/>
    <w:rsid w:val="00892CB3"/>
    <w:rsid w:val="009A53E3"/>
    <w:rsid w:val="009C2106"/>
    <w:rsid w:val="009C5281"/>
    <w:rsid w:val="009E2CE2"/>
    <w:rsid w:val="009F0382"/>
    <w:rsid w:val="009F5902"/>
    <w:rsid w:val="00A13679"/>
    <w:rsid w:val="00A260EA"/>
    <w:rsid w:val="00A412C0"/>
    <w:rsid w:val="00A93487"/>
    <w:rsid w:val="00AA0A9A"/>
    <w:rsid w:val="00AC4758"/>
    <w:rsid w:val="00AD551B"/>
    <w:rsid w:val="00AF669F"/>
    <w:rsid w:val="00B324C8"/>
    <w:rsid w:val="00B60616"/>
    <w:rsid w:val="00B9405C"/>
    <w:rsid w:val="00BC431F"/>
    <w:rsid w:val="00C35B7C"/>
    <w:rsid w:val="00C6096B"/>
    <w:rsid w:val="00C95CF8"/>
    <w:rsid w:val="00CA7C99"/>
    <w:rsid w:val="00CB49C6"/>
    <w:rsid w:val="00CB4B83"/>
    <w:rsid w:val="00CC54FB"/>
    <w:rsid w:val="00CE7069"/>
    <w:rsid w:val="00D679A3"/>
    <w:rsid w:val="00D90487"/>
    <w:rsid w:val="00E00831"/>
    <w:rsid w:val="00E92BD0"/>
    <w:rsid w:val="00E96852"/>
    <w:rsid w:val="00F22486"/>
    <w:rsid w:val="00FC0BC6"/>
  </w:rsids>
  <m:mathPr>
    <m:mathFont m:val="Cambria Math"/>
    <m:brkBin m:val="before"/>
    <m:brkBinSub m:val="--"/>
    <m:smallFrac m:val="0"/>
    <m:dispDef/>
    <m:lMargin m:val="0"/>
    <m:rMargin m:val="0"/>
    <m:defJc m:val="centerGroup"/>
    <m:wrapIndent m:val="1440"/>
    <m:intLim m:val="subSup"/>
    <m:naryLim m:val="undOvr"/>
  </m:mathPr>
  <w:themeFontLang w:val="en-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49AFDF"/>
  <w15:docId w15:val="{8C7847B2-8F78-43F6-ABD2-80BF00EB08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szCs w:val="24"/>
        <w:lang w:val="en" w:eastAsia="en-SE" w:bidi="ar-SA"/>
      </w:rPr>
    </w:rPrDefault>
    <w:pPrDefault>
      <w:pPr>
        <w:spacing w:before="400" w:after="12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jc w:val="center"/>
      <w:outlineLvl w:val="0"/>
    </w:pPr>
    <w:rPr>
      <w:sz w:val="40"/>
      <w:szCs w:val="40"/>
    </w:rPr>
  </w:style>
  <w:style w:type="paragraph" w:styleId="Heading2">
    <w:name w:val="heading 2"/>
    <w:basedOn w:val="Normal"/>
    <w:next w:val="Normal"/>
    <w:uiPriority w:val="9"/>
    <w:unhideWhenUsed/>
    <w:qFormat/>
    <w:pPr>
      <w:keepNext/>
      <w:keepLines/>
      <w:spacing w:before="320" w:after="80"/>
      <w:outlineLvl w:val="1"/>
    </w:pPr>
    <w:rPr>
      <w:color w:val="434343"/>
      <w:sz w:val="30"/>
      <w:szCs w:val="30"/>
    </w:rPr>
  </w:style>
  <w:style w:type="paragraph" w:styleId="Heading3">
    <w:name w:val="heading 3"/>
    <w:basedOn w:val="Normal"/>
    <w:next w:val="Normal"/>
    <w:uiPriority w:val="9"/>
    <w:unhideWhenUsed/>
    <w:qFormat/>
    <w:pPr>
      <w:keepNext/>
      <w:keepLines/>
      <w:spacing w:before="320" w:after="80"/>
      <w:outlineLvl w:val="2"/>
    </w:pPr>
    <w:rPr>
      <w:color w:val="434343"/>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sz w:val="22"/>
      <w:szCs w:val="22"/>
    </w:rPr>
  </w:style>
  <w:style w:type="paragraph" w:styleId="Heading6">
    <w:name w:val="heading 6"/>
    <w:basedOn w:val="Normal"/>
    <w:next w:val="Normal"/>
    <w:uiPriority w:val="9"/>
    <w:semiHidden/>
    <w:unhideWhenUsed/>
    <w:qFormat/>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0" w:after="60"/>
    </w:pPr>
    <w:rPr>
      <w:sz w:val="52"/>
      <w:szCs w:val="52"/>
    </w:rPr>
  </w:style>
  <w:style w:type="paragraph" w:styleId="Subtitle">
    <w:name w:val="Subtitle"/>
    <w:basedOn w:val="Normal"/>
    <w:next w:val="Normal"/>
    <w:uiPriority w:val="11"/>
    <w:qFormat/>
    <w:pPr>
      <w:keepNext/>
      <w:keepLines/>
      <w:spacing w:before="0" w:after="320"/>
    </w:pPr>
    <w:rPr>
      <w:rFonts w:ascii="Arial" w:eastAsia="Arial" w:hAnsi="Arial" w:cs="Arial"/>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styleId="TableGrid">
    <w:name w:val="Table Grid"/>
    <w:basedOn w:val="TableNormal"/>
    <w:uiPriority w:val="39"/>
    <w:rsid w:val="00B60616"/>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E1FCA"/>
    <w:pPr>
      <w:ind w:left="720"/>
      <w:contextualSpacing/>
    </w:pPr>
  </w:style>
  <w:style w:type="table" w:styleId="PlainTable4">
    <w:name w:val="Plain Table 4"/>
    <w:basedOn w:val="TableNormal"/>
    <w:uiPriority w:val="44"/>
    <w:rsid w:val="004912FE"/>
    <w:pPr>
      <w:spacing w:before="0" w:after="0" w:line="240" w:lineRule="auto"/>
      <w:jc w:val="left"/>
    </w:pPr>
    <w:rPr>
      <w:rFonts w:asciiTheme="minorHAnsi" w:eastAsiaTheme="minorHAnsi" w:hAnsiTheme="minorHAnsi" w:cstheme="minorBidi"/>
      <w:lang w:val="sv-SE"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rmalWeb">
    <w:name w:val="Normal (Web)"/>
    <w:basedOn w:val="Normal"/>
    <w:uiPriority w:val="99"/>
    <w:semiHidden/>
    <w:unhideWhenUsed/>
    <w:rsid w:val="002622D4"/>
    <w:pPr>
      <w:spacing w:before="100" w:beforeAutospacing="1" w:after="100" w:afterAutospacing="1" w:line="240" w:lineRule="auto"/>
      <w:jc w:val="left"/>
    </w:pPr>
    <w:rPr>
      <w:lang w:val="sv-SE" w:eastAsia="en-US"/>
    </w:rPr>
  </w:style>
  <w:style w:type="paragraph" w:styleId="TOC1">
    <w:name w:val="toc 1"/>
    <w:basedOn w:val="Normal"/>
    <w:next w:val="Normal"/>
    <w:autoRedefine/>
    <w:uiPriority w:val="39"/>
    <w:unhideWhenUsed/>
    <w:rsid w:val="00082A69"/>
    <w:pPr>
      <w:spacing w:before="240"/>
      <w:jc w:val="left"/>
    </w:pPr>
    <w:rPr>
      <w:rFonts w:asciiTheme="minorHAnsi" w:hAnsiTheme="minorHAnsi"/>
      <w:b/>
      <w:bCs/>
      <w:sz w:val="20"/>
      <w:szCs w:val="20"/>
    </w:rPr>
  </w:style>
  <w:style w:type="paragraph" w:styleId="TOC2">
    <w:name w:val="toc 2"/>
    <w:basedOn w:val="Normal"/>
    <w:next w:val="Normal"/>
    <w:autoRedefine/>
    <w:uiPriority w:val="39"/>
    <w:unhideWhenUsed/>
    <w:rsid w:val="00082A69"/>
    <w:pPr>
      <w:spacing w:before="120" w:after="0"/>
      <w:ind w:left="240"/>
      <w:jc w:val="left"/>
    </w:pPr>
    <w:rPr>
      <w:rFonts w:asciiTheme="minorHAnsi" w:hAnsiTheme="minorHAnsi"/>
      <w:i/>
      <w:iCs/>
      <w:sz w:val="20"/>
      <w:szCs w:val="20"/>
    </w:rPr>
  </w:style>
  <w:style w:type="paragraph" w:styleId="TOC3">
    <w:name w:val="toc 3"/>
    <w:basedOn w:val="Normal"/>
    <w:next w:val="Normal"/>
    <w:autoRedefine/>
    <w:uiPriority w:val="39"/>
    <w:unhideWhenUsed/>
    <w:rsid w:val="00082A69"/>
    <w:pPr>
      <w:spacing w:before="0" w:after="0"/>
      <w:ind w:left="480"/>
      <w:jc w:val="left"/>
    </w:pPr>
    <w:rPr>
      <w:rFonts w:asciiTheme="minorHAnsi" w:hAnsiTheme="minorHAnsi"/>
      <w:sz w:val="20"/>
      <w:szCs w:val="20"/>
    </w:rPr>
  </w:style>
  <w:style w:type="character" w:styleId="Hyperlink">
    <w:name w:val="Hyperlink"/>
    <w:basedOn w:val="DefaultParagraphFont"/>
    <w:uiPriority w:val="99"/>
    <w:unhideWhenUsed/>
    <w:rsid w:val="00082A69"/>
    <w:rPr>
      <w:color w:val="0000FF" w:themeColor="hyperlink"/>
      <w:u w:val="single"/>
    </w:rPr>
  </w:style>
  <w:style w:type="paragraph" w:styleId="TOCHeading">
    <w:name w:val="TOC Heading"/>
    <w:basedOn w:val="Heading1"/>
    <w:next w:val="Normal"/>
    <w:uiPriority w:val="39"/>
    <w:unhideWhenUsed/>
    <w:qFormat/>
    <w:rsid w:val="00082A69"/>
    <w:pPr>
      <w:spacing w:before="240" w:after="0" w:line="259" w:lineRule="auto"/>
      <w:jc w:val="left"/>
      <w:outlineLvl w:val="9"/>
    </w:pPr>
    <w:rPr>
      <w:rFonts w:asciiTheme="majorHAnsi" w:eastAsiaTheme="majorEastAsia" w:hAnsiTheme="majorHAnsi" w:cstheme="majorBidi"/>
      <w:color w:val="365F91" w:themeColor="accent1" w:themeShade="BF"/>
      <w:sz w:val="32"/>
      <w:szCs w:val="32"/>
      <w:lang w:val="en-US" w:eastAsia="en-US"/>
    </w:rPr>
  </w:style>
  <w:style w:type="paragraph" w:styleId="TOC4">
    <w:name w:val="toc 4"/>
    <w:basedOn w:val="Normal"/>
    <w:next w:val="Normal"/>
    <w:autoRedefine/>
    <w:uiPriority w:val="39"/>
    <w:unhideWhenUsed/>
    <w:rsid w:val="00082A69"/>
    <w:pPr>
      <w:spacing w:before="0" w:after="0"/>
      <w:ind w:left="720"/>
      <w:jc w:val="left"/>
    </w:pPr>
    <w:rPr>
      <w:rFonts w:asciiTheme="minorHAnsi" w:hAnsiTheme="minorHAnsi"/>
      <w:sz w:val="20"/>
      <w:szCs w:val="20"/>
    </w:rPr>
  </w:style>
  <w:style w:type="paragraph" w:styleId="TOC5">
    <w:name w:val="toc 5"/>
    <w:basedOn w:val="Normal"/>
    <w:next w:val="Normal"/>
    <w:autoRedefine/>
    <w:uiPriority w:val="39"/>
    <w:unhideWhenUsed/>
    <w:rsid w:val="00082A69"/>
    <w:pPr>
      <w:spacing w:before="0" w:after="0"/>
      <w:ind w:left="960"/>
      <w:jc w:val="left"/>
    </w:pPr>
    <w:rPr>
      <w:rFonts w:asciiTheme="minorHAnsi" w:hAnsiTheme="minorHAnsi"/>
      <w:sz w:val="20"/>
      <w:szCs w:val="20"/>
    </w:rPr>
  </w:style>
  <w:style w:type="paragraph" w:styleId="TOC6">
    <w:name w:val="toc 6"/>
    <w:basedOn w:val="Normal"/>
    <w:next w:val="Normal"/>
    <w:autoRedefine/>
    <w:uiPriority w:val="39"/>
    <w:unhideWhenUsed/>
    <w:rsid w:val="00082A69"/>
    <w:pPr>
      <w:spacing w:before="0" w:after="0"/>
      <w:ind w:left="1200"/>
      <w:jc w:val="left"/>
    </w:pPr>
    <w:rPr>
      <w:rFonts w:asciiTheme="minorHAnsi" w:hAnsiTheme="minorHAnsi"/>
      <w:sz w:val="20"/>
      <w:szCs w:val="20"/>
    </w:rPr>
  </w:style>
  <w:style w:type="paragraph" w:styleId="TOC7">
    <w:name w:val="toc 7"/>
    <w:basedOn w:val="Normal"/>
    <w:next w:val="Normal"/>
    <w:autoRedefine/>
    <w:uiPriority w:val="39"/>
    <w:unhideWhenUsed/>
    <w:rsid w:val="00082A69"/>
    <w:pPr>
      <w:spacing w:before="0" w:after="0"/>
      <w:ind w:left="1440"/>
      <w:jc w:val="left"/>
    </w:pPr>
    <w:rPr>
      <w:rFonts w:asciiTheme="minorHAnsi" w:hAnsiTheme="minorHAnsi"/>
      <w:sz w:val="20"/>
      <w:szCs w:val="20"/>
    </w:rPr>
  </w:style>
  <w:style w:type="paragraph" w:styleId="TOC8">
    <w:name w:val="toc 8"/>
    <w:basedOn w:val="Normal"/>
    <w:next w:val="Normal"/>
    <w:autoRedefine/>
    <w:uiPriority w:val="39"/>
    <w:unhideWhenUsed/>
    <w:rsid w:val="00082A69"/>
    <w:pPr>
      <w:spacing w:before="0" w:after="0"/>
      <w:ind w:left="1680"/>
      <w:jc w:val="left"/>
    </w:pPr>
    <w:rPr>
      <w:rFonts w:asciiTheme="minorHAnsi" w:hAnsiTheme="minorHAnsi"/>
      <w:sz w:val="20"/>
      <w:szCs w:val="20"/>
    </w:rPr>
  </w:style>
  <w:style w:type="paragraph" w:styleId="TOC9">
    <w:name w:val="toc 9"/>
    <w:basedOn w:val="Normal"/>
    <w:next w:val="Normal"/>
    <w:autoRedefine/>
    <w:uiPriority w:val="39"/>
    <w:unhideWhenUsed/>
    <w:rsid w:val="00082A69"/>
    <w:pPr>
      <w:spacing w:before="0" w:after="0"/>
      <w:ind w:left="1920"/>
      <w:jc w:val="left"/>
    </w:pPr>
    <w:rPr>
      <w:rFonts w:asciiTheme="minorHAnsi" w:hAnsiTheme="minorHAnsi"/>
      <w:sz w:val="20"/>
      <w:szCs w:val="20"/>
    </w:rPr>
  </w:style>
  <w:style w:type="character" w:styleId="UnresolvedMention">
    <w:name w:val="Unresolved Mention"/>
    <w:basedOn w:val="DefaultParagraphFont"/>
    <w:uiPriority w:val="99"/>
    <w:semiHidden/>
    <w:unhideWhenUsed/>
    <w:rsid w:val="002658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8447744">
      <w:bodyDiv w:val="1"/>
      <w:marLeft w:val="0"/>
      <w:marRight w:val="0"/>
      <w:marTop w:val="0"/>
      <w:marBottom w:val="0"/>
      <w:divBdr>
        <w:top w:val="none" w:sz="0" w:space="0" w:color="auto"/>
        <w:left w:val="none" w:sz="0" w:space="0" w:color="auto"/>
        <w:bottom w:val="none" w:sz="0" w:space="0" w:color="auto"/>
        <w:right w:val="none" w:sz="0" w:space="0" w:color="auto"/>
      </w:divBdr>
    </w:div>
    <w:div w:id="1379090101">
      <w:bodyDiv w:val="1"/>
      <w:marLeft w:val="0"/>
      <w:marRight w:val="0"/>
      <w:marTop w:val="0"/>
      <w:marBottom w:val="0"/>
      <w:divBdr>
        <w:top w:val="none" w:sz="0" w:space="0" w:color="auto"/>
        <w:left w:val="none" w:sz="0" w:space="0" w:color="auto"/>
        <w:bottom w:val="none" w:sz="0" w:space="0" w:color="auto"/>
        <w:right w:val="none" w:sz="0" w:space="0" w:color="auto"/>
      </w:divBdr>
    </w:div>
    <w:div w:id="20130281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investopedia.com/terms/m/mergersandacquisitions.asp" TargetMode="External"/><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hyperlink" Target="https://corporatefinanceinstitute.com/resources/knowledge/deals/friendly-takeovers-vs-hostile-takeovers/" TargetMode="Externa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https://www.spglobal.com/esg/csa/yearbook/ranking" TargetMode="External"/><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sustainalytics.com/esg-ratings/" TargetMode="External"/><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sustainability.com/globalassets/sustainability.com/thinking/pdfs/sustainability-ratetheraters2020-report.pdf?fbclid=IwAR3MNhvwhDNgwz0_C2_W2EI2YY7MVA-LkyXMuzlZR7JPLWaMDCTCpdVmZno"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7CA0A2-5CA8-4AE7-86DD-A0017CD677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46</Pages>
  <Words>12807</Words>
  <Characters>73003</Characters>
  <Application>Microsoft Office Word</Application>
  <DocSecurity>0</DocSecurity>
  <Lines>608</Lines>
  <Paragraphs>171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Erik Konstenius</cp:lastModifiedBy>
  <cp:revision>2</cp:revision>
  <cp:lastPrinted>2021-01-10T10:12:00Z</cp:lastPrinted>
  <dcterms:created xsi:type="dcterms:W3CDTF">2021-01-21T14:56:00Z</dcterms:created>
  <dcterms:modified xsi:type="dcterms:W3CDTF">2021-01-21T14:56:00Z</dcterms:modified>
</cp:coreProperties>
</file>