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2125A" w14:textId="6582491D" w:rsidR="00521F9B" w:rsidRPr="00B8734C" w:rsidRDefault="00F97889" w:rsidP="00F97889">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U</w:t>
      </w:r>
      <w:r w:rsidRPr="00B8734C">
        <w:rPr>
          <w:rFonts w:ascii="Times New Roman" w:hAnsi="Times New Roman" w:cs="Times New Roman"/>
          <w:sz w:val="24"/>
          <w:szCs w:val="24"/>
          <w:lang w:val="en-GB"/>
        </w:rPr>
        <w:t xml:space="preserve">niformity of refugee status in EU law </w:t>
      </w:r>
      <w:r>
        <w:rPr>
          <w:rFonts w:ascii="Times New Roman" w:hAnsi="Times New Roman" w:cs="Times New Roman"/>
          <w:sz w:val="24"/>
          <w:szCs w:val="24"/>
          <w:lang w:val="en-GB"/>
        </w:rPr>
        <w:t>a</w:t>
      </w:r>
      <w:r w:rsidRPr="00B8734C">
        <w:rPr>
          <w:rFonts w:ascii="Times New Roman" w:hAnsi="Times New Roman" w:cs="Times New Roman"/>
          <w:sz w:val="24"/>
          <w:szCs w:val="24"/>
          <w:lang w:val="en-GB"/>
        </w:rPr>
        <w:t>nd secondary movements</w:t>
      </w:r>
      <w:r>
        <w:rPr>
          <w:rFonts w:ascii="Times New Roman" w:hAnsi="Times New Roman" w:cs="Times New Roman"/>
          <w:sz w:val="24"/>
          <w:szCs w:val="24"/>
          <w:lang w:val="en-GB"/>
        </w:rPr>
        <w:t>: i</w:t>
      </w:r>
      <w:r w:rsidR="00BF22A5" w:rsidRPr="00B8734C">
        <w:rPr>
          <w:rFonts w:ascii="Times New Roman" w:hAnsi="Times New Roman" w:cs="Times New Roman"/>
          <w:sz w:val="24"/>
          <w:szCs w:val="24"/>
          <w:lang w:val="en-GB"/>
        </w:rPr>
        <w:t xml:space="preserve">nsights from </w:t>
      </w:r>
      <w:r w:rsidR="00BF22A5" w:rsidRPr="00B8734C">
        <w:rPr>
          <w:rFonts w:ascii="Times New Roman" w:hAnsi="Times New Roman" w:cs="Times New Roman"/>
          <w:i/>
          <w:iCs/>
          <w:sz w:val="24"/>
          <w:szCs w:val="24"/>
          <w:lang w:val="en-GB"/>
        </w:rPr>
        <w:t>QY v Germany</w:t>
      </w:r>
      <w:r>
        <w:rPr>
          <w:rFonts w:ascii="Times New Roman" w:hAnsi="Times New Roman" w:cs="Times New Roman"/>
          <w:i/>
          <w:iCs/>
          <w:sz w:val="24"/>
          <w:szCs w:val="24"/>
          <w:lang w:val="en-GB"/>
        </w:rPr>
        <w:t xml:space="preserve"> </w:t>
      </w:r>
      <w:r w:rsidRPr="00F97889">
        <w:rPr>
          <w:rFonts w:ascii="Times New Roman" w:hAnsi="Times New Roman" w:cs="Times New Roman"/>
          <w:sz w:val="24"/>
          <w:szCs w:val="24"/>
          <w:lang w:val="en-GB"/>
        </w:rPr>
        <w:t>and</w:t>
      </w:r>
      <w:r>
        <w:rPr>
          <w:rFonts w:ascii="Times New Roman" w:hAnsi="Times New Roman" w:cs="Times New Roman"/>
          <w:i/>
          <w:iCs/>
          <w:sz w:val="24"/>
          <w:szCs w:val="24"/>
          <w:lang w:val="en-GB"/>
        </w:rPr>
        <w:t xml:space="preserve"> </w:t>
      </w:r>
      <w:r w:rsidRPr="00A35A69">
        <w:rPr>
          <w:rFonts w:ascii="Times New Roman" w:hAnsi="Times New Roman" w:cs="Times New Roman"/>
          <w:i/>
          <w:iCs/>
          <w:sz w:val="24"/>
          <w:szCs w:val="24"/>
          <w:lang w:val="en-GB"/>
        </w:rPr>
        <w:t xml:space="preserve">A., v </w:t>
      </w:r>
      <w:proofErr w:type="spellStart"/>
      <w:r w:rsidRPr="00A35A69">
        <w:rPr>
          <w:rFonts w:ascii="Times New Roman" w:hAnsi="Times New Roman" w:cs="Times New Roman"/>
          <w:i/>
          <w:iCs/>
          <w:sz w:val="24"/>
          <w:szCs w:val="24"/>
          <w:lang w:val="en-GB"/>
        </w:rPr>
        <w:t>Generalstaatsanwaltschaft</w:t>
      </w:r>
      <w:proofErr w:type="spellEnd"/>
      <w:r w:rsidRPr="00A35A69">
        <w:rPr>
          <w:rFonts w:ascii="Times New Roman" w:hAnsi="Times New Roman" w:cs="Times New Roman"/>
          <w:i/>
          <w:iCs/>
          <w:sz w:val="24"/>
          <w:szCs w:val="24"/>
          <w:lang w:val="en-GB"/>
        </w:rPr>
        <w:t xml:space="preserve"> Hamm</w:t>
      </w:r>
    </w:p>
    <w:p w14:paraId="5E5842FD" w14:textId="77777777" w:rsidR="00881887" w:rsidRDefault="00881887" w:rsidP="00B8734C">
      <w:pPr>
        <w:jc w:val="center"/>
        <w:rPr>
          <w:rFonts w:ascii="Times New Roman" w:hAnsi="Times New Roman" w:cs="Times New Roman"/>
          <w:sz w:val="24"/>
          <w:szCs w:val="24"/>
          <w:lang w:val="en-GB"/>
        </w:rPr>
      </w:pPr>
    </w:p>
    <w:p w14:paraId="3513B320" w14:textId="7C40D5D5" w:rsidR="00BF22A5" w:rsidRPr="00633632" w:rsidRDefault="00BF22A5" w:rsidP="00B8734C">
      <w:pPr>
        <w:jc w:val="center"/>
        <w:rPr>
          <w:rFonts w:ascii="Times New Roman" w:hAnsi="Times New Roman" w:cs="Times New Roman"/>
          <w:b/>
          <w:bCs/>
          <w:sz w:val="24"/>
          <w:szCs w:val="24"/>
          <w:lang w:val="en-GB"/>
        </w:rPr>
      </w:pPr>
      <w:r w:rsidRPr="00633632">
        <w:rPr>
          <w:rFonts w:ascii="Times New Roman" w:hAnsi="Times New Roman" w:cs="Times New Roman"/>
          <w:b/>
          <w:bCs/>
          <w:sz w:val="24"/>
          <w:szCs w:val="24"/>
          <w:lang w:val="en-GB"/>
        </w:rPr>
        <w:t>Vladislava Stoyanova</w:t>
      </w:r>
    </w:p>
    <w:p w14:paraId="40037222" w14:textId="0F49E91A" w:rsidR="000D733A" w:rsidRPr="00B8734C" w:rsidRDefault="000D733A" w:rsidP="00B8734C">
      <w:pPr>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Associate Professor in Public International Law, Lund University </w:t>
      </w:r>
    </w:p>
    <w:p w14:paraId="4F37D92E" w14:textId="48C77632" w:rsidR="00060B61" w:rsidRPr="001877DA" w:rsidRDefault="001877DA" w:rsidP="001B4B84">
      <w:pPr>
        <w:pStyle w:val="Heading1"/>
        <w:spacing w:before="0" w:after="0" w:line="240" w:lineRule="auto"/>
        <w:rPr>
          <w:lang w:val="en-GB"/>
        </w:rPr>
      </w:pPr>
      <w:r>
        <w:rPr>
          <w:lang w:val="en-GB"/>
        </w:rPr>
        <w:t xml:space="preserve">1. </w:t>
      </w:r>
      <w:r w:rsidR="00060B61" w:rsidRPr="001877DA">
        <w:rPr>
          <w:lang w:val="en-GB"/>
        </w:rPr>
        <w:t>Introduction</w:t>
      </w:r>
      <w:r w:rsidR="00F7753B">
        <w:rPr>
          <w:lang w:val="en-GB"/>
        </w:rPr>
        <w:t xml:space="preserve"> </w:t>
      </w:r>
      <w:r w:rsidR="00682678">
        <w:rPr>
          <w:lang w:val="en-GB"/>
        </w:rPr>
        <w:t>and facts of the case</w:t>
      </w:r>
    </w:p>
    <w:p w14:paraId="0ECF9FAB" w14:textId="77777777" w:rsidR="001B4B84" w:rsidRDefault="001B4B84" w:rsidP="001B4B84">
      <w:pPr>
        <w:spacing w:after="0" w:line="240" w:lineRule="auto"/>
        <w:jc w:val="both"/>
        <w:rPr>
          <w:rFonts w:ascii="Times New Roman" w:hAnsi="Times New Roman" w:cs="Times New Roman"/>
          <w:sz w:val="24"/>
          <w:szCs w:val="24"/>
          <w:lang w:val="en-GB"/>
        </w:rPr>
      </w:pPr>
    </w:p>
    <w:p w14:paraId="2CAA6E3E" w14:textId="017218CF" w:rsidR="003A76E5" w:rsidRDefault="003A76E5" w:rsidP="001B4B84">
      <w:pPr>
        <w:spacing w:after="0" w:line="240" w:lineRule="auto"/>
        <w:jc w:val="both"/>
        <w:rPr>
          <w:rFonts w:ascii="Times New Roman" w:hAnsi="Times New Roman" w:cs="Times New Roman"/>
          <w:sz w:val="24"/>
          <w:szCs w:val="24"/>
          <w:lang w:val="en-GB"/>
        </w:rPr>
      </w:pPr>
      <w:r w:rsidRPr="00B8734C">
        <w:rPr>
          <w:rFonts w:ascii="Times New Roman" w:hAnsi="Times New Roman" w:cs="Times New Roman"/>
          <w:sz w:val="24"/>
          <w:szCs w:val="24"/>
          <w:lang w:val="en-GB"/>
        </w:rPr>
        <w:t>The legal questions triggered by the movement of beneficiaries of international protection and by applicants for international protection between Member States, can be quite complicated. These secondary movements have exposed problems with the reception conditions in some Member States,</w:t>
      </w:r>
      <w:r w:rsidRPr="00B8734C">
        <w:rPr>
          <w:rStyle w:val="FootnoteReference"/>
          <w:rFonts w:ascii="Times New Roman" w:hAnsi="Times New Roman" w:cs="Times New Roman"/>
          <w:sz w:val="24"/>
          <w:szCs w:val="24"/>
          <w:lang w:val="en-GB"/>
        </w:rPr>
        <w:footnoteReference w:id="1"/>
      </w:r>
      <w:r w:rsidRPr="00B8734C">
        <w:rPr>
          <w:rFonts w:ascii="Times New Roman" w:hAnsi="Times New Roman" w:cs="Times New Roman"/>
          <w:sz w:val="24"/>
          <w:szCs w:val="24"/>
          <w:lang w:val="en-GB"/>
        </w:rPr>
        <w:t xml:space="preserve"> which has prevented </w:t>
      </w:r>
      <w:r w:rsidR="00E6432E">
        <w:rPr>
          <w:rFonts w:ascii="Times New Roman" w:hAnsi="Times New Roman" w:cs="Times New Roman"/>
          <w:sz w:val="24"/>
          <w:szCs w:val="24"/>
          <w:lang w:val="en-GB"/>
        </w:rPr>
        <w:t>Dublin</w:t>
      </w:r>
      <w:r w:rsidRPr="00B8734C">
        <w:rPr>
          <w:rFonts w:ascii="Times New Roman" w:hAnsi="Times New Roman" w:cs="Times New Roman"/>
          <w:sz w:val="24"/>
          <w:szCs w:val="24"/>
          <w:lang w:val="en-GB"/>
        </w:rPr>
        <w:t xml:space="preserve"> transfer</w:t>
      </w:r>
      <w:r w:rsidR="00E6432E">
        <w:rPr>
          <w:rFonts w:ascii="Times New Roman" w:hAnsi="Times New Roman" w:cs="Times New Roman"/>
          <w:sz w:val="24"/>
          <w:szCs w:val="24"/>
          <w:lang w:val="en-GB"/>
        </w:rPr>
        <w:t>s</w:t>
      </w:r>
      <w:r w:rsidRPr="00B8734C">
        <w:rPr>
          <w:rFonts w:ascii="Times New Roman" w:hAnsi="Times New Roman" w:cs="Times New Roman"/>
          <w:sz w:val="24"/>
          <w:szCs w:val="24"/>
          <w:lang w:val="en-GB"/>
        </w:rPr>
        <w:t xml:space="preserve"> from one Member State to another.</w:t>
      </w:r>
      <w:r w:rsidR="001B4B84">
        <w:rPr>
          <w:rStyle w:val="FootnoteReference"/>
          <w:rFonts w:ascii="Times New Roman" w:hAnsi="Times New Roman" w:cs="Times New Roman"/>
          <w:sz w:val="24"/>
          <w:szCs w:val="24"/>
          <w:lang w:val="en-GB"/>
        </w:rPr>
        <w:footnoteReference w:id="2"/>
      </w:r>
      <w:r w:rsidRPr="00B8734C">
        <w:rPr>
          <w:rFonts w:ascii="Times New Roman" w:hAnsi="Times New Roman" w:cs="Times New Roman"/>
          <w:sz w:val="24"/>
          <w:szCs w:val="24"/>
          <w:lang w:val="en-GB"/>
        </w:rPr>
        <w:t xml:space="preserve"> These secondary movements also raise questions </w:t>
      </w:r>
      <w:r w:rsidR="00970C2F">
        <w:rPr>
          <w:rFonts w:ascii="Times New Roman" w:hAnsi="Times New Roman" w:cs="Times New Roman"/>
          <w:sz w:val="24"/>
          <w:szCs w:val="24"/>
          <w:lang w:val="en-GB"/>
        </w:rPr>
        <w:t>about</w:t>
      </w:r>
      <w:r w:rsidR="00B8734C" w:rsidRPr="00B8734C">
        <w:rPr>
          <w:rFonts w:ascii="Times New Roman" w:hAnsi="Times New Roman" w:cs="Times New Roman"/>
          <w:sz w:val="24"/>
          <w:szCs w:val="24"/>
          <w:lang w:val="en-GB"/>
        </w:rPr>
        <w:t xml:space="preserve"> the role </w:t>
      </w:r>
      <w:r w:rsidR="00F26405">
        <w:rPr>
          <w:rFonts w:ascii="Times New Roman" w:hAnsi="Times New Roman" w:cs="Times New Roman"/>
          <w:sz w:val="24"/>
          <w:szCs w:val="24"/>
          <w:lang w:val="en-GB"/>
        </w:rPr>
        <w:t>positive decision</w:t>
      </w:r>
      <w:r w:rsidR="00970C2F">
        <w:rPr>
          <w:rFonts w:ascii="Times New Roman" w:hAnsi="Times New Roman" w:cs="Times New Roman"/>
          <w:sz w:val="24"/>
          <w:szCs w:val="24"/>
          <w:lang w:val="en-GB"/>
        </w:rPr>
        <w:t>s of</w:t>
      </w:r>
      <w:r w:rsidR="00F26405">
        <w:rPr>
          <w:rFonts w:ascii="Times New Roman" w:hAnsi="Times New Roman" w:cs="Times New Roman"/>
          <w:sz w:val="24"/>
          <w:szCs w:val="24"/>
          <w:lang w:val="en-GB"/>
        </w:rPr>
        <w:t xml:space="preserve"> grant</w:t>
      </w:r>
      <w:r w:rsidR="00970C2F">
        <w:rPr>
          <w:rFonts w:ascii="Times New Roman" w:hAnsi="Times New Roman" w:cs="Times New Roman"/>
          <w:sz w:val="24"/>
          <w:szCs w:val="24"/>
          <w:lang w:val="en-GB"/>
        </w:rPr>
        <w:t>ing</w:t>
      </w:r>
      <w:r w:rsidR="00F26405">
        <w:rPr>
          <w:rFonts w:ascii="Times New Roman" w:hAnsi="Times New Roman" w:cs="Times New Roman"/>
          <w:sz w:val="24"/>
          <w:szCs w:val="24"/>
          <w:lang w:val="en-GB"/>
        </w:rPr>
        <w:t xml:space="preserve"> </w:t>
      </w:r>
      <w:r w:rsidR="00B8734C" w:rsidRPr="00B8734C">
        <w:rPr>
          <w:rFonts w:ascii="Times New Roman" w:hAnsi="Times New Roman" w:cs="Times New Roman"/>
          <w:sz w:val="24"/>
          <w:szCs w:val="24"/>
          <w:lang w:val="en-GB"/>
        </w:rPr>
        <w:t xml:space="preserve">refugee status in EU law. It has been already clarified that Member States are obliged under EU law to mutually recognize </w:t>
      </w:r>
      <w:r w:rsidR="00B8734C" w:rsidRPr="00B8734C">
        <w:rPr>
          <w:rFonts w:ascii="Times New Roman" w:hAnsi="Times New Roman" w:cs="Times New Roman"/>
          <w:i/>
          <w:iCs/>
          <w:sz w:val="24"/>
          <w:szCs w:val="24"/>
          <w:lang w:val="en-GB"/>
        </w:rPr>
        <w:t>negative</w:t>
      </w:r>
      <w:r w:rsidR="00B8734C" w:rsidRPr="00B8734C">
        <w:rPr>
          <w:rFonts w:ascii="Times New Roman" w:hAnsi="Times New Roman" w:cs="Times New Roman"/>
          <w:sz w:val="24"/>
          <w:szCs w:val="24"/>
          <w:lang w:val="en-GB"/>
        </w:rPr>
        <w:t xml:space="preserve"> protection decisions</w:t>
      </w:r>
      <w:r w:rsidR="001B4B84">
        <w:rPr>
          <w:rFonts w:ascii="Times New Roman" w:hAnsi="Times New Roman" w:cs="Times New Roman"/>
          <w:sz w:val="24"/>
          <w:szCs w:val="24"/>
          <w:lang w:val="en-GB"/>
        </w:rPr>
        <w:t xml:space="preserve"> (i.e. refusal to grant refugee status)</w:t>
      </w:r>
      <w:r w:rsidR="00B8734C" w:rsidRPr="00B8734C">
        <w:rPr>
          <w:rFonts w:ascii="Times New Roman" w:hAnsi="Times New Roman" w:cs="Times New Roman"/>
          <w:sz w:val="24"/>
          <w:szCs w:val="24"/>
          <w:lang w:val="en-GB"/>
        </w:rPr>
        <w:t>.</w:t>
      </w:r>
      <w:r w:rsidR="00B8734C">
        <w:rPr>
          <w:rStyle w:val="FootnoteReference"/>
          <w:rFonts w:ascii="Times New Roman" w:hAnsi="Times New Roman" w:cs="Times New Roman"/>
          <w:sz w:val="24"/>
          <w:szCs w:val="24"/>
          <w:lang w:val="en-GB"/>
        </w:rPr>
        <w:footnoteReference w:id="3"/>
      </w:r>
      <w:r w:rsidR="00B8734C" w:rsidRPr="00B8734C">
        <w:rPr>
          <w:rFonts w:ascii="Times New Roman" w:hAnsi="Times New Roman" w:cs="Times New Roman"/>
          <w:sz w:val="24"/>
          <w:szCs w:val="24"/>
          <w:lang w:val="en-GB"/>
        </w:rPr>
        <w:t xml:space="preserve"> </w:t>
      </w:r>
      <w:r w:rsidR="00E6432E">
        <w:rPr>
          <w:rFonts w:ascii="Times New Roman" w:hAnsi="Times New Roman" w:cs="Times New Roman"/>
          <w:sz w:val="24"/>
          <w:szCs w:val="24"/>
          <w:lang w:val="en-GB"/>
        </w:rPr>
        <w:t xml:space="preserve">How about </w:t>
      </w:r>
      <w:r w:rsidR="00E6432E" w:rsidRPr="00881887">
        <w:rPr>
          <w:rFonts w:ascii="Times New Roman" w:hAnsi="Times New Roman" w:cs="Times New Roman"/>
          <w:i/>
          <w:iCs/>
          <w:sz w:val="24"/>
          <w:szCs w:val="24"/>
          <w:lang w:val="en-GB"/>
        </w:rPr>
        <w:t>positive</w:t>
      </w:r>
      <w:r w:rsidR="00E6432E">
        <w:rPr>
          <w:rFonts w:ascii="Times New Roman" w:hAnsi="Times New Roman" w:cs="Times New Roman"/>
          <w:sz w:val="24"/>
          <w:szCs w:val="24"/>
          <w:lang w:val="en-GB"/>
        </w:rPr>
        <w:t xml:space="preserve"> decisions to grant refugee status? </w:t>
      </w:r>
      <w:r w:rsidR="00B8734C" w:rsidRPr="00B8734C">
        <w:rPr>
          <w:rFonts w:ascii="Times New Roman" w:hAnsi="Times New Roman" w:cs="Times New Roman"/>
          <w:sz w:val="24"/>
          <w:szCs w:val="24"/>
          <w:lang w:val="en-GB"/>
        </w:rPr>
        <w:t>If an applicant is granted refugee status in one Member State, what implicants does this have if the beneficiar</w:t>
      </w:r>
      <w:r w:rsidR="00E6432E">
        <w:rPr>
          <w:rFonts w:ascii="Times New Roman" w:hAnsi="Times New Roman" w:cs="Times New Roman"/>
          <w:sz w:val="24"/>
          <w:szCs w:val="24"/>
          <w:lang w:val="en-GB"/>
        </w:rPr>
        <w:t>y</w:t>
      </w:r>
      <w:r w:rsidR="00B8734C" w:rsidRPr="00B8734C">
        <w:rPr>
          <w:rFonts w:ascii="Times New Roman" w:hAnsi="Times New Roman" w:cs="Times New Roman"/>
          <w:sz w:val="24"/>
          <w:szCs w:val="24"/>
          <w:lang w:val="en-GB"/>
        </w:rPr>
        <w:t xml:space="preserve"> moves to another Member States</w:t>
      </w:r>
      <w:r w:rsidR="00F26405">
        <w:rPr>
          <w:rFonts w:ascii="Times New Roman" w:hAnsi="Times New Roman" w:cs="Times New Roman"/>
          <w:sz w:val="24"/>
          <w:szCs w:val="24"/>
          <w:lang w:val="en-GB"/>
        </w:rPr>
        <w:t xml:space="preserve"> (for the sake of clarity, referred to as new Member State)</w:t>
      </w:r>
      <w:r w:rsidR="00E6432E">
        <w:rPr>
          <w:rFonts w:ascii="Times New Roman" w:hAnsi="Times New Roman" w:cs="Times New Roman"/>
          <w:sz w:val="24"/>
          <w:szCs w:val="24"/>
          <w:lang w:val="en-GB"/>
        </w:rPr>
        <w:t xml:space="preserve">? These implications might reverberate into different areas, such </w:t>
      </w:r>
      <w:r w:rsidR="00F87BDF">
        <w:rPr>
          <w:rFonts w:ascii="Times New Roman" w:hAnsi="Times New Roman" w:cs="Times New Roman"/>
          <w:sz w:val="24"/>
          <w:szCs w:val="24"/>
          <w:lang w:val="en-GB"/>
        </w:rPr>
        <w:t xml:space="preserve">as </w:t>
      </w:r>
      <w:r w:rsidR="00AA53E3">
        <w:rPr>
          <w:rFonts w:ascii="Times New Roman" w:hAnsi="Times New Roman" w:cs="Times New Roman"/>
          <w:sz w:val="24"/>
          <w:szCs w:val="24"/>
          <w:lang w:val="en-GB"/>
        </w:rPr>
        <w:t xml:space="preserve">when </w:t>
      </w:r>
      <w:r w:rsidR="00E6432E">
        <w:rPr>
          <w:rFonts w:ascii="Times New Roman" w:hAnsi="Times New Roman" w:cs="Times New Roman"/>
          <w:sz w:val="24"/>
          <w:szCs w:val="24"/>
          <w:lang w:val="en-GB"/>
        </w:rPr>
        <w:t>new application</w:t>
      </w:r>
      <w:r w:rsidR="00AA53E3">
        <w:rPr>
          <w:rFonts w:ascii="Times New Roman" w:hAnsi="Times New Roman" w:cs="Times New Roman"/>
          <w:sz w:val="24"/>
          <w:szCs w:val="24"/>
          <w:lang w:val="en-GB"/>
        </w:rPr>
        <w:t>s</w:t>
      </w:r>
      <w:r w:rsidR="00E6432E">
        <w:rPr>
          <w:rFonts w:ascii="Times New Roman" w:hAnsi="Times New Roman" w:cs="Times New Roman"/>
          <w:sz w:val="24"/>
          <w:szCs w:val="24"/>
          <w:lang w:val="en-GB"/>
        </w:rPr>
        <w:t xml:space="preserve"> and new procedure</w:t>
      </w:r>
      <w:r w:rsidR="00AA53E3">
        <w:rPr>
          <w:rFonts w:ascii="Times New Roman" w:hAnsi="Times New Roman" w:cs="Times New Roman"/>
          <w:sz w:val="24"/>
          <w:szCs w:val="24"/>
          <w:lang w:val="en-GB"/>
        </w:rPr>
        <w:t>s</w:t>
      </w:r>
      <w:r w:rsidR="00E6432E">
        <w:rPr>
          <w:rFonts w:ascii="Times New Roman" w:hAnsi="Times New Roman" w:cs="Times New Roman"/>
          <w:sz w:val="24"/>
          <w:szCs w:val="24"/>
          <w:lang w:val="en-GB"/>
        </w:rPr>
        <w:t xml:space="preserve"> for international protection</w:t>
      </w:r>
      <w:r w:rsidR="00AA53E3">
        <w:rPr>
          <w:rFonts w:ascii="Times New Roman" w:hAnsi="Times New Roman" w:cs="Times New Roman"/>
          <w:sz w:val="24"/>
          <w:szCs w:val="24"/>
          <w:lang w:val="en-GB"/>
        </w:rPr>
        <w:t xml:space="preserve"> are initiated</w:t>
      </w:r>
      <w:r w:rsidR="00E6432E">
        <w:rPr>
          <w:rFonts w:ascii="Times New Roman" w:hAnsi="Times New Roman" w:cs="Times New Roman"/>
          <w:sz w:val="24"/>
          <w:szCs w:val="24"/>
          <w:lang w:val="en-GB"/>
        </w:rPr>
        <w:t xml:space="preserve">, </w:t>
      </w:r>
      <w:r w:rsidR="00AA53E3">
        <w:rPr>
          <w:rFonts w:ascii="Times New Roman" w:hAnsi="Times New Roman" w:cs="Times New Roman"/>
          <w:sz w:val="24"/>
          <w:szCs w:val="24"/>
          <w:lang w:val="en-GB"/>
        </w:rPr>
        <w:t xml:space="preserve">in the determination of the </w:t>
      </w:r>
      <w:r w:rsidR="00E6432E">
        <w:rPr>
          <w:rFonts w:ascii="Times New Roman" w:hAnsi="Times New Roman" w:cs="Times New Roman"/>
          <w:sz w:val="24"/>
          <w:szCs w:val="24"/>
          <w:lang w:val="en-GB"/>
        </w:rPr>
        <w:t>reception conditions or the content of the international protection.</w:t>
      </w:r>
      <w:r w:rsidR="00B50D07">
        <w:rPr>
          <w:rStyle w:val="FootnoteReference"/>
          <w:rFonts w:ascii="Times New Roman" w:hAnsi="Times New Roman" w:cs="Times New Roman"/>
          <w:sz w:val="24"/>
          <w:szCs w:val="24"/>
          <w:lang w:val="en-GB"/>
        </w:rPr>
        <w:footnoteReference w:id="4"/>
      </w:r>
    </w:p>
    <w:p w14:paraId="350A8343" w14:textId="77777777" w:rsidR="001B4B84" w:rsidRDefault="001B4B84" w:rsidP="001B4B84">
      <w:pPr>
        <w:spacing w:after="0" w:line="240" w:lineRule="auto"/>
        <w:jc w:val="both"/>
        <w:rPr>
          <w:rFonts w:ascii="Times New Roman" w:hAnsi="Times New Roman" w:cs="Times New Roman"/>
          <w:sz w:val="24"/>
          <w:szCs w:val="24"/>
          <w:lang w:val="en-GB"/>
        </w:rPr>
      </w:pPr>
    </w:p>
    <w:p w14:paraId="7FBAFC6C" w14:textId="5F5E1A04" w:rsidR="00D21280" w:rsidRPr="00BE1807" w:rsidRDefault="00881887" w:rsidP="001B4B8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w:t>
      </w:r>
      <w:r w:rsidRPr="00881887">
        <w:rPr>
          <w:rFonts w:ascii="Times New Roman" w:hAnsi="Times New Roman" w:cs="Times New Roman"/>
          <w:i/>
          <w:iCs/>
          <w:sz w:val="24"/>
          <w:szCs w:val="24"/>
          <w:lang w:val="en-GB"/>
        </w:rPr>
        <w:t xml:space="preserve">QY v </w:t>
      </w:r>
      <w:proofErr w:type="spellStart"/>
      <w:r w:rsidRPr="00881887">
        <w:rPr>
          <w:rFonts w:ascii="Times New Roman" w:hAnsi="Times New Roman" w:cs="Times New Roman"/>
          <w:i/>
          <w:iCs/>
          <w:sz w:val="24"/>
          <w:szCs w:val="24"/>
          <w:lang w:val="en-GB"/>
        </w:rPr>
        <w:t>Bundesrepublik</w:t>
      </w:r>
      <w:proofErr w:type="spellEnd"/>
      <w:r w:rsidRPr="00881887">
        <w:rPr>
          <w:rFonts w:ascii="Times New Roman" w:hAnsi="Times New Roman" w:cs="Times New Roman"/>
          <w:i/>
          <w:iCs/>
          <w:sz w:val="24"/>
          <w:szCs w:val="24"/>
          <w:lang w:val="en-GB"/>
        </w:rPr>
        <w:t xml:space="preserve"> Deutschland</w:t>
      </w:r>
      <w:r w:rsidRPr="00881887">
        <w:rPr>
          <w:rFonts w:ascii="Times New Roman" w:hAnsi="Times New Roman" w:cs="Times New Roman"/>
          <w:sz w:val="24"/>
          <w:szCs w:val="24"/>
          <w:lang w:val="en-GB"/>
        </w:rPr>
        <w:t> </w:t>
      </w:r>
      <w:r w:rsidRPr="00881887">
        <w:rPr>
          <w:rFonts w:ascii="Times New Roman" w:hAnsi="Times New Roman" w:cs="Times New Roman"/>
          <w:i/>
          <w:iCs/>
          <w:sz w:val="24"/>
          <w:szCs w:val="24"/>
          <w:lang w:val="en-GB"/>
        </w:rPr>
        <w:t>(Effect of a decision granting refugee status)</w:t>
      </w:r>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 xml:space="preserve">the Court of Justice held that Member </w:t>
      </w:r>
      <w:r w:rsidR="00F87BDF">
        <w:rPr>
          <w:rFonts w:ascii="Times New Roman" w:hAnsi="Times New Roman" w:cs="Times New Roman"/>
          <w:sz w:val="24"/>
          <w:szCs w:val="24"/>
          <w:lang w:val="en-GB"/>
        </w:rPr>
        <w:t>State</w:t>
      </w:r>
      <w:r>
        <w:rPr>
          <w:rFonts w:ascii="Times New Roman" w:hAnsi="Times New Roman" w:cs="Times New Roman"/>
          <w:sz w:val="24"/>
          <w:szCs w:val="24"/>
          <w:lang w:val="en-GB"/>
        </w:rPr>
        <w:t xml:space="preserve"> are </w:t>
      </w:r>
      <w:r w:rsidRPr="00881887">
        <w:rPr>
          <w:rFonts w:ascii="Times New Roman" w:hAnsi="Times New Roman" w:cs="Times New Roman"/>
          <w:i/>
          <w:iCs/>
          <w:sz w:val="24"/>
          <w:szCs w:val="24"/>
          <w:lang w:val="en-GB"/>
        </w:rPr>
        <w:t>not</w:t>
      </w:r>
      <w:r>
        <w:rPr>
          <w:rFonts w:ascii="Times New Roman" w:hAnsi="Times New Roman" w:cs="Times New Roman"/>
          <w:sz w:val="24"/>
          <w:szCs w:val="24"/>
          <w:lang w:val="en-GB"/>
        </w:rPr>
        <w:t xml:space="preserve"> required under EU to automatically recognize the positive decision issued by another Member State.</w:t>
      </w:r>
      <w:r w:rsidR="00C0036E">
        <w:rPr>
          <w:rStyle w:val="FootnoteReference"/>
          <w:rFonts w:ascii="Times New Roman" w:hAnsi="Times New Roman" w:cs="Times New Roman"/>
          <w:sz w:val="24"/>
          <w:szCs w:val="24"/>
          <w:lang w:val="en-GB"/>
        </w:rPr>
        <w:footnoteReference w:id="5"/>
      </w:r>
      <w:r>
        <w:rPr>
          <w:rFonts w:ascii="Times New Roman" w:hAnsi="Times New Roman" w:cs="Times New Roman"/>
          <w:sz w:val="24"/>
          <w:szCs w:val="24"/>
          <w:lang w:val="en-GB"/>
        </w:rPr>
        <w:t xml:space="preserve"> Such a positive decision </w:t>
      </w:r>
      <w:r w:rsidRPr="00F87BDF">
        <w:rPr>
          <w:rFonts w:ascii="Times New Roman" w:hAnsi="Times New Roman" w:cs="Times New Roman"/>
          <w:i/>
          <w:iCs/>
          <w:sz w:val="24"/>
          <w:szCs w:val="24"/>
          <w:lang w:val="en-GB"/>
        </w:rPr>
        <w:t>does have some significance</w:t>
      </w:r>
      <w:r>
        <w:rPr>
          <w:rFonts w:ascii="Times New Roman" w:hAnsi="Times New Roman" w:cs="Times New Roman"/>
          <w:sz w:val="24"/>
          <w:szCs w:val="24"/>
          <w:lang w:val="en-GB"/>
        </w:rPr>
        <w:t xml:space="preserve">, but very far from being </w:t>
      </w:r>
      <w:r w:rsidR="000D733A">
        <w:rPr>
          <w:rFonts w:ascii="Times New Roman" w:hAnsi="Times New Roman" w:cs="Times New Roman"/>
          <w:sz w:val="24"/>
          <w:szCs w:val="24"/>
          <w:lang w:val="en-GB"/>
        </w:rPr>
        <w:t>anything close to</w:t>
      </w:r>
      <w:r>
        <w:rPr>
          <w:rFonts w:ascii="Times New Roman" w:hAnsi="Times New Roman" w:cs="Times New Roman"/>
          <w:sz w:val="24"/>
          <w:szCs w:val="24"/>
          <w:lang w:val="en-GB"/>
        </w:rPr>
        <w:t xml:space="preserve"> </w:t>
      </w:r>
      <w:r w:rsidR="00F26405">
        <w:rPr>
          <w:rFonts w:ascii="Times New Roman" w:hAnsi="Times New Roman" w:cs="Times New Roman"/>
          <w:sz w:val="24"/>
          <w:szCs w:val="24"/>
          <w:lang w:val="en-GB"/>
        </w:rPr>
        <w:t xml:space="preserve">automatically </w:t>
      </w:r>
      <w:r>
        <w:rPr>
          <w:rFonts w:ascii="Times New Roman" w:hAnsi="Times New Roman" w:cs="Times New Roman"/>
          <w:sz w:val="24"/>
          <w:szCs w:val="24"/>
          <w:lang w:val="en-GB"/>
        </w:rPr>
        <w:t xml:space="preserve">binding as to the </w:t>
      </w:r>
      <w:r w:rsidR="00F87BDF">
        <w:rPr>
          <w:rFonts w:ascii="Times New Roman" w:hAnsi="Times New Roman" w:cs="Times New Roman"/>
          <w:sz w:val="24"/>
          <w:szCs w:val="24"/>
          <w:lang w:val="en-GB"/>
        </w:rPr>
        <w:t xml:space="preserve">positive </w:t>
      </w:r>
      <w:r>
        <w:rPr>
          <w:rFonts w:ascii="Times New Roman" w:hAnsi="Times New Roman" w:cs="Times New Roman"/>
          <w:sz w:val="24"/>
          <w:szCs w:val="24"/>
          <w:lang w:val="en-GB"/>
        </w:rPr>
        <w:t>conclusion that the applicant is eligible for refugee status.</w:t>
      </w:r>
      <w:r w:rsidR="000D733A">
        <w:rPr>
          <w:rFonts w:ascii="Times New Roman" w:hAnsi="Times New Roman" w:cs="Times New Roman"/>
          <w:sz w:val="24"/>
          <w:szCs w:val="24"/>
          <w:lang w:val="en-GB"/>
        </w:rPr>
        <w:t xml:space="preserve"> In this </w:t>
      </w:r>
      <w:r w:rsidR="00F26405">
        <w:rPr>
          <w:rFonts w:ascii="Times New Roman" w:hAnsi="Times New Roman" w:cs="Times New Roman"/>
          <w:sz w:val="24"/>
          <w:szCs w:val="24"/>
          <w:lang w:val="en-GB"/>
        </w:rPr>
        <w:t>article</w:t>
      </w:r>
      <w:r w:rsidR="000D733A">
        <w:rPr>
          <w:rFonts w:ascii="Times New Roman" w:hAnsi="Times New Roman" w:cs="Times New Roman"/>
          <w:sz w:val="24"/>
          <w:szCs w:val="24"/>
          <w:lang w:val="en-GB"/>
        </w:rPr>
        <w:t xml:space="preserve">, after briefly describing the facts, I explain the Court’s arguments </w:t>
      </w:r>
      <w:r w:rsidR="00F26405">
        <w:rPr>
          <w:rFonts w:ascii="Times New Roman" w:hAnsi="Times New Roman" w:cs="Times New Roman"/>
          <w:sz w:val="24"/>
          <w:szCs w:val="24"/>
          <w:lang w:val="en-GB"/>
        </w:rPr>
        <w:t xml:space="preserve">in </w:t>
      </w:r>
      <w:r w:rsidR="00F26405" w:rsidRPr="00F26405">
        <w:rPr>
          <w:rFonts w:ascii="Times New Roman" w:hAnsi="Times New Roman" w:cs="Times New Roman"/>
          <w:i/>
          <w:iCs/>
          <w:sz w:val="24"/>
          <w:szCs w:val="24"/>
          <w:lang w:val="en-GB"/>
        </w:rPr>
        <w:t>QY</w:t>
      </w:r>
      <w:r w:rsidR="00F26405">
        <w:rPr>
          <w:rFonts w:ascii="Times New Roman" w:hAnsi="Times New Roman" w:cs="Times New Roman"/>
          <w:sz w:val="24"/>
          <w:szCs w:val="24"/>
          <w:lang w:val="en-GB"/>
        </w:rPr>
        <w:t xml:space="preserve"> </w:t>
      </w:r>
      <w:r w:rsidR="000D733A">
        <w:rPr>
          <w:rFonts w:ascii="Times New Roman" w:hAnsi="Times New Roman" w:cs="Times New Roman"/>
          <w:sz w:val="24"/>
          <w:szCs w:val="24"/>
          <w:lang w:val="en-GB"/>
        </w:rPr>
        <w:t xml:space="preserve">and their justifications. I also make relevant comparative references to the new EU asylum </w:t>
      </w:r>
      <w:r w:rsidR="00AA53E3">
        <w:rPr>
          <w:rFonts w:ascii="Times New Roman" w:hAnsi="Times New Roman" w:cs="Times New Roman"/>
          <w:sz w:val="24"/>
          <w:szCs w:val="24"/>
          <w:lang w:val="en-GB"/>
        </w:rPr>
        <w:t xml:space="preserve">regulations </w:t>
      </w:r>
      <w:r w:rsidR="000D733A">
        <w:rPr>
          <w:rFonts w:ascii="Times New Roman" w:hAnsi="Times New Roman" w:cs="Times New Roman"/>
          <w:sz w:val="24"/>
          <w:szCs w:val="24"/>
          <w:lang w:val="en-GB"/>
        </w:rPr>
        <w:t>adopted in 2024</w:t>
      </w:r>
      <w:r w:rsidR="001B4B84">
        <w:rPr>
          <w:rFonts w:ascii="Times New Roman" w:hAnsi="Times New Roman" w:cs="Times New Roman"/>
          <w:sz w:val="24"/>
          <w:szCs w:val="24"/>
          <w:lang w:val="en-GB"/>
        </w:rPr>
        <w:t xml:space="preserve"> (i.e. the 2024 Qualification Regulation and the 2024 Procedures Regulation)</w:t>
      </w:r>
      <w:r w:rsidR="000D733A">
        <w:rPr>
          <w:rFonts w:ascii="Times New Roman" w:hAnsi="Times New Roman" w:cs="Times New Roman"/>
          <w:sz w:val="24"/>
          <w:szCs w:val="24"/>
          <w:lang w:val="en-GB"/>
        </w:rPr>
        <w:t>.</w:t>
      </w:r>
      <w:r w:rsidR="001B4B84">
        <w:rPr>
          <w:rStyle w:val="FootnoteReference"/>
          <w:rFonts w:ascii="Times New Roman" w:hAnsi="Times New Roman" w:cs="Times New Roman"/>
          <w:sz w:val="24"/>
          <w:szCs w:val="24"/>
          <w:lang w:val="en-GB"/>
        </w:rPr>
        <w:footnoteReference w:id="6"/>
      </w:r>
      <w:r w:rsidR="000D733A">
        <w:rPr>
          <w:rFonts w:ascii="Times New Roman" w:hAnsi="Times New Roman" w:cs="Times New Roman"/>
          <w:sz w:val="24"/>
          <w:szCs w:val="24"/>
          <w:lang w:val="en-GB"/>
        </w:rPr>
        <w:t xml:space="preserve"> </w:t>
      </w:r>
      <w:r w:rsidR="00BE1807">
        <w:rPr>
          <w:rFonts w:ascii="Times New Roman" w:hAnsi="Times New Roman" w:cs="Times New Roman"/>
          <w:sz w:val="24"/>
          <w:szCs w:val="24"/>
          <w:lang w:val="en-GB"/>
        </w:rPr>
        <w:t xml:space="preserve">More specifically, Section 2 explains that there is no uniform refugee status in the EU. Section 3 clarifies that in </w:t>
      </w:r>
      <w:r w:rsidR="00BE1807" w:rsidRPr="00881887">
        <w:rPr>
          <w:rFonts w:ascii="Times New Roman" w:hAnsi="Times New Roman" w:cs="Times New Roman"/>
          <w:i/>
          <w:iCs/>
          <w:sz w:val="24"/>
          <w:szCs w:val="24"/>
          <w:lang w:val="en-GB"/>
        </w:rPr>
        <w:t>QY</w:t>
      </w:r>
      <w:r w:rsidR="00BE1807">
        <w:rPr>
          <w:rFonts w:ascii="Times New Roman" w:hAnsi="Times New Roman" w:cs="Times New Roman"/>
          <w:i/>
          <w:iCs/>
          <w:sz w:val="24"/>
          <w:szCs w:val="24"/>
          <w:lang w:val="en-GB"/>
        </w:rPr>
        <w:t xml:space="preserve"> </w:t>
      </w:r>
      <w:r w:rsidR="00BE1807">
        <w:rPr>
          <w:rFonts w:ascii="Times New Roman" w:hAnsi="Times New Roman" w:cs="Times New Roman"/>
          <w:sz w:val="24"/>
          <w:szCs w:val="24"/>
          <w:lang w:val="en-GB"/>
        </w:rPr>
        <w:t>the Court reasoned in favour of procedural obligation upon Member States to take ‘full account’ of positive decisions made by other Member States. Finally, S</w:t>
      </w:r>
      <w:r w:rsidR="00D21280">
        <w:rPr>
          <w:rFonts w:ascii="Times New Roman" w:hAnsi="Times New Roman" w:cs="Times New Roman"/>
          <w:sz w:val="24"/>
          <w:szCs w:val="24"/>
          <w:lang w:val="en-GB"/>
        </w:rPr>
        <w:t xml:space="preserve">ection 4 </w:t>
      </w:r>
      <w:r w:rsidR="00D21280" w:rsidRPr="00A35A69">
        <w:rPr>
          <w:rFonts w:ascii="Times New Roman" w:hAnsi="Times New Roman" w:cs="Times New Roman"/>
          <w:sz w:val="24"/>
          <w:szCs w:val="24"/>
          <w:lang w:val="en-GB"/>
        </w:rPr>
        <w:t>explore</w:t>
      </w:r>
      <w:r w:rsidR="00BE1807">
        <w:rPr>
          <w:rFonts w:ascii="Times New Roman" w:hAnsi="Times New Roman" w:cs="Times New Roman"/>
          <w:sz w:val="24"/>
          <w:szCs w:val="24"/>
          <w:lang w:val="en-GB"/>
        </w:rPr>
        <w:t>s</w:t>
      </w:r>
      <w:r w:rsidR="00D21280" w:rsidRPr="00A35A69">
        <w:rPr>
          <w:rFonts w:ascii="Times New Roman" w:hAnsi="Times New Roman" w:cs="Times New Roman"/>
          <w:sz w:val="24"/>
          <w:szCs w:val="24"/>
          <w:lang w:val="en-GB"/>
        </w:rPr>
        <w:t xml:space="preserve"> the link between</w:t>
      </w:r>
      <w:r w:rsidR="00D21280">
        <w:rPr>
          <w:rFonts w:ascii="Times New Roman" w:hAnsi="Times New Roman" w:cs="Times New Roman"/>
          <w:sz w:val="24"/>
          <w:szCs w:val="24"/>
          <w:lang w:val="en-GB"/>
        </w:rPr>
        <w:t>, on the one hand,</w:t>
      </w:r>
      <w:r w:rsidR="00D21280" w:rsidRPr="00A35A69">
        <w:rPr>
          <w:rFonts w:ascii="Times New Roman" w:hAnsi="Times New Roman" w:cs="Times New Roman"/>
          <w:sz w:val="24"/>
          <w:szCs w:val="24"/>
          <w:lang w:val="en-GB"/>
        </w:rPr>
        <w:t xml:space="preserve"> the effects of positive decision</w:t>
      </w:r>
      <w:r w:rsidR="00BE1807">
        <w:rPr>
          <w:rFonts w:ascii="Times New Roman" w:hAnsi="Times New Roman" w:cs="Times New Roman"/>
          <w:sz w:val="24"/>
          <w:szCs w:val="24"/>
          <w:lang w:val="en-GB"/>
        </w:rPr>
        <w:t>s</w:t>
      </w:r>
      <w:r w:rsidR="00D21280" w:rsidRPr="00A35A69">
        <w:rPr>
          <w:rFonts w:ascii="Times New Roman" w:hAnsi="Times New Roman" w:cs="Times New Roman"/>
          <w:sz w:val="24"/>
          <w:szCs w:val="24"/>
          <w:lang w:val="en-GB"/>
        </w:rPr>
        <w:t xml:space="preserve"> for Member State</w:t>
      </w:r>
      <w:r w:rsidR="00BE1807">
        <w:rPr>
          <w:rFonts w:ascii="Times New Roman" w:hAnsi="Times New Roman" w:cs="Times New Roman"/>
          <w:sz w:val="24"/>
          <w:szCs w:val="24"/>
          <w:lang w:val="en-GB"/>
        </w:rPr>
        <w:t>s</w:t>
      </w:r>
      <w:r w:rsidR="00D21280" w:rsidRPr="00A35A69">
        <w:rPr>
          <w:rFonts w:ascii="Times New Roman" w:hAnsi="Times New Roman" w:cs="Times New Roman"/>
          <w:sz w:val="24"/>
          <w:szCs w:val="24"/>
          <w:lang w:val="en-GB"/>
        </w:rPr>
        <w:t xml:space="preserve"> and</w:t>
      </w:r>
      <w:r w:rsidR="00D21280">
        <w:rPr>
          <w:rFonts w:ascii="Times New Roman" w:hAnsi="Times New Roman" w:cs="Times New Roman"/>
          <w:sz w:val="24"/>
          <w:szCs w:val="24"/>
          <w:lang w:val="en-GB"/>
        </w:rPr>
        <w:t>, on the other,</w:t>
      </w:r>
      <w:r w:rsidR="00D21280" w:rsidRPr="00A35A69">
        <w:rPr>
          <w:rFonts w:ascii="Times New Roman" w:hAnsi="Times New Roman" w:cs="Times New Roman"/>
          <w:sz w:val="24"/>
          <w:szCs w:val="24"/>
          <w:lang w:val="en-GB"/>
        </w:rPr>
        <w:t xml:space="preserve"> the content of the refugee status. To proceed with this exploration, </w:t>
      </w:r>
      <w:r w:rsidR="00D21280" w:rsidRPr="00A35A69">
        <w:rPr>
          <w:rFonts w:ascii="Times New Roman" w:hAnsi="Times New Roman" w:cs="Times New Roman"/>
          <w:i/>
          <w:iCs/>
          <w:sz w:val="24"/>
          <w:szCs w:val="24"/>
          <w:lang w:val="en-GB"/>
        </w:rPr>
        <w:t xml:space="preserve">A., v </w:t>
      </w:r>
      <w:proofErr w:type="spellStart"/>
      <w:r w:rsidR="00D21280" w:rsidRPr="00A35A69">
        <w:rPr>
          <w:rFonts w:ascii="Times New Roman" w:hAnsi="Times New Roman" w:cs="Times New Roman"/>
          <w:i/>
          <w:iCs/>
          <w:sz w:val="24"/>
          <w:szCs w:val="24"/>
          <w:lang w:val="en-GB"/>
        </w:rPr>
        <w:t>Generalstaatsanwaltschaft</w:t>
      </w:r>
      <w:proofErr w:type="spellEnd"/>
      <w:r w:rsidR="00D21280" w:rsidRPr="00A35A69">
        <w:rPr>
          <w:rFonts w:ascii="Times New Roman" w:hAnsi="Times New Roman" w:cs="Times New Roman"/>
          <w:i/>
          <w:iCs/>
          <w:sz w:val="24"/>
          <w:szCs w:val="24"/>
          <w:lang w:val="en-GB"/>
        </w:rPr>
        <w:t xml:space="preserve"> Hamm</w:t>
      </w:r>
      <w:r w:rsidR="00D21280">
        <w:rPr>
          <w:rFonts w:ascii="Times New Roman" w:hAnsi="Times New Roman" w:cs="Times New Roman"/>
          <w:i/>
          <w:iCs/>
          <w:sz w:val="24"/>
          <w:szCs w:val="24"/>
          <w:lang w:val="en-GB"/>
        </w:rPr>
        <w:t xml:space="preserve"> </w:t>
      </w:r>
      <w:r w:rsidR="00D21280">
        <w:rPr>
          <w:rFonts w:ascii="Times New Roman" w:hAnsi="Times New Roman" w:cs="Times New Roman"/>
          <w:sz w:val="24"/>
          <w:szCs w:val="24"/>
          <w:lang w:val="en-GB"/>
        </w:rPr>
        <w:t xml:space="preserve">delivered on the same day as </w:t>
      </w:r>
      <w:r w:rsidR="00D21280" w:rsidRPr="00881887">
        <w:rPr>
          <w:rFonts w:ascii="Times New Roman" w:hAnsi="Times New Roman" w:cs="Times New Roman"/>
          <w:i/>
          <w:iCs/>
          <w:sz w:val="24"/>
          <w:szCs w:val="24"/>
          <w:lang w:val="en-GB"/>
        </w:rPr>
        <w:t>QY</w:t>
      </w:r>
      <w:r w:rsidR="00D21280">
        <w:rPr>
          <w:rFonts w:ascii="Times New Roman" w:hAnsi="Times New Roman" w:cs="Times New Roman"/>
          <w:i/>
          <w:iCs/>
          <w:sz w:val="24"/>
          <w:szCs w:val="24"/>
          <w:lang w:val="en-GB"/>
        </w:rPr>
        <w:t xml:space="preserve"> </w:t>
      </w:r>
      <w:r w:rsidR="00BE1807">
        <w:rPr>
          <w:rFonts w:ascii="Times New Roman" w:hAnsi="Times New Roman" w:cs="Times New Roman"/>
          <w:sz w:val="24"/>
          <w:szCs w:val="24"/>
          <w:lang w:val="en-GB"/>
        </w:rPr>
        <w:t xml:space="preserve">is </w:t>
      </w:r>
      <w:proofErr w:type="gramStart"/>
      <w:r w:rsidR="00BE1807">
        <w:rPr>
          <w:rFonts w:ascii="Times New Roman" w:hAnsi="Times New Roman" w:cs="Times New Roman"/>
          <w:sz w:val="24"/>
          <w:szCs w:val="24"/>
          <w:lang w:val="en-GB"/>
        </w:rPr>
        <w:t>taken into account</w:t>
      </w:r>
      <w:proofErr w:type="gramEnd"/>
      <w:r w:rsidR="00BE1807">
        <w:rPr>
          <w:rFonts w:ascii="Times New Roman" w:hAnsi="Times New Roman" w:cs="Times New Roman"/>
          <w:sz w:val="24"/>
          <w:szCs w:val="24"/>
          <w:lang w:val="en-GB"/>
        </w:rPr>
        <w:t xml:space="preserve">. </w:t>
      </w:r>
    </w:p>
    <w:p w14:paraId="79BC2D57" w14:textId="77777777" w:rsidR="001B4B84" w:rsidRDefault="001B4B84" w:rsidP="001B4B84">
      <w:pPr>
        <w:spacing w:after="0" w:line="240" w:lineRule="auto"/>
        <w:jc w:val="both"/>
        <w:rPr>
          <w:rFonts w:ascii="Times New Roman" w:hAnsi="Times New Roman" w:cs="Times New Roman"/>
          <w:sz w:val="24"/>
          <w:szCs w:val="24"/>
          <w:lang w:val="en-GB"/>
        </w:rPr>
      </w:pPr>
    </w:p>
    <w:p w14:paraId="5D18DABB" w14:textId="55F096FD" w:rsidR="00881887" w:rsidRDefault="00881887" w:rsidP="001B4B8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QY, a Syrian national, was granted refugee status in Greece in 2018. She left Greece and went to Germany, where she again applied for international protection. The German administrative court held that she cannot be returned to Greece </w:t>
      </w:r>
      <w:r w:rsidR="004B2F2B">
        <w:rPr>
          <w:rFonts w:ascii="Times New Roman" w:hAnsi="Times New Roman" w:cs="Times New Roman"/>
          <w:sz w:val="24"/>
          <w:szCs w:val="24"/>
          <w:lang w:val="en-GB"/>
        </w:rPr>
        <w:t>since she faced the risk of suffering inhuman or degrading treatment. She was granted subsidiary protection status; but contrary to the Gree</w:t>
      </w:r>
      <w:r w:rsidR="006C4D8C">
        <w:rPr>
          <w:rFonts w:ascii="Times New Roman" w:hAnsi="Times New Roman" w:cs="Times New Roman"/>
          <w:sz w:val="24"/>
          <w:szCs w:val="24"/>
          <w:lang w:val="en-GB"/>
        </w:rPr>
        <w:t>k</w:t>
      </w:r>
      <w:r w:rsidR="004B2F2B">
        <w:rPr>
          <w:rFonts w:ascii="Times New Roman" w:hAnsi="Times New Roman" w:cs="Times New Roman"/>
          <w:sz w:val="24"/>
          <w:szCs w:val="24"/>
          <w:lang w:val="en-GB"/>
        </w:rPr>
        <w:t xml:space="preserve"> authorises, the German did not consider her eligible for refugee status.</w:t>
      </w:r>
      <w:r w:rsidR="00970C2F">
        <w:rPr>
          <w:rStyle w:val="FootnoteReference"/>
          <w:rFonts w:ascii="Times New Roman" w:hAnsi="Times New Roman" w:cs="Times New Roman"/>
          <w:sz w:val="24"/>
          <w:szCs w:val="24"/>
          <w:lang w:val="en-GB"/>
        </w:rPr>
        <w:footnoteReference w:id="7"/>
      </w:r>
      <w:r w:rsidR="004B2F2B">
        <w:rPr>
          <w:rFonts w:ascii="Times New Roman" w:hAnsi="Times New Roman" w:cs="Times New Roman"/>
          <w:sz w:val="24"/>
          <w:szCs w:val="24"/>
          <w:lang w:val="en-GB"/>
        </w:rPr>
        <w:t xml:space="preserve"> QY challenged the refusal of refugee status before the German Federal Administrative Court with the argument that the German authorities were obliged the recognize the positive refugee status decision made by the Greek authorities. In its reference for a preliminary ruling, the Federal Administrative Court asked </w:t>
      </w:r>
      <w:r w:rsidR="00F87BDF">
        <w:rPr>
          <w:rFonts w:ascii="Times New Roman" w:hAnsi="Times New Roman" w:cs="Times New Roman"/>
          <w:sz w:val="24"/>
          <w:szCs w:val="24"/>
          <w:lang w:val="en-GB"/>
        </w:rPr>
        <w:t xml:space="preserve">the Court of Justice whether the German authorities were required to grant refugee status </w:t>
      </w:r>
      <w:r w:rsidR="00F87BDF" w:rsidRPr="00F87BDF">
        <w:rPr>
          <w:rFonts w:ascii="Times New Roman" w:hAnsi="Times New Roman" w:cs="Times New Roman"/>
          <w:i/>
          <w:iCs/>
          <w:sz w:val="24"/>
          <w:szCs w:val="24"/>
          <w:lang w:val="en-GB"/>
        </w:rPr>
        <w:t>on the sole</w:t>
      </w:r>
      <w:r w:rsidR="00F87BDF">
        <w:rPr>
          <w:rFonts w:ascii="Times New Roman" w:hAnsi="Times New Roman" w:cs="Times New Roman"/>
          <w:sz w:val="24"/>
          <w:szCs w:val="24"/>
          <w:lang w:val="en-GB"/>
        </w:rPr>
        <w:t xml:space="preserve"> ground that such status had been granted in another Member State. Relatedly, the national court also asked whether the German authorities may conduct their own new independent procedure to assess eligibility for refugee status. The first question received a negative answer. The second question was answered in affirmative</w:t>
      </w:r>
      <w:r w:rsidR="006C4D8C">
        <w:rPr>
          <w:rFonts w:ascii="Times New Roman" w:hAnsi="Times New Roman" w:cs="Times New Roman"/>
          <w:sz w:val="24"/>
          <w:szCs w:val="24"/>
          <w:lang w:val="en-GB"/>
        </w:rPr>
        <w:t xml:space="preserve"> by the Court of Justice</w:t>
      </w:r>
      <w:r w:rsidR="00F87BDF">
        <w:rPr>
          <w:rFonts w:ascii="Times New Roman" w:hAnsi="Times New Roman" w:cs="Times New Roman"/>
          <w:sz w:val="24"/>
          <w:szCs w:val="24"/>
          <w:lang w:val="en-GB"/>
        </w:rPr>
        <w:t xml:space="preserve">. </w:t>
      </w:r>
    </w:p>
    <w:p w14:paraId="66FDA4CA" w14:textId="77777777" w:rsidR="001B4B84" w:rsidRDefault="001B4B84" w:rsidP="001B4B84">
      <w:pPr>
        <w:spacing w:after="0" w:line="240" w:lineRule="auto"/>
        <w:jc w:val="both"/>
        <w:rPr>
          <w:rFonts w:ascii="Times New Roman" w:hAnsi="Times New Roman" w:cs="Times New Roman"/>
          <w:sz w:val="24"/>
          <w:szCs w:val="24"/>
          <w:lang w:val="en-GB"/>
        </w:rPr>
      </w:pPr>
    </w:p>
    <w:p w14:paraId="0B757212" w14:textId="26A325F9" w:rsidR="00633632" w:rsidRDefault="00633632" w:rsidP="001B4B84">
      <w:pPr>
        <w:pStyle w:val="Heading1"/>
        <w:spacing w:before="0" w:after="0" w:line="240" w:lineRule="auto"/>
        <w:rPr>
          <w:lang w:val="en-GB"/>
        </w:rPr>
      </w:pPr>
      <w:r>
        <w:rPr>
          <w:lang w:val="en-GB"/>
        </w:rPr>
        <w:t>2. No uniform refugee status and no automatic recognition of positive decisions</w:t>
      </w:r>
    </w:p>
    <w:p w14:paraId="5BFDBE98" w14:textId="77777777" w:rsidR="001B4B84" w:rsidRDefault="001B4B84" w:rsidP="001B4B84">
      <w:pPr>
        <w:spacing w:after="0" w:line="240" w:lineRule="auto"/>
        <w:jc w:val="both"/>
        <w:rPr>
          <w:rFonts w:ascii="Times New Roman" w:hAnsi="Times New Roman" w:cs="Times New Roman"/>
          <w:sz w:val="24"/>
          <w:szCs w:val="24"/>
          <w:lang w:val="en-GB"/>
        </w:rPr>
      </w:pPr>
    </w:p>
    <w:p w14:paraId="41460F45" w14:textId="4C186A63" w:rsidR="00F87BDF" w:rsidRDefault="0004409D" w:rsidP="00C0036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explain these answers, it is first relevant to note that i</w:t>
      </w:r>
      <w:r w:rsidR="00F87BDF">
        <w:rPr>
          <w:rFonts w:ascii="Times New Roman" w:hAnsi="Times New Roman" w:cs="Times New Roman"/>
          <w:sz w:val="24"/>
          <w:szCs w:val="24"/>
          <w:lang w:val="en-GB"/>
        </w:rPr>
        <w:t xml:space="preserve">t was clear that the application for protection </w:t>
      </w:r>
      <w:r>
        <w:rPr>
          <w:rFonts w:ascii="Times New Roman" w:hAnsi="Times New Roman" w:cs="Times New Roman"/>
          <w:sz w:val="24"/>
          <w:szCs w:val="24"/>
          <w:lang w:val="en-GB"/>
        </w:rPr>
        <w:t>could not</w:t>
      </w:r>
      <w:r w:rsidR="00F87BDF">
        <w:rPr>
          <w:rFonts w:ascii="Times New Roman" w:hAnsi="Times New Roman" w:cs="Times New Roman"/>
          <w:sz w:val="24"/>
          <w:szCs w:val="24"/>
          <w:lang w:val="en-GB"/>
        </w:rPr>
        <w:t xml:space="preserve"> be declared as inadmissible under the terms of Article 33(2) of Directive 2013/32</w:t>
      </w:r>
      <w:r>
        <w:rPr>
          <w:rFonts w:ascii="Times New Roman" w:hAnsi="Times New Roman" w:cs="Times New Roman"/>
          <w:sz w:val="24"/>
          <w:szCs w:val="24"/>
          <w:lang w:val="en-GB"/>
        </w:rPr>
        <w:t xml:space="preserve">. This provision allows Member States not to examine an application for international protection, where </w:t>
      </w:r>
      <w:r w:rsidRPr="0004409D">
        <w:rPr>
          <w:rFonts w:ascii="Times New Roman" w:hAnsi="Times New Roman" w:cs="Times New Roman"/>
          <w:i/>
          <w:iCs/>
          <w:sz w:val="24"/>
          <w:szCs w:val="24"/>
          <w:lang w:val="en-GB"/>
        </w:rPr>
        <w:t>inter alia</w:t>
      </w:r>
      <w:r>
        <w:rPr>
          <w:rFonts w:ascii="Times New Roman" w:hAnsi="Times New Roman" w:cs="Times New Roman"/>
          <w:sz w:val="24"/>
          <w:szCs w:val="24"/>
          <w:lang w:val="en-GB"/>
        </w:rPr>
        <w:t xml:space="preserve"> another Member State has granted such protection or where no new elements are invoked in a subsequent application. Article 33(2) of Directive 2013/32 could not be applied since the German authorities had already determined that QY faced a substantial risk of suffering inhuman or degrading treatment in Greece.</w:t>
      </w:r>
      <w:r w:rsidR="005C7B13">
        <w:rPr>
          <w:rStyle w:val="FootnoteReference"/>
          <w:rFonts w:ascii="Times New Roman" w:hAnsi="Times New Roman" w:cs="Times New Roman"/>
          <w:sz w:val="24"/>
          <w:szCs w:val="24"/>
          <w:lang w:val="en-GB"/>
        </w:rPr>
        <w:footnoteReference w:id="8"/>
      </w:r>
    </w:p>
    <w:p w14:paraId="1CF8C9CB" w14:textId="77777777" w:rsidR="00C0036E" w:rsidRDefault="00C0036E" w:rsidP="00C0036E">
      <w:pPr>
        <w:spacing w:after="0" w:line="240" w:lineRule="auto"/>
        <w:jc w:val="both"/>
        <w:rPr>
          <w:rFonts w:ascii="Times New Roman" w:hAnsi="Times New Roman" w:cs="Times New Roman"/>
          <w:sz w:val="24"/>
          <w:szCs w:val="24"/>
          <w:lang w:val="en-GB"/>
        </w:rPr>
      </w:pPr>
    </w:p>
    <w:p w14:paraId="17B15B53" w14:textId="403E1EBD" w:rsidR="009353B1" w:rsidRDefault="0004409D" w:rsidP="00C0036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its answer, the Court of Justice took note of Article 78(2) TFEU </w:t>
      </w:r>
      <w:r w:rsidR="00FF288B">
        <w:rPr>
          <w:rFonts w:ascii="Times New Roman" w:hAnsi="Times New Roman" w:cs="Times New Roman"/>
          <w:sz w:val="24"/>
          <w:szCs w:val="24"/>
          <w:lang w:val="en-GB"/>
        </w:rPr>
        <w:t>that</w:t>
      </w:r>
      <w:r>
        <w:rPr>
          <w:rFonts w:ascii="Times New Roman" w:hAnsi="Times New Roman" w:cs="Times New Roman"/>
          <w:sz w:val="24"/>
          <w:szCs w:val="24"/>
          <w:lang w:val="en-GB"/>
        </w:rPr>
        <w:t xml:space="preserve"> envisions the adoption of ‘a uniform status of asylum for nationals of third countries, valid throughout the Union.’</w:t>
      </w:r>
      <w:r w:rsidR="00FF288B">
        <w:rPr>
          <w:rFonts w:ascii="Times New Roman" w:hAnsi="Times New Roman" w:cs="Times New Roman"/>
          <w:sz w:val="24"/>
          <w:szCs w:val="24"/>
          <w:lang w:val="en-GB"/>
        </w:rPr>
        <w:t xml:space="preserve"> It held that progressively with time uniform refugee status was envisioned by EU law. However, EU law has not reached this stage yet. </w:t>
      </w:r>
      <w:r w:rsidR="006C4D8C">
        <w:rPr>
          <w:rFonts w:ascii="Times New Roman" w:hAnsi="Times New Roman" w:cs="Times New Roman"/>
          <w:sz w:val="24"/>
          <w:szCs w:val="24"/>
          <w:lang w:val="en-GB"/>
        </w:rPr>
        <w:t>Consequently</w:t>
      </w:r>
      <w:r w:rsidR="00FF288B">
        <w:rPr>
          <w:rFonts w:ascii="Times New Roman" w:hAnsi="Times New Roman" w:cs="Times New Roman"/>
          <w:sz w:val="24"/>
          <w:szCs w:val="24"/>
          <w:lang w:val="en-GB"/>
        </w:rPr>
        <w:t xml:space="preserve">, Member States are not required to </w:t>
      </w:r>
      <w:r w:rsidR="00E82095">
        <w:rPr>
          <w:rFonts w:ascii="Times New Roman" w:hAnsi="Times New Roman" w:cs="Times New Roman"/>
          <w:sz w:val="24"/>
          <w:szCs w:val="24"/>
          <w:lang w:val="en-GB"/>
        </w:rPr>
        <w:t xml:space="preserve">automatically </w:t>
      </w:r>
      <w:r w:rsidR="00FF288B">
        <w:rPr>
          <w:rFonts w:ascii="Times New Roman" w:hAnsi="Times New Roman" w:cs="Times New Roman"/>
          <w:sz w:val="24"/>
          <w:szCs w:val="24"/>
          <w:lang w:val="en-GB"/>
        </w:rPr>
        <w:t>recognize positive decisions. The Court added: ‘On the contrary, certain provisions of that directive [Directive 2011/95], such as Article 29(1) relating to social welfare, limit certain rights relating to refugee status to the Member State that has granted that status.’</w:t>
      </w:r>
      <w:r w:rsidR="00FF288B">
        <w:rPr>
          <w:rStyle w:val="FootnoteReference"/>
          <w:rFonts w:ascii="Times New Roman" w:hAnsi="Times New Roman" w:cs="Times New Roman"/>
          <w:sz w:val="24"/>
          <w:szCs w:val="24"/>
          <w:lang w:val="en-GB"/>
        </w:rPr>
        <w:footnoteReference w:id="9"/>
      </w:r>
      <w:r w:rsidR="00FF288B">
        <w:rPr>
          <w:rFonts w:ascii="Times New Roman" w:hAnsi="Times New Roman" w:cs="Times New Roman"/>
          <w:sz w:val="24"/>
          <w:szCs w:val="24"/>
          <w:lang w:val="en-GB"/>
        </w:rPr>
        <w:t xml:space="preserve"> This addition reveals how the status is a conduit for certain rights</w:t>
      </w:r>
      <w:r w:rsidR="00E82095">
        <w:rPr>
          <w:rFonts w:ascii="Times New Roman" w:hAnsi="Times New Roman" w:cs="Times New Roman"/>
          <w:sz w:val="24"/>
          <w:szCs w:val="24"/>
          <w:lang w:val="en-GB"/>
        </w:rPr>
        <w:t>, including social welfare, and how these rights are ultimately ensured at the level of each Member State.</w:t>
      </w:r>
      <w:r w:rsidR="009353B1">
        <w:rPr>
          <w:rStyle w:val="FootnoteReference"/>
          <w:rFonts w:ascii="Times New Roman" w:hAnsi="Times New Roman" w:cs="Times New Roman"/>
          <w:sz w:val="24"/>
          <w:szCs w:val="24"/>
          <w:lang w:val="en-GB"/>
        </w:rPr>
        <w:footnoteReference w:id="10"/>
      </w:r>
      <w:r w:rsidR="00E82095">
        <w:rPr>
          <w:rFonts w:ascii="Times New Roman" w:hAnsi="Times New Roman" w:cs="Times New Roman"/>
          <w:sz w:val="24"/>
          <w:szCs w:val="24"/>
          <w:lang w:val="en-GB"/>
        </w:rPr>
        <w:t xml:space="preserve"> As a consequence, once a Member States takes a positive decision, it is </w:t>
      </w:r>
      <w:r w:rsidR="00E82095" w:rsidRPr="006C4D8C">
        <w:rPr>
          <w:rFonts w:ascii="Times New Roman" w:hAnsi="Times New Roman" w:cs="Times New Roman"/>
          <w:i/>
          <w:iCs/>
          <w:sz w:val="24"/>
          <w:szCs w:val="24"/>
          <w:lang w:val="en-GB"/>
        </w:rPr>
        <w:t>this</w:t>
      </w:r>
      <w:r w:rsidR="00E82095">
        <w:rPr>
          <w:rFonts w:ascii="Times New Roman" w:hAnsi="Times New Roman" w:cs="Times New Roman"/>
          <w:sz w:val="24"/>
          <w:szCs w:val="24"/>
          <w:lang w:val="en-GB"/>
        </w:rPr>
        <w:t xml:space="preserve"> Member State that has to bear the burden of </w:t>
      </w:r>
      <w:r w:rsidR="006C4D8C">
        <w:rPr>
          <w:rFonts w:ascii="Times New Roman" w:hAnsi="Times New Roman" w:cs="Times New Roman"/>
          <w:sz w:val="24"/>
          <w:szCs w:val="24"/>
          <w:lang w:val="en-GB"/>
        </w:rPr>
        <w:t>guaranteeing</w:t>
      </w:r>
      <w:r w:rsidR="00E82095">
        <w:rPr>
          <w:rFonts w:ascii="Times New Roman" w:hAnsi="Times New Roman" w:cs="Times New Roman"/>
          <w:sz w:val="24"/>
          <w:szCs w:val="24"/>
          <w:lang w:val="en-GB"/>
        </w:rPr>
        <w:t xml:space="preserve"> the ensuing rights (i.e. the content of the international protection). </w:t>
      </w:r>
    </w:p>
    <w:p w14:paraId="465D1517" w14:textId="77777777" w:rsidR="00C0036E" w:rsidRDefault="00C0036E" w:rsidP="00C0036E">
      <w:pPr>
        <w:spacing w:after="0" w:line="240" w:lineRule="auto"/>
        <w:jc w:val="both"/>
        <w:rPr>
          <w:rFonts w:ascii="Times New Roman" w:hAnsi="Times New Roman" w:cs="Times New Roman"/>
          <w:sz w:val="24"/>
          <w:szCs w:val="24"/>
          <w:lang w:val="en-GB"/>
        </w:rPr>
      </w:pPr>
    </w:p>
    <w:p w14:paraId="1AFB5486" w14:textId="77777777" w:rsidR="00195C2E" w:rsidRDefault="00E82095" w:rsidP="00C0036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Here it is relevant to observe that this idea is made even more powerful with the </w:t>
      </w:r>
      <w:r w:rsidRPr="00AA53E3">
        <w:rPr>
          <w:rFonts w:ascii="Times New Roman" w:hAnsi="Times New Roman" w:cs="Times New Roman"/>
          <w:sz w:val="24"/>
          <w:szCs w:val="24"/>
          <w:lang w:val="en-GB"/>
        </w:rPr>
        <w:t>2024 revisions</w:t>
      </w:r>
      <w:r w:rsidR="00F95B23" w:rsidRPr="00AA53E3">
        <w:rPr>
          <w:rFonts w:ascii="Times New Roman" w:hAnsi="Times New Roman" w:cs="Times New Roman"/>
          <w:sz w:val="24"/>
          <w:szCs w:val="24"/>
          <w:lang w:val="en-GB"/>
        </w:rPr>
        <w:t>.</w:t>
      </w:r>
      <w:r w:rsidR="00AA53E3">
        <w:rPr>
          <w:rFonts w:ascii="Times New Roman" w:hAnsi="Times New Roman" w:cs="Times New Roman"/>
          <w:sz w:val="24"/>
          <w:szCs w:val="24"/>
          <w:lang w:val="en-GB"/>
        </w:rPr>
        <w:t xml:space="preserve"> One can, for example, compare Article 27 (Access to education) of the 2011 Qualification Directive with Article 29 of the 2024 Qualification Regulation. Explicit references to ‘the Member State that granted them international protection’ have been added in the latter provision. </w:t>
      </w:r>
      <w:r w:rsidR="009353B1">
        <w:rPr>
          <w:rFonts w:ascii="Times New Roman" w:hAnsi="Times New Roman" w:cs="Times New Roman"/>
          <w:sz w:val="24"/>
          <w:szCs w:val="24"/>
          <w:lang w:val="en-GB"/>
        </w:rPr>
        <w:t xml:space="preserve">Note should be also taken of Article 27 of the 2024 Qualification Regulation that contains a rule </w:t>
      </w:r>
      <w:r w:rsidR="00195C2E">
        <w:rPr>
          <w:rFonts w:ascii="Times New Roman" w:hAnsi="Times New Roman" w:cs="Times New Roman"/>
          <w:sz w:val="24"/>
          <w:szCs w:val="24"/>
          <w:lang w:val="en-GB"/>
        </w:rPr>
        <w:t xml:space="preserve">to the effect that beneficiaries of international protection have no right to reside in a Member State other than the Member State that granted them protection. Such a rule is </w:t>
      </w:r>
      <w:r w:rsidR="009353B1">
        <w:rPr>
          <w:rFonts w:ascii="Times New Roman" w:hAnsi="Times New Roman" w:cs="Times New Roman"/>
          <w:sz w:val="24"/>
          <w:szCs w:val="24"/>
          <w:lang w:val="en-GB"/>
        </w:rPr>
        <w:t>absent from the 2011 Qualification Directive</w:t>
      </w:r>
      <w:r w:rsidR="00195C2E">
        <w:rPr>
          <w:rFonts w:ascii="Times New Roman" w:hAnsi="Times New Roman" w:cs="Times New Roman"/>
          <w:sz w:val="24"/>
          <w:szCs w:val="24"/>
          <w:lang w:val="en-GB"/>
        </w:rPr>
        <w:t xml:space="preserve">. </w:t>
      </w:r>
    </w:p>
    <w:p w14:paraId="7062755E" w14:textId="77777777" w:rsidR="00195C2E" w:rsidRDefault="00195C2E" w:rsidP="00C0036E">
      <w:pPr>
        <w:spacing w:after="0" w:line="240" w:lineRule="auto"/>
        <w:jc w:val="both"/>
        <w:rPr>
          <w:rFonts w:ascii="Times New Roman" w:hAnsi="Times New Roman" w:cs="Times New Roman"/>
          <w:sz w:val="24"/>
          <w:szCs w:val="24"/>
          <w:lang w:val="en-GB"/>
        </w:rPr>
      </w:pPr>
    </w:p>
    <w:p w14:paraId="19DA206C" w14:textId="77937E55" w:rsidR="0004409D" w:rsidRDefault="009353B1" w:rsidP="00C0036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Not only does the 2024 Qualification Regulation strongly expresses the idea that a positive decision bounds only the </w:t>
      </w:r>
      <w:r w:rsidR="0089244C">
        <w:rPr>
          <w:rFonts w:ascii="Times New Roman" w:hAnsi="Times New Roman" w:cs="Times New Roman"/>
          <w:sz w:val="24"/>
          <w:szCs w:val="24"/>
          <w:lang w:val="en-GB"/>
        </w:rPr>
        <w:t>Member State that has taken it. Article 40 of this Regulation</w:t>
      </w:r>
      <w:r w:rsidR="00C0036E">
        <w:rPr>
          <w:rFonts w:ascii="Times New Roman" w:hAnsi="Times New Roman" w:cs="Times New Roman"/>
          <w:sz w:val="24"/>
          <w:szCs w:val="24"/>
          <w:lang w:val="en-GB"/>
        </w:rPr>
        <w:t xml:space="preserve"> further</w:t>
      </w:r>
      <w:r w:rsidR="0089244C">
        <w:rPr>
          <w:rFonts w:ascii="Times New Roman" w:hAnsi="Times New Roman" w:cs="Times New Roman"/>
          <w:sz w:val="24"/>
          <w:szCs w:val="24"/>
          <w:lang w:val="en-GB"/>
        </w:rPr>
        <w:t xml:space="preserve"> intends to punish the beneficiary of international protection if found in a Member States other than the one that granted the protection, in relationship to the possibility of receiving long-terms residence status.</w:t>
      </w:r>
      <w:r w:rsidR="0089244C">
        <w:rPr>
          <w:rStyle w:val="FootnoteReference"/>
          <w:rFonts w:ascii="Times New Roman" w:hAnsi="Times New Roman" w:cs="Times New Roman"/>
          <w:sz w:val="24"/>
          <w:szCs w:val="24"/>
          <w:lang w:val="en-GB"/>
        </w:rPr>
        <w:footnoteReference w:id="11"/>
      </w:r>
      <w:r w:rsidR="0089244C">
        <w:rPr>
          <w:rFonts w:ascii="Times New Roman" w:hAnsi="Times New Roman" w:cs="Times New Roman"/>
          <w:sz w:val="24"/>
          <w:szCs w:val="24"/>
          <w:lang w:val="en-GB"/>
        </w:rPr>
        <w:t xml:space="preserve"> </w:t>
      </w:r>
    </w:p>
    <w:p w14:paraId="174E6A54" w14:textId="77777777" w:rsidR="00C0036E" w:rsidRDefault="00C0036E" w:rsidP="00C0036E">
      <w:pPr>
        <w:spacing w:after="0" w:line="240" w:lineRule="auto"/>
        <w:jc w:val="both"/>
        <w:rPr>
          <w:rFonts w:ascii="Times New Roman" w:hAnsi="Times New Roman" w:cs="Times New Roman"/>
          <w:sz w:val="24"/>
          <w:szCs w:val="24"/>
          <w:lang w:val="en-GB"/>
        </w:rPr>
      </w:pPr>
    </w:p>
    <w:p w14:paraId="7BE6F6E7" w14:textId="30284D07" w:rsidR="00CB5027" w:rsidRDefault="00E82095" w:rsidP="00C0036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w:t>
      </w:r>
      <w:r w:rsidRPr="00881887">
        <w:rPr>
          <w:rFonts w:ascii="Times New Roman" w:hAnsi="Times New Roman" w:cs="Times New Roman"/>
          <w:i/>
          <w:iCs/>
          <w:sz w:val="24"/>
          <w:szCs w:val="24"/>
          <w:lang w:val="en-GB"/>
        </w:rPr>
        <w:t>QY</w:t>
      </w:r>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 xml:space="preserve">the Court clarified that another Member State might </w:t>
      </w:r>
      <w:r w:rsidRPr="001E5934">
        <w:rPr>
          <w:rFonts w:ascii="Times New Roman" w:hAnsi="Times New Roman" w:cs="Times New Roman"/>
          <w:i/>
          <w:iCs/>
          <w:sz w:val="24"/>
          <w:szCs w:val="24"/>
          <w:lang w:val="en-GB"/>
        </w:rPr>
        <w:t>choose to take the burden</w:t>
      </w:r>
      <w:r>
        <w:rPr>
          <w:rFonts w:ascii="Times New Roman" w:hAnsi="Times New Roman" w:cs="Times New Roman"/>
          <w:sz w:val="24"/>
          <w:szCs w:val="24"/>
          <w:lang w:val="en-GB"/>
        </w:rPr>
        <w:t>: ‘it is open to them [the Member States] to provide for automatic recognition of such decisions adopted by another Member States</w:t>
      </w:r>
      <w:r w:rsidR="00F95B23">
        <w:rPr>
          <w:rFonts w:ascii="Times New Roman" w:hAnsi="Times New Roman" w:cs="Times New Roman"/>
          <w:sz w:val="24"/>
          <w:szCs w:val="24"/>
          <w:lang w:val="en-GB"/>
        </w:rPr>
        <w:t>.</w:t>
      </w:r>
      <w:r>
        <w:rPr>
          <w:rFonts w:ascii="Times New Roman" w:hAnsi="Times New Roman" w:cs="Times New Roman"/>
          <w:sz w:val="24"/>
          <w:szCs w:val="24"/>
          <w:lang w:val="en-GB"/>
        </w:rPr>
        <w:t>’</w:t>
      </w:r>
      <w:r w:rsidR="00F95B23">
        <w:rPr>
          <w:rFonts w:ascii="Times New Roman" w:hAnsi="Times New Roman" w:cs="Times New Roman"/>
          <w:sz w:val="24"/>
          <w:szCs w:val="24"/>
          <w:lang w:val="en-GB"/>
        </w:rPr>
        <w:t xml:space="preserve"> </w:t>
      </w:r>
      <w:r w:rsidR="00CB5027">
        <w:rPr>
          <w:rFonts w:ascii="Times New Roman" w:hAnsi="Times New Roman" w:cs="Times New Roman"/>
          <w:sz w:val="24"/>
          <w:szCs w:val="24"/>
          <w:lang w:val="en-GB"/>
        </w:rPr>
        <w:t>According to the Court’s reasoning, t</w:t>
      </w:r>
      <w:r w:rsidR="00F95B23">
        <w:rPr>
          <w:rFonts w:ascii="Times New Roman" w:hAnsi="Times New Roman" w:cs="Times New Roman"/>
          <w:sz w:val="24"/>
          <w:szCs w:val="24"/>
          <w:lang w:val="en-GB"/>
        </w:rPr>
        <w:t>his is possible due t</w:t>
      </w:r>
      <w:r w:rsidR="002E023C">
        <w:rPr>
          <w:rFonts w:ascii="Times New Roman" w:hAnsi="Times New Roman" w:cs="Times New Roman"/>
          <w:sz w:val="24"/>
          <w:szCs w:val="24"/>
          <w:lang w:val="en-GB"/>
        </w:rPr>
        <w:t xml:space="preserve">o </w:t>
      </w:r>
      <w:r w:rsidR="00D43C1A">
        <w:rPr>
          <w:rFonts w:ascii="Times New Roman" w:hAnsi="Times New Roman" w:cs="Times New Roman"/>
          <w:sz w:val="24"/>
          <w:szCs w:val="24"/>
          <w:lang w:val="en-GB"/>
        </w:rPr>
        <w:t xml:space="preserve">Article 3 of </w:t>
      </w:r>
      <w:r w:rsidR="00887EFE">
        <w:rPr>
          <w:rFonts w:ascii="Times New Roman" w:hAnsi="Times New Roman" w:cs="Times New Roman"/>
          <w:sz w:val="24"/>
          <w:szCs w:val="24"/>
          <w:lang w:val="en-GB"/>
        </w:rPr>
        <w:t xml:space="preserve">2011 Qualification </w:t>
      </w:r>
      <w:r w:rsidR="00D43C1A">
        <w:rPr>
          <w:rFonts w:ascii="Times New Roman" w:hAnsi="Times New Roman" w:cs="Times New Roman"/>
          <w:sz w:val="24"/>
          <w:szCs w:val="24"/>
          <w:lang w:val="en-GB"/>
        </w:rPr>
        <w:t xml:space="preserve">Directive and Article 5 of </w:t>
      </w:r>
      <w:r w:rsidR="00887EFE">
        <w:rPr>
          <w:rFonts w:ascii="Times New Roman" w:hAnsi="Times New Roman" w:cs="Times New Roman"/>
          <w:sz w:val="24"/>
          <w:szCs w:val="24"/>
          <w:lang w:val="en-GB"/>
        </w:rPr>
        <w:t xml:space="preserve">the Procedures </w:t>
      </w:r>
      <w:r w:rsidR="00D43C1A">
        <w:rPr>
          <w:rFonts w:ascii="Times New Roman" w:hAnsi="Times New Roman" w:cs="Times New Roman"/>
          <w:sz w:val="24"/>
          <w:szCs w:val="24"/>
          <w:lang w:val="en-GB"/>
        </w:rPr>
        <w:t>Directive. These allow Member States to have more favourable standards.</w:t>
      </w:r>
      <w:r w:rsidR="007D5313">
        <w:rPr>
          <w:rStyle w:val="FootnoteReference"/>
          <w:rFonts w:ascii="Times New Roman" w:hAnsi="Times New Roman" w:cs="Times New Roman"/>
          <w:sz w:val="24"/>
          <w:szCs w:val="24"/>
          <w:lang w:val="en-GB"/>
        </w:rPr>
        <w:footnoteReference w:id="12"/>
      </w:r>
      <w:r w:rsidR="00D43C1A">
        <w:rPr>
          <w:rFonts w:ascii="Times New Roman" w:hAnsi="Times New Roman" w:cs="Times New Roman"/>
          <w:sz w:val="24"/>
          <w:szCs w:val="24"/>
          <w:lang w:val="en-GB"/>
        </w:rPr>
        <w:t xml:space="preserve"> </w:t>
      </w:r>
    </w:p>
    <w:p w14:paraId="55672AA9" w14:textId="77777777" w:rsidR="00C0036E" w:rsidRDefault="00C0036E" w:rsidP="00C0036E">
      <w:pPr>
        <w:spacing w:after="0" w:line="240" w:lineRule="auto"/>
        <w:jc w:val="both"/>
        <w:rPr>
          <w:rFonts w:ascii="Times New Roman" w:hAnsi="Times New Roman" w:cs="Times New Roman"/>
          <w:sz w:val="24"/>
          <w:szCs w:val="24"/>
          <w:lang w:val="en-GB"/>
        </w:rPr>
      </w:pPr>
    </w:p>
    <w:p w14:paraId="67AC972C" w14:textId="77777777" w:rsidR="00E82563" w:rsidRDefault="00CB5027" w:rsidP="00C0036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Importantly, a</w:t>
      </w:r>
      <w:r w:rsidR="00887EFE">
        <w:rPr>
          <w:rFonts w:ascii="Times New Roman" w:hAnsi="Times New Roman" w:cs="Times New Roman"/>
          <w:sz w:val="24"/>
          <w:szCs w:val="24"/>
          <w:lang w:val="en-GB"/>
        </w:rPr>
        <w:t xml:space="preserve"> provision </w:t>
      </w:r>
      <w:proofErr w:type="gramStart"/>
      <w:r w:rsidR="00887EFE">
        <w:rPr>
          <w:rFonts w:ascii="Times New Roman" w:hAnsi="Times New Roman" w:cs="Times New Roman"/>
          <w:sz w:val="24"/>
          <w:szCs w:val="24"/>
          <w:lang w:val="en-GB"/>
        </w:rPr>
        <w:t>similar to</w:t>
      </w:r>
      <w:proofErr w:type="gramEnd"/>
      <w:r w:rsidR="00887EFE">
        <w:rPr>
          <w:rFonts w:ascii="Times New Roman" w:hAnsi="Times New Roman" w:cs="Times New Roman"/>
          <w:sz w:val="24"/>
          <w:szCs w:val="24"/>
          <w:lang w:val="en-GB"/>
        </w:rPr>
        <w:t xml:space="preserve"> </w:t>
      </w:r>
      <w:r w:rsidR="00D43C1A" w:rsidRPr="00887EFE">
        <w:rPr>
          <w:rFonts w:ascii="Times New Roman" w:hAnsi="Times New Roman" w:cs="Times New Roman"/>
          <w:sz w:val="24"/>
          <w:szCs w:val="24"/>
          <w:lang w:val="en-GB"/>
        </w:rPr>
        <w:t xml:space="preserve">Article 3 of </w:t>
      </w:r>
      <w:r w:rsidR="00887EFE" w:rsidRPr="00887EFE">
        <w:rPr>
          <w:rFonts w:ascii="Times New Roman" w:hAnsi="Times New Roman" w:cs="Times New Roman"/>
          <w:sz w:val="24"/>
          <w:szCs w:val="24"/>
          <w:lang w:val="en-GB"/>
        </w:rPr>
        <w:t xml:space="preserve">the 2011 Qualification </w:t>
      </w:r>
      <w:r w:rsidR="00D43C1A" w:rsidRPr="00887EFE">
        <w:rPr>
          <w:rFonts w:ascii="Times New Roman" w:hAnsi="Times New Roman" w:cs="Times New Roman"/>
          <w:sz w:val="24"/>
          <w:szCs w:val="24"/>
          <w:lang w:val="en-GB"/>
        </w:rPr>
        <w:t>Directive</w:t>
      </w:r>
      <w:r w:rsidR="00887EFE">
        <w:rPr>
          <w:rFonts w:ascii="Times New Roman" w:hAnsi="Times New Roman" w:cs="Times New Roman"/>
          <w:sz w:val="24"/>
          <w:szCs w:val="24"/>
          <w:lang w:val="en-GB"/>
        </w:rPr>
        <w:t xml:space="preserve"> has been removed from the 2024 Qualification Regulation. The same removal can be observed regarding the 2024 Procedures Regulation. Yet, Recital 6 from the preamble of the latter Regulation says that ‘[t]</w:t>
      </w:r>
      <w:r w:rsidR="00887EFE" w:rsidRPr="00887EFE">
        <w:rPr>
          <w:rFonts w:ascii="Times New Roman" w:hAnsi="Times New Roman" w:cs="Times New Roman"/>
          <w:sz w:val="24"/>
          <w:szCs w:val="24"/>
          <w:lang w:val="en-GB"/>
        </w:rPr>
        <w:t xml:space="preserve">his harmonisation and convergence of national asylum systems should be achieved without preventing Member States from introducing or retaining more favourable provisions </w:t>
      </w:r>
      <w:proofErr w:type="gramStart"/>
      <w:r w:rsidR="00887EFE" w:rsidRPr="00887EFE">
        <w:rPr>
          <w:rFonts w:ascii="Times New Roman" w:hAnsi="Times New Roman" w:cs="Times New Roman"/>
          <w:sz w:val="24"/>
          <w:szCs w:val="24"/>
          <w:lang w:val="en-GB"/>
        </w:rPr>
        <w:t>where</w:t>
      </w:r>
      <w:proofErr w:type="gramEnd"/>
      <w:r w:rsidR="00887EFE" w:rsidRPr="00887EFE">
        <w:rPr>
          <w:rFonts w:ascii="Times New Roman" w:hAnsi="Times New Roman" w:cs="Times New Roman"/>
          <w:sz w:val="24"/>
          <w:szCs w:val="24"/>
          <w:lang w:val="en-GB"/>
        </w:rPr>
        <w:t xml:space="preserve"> provided for by this Regulation.</w:t>
      </w:r>
      <w:r w:rsidR="00887EFE">
        <w:rPr>
          <w:rFonts w:ascii="Times New Roman" w:hAnsi="Times New Roman" w:cs="Times New Roman"/>
          <w:sz w:val="24"/>
          <w:szCs w:val="24"/>
          <w:lang w:val="en-GB"/>
        </w:rPr>
        <w:t>’</w:t>
      </w:r>
      <w:r w:rsidR="00E82563">
        <w:rPr>
          <w:rFonts w:ascii="Times New Roman" w:hAnsi="Times New Roman" w:cs="Times New Roman"/>
          <w:sz w:val="24"/>
          <w:szCs w:val="24"/>
          <w:lang w:val="en-GB"/>
        </w:rPr>
        <w:t xml:space="preserve"> The flexibility for a Member State to make a choice for automatic recognition of a positive decision has been therefore preserved. This finds further support in </w:t>
      </w:r>
      <w:r w:rsidR="00E82563" w:rsidRPr="00E82563">
        <w:rPr>
          <w:rFonts w:ascii="Times New Roman" w:hAnsi="Times New Roman" w:cs="Times New Roman"/>
          <w:sz w:val="24"/>
          <w:szCs w:val="24"/>
          <w:lang w:val="en-GB"/>
        </w:rPr>
        <w:t xml:space="preserve">Recital 45 from the Preamble of the 2024 Procedures Regulation: </w:t>
      </w:r>
    </w:p>
    <w:p w14:paraId="32A0EB94" w14:textId="77777777" w:rsidR="00C0036E" w:rsidRDefault="00C0036E" w:rsidP="00C0036E">
      <w:pPr>
        <w:spacing w:after="0" w:line="240" w:lineRule="auto"/>
        <w:jc w:val="both"/>
        <w:rPr>
          <w:rFonts w:ascii="Times New Roman" w:hAnsi="Times New Roman" w:cs="Times New Roman"/>
          <w:sz w:val="24"/>
          <w:szCs w:val="24"/>
          <w:lang w:val="en-GB"/>
        </w:rPr>
      </w:pPr>
    </w:p>
    <w:p w14:paraId="4A6BFF75" w14:textId="513B877C" w:rsidR="001E5934" w:rsidRDefault="001E5934" w:rsidP="00C0036E">
      <w:pPr>
        <w:spacing w:after="0" w:line="240" w:lineRule="auto"/>
        <w:ind w:left="1134"/>
        <w:jc w:val="both"/>
        <w:rPr>
          <w:rFonts w:ascii="Times New Roman" w:hAnsi="Times New Roman" w:cs="Times New Roman"/>
          <w:sz w:val="24"/>
          <w:szCs w:val="24"/>
          <w:lang w:val="en-GB"/>
        </w:rPr>
      </w:pPr>
      <w:r w:rsidRPr="00E82563">
        <w:rPr>
          <w:rFonts w:ascii="Times New Roman" w:hAnsi="Times New Roman" w:cs="Times New Roman"/>
          <w:sz w:val="24"/>
          <w:szCs w:val="24"/>
          <w:lang w:val="en-GB"/>
        </w:rPr>
        <w:t xml:space="preserve">the fact that another Member State has already granted international protection is, </w:t>
      </w:r>
      <w:r w:rsidRPr="00E82563">
        <w:rPr>
          <w:rFonts w:ascii="Times New Roman" w:hAnsi="Times New Roman" w:cs="Times New Roman"/>
          <w:i/>
          <w:iCs/>
          <w:sz w:val="24"/>
          <w:szCs w:val="24"/>
          <w:lang w:val="en-GB"/>
        </w:rPr>
        <w:t>as a rule,</w:t>
      </w:r>
      <w:r w:rsidRPr="00E82563">
        <w:rPr>
          <w:rFonts w:ascii="Times New Roman" w:hAnsi="Times New Roman" w:cs="Times New Roman"/>
          <w:sz w:val="24"/>
          <w:szCs w:val="24"/>
          <w:lang w:val="en-GB"/>
        </w:rPr>
        <w:t xml:space="preserve"> a reason for rejecting an application by the same applicant as inadmissible. Therefore, Member States should </w:t>
      </w:r>
      <w:r w:rsidRPr="00E82563">
        <w:rPr>
          <w:rFonts w:ascii="Times New Roman" w:hAnsi="Times New Roman" w:cs="Times New Roman"/>
          <w:i/>
          <w:iCs/>
          <w:sz w:val="24"/>
          <w:szCs w:val="24"/>
          <w:lang w:val="en-GB"/>
        </w:rPr>
        <w:t>have the possibility</w:t>
      </w:r>
      <w:r w:rsidRPr="00E82563">
        <w:rPr>
          <w:rFonts w:ascii="Times New Roman" w:hAnsi="Times New Roman" w:cs="Times New Roman"/>
          <w:sz w:val="24"/>
          <w:szCs w:val="24"/>
          <w:lang w:val="en-GB"/>
        </w:rPr>
        <w:t xml:space="preserve"> to reject an application as inadmissible where an applicant has already been granted international protection in another Member State. In addition, an application should </w:t>
      </w:r>
      <w:proofErr w:type="gramStart"/>
      <w:r w:rsidRPr="00E82563">
        <w:rPr>
          <w:rFonts w:ascii="Times New Roman" w:hAnsi="Times New Roman" w:cs="Times New Roman"/>
          <w:sz w:val="24"/>
          <w:szCs w:val="24"/>
          <w:lang w:val="en-GB"/>
        </w:rPr>
        <w:t>be considered to be</w:t>
      </w:r>
      <w:proofErr w:type="gramEnd"/>
      <w:r w:rsidRPr="00E82563">
        <w:rPr>
          <w:rFonts w:ascii="Times New Roman" w:hAnsi="Times New Roman" w:cs="Times New Roman"/>
          <w:sz w:val="24"/>
          <w:szCs w:val="24"/>
          <w:lang w:val="en-GB"/>
        </w:rPr>
        <w:t xml:space="preserve"> inadmissible when it is a subsequent application without new relevant elements.</w:t>
      </w:r>
      <w:r w:rsidR="00060B61">
        <w:rPr>
          <w:rStyle w:val="FootnoteReference"/>
          <w:rFonts w:ascii="Times New Roman" w:hAnsi="Times New Roman" w:cs="Times New Roman"/>
          <w:sz w:val="24"/>
          <w:szCs w:val="24"/>
          <w:lang w:val="en-GB"/>
        </w:rPr>
        <w:footnoteReference w:id="13"/>
      </w:r>
    </w:p>
    <w:p w14:paraId="0C9C9B89" w14:textId="77777777" w:rsidR="00C0036E" w:rsidRDefault="00C0036E" w:rsidP="00C0036E">
      <w:pPr>
        <w:spacing w:after="0" w:line="240" w:lineRule="auto"/>
        <w:jc w:val="both"/>
        <w:rPr>
          <w:rFonts w:ascii="Times New Roman" w:hAnsi="Times New Roman" w:cs="Times New Roman"/>
          <w:sz w:val="24"/>
          <w:szCs w:val="24"/>
          <w:lang w:val="en-GB"/>
        </w:rPr>
      </w:pPr>
    </w:p>
    <w:p w14:paraId="1E487121" w14:textId="4697AB78" w:rsidR="00E82563" w:rsidRDefault="00E82563" w:rsidP="00C0036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Crucially, such a flexibility is </w:t>
      </w:r>
      <w:r w:rsidR="002A298B">
        <w:rPr>
          <w:rFonts w:ascii="Times New Roman" w:hAnsi="Times New Roman" w:cs="Times New Roman"/>
          <w:sz w:val="24"/>
          <w:szCs w:val="24"/>
          <w:lang w:val="en-GB"/>
        </w:rPr>
        <w:t>maintained</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in light of</w:t>
      </w:r>
      <w:proofErr w:type="gramEnd"/>
      <w:r>
        <w:rPr>
          <w:rFonts w:ascii="Times New Roman" w:hAnsi="Times New Roman" w:cs="Times New Roman"/>
          <w:sz w:val="24"/>
          <w:szCs w:val="24"/>
          <w:lang w:val="en-GB"/>
        </w:rPr>
        <w:t xml:space="preserve"> the text of Article 38 of the 2024 Procedures Directive that regulates </w:t>
      </w:r>
      <w:r w:rsidRPr="00E82563">
        <w:rPr>
          <w:rFonts w:ascii="Times New Roman" w:hAnsi="Times New Roman" w:cs="Times New Roman"/>
          <w:sz w:val="24"/>
          <w:szCs w:val="24"/>
          <w:lang w:val="en-GB"/>
        </w:rPr>
        <w:t>decisions on the admissibility of applications for international protection.</w:t>
      </w:r>
      <w:r w:rsidR="00060B61">
        <w:rPr>
          <w:rFonts w:ascii="Times New Roman" w:hAnsi="Times New Roman" w:cs="Times New Roman"/>
          <w:sz w:val="24"/>
          <w:szCs w:val="24"/>
          <w:lang w:val="en-GB"/>
        </w:rPr>
        <w:t xml:space="preserve"> The latter stipulates that the</w:t>
      </w:r>
      <w:r w:rsidR="00060B61" w:rsidRPr="00060B61">
        <w:rPr>
          <w:rFonts w:ascii="Times New Roman" w:hAnsi="Times New Roman" w:cs="Times New Roman"/>
          <w:sz w:val="24"/>
          <w:szCs w:val="24"/>
          <w:lang w:val="en-GB"/>
        </w:rPr>
        <w:t xml:space="preserve"> determining authority </w:t>
      </w:r>
      <w:r w:rsidR="00060B61" w:rsidRPr="00060B61">
        <w:rPr>
          <w:rFonts w:ascii="Times New Roman" w:hAnsi="Times New Roman" w:cs="Times New Roman"/>
          <w:i/>
          <w:iCs/>
          <w:sz w:val="24"/>
          <w:szCs w:val="24"/>
          <w:lang w:val="en-GB"/>
        </w:rPr>
        <w:t>may</w:t>
      </w:r>
      <w:r w:rsidR="00060B61" w:rsidRPr="00060B61">
        <w:rPr>
          <w:rFonts w:ascii="Times New Roman" w:hAnsi="Times New Roman" w:cs="Times New Roman"/>
          <w:sz w:val="24"/>
          <w:szCs w:val="24"/>
          <w:lang w:val="en-GB"/>
        </w:rPr>
        <w:t xml:space="preserve"> be authorised under national law to reject an application as inadmissible where</w:t>
      </w:r>
      <w:r w:rsidR="00060B61">
        <w:rPr>
          <w:rFonts w:ascii="Times New Roman" w:hAnsi="Times New Roman" w:cs="Times New Roman"/>
          <w:sz w:val="24"/>
          <w:szCs w:val="24"/>
          <w:lang w:val="en-GB"/>
        </w:rPr>
        <w:t xml:space="preserve"> </w:t>
      </w:r>
      <w:r w:rsidR="00060B61" w:rsidRPr="00060B61">
        <w:rPr>
          <w:rFonts w:ascii="Times New Roman" w:hAnsi="Times New Roman" w:cs="Times New Roman"/>
          <w:sz w:val="24"/>
          <w:szCs w:val="24"/>
          <w:lang w:val="en-GB"/>
        </w:rPr>
        <w:t>a Member State other than the Member State examining the application has granted international protection</w:t>
      </w:r>
      <w:r w:rsidR="00060B61">
        <w:rPr>
          <w:rFonts w:ascii="Times New Roman" w:hAnsi="Times New Roman" w:cs="Times New Roman"/>
          <w:sz w:val="24"/>
          <w:szCs w:val="24"/>
          <w:lang w:val="en-GB"/>
        </w:rPr>
        <w:t>.</w:t>
      </w:r>
      <w:r w:rsidR="00C0036E">
        <w:rPr>
          <w:rFonts w:ascii="Times New Roman" w:hAnsi="Times New Roman" w:cs="Times New Roman"/>
          <w:sz w:val="24"/>
          <w:szCs w:val="24"/>
          <w:lang w:val="en-GB"/>
        </w:rPr>
        <w:t xml:space="preserve"> Notably, the determining authority is not obliged under EU law to declare the application as inadmissible.</w:t>
      </w:r>
    </w:p>
    <w:p w14:paraId="10E79233" w14:textId="77777777" w:rsidR="00C0036E" w:rsidRDefault="00C0036E" w:rsidP="00C0036E">
      <w:pPr>
        <w:spacing w:after="0" w:line="240" w:lineRule="auto"/>
        <w:jc w:val="both"/>
        <w:rPr>
          <w:rFonts w:ascii="Times New Roman" w:hAnsi="Times New Roman" w:cs="Times New Roman"/>
          <w:sz w:val="24"/>
          <w:szCs w:val="24"/>
          <w:lang w:val="en-GB"/>
        </w:rPr>
      </w:pPr>
    </w:p>
    <w:p w14:paraId="31D58536" w14:textId="212AB3E1" w:rsidR="00633632" w:rsidRPr="00060B61" w:rsidRDefault="00633632" w:rsidP="00C0036E">
      <w:pPr>
        <w:pStyle w:val="Heading1"/>
        <w:spacing w:before="0" w:after="0" w:line="240" w:lineRule="auto"/>
        <w:rPr>
          <w:lang w:val="en-GB"/>
        </w:rPr>
      </w:pPr>
      <w:r>
        <w:rPr>
          <w:lang w:val="en-GB"/>
        </w:rPr>
        <w:t xml:space="preserve">3. Procedural obligation to </w:t>
      </w:r>
      <w:r w:rsidR="00C0036E">
        <w:rPr>
          <w:lang w:val="en-GB"/>
        </w:rPr>
        <w:t>take</w:t>
      </w:r>
      <w:r>
        <w:rPr>
          <w:lang w:val="en-GB"/>
        </w:rPr>
        <w:t xml:space="preserve"> ‘full account’ of a positive decision </w:t>
      </w:r>
    </w:p>
    <w:p w14:paraId="7080F446" w14:textId="4742BDF0" w:rsidR="009F5D8C" w:rsidRDefault="00D43C1A" w:rsidP="00C0036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Although Member States are not obliged under EU law to automatically recognize a positive refugee status decision, the Court held that they ‘must nevertheless </w:t>
      </w:r>
      <w:r w:rsidRPr="002317DA">
        <w:rPr>
          <w:rFonts w:ascii="Times New Roman" w:hAnsi="Times New Roman" w:cs="Times New Roman"/>
          <w:i/>
          <w:iCs/>
          <w:sz w:val="24"/>
          <w:szCs w:val="24"/>
          <w:lang w:val="en-GB"/>
        </w:rPr>
        <w:t>take full account</w:t>
      </w:r>
      <w:r>
        <w:rPr>
          <w:rFonts w:ascii="Times New Roman" w:hAnsi="Times New Roman" w:cs="Times New Roman"/>
          <w:sz w:val="24"/>
          <w:szCs w:val="24"/>
          <w:lang w:val="en-GB"/>
        </w:rPr>
        <w:t xml:space="preserve"> of that decision and of the elements supporting it.’</w:t>
      </w:r>
      <w:r>
        <w:rPr>
          <w:rStyle w:val="FootnoteReference"/>
          <w:rFonts w:ascii="Times New Roman" w:hAnsi="Times New Roman" w:cs="Times New Roman"/>
          <w:sz w:val="24"/>
          <w:szCs w:val="24"/>
          <w:lang w:val="en-GB"/>
        </w:rPr>
        <w:footnoteReference w:id="14"/>
      </w:r>
      <w:r>
        <w:rPr>
          <w:rFonts w:ascii="Times New Roman" w:hAnsi="Times New Roman" w:cs="Times New Roman"/>
          <w:sz w:val="24"/>
          <w:szCs w:val="24"/>
          <w:lang w:val="en-GB"/>
        </w:rPr>
        <w:t xml:space="preserve"> This can be viewed as a procedur</w:t>
      </w:r>
      <w:r w:rsidR="00BA0A4E">
        <w:rPr>
          <w:rFonts w:ascii="Times New Roman" w:hAnsi="Times New Roman" w:cs="Times New Roman"/>
          <w:sz w:val="24"/>
          <w:szCs w:val="24"/>
          <w:lang w:val="en-GB"/>
        </w:rPr>
        <w:t xml:space="preserve">al </w:t>
      </w:r>
      <w:r>
        <w:rPr>
          <w:rFonts w:ascii="Times New Roman" w:hAnsi="Times New Roman" w:cs="Times New Roman"/>
          <w:sz w:val="24"/>
          <w:szCs w:val="24"/>
          <w:lang w:val="en-GB"/>
        </w:rPr>
        <w:t xml:space="preserve">requirement imposed upon the Member States. The Court justified this requirement with </w:t>
      </w:r>
      <w:r w:rsidR="002317DA">
        <w:rPr>
          <w:rFonts w:ascii="Times New Roman" w:hAnsi="Times New Roman" w:cs="Times New Roman"/>
          <w:sz w:val="24"/>
          <w:szCs w:val="24"/>
          <w:lang w:val="en-GB"/>
        </w:rPr>
        <w:t>the principle of mutual trust. More specifically, the positive decision must be assumed as being taken in accordance with the requirement</w:t>
      </w:r>
      <w:r w:rsidR="004074B3">
        <w:rPr>
          <w:rFonts w:ascii="Times New Roman" w:hAnsi="Times New Roman" w:cs="Times New Roman"/>
          <w:sz w:val="24"/>
          <w:szCs w:val="24"/>
          <w:lang w:val="en-GB"/>
        </w:rPr>
        <w:t>s</w:t>
      </w:r>
      <w:r w:rsidR="002317DA">
        <w:rPr>
          <w:rFonts w:ascii="Times New Roman" w:hAnsi="Times New Roman" w:cs="Times New Roman"/>
          <w:sz w:val="24"/>
          <w:szCs w:val="24"/>
          <w:lang w:val="en-GB"/>
        </w:rPr>
        <w:t xml:space="preserve"> of EU law. </w:t>
      </w:r>
    </w:p>
    <w:p w14:paraId="0060867D" w14:textId="77777777" w:rsidR="009F5D8C" w:rsidRDefault="009F5D8C" w:rsidP="00C0036E">
      <w:pPr>
        <w:spacing w:after="0" w:line="240" w:lineRule="auto"/>
        <w:jc w:val="both"/>
        <w:rPr>
          <w:rFonts w:ascii="Times New Roman" w:hAnsi="Times New Roman" w:cs="Times New Roman"/>
          <w:sz w:val="24"/>
          <w:szCs w:val="24"/>
          <w:lang w:val="en-GB"/>
        </w:rPr>
      </w:pPr>
    </w:p>
    <w:p w14:paraId="0D0F4F77" w14:textId="7FEFB4B2" w:rsidR="00D739E1" w:rsidRDefault="002317DA" w:rsidP="00C0036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justification comes as controversial since the whole problem about the role of </w:t>
      </w:r>
      <w:r w:rsidR="00767B53">
        <w:rPr>
          <w:rFonts w:ascii="Times New Roman" w:hAnsi="Times New Roman" w:cs="Times New Roman"/>
          <w:sz w:val="24"/>
          <w:szCs w:val="24"/>
          <w:lang w:val="en-GB"/>
        </w:rPr>
        <w:t>the</w:t>
      </w:r>
      <w:r>
        <w:rPr>
          <w:rFonts w:ascii="Times New Roman" w:hAnsi="Times New Roman" w:cs="Times New Roman"/>
          <w:sz w:val="24"/>
          <w:szCs w:val="24"/>
          <w:lang w:val="en-GB"/>
        </w:rPr>
        <w:t xml:space="preserve"> positive decision taken by another Member State, would not arise in the first place, if EU law had been</w:t>
      </w:r>
      <w:r w:rsidR="003D65EB">
        <w:rPr>
          <w:rFonts w:ascii="Times New Roman" w:hAnsi="Times New Roman" w:cs="Times New Roman"/>
          <w:sz w:val="24"/>
          <w:szCs w:val="24"/>
          <w:lang w:val="en-GB"/>
        </w:rPr>
        <w:t xml:space="preserve"> </w:t>
      </w:r>
      <w:proofErr w:type="gramStart"/>
      <w:r w:rsidR="003D65EB">
        <w:rPr>
          <w:rFonts w:ascii="Times New Roman" w:hAnsi="Times New Roman" w:cs="Times New Roman"/>
          <w:sz w:val="24"/>
          <w:szCs w:val="24"/>
          <w:lang w:val="en-GB"/>
        </w:rPr>
        <w:t>actually</w:t>
      </w:r>
      <w:r>
        <w:rPr>
          <w:rFonts w:ascii="Times New Roman" w:hAnsi="Times New Roman" w:cs="Times New Roman"/>
          <w:sz w:val="24"/>
          <w:szCs w:val="24"/>
          <w:lang w:val="en-GB"/>
        </w:rPr>
        <w:t xml:space="preserve"> followed</w:t>
      </w:r>
      <w:proofErr w:type="gramEnd"/>
      <w:r>
        <w:rPr>
          <w:rFonts w:ascii="Times New Roman" w:hAnsi="Times New Roman" w:cs="Times New Roman"/>
          <w:sz w:val="24"/>
          <w:szCs w:val="24"/>
          <w:lang w:val="en-GB"/>
        </w:rPr>
        <w:t xml:space="preserve"> by </w:t>
      </w:r>
      <w:r w:rsidR="003D65EB">
        <w:rPr>
          <w:rFonts w:ascii="Times New Roman" w:hAnsi="Times New Roman" w:cs="Times New Roman"/>
          <w:sz w:val="24"/>
          <w:szCs w:val="24"/>
          <w:lang w:val="en-GB"/>
        </w:rPr>
        <w:t>this State</w:t>
      </w:r>
      <w:r>
        <w:rPr>
          <w:rFonts w:ascii="Times New Roman" w:hAnsi="Times New Roman" w:cs="Times New Roman"/>
          <w:sz w:val="24"/>
          <w:szCs w:val="24"/>
          <w:lang w:val="en-GB"/>
        </w:rPr>
        <w:t xml:space="preserve">. </w:t>
      </w:r>
      <w:r w:rsidR="003D65EB">
        <w:rPr>
          <w:rFonts w:ascii="Times New Roman" w:hAnsi="Times New Roman" w:cs="Times New Roman"/>
          <w:sz w:val="24"/>
          <w:szCs w:val="24"/>
          <w:lang w:val="en-GB"/>
        </w:rPr>
        <w:t xml:space="preserve">Admittedly, the relevant EU </w:t>
      </w:r>
      <w:r w:rsidR="00767B53">
        <w:rPr>
          <w:rFonts w:ascii="Times New Roman" w:hAnsi="Times New Roman" w:cs="Times New Roman"/>
          <w:sz w:val="24"/>
          <w:szCs w:val="24"/>
          <w:lang w:val="en-GB"/>
        </w:rPr>
        <w:t xml:space="preserve">law </w:t>
      </w:r>
      <w:r w:rsidR="003D65EB">
        <w:rPr>
          <w:rFonts w:ascii="Times New Roman" w:hAnsi="Times New Roman" w:cs="Times New Roman"/>
          <w:sz w:val="24"/>
          <w:szCs w:val="24"/>
          <w:lang w:val="en-GB"/>
        </w:rPr>
        <w:t>pertains to the reception conditions, which explained why the applicant could not be</w:t>
      </w:r>
      <w:r w:rsidR="00195C2E">
        <w:rPr>
          <w:rFonts w:ascii="Times New Roman" w:hAnsi="Times New Roman" w:cs="Times New Roman"/>
          <w:sz w:val="24"/>
          <w:szCs w:val="24"/>
          <w:lang w:val="en-GB"/>
        </w:rPr>
        <w:t xml:space="preserve"> </w:t>
      </w:r>
      <w:r w:rsidR="00751416">
        <w:rPr>
          <w:rFonts w:ascii="Times New Roman" w:hAnsi="Times New Roman" w:cs="Times New Roman"/>
          <w:sz w:val="24"/>
          <w:szCs w:val="24"/>
          <w:lang w:val="en-GB"/>
        </w:rPr>
        <w:t>transferred back</w:t>
      </w:r>
      <w:r w:rsidR="003D65EB">
        <w:rPr>
          <w:rFonts w:ascii="Times New Roman" w:hAnsi="Times New Roman" w:cs="Times New Roman"/>
          <w:sz w:val="24"/>
          <w:szCs w:val="24"/>
          <w:lang w:val="en-GB"/>
        </w:rPr>
        <w:t xml:space="preserve"> to Greece. Yet, it might be difficult to assume that although the latter had not been complied with (i.e. the Reception Conditions Directive), the EU law pertaining to the procedure for granting refugee status has been.</w:t>
      </w:r>
      <w:r w:rsidR="002A298B">
        <w:rPr>
          <w:rStyle w:val="FootnoteReference"/>
          <w:rFonts w:ascii="Times New Roman" w:hAnsi="Times New Roman" w:cs="Times New Roman"/>
          <w:sz w:val="24"/>
          <w:szCs w:val="24"/>
          <w:lang w:val="en-GB"/>
        </w:rPr>
        <w:footnoteReference w:id="15"/>
      </w:r>
      <w:r w:rsidR="001229B0">
        <w:rPr>
          <w:rFonts w:ascii="Times New Roman" w:hAnsi="Times New Roman" w:cs="Times New Roman"/>
          <w:sz w:val="24"/>
          <w:szCs w:val="24"/>
          <w:lang w:val="en-GB"/>
        </w:rPr>
        <w:t xml:space="preserve"> Admittedly, </w:t>
      </w:r>
      <w:r w:rsidR="00D739E1">
        <w:rPr>
          <w:rFonts w:ascii="Times New Roman" w:hAnsi="Times New Roman" w:cs="Times New Roman"/>
          <w:sz w:val="24"/>
          <w:szCs w:val="24"/>
          <w:lang w:val="en-GB"/>
        </w:rPr>
        <w:t xml:space="preserve">while the presumption of mutual trust might be undermined in some specific respects (i.e. inhumane reception conditions that prevent transfer back), the presumption might still operate in other respects (i.e. the procedure for making protection-related decisions). Yet, </w:t>
      </w:r>
      <w:r w:rsidR="00385E5F">
        <w:rPr>
          <w:rFonts w:ascii="Times New Roman" w:hAnsi="Times New Roman" w:cs="Times New Roman"/>
          <w:sz w:val="24"/>
          <w:szCs w:val="24"/>
          <w:lang w:val="en-GB"/>
        </w:rPr>
        <w:t>a presumption does it remain. Despite any high thresholds,</w:t>
      </w:r>
      <w:r w:rsidR="00385E5F">
        <w:rPr>
          <w:rStyle w:val="FootnoteReference"/>
          <w:rFonts w:ascii="Times New Roman" w:hAnsi="Times New Roman" w:cs="Times New Roman"/>
          <w:sz w:val="24"/>
          <w:szCs w:val="24"/>
          <w:lang w:val="en-GB"/>
        </w:rPr>
        <w:footnoteReference w:id="16"/>
      </w:r>
      <w:r w:rsidR="00385E5F">
        <w:rPr>
          <w:rFonts w:ascii="Times New Roman" w:hAnsi="Times New Roman" w:cs="Times New Roman"/>
          <w:sz w:val="24"/>
          <w:szCs w:val="24"/>
          <w:lang w:val="en-GB"/>
        </w:rPr>
        <w:t xml:space="preserve"> it might still be possible to rebut </w:t>
      </w:r>
      <w:r w:rsidR="000133F0">
        <w:rPr>
          <w:rFonts w:ascii="Times New Roman" w:hAnsi="Times New Roman" w:cs="Times New Roman"/>
          <w:sz w:val="24"/>
          <w:szCs w:val="24"/>
          <w:lang w:val="en-GB"/>
        </w:rPr>
        <w:t xml:space="preserve">it </w:t>
      </w:r>
      <w:proofErr w:type="gramStart"/>
      <w:r w:rsidR="00385E5F">
        <w:rPr>
          <w:rFonts w:ascii="Times New Roman" w:hAnsi="Times New Roman" w:cs="Times New Roman"/>
          <w:sz w:val="24"/>
          <w:szCs w:val="24"/>
          <w:lang w:val="en-GB"/>
        </w:rPr>
        <w:t>in light of</w:t>
      </w:r>
      <w:proofErr w:type="gramEnd"/>
      <w:r w:rsidR="00385E5F">
        <w:rPr>
          <w:rFonts w:ascii="Times New Roman" w:hAnsi="Times New Roman" w:cs="Times New Roman"/>
          <w:sz w:val="24"/>
          <w:szCs w:val="24"/>
          <w:lang w:val="en-GB"/>
        </w:rPr>
        <w:t xml:space="preserve"> the actual reality.</w:t>
      </w:r>
    </w:p>
    <w:p w14:paraId="7B9B8FEB" w14:textId="77777777" w:rsidR="00D739E1" w:rsidRDefault="00D739E1" w:rsidP="00C0036E">
      <w:pPr>
        <w:spacing w:after="0" w:line="240" w:lineRule="auto"/>
        <w:jc w:val="both"/>
        <w:rPr>
          <w:rFonts w:ascii="Times New Roman" w:hAnsi="Times New Roman" w:cs="Times New Roman"/>
          <w:sz w:val="24"/>
          <w:szCs w:val="24"/>
          <w:lang w:val="en-GB"/>
        </w:rPr>
      </w:pPr>
    </w:p>
    <w:p w14:paraId="5EB3DFD4" w14:textId="72FF9FEC" w:rsidR="00D43C1A" w:rsidRDefault="00285AA1" w:rsidP="00C0036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What might be however the implications from such a fragmented approach to mutual trust? </w:t>
      </w:r>
      <w:r w:rsidR="000133F0">
        <w:rPr>
          <w:rFonts w:ascii="Times New Roman" w:hAnsi="Times New Roman" w:cs="Times New Roman"/>
          <w:sz w:val="24"/>
          <w:szCs w:val="24"/>
          <w:lang w:val="en-GB"/>
        </w:rPr>
        <w:t>If the presumption of mutual trust and therefore trust in the positive outcomes (i.e. positive protection decisions) of the national procedures stands,</w:t>
      </w:r>
      <w:r w:rsidR="00D43C1A">
        <w:rPr>
          <w:rFonts w:ascii="Times New Roman" w:hAnsi="Times New Roman" w:cs="Times New Roman"/>
          <w:sz w:val="24"/>
          <w:szCs w:val="24"/>
          <w:lang w:val="en-GB"/>
        </w:rPr>
        <w:t xml:space="preserve"> </w:t>
      </w:r>
      <w:r>
        <w:rPr>
          <w:rFonts w:ascii="Times New Roman" w:hAnsi="Times New Roman" w:cs="Times New Roman"/>
          <w:sz w:val="24"/>
          <w:szCs w:val="24"/>
          <w:lang w:val="en-GB"/>
        </w:rPr>
        <w:t>c</w:t>
      </w:r>
      <w:r w:rsidR="003D65EB">
        <w:rPr>
          <w:rFonts w:ascii="Times New Roman" w:hAnsi="Times New Roman" w:cs="Times New Roman"/>
          <w:sz w:val="24"/>
          <w:szCs w:val="24"/>
          <w:lang w:val="en-GB"/>
        </w:rPr>
        <w:t xml:space="preserve">ould this lead to a situation where EU Member States such as Greece are encouraged to issue positive decisions, knowing that the beneficiaries will </w:t>
      </w:r>
      <w:r w:rsidR="002A298B">
        <w:rPr>
          <w:rFonts w:ascii="Times New Roman" w:hAnsi="Times New Roman" w:cs="Times New Roman"/>
          <w:sz w:val="24"/>
          <w:szCs w:val="24"/>
          <w:lang w:val="en-GB"/>
        </w:rPr>
        <w:t xml:space="preserve">anyway </w:t>
      </w:r>
      <w:r w:rsidR="00B50D07">
        <w:rPr>
          <w:rFonts w:ascii="Times New Roman" w:hAnsi="Times New Roman" w:cs="Times New Roman"/>
          <w:sz w:val="24"/>
          <w:szCs w:val="24"/>
          <w:lang w:val="en-GB"/>
        </w:rPr>
        <w:t xml:space="preserve">move </w:t>
      </w:r>
      <w:r w:rsidR="003D65EB">
        <w:rPr>
          <w:rFonts w:ascii="Times New Roman" w:hAnsi="Times New Roman" w:cs="Times New Roman"/>
          <w:sz w:val="24"/>
          <w:szCs w:val="24"/>
          <w:lang w:val="en-GB"/>
        </w:rPr>
        <w:t xml:space="preserve">on to </w:t>
      </w:r>
      <w:r w:rsidR="002A298B">
        <w:rPr>
          <w:rFonts w:ascii="Times New Roman" w:hAnsi="Times New Roman" w:cs="Times New Roman"/>
          <w:sz w:val="24"/>
          <w:szCs w:val="24"/>
          <w:lang w:val="en-GB"/>
        </w:rPr>
        <w:t>other</w:t>
      </w:r>
      <w:r w:rsidR="003D65EB">
        <w:rPr>
          <w:rFonts w:ascii="Times New Roman" w:hAnsi="Times New Roman" w:cs="Times New Roman"/>
          <w:sz w:val="24"/>
          <w:szCs w:val="24"/>
          <w:lang w:val="en-GB"/>
        </w:rPr>
        <w:t xml:space="preserve"> Member State</w:t>
      </w:r>
      <w:r w:rsidR="002A298B">
        <w:rPr>
          <w:rFonts w:ascii="Times New Roman" w:hAnsi="Times New Roman" w:cs="Times New Roman"/>
          <w:sz w:val="24"/>
          <w:szCs w:val="24"/>
          <w:lang w:val="en-GB"/>
        </w:rPr>
        <w:t>s</w:t>
      </w:r>
      <w:r w:rsidR="003D65EB">
        <w:rPr>
          <w:rFonts w:ascii="Times New Roman" w:hAnsi="Times New Roman" w:cs="Times New Roman"/>
          <w:sz w:val="24"/>
          <w:szCs w:val="24"/>
          <w:lang w:val="en-GB"/>
        </w:rPr>
        <w:t xml:space="preserve"> </w:t>
      </w:r>
      <w:r w:rsidR="00633632">
        <w:rPr>
          <w:rFonts w:ascii="Times New Roman" w:hAnsi="Times New Roman" w:cs="Times New Roman"/>
          <w:sz w:val="24"/>
          <w:szCs w:val="24"/>
          <w:lang w:val="en-GB"/>
        </w:rPr>
        <w:t>(and cannot be sent back)</w:t>
      </w:r>
      <w:r w:rsidR="00B50D07">
        <w:rPr>
          <w:rFonts w:ascii="Times New Roman" w:hAnsi="Times New Roman" w:cs="Times New Roman"/>
          <w:sz w:val="24"/>
          <w:szCs w:val="24"/>
          <w:lang w:val="en-GB"/>
        </w:rPr>
        <w:t xml:space="preserve">? Another scenario that can arise from the procedural requirement to ‘take full account’ </w:t>
      </w:r>
      <w:r w:rsidR="00767B53">
        <w:rPr>
          <w:rFonts w:ascii="Times New Roman" w:hAnsi="Times New Roman" w:cs="Times New Roman"/>
          <w:sz w:val="24"/>
          <w:szCs w:val="24"/>
          <w:lang w:val="en-GB"/>
        </w:rPr>
        <w:t>of the positive decision</w:t>
      </w:r>
      <w:r w:rsidR="002A298B">
        <w:rPr>
          <w:rFonts w:ascii="Times New Roman" w:hAnsi="Times New Roman" w:cs="Times New Roman"/>
          <w:sz w:val="24"/>
          <w:szCs w:val="24"/>
          <w:lang w:val="en-GB"/>
        </w:rPr>
        <w:t xml:space="preserve"> </w:t>
      </w:r>
      <w:r w:rsidR="00B50D07">
        <w:rPr>
          <w:rFonts w:ascii="Times New Roman" w:hAnsi="Times New Roman" w:cs="Times New Roman"/>
          <w:sz w:val="24"/>
          <w:szCs w:val="24"/>
          <w:lang w:val="en-GB"/>
        </w:rPr>
        <w:t>is</w:t>
      </w:r>
      <w:r w:rsidR="00767B53">
        <w:rPr>
          <w:rFonts w:ascii="Times New Roman" w:hAnsi="Times New Roman" w:cs="Times New Roman"/>
          <w:sz w:val="24"/>
          <w:szCs w:val="24"/>
          <w:lang w:val="en-GB"/>
        </w:rPr>
        <w:t xml:space="preserve"> the following:</w:t>
      </w:r>
      <w:r w:rsidR="00B50D07">
        <w:rPr>
          <w:rFonts w:ascii="Times New Roman" w:hAnsi="Times New Roman" w:cs="Times New Roman"/>
          <w:sz w:val="24"/>
          <w:szCs w:val="24"/>
          <w:lang w:val="en-GB"/>
        </w:rPr>
        <w:t xml:space="preserve"> Member States </w:t>
      </w:r>
      <w:r w:rsidR="00767B53">
        <w:rPr>
          <w:rFonts w:ascii="Times New Roman" w:hAnsi="Times New Roman" w:cs="Times New Roman"/>
          <w:sz w:val="24"/>
          <w:szCs w:val="24"/>
          <w:lang w:val="en-GB"/>
        </w:rPr>
        <w:t xml:space="preserve">will start </w:t>
      </w:r>
      <w:r w:rsidR="00B50D07">
        <w:rPr>
          <w:rFonts w:ascii="Times New Roman" w:hAnsi="Times New Roman" w:cs="Times New Roman"/>
          <w:sz w:val="24"/>
          <w:szCs w:val="24"/>
          <w:lang w:val="en-GB"/>
        </w:rPr>
        <w:t>reviewing (or at least making some form of an assessment) of positive decisions taken by other Member States.</w:t>
      </w:r>
      <w:r w:rsidR="00767B53">
        <w:rPr>
          <w:rFonts w:ascii="Times New Roman" w:hAnsi="Times New Roman" w:cs="Times New Roman"/>
          <w:sz w:val="24"/>
          <w:szCs w:val="24"/>
          <w:lang w:val="en-GB"/>
        </w:rPr>
        <w:t xml:space="preserve"> This might be an interesting situation of a judicial dialogue between national authorities and court</w:t>
      </w:r>
      <w:r w:rsidR="00633632">
        <w:rPr>
          <w:rFonts w:ascii="Times New Roman" w:hAnsi="Times New Roman" w:cs="Times New Roman"/>
          <w:sz w:val="24"/>
          <w:szCs w:val="24"/>
          <w:lang w:val="en-GB"/>
        </w:rPr>
        <w:t>s</w:t>
      </w:r>
      <w:r w:rsidR="00767B53">
        <w:rPr>
          <w:rFonts w:ascii="Times New Roman" w:hAnsi="Times New Roman" w:cs="Times New Roman"/>
          <w:sz w:val="24"/>
          <w:szCs w:val="24"/>
          <w:lang w:val="en-GB"/>
        </w:rPr>
        <w:t xml:space="preserve"> </w:t>
      </w:r>
      <w:r w:rsidR="00265239">
        <w:rPr>
          <w:rFonts w:ascii="Times New Roman" w:hAnsi="Times New Roman" w:cs="Times New Roman"/>
          <w:sz w:val="24"/>
          <w:szCs w:val="24"/>
          <w:lang w:val="en-GB"/>
        </w:rPr>
        <w:t xml:space="preserve">on the matter. </w:t>
      </w:r>
    </w:p>
    <w:p w14:paraId="275A7103" w14:textId="77777777" w:rsidR="009F5D8C" w:rsidRDefault="009F5D8C" w:rsidP="00C0036E">
      <w:pPr>
        <w:spacing w:after="0" w:line="240" w:lineRule="auto"/>
        <w:jc w:val="both"/>
        <w:rPr>
          <w:rFonts w:ascii="Times New Roman" w:hAnsi="Times New Roman" w:cs="Times New Roman"/>
          <w:sz w:val="24"/>
          <w:szCs w:val="24"/>
          <w:lang w:val="en-GB"/>
        </w:rPr>
      </w:pPr>
    </w:p>
    <w:p w14:paraId="1E966D82" w14:textId="7A7DC03F" w:rsidR="00B50D07" w:rsidRDefault="00B50D07" w:rsidP="00C0036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w:t>
      </w:r>
      <w:r w:rsidRPr="00881887">
        <w:rPr>
          <w:rFonts w:ascii="Times New Roman" w:hAnsi="Times New Roman" w:cs="Times New Roman"/>
          <w:i/>
          <w:iCs/>
          <w:sz w:val="24"/>
          <w:szCs w:val="24"/>
          <w:lang w:val="en-GB"/>
        </w:rPr>
        <w:t>QY</w:t>
      </w:r>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the Court add</w:t>
      </w:r>
      <w:r w:rsidR="00265239">
        <w:rPr>
          <w:rFonts w:ascii="Times New Roman" w:hAnsi="Times New Roman" w:cs="Times New Roman"/>
          <w:sz w:val="24"/>
          <w:szCs w:val="24"/>
          <w:lang w:val="en-GB"/>
        </w:rPr>
        <w:t>ed</w:t>
      </w:r>
      <w:r>
        <w:rPr>
          <w:rFonts w:ascii="Times New Roman" w:hAnsi="Times New Roman" w:cs="Times New Roman"/>
          <w:sz w:val="24"/>
          <w:szCs w:val="24"/>
          <w:lang w:val="en-GB"/>
        </w:rPr>
        <w:t xml:space="preserve"> another </w:t>
      </w:r>
      <w:r w:rsidR="00633632">
        <w:rPr>
          <w:rFonts w:ascii="Times New Roman" w:hAnsi="Times New Roman" w:cs="Times New Roman"/>
          <w:sz w:val="24"/>
          <w:szCs w:val="24"/>
          <w:lang w:val="en-GB"/>
        </w:rPr>
        <w:t xml:space="preserve">related </w:t>
      </w:r>
      <w:r>
        <w:rPr>
          <w:rFonts w:ascii="Times New Roman" w:hAnsi="Times New Roman" w:cs="Times New Roman"/>
          <w:sz w:val="24"/>
          <w:szCs w:val="24"/>
          <w:lang w:val="en-GB"/>
        </w:rPr>
        <w:t xml:space="preserve">procedural requirement upon the Member State that has to make a new assessment of the application: ‘the competent authority of the Member State called upon to decide on the new application must, as soon as possible, initiate </w:t>
      </w:r>
      <w:r w:rsidRPr="00265239">
        <w:rPr>
          <w:rFonts w:ascii="Times New Roman" w:hAnsi="Times New Roman" w:cs="Times New Roman"/>
          <w:i/>
          <w:iCs/>
          <w:sz w:val="24"/>
          <w:szCs w:val="24"/>
          <w:lang w:val="en-GB"/>
        </w:rPr>
        <w:t>an exchange of information</w:t>
      </w:r>
      <w:r>
        <w:rPr>
          <w:rFonts w:ascii="Times New Roman" w:hAnsi="Times New Roman" w:cs="Times New Roman"/>
          <w:sz w:val="24"/>
          <w:szCs w:val="24"/>
          <w:lang w:val="en-GB"/>
        </w:rPr>
        <w:t xml:space="preserve"> with the competent authority of the Member State which previously granted refugee status of the same applicant.’</w:t>
      </w:r>
      <w:r>
        <w:rPr>
          <w:rStyle w:val="FootnoteReference"/>
          <w:rFonts w:ascii="Times New Roman" w:hAnsi="Times New Roman" w:cs="Times New Roman"/>
          <w:sz w:val="24"/>
          <w:szCs w:val="24"/>
          <w:lang w:val="en-GB"/>
        </w:rPr>
        <w:footnoteReference w:id="17"/>
      </w:r>
      <w:r>
        <w:rPr>
          <w:rFonts w:ascii="Times New Roman" w:hAnsi="Times New Roman" w:cs="Times New Roman"/>
          <w:sz w:val="24"/>
          <w:szCs w:val="24"/>
          <w:lang w:val="en-GB"/>
        </w:rPr>
        <w:t xml:space="preserve"> The requirement to exchange information was justified with the principle of sincere cooperation. The objective of such an exchange is to enable the Member State to ‘proceed on a fully informed basis with the checks which it is required to carry out under the international protection procedure.’</w:t>
      </w:r>
      <w:r>
        <w:rPr>
          <w:rStyle w:val="FootnoteReference"/>
          <w:rFonts w:ascii="Times New Roman" w:hAnsi="Times New Roman" w:cs="Times New Roman"/>
          <w:sz w:val="24"/>
          <w:szCs w:val="24"/>
          <w:lang w:val="en-GB"/>
        </w:rPr>
        <w:footnoteReference w:id="18"/>
      </w:r>
    </w:p>
    <w:p w14:paraId="12860646" w14:textId="323B9CEF" w:rsidR="009F5D8C" w:rsidRDefault="009F5D8C" w:rsidP="009F5D8C">
      <w:pPr>
        <w:pStyle w:val="Heading1"/>
        <w:rPr>
          <w:lang w:val="en-GB"/>
        </w:rPr>
      </w:pPr>
      <w:r>
        <w:rPr>
          <w:lang w:val="en-GB"/>
        </w:rPr>
        <w:t>4. The link between</w:t>
      </w:r>
      <w:r w:rsidR="00117BC9">
        <w:rPr>
          <w:lang w:val="en-GB"/>
        </w:rPr>
        <w:t xml:space="preserve"> a </w:t>
      </w:r>
      <w:r>
        <w:rPr>
          <w:lang w:val="en-GB"/>
        </w:rPr>
        <w:t xml:space="preserve">positive decision on refugee status and the content of the status </w:t>
      </w:r>
    </w:p>
    <w:p w14:paraId="110586FF" w14:textId="188B59E6" w:rsidR="00E9421B" w:rsidRDefault="00F97889" w:rsidP="00A1548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It has been</w:t>
      </w:r>
      <w:r w:rsidR="00EF5E81">
        <w:rPr>
          <w:rFonts w:ascii="Times New Roman" w:hAnsi="Times New Roman" w:cs="Times New Roman"/>
          <w:sz w:val="24"/>
          <w:szCs w:val="24"/>
          <w:lang w:val="en-GB"/>
        </w:rPr>
        <w:t xml:space="preserve"> clarified </w:t>
      </w:r>
      <w:r>
        <w:rPr>
          <w:rFonts w:ascii="Times New Roman" w:hAnsi="Times New Roman" w:cs="Times New Roman"/>
          <w:sz w:val="24"/>
          <w:szCs w:val="24"/>
          <w:lang w:val="en-GB"/>
        </w:rPr>
        <w:t>that, in the</w:t>
      </w:r>
      <w:r w:rsidR="00EF5E81">
        <w:rPr>
          <w:rFonts w:ascii="Times New Roman" w:hAnsi="Times New Roman" w:cs="Times New Roman"/>
          <w:sz w:val="24"/>
          <w:szCs w:val="24"/>
          <w:lang w:val="en-GB"/>
        </w:rPr>
        <w:t xml:space="preserve"> </w:t>
      </w:r>
      <w:r w:rsidR="00EF5E81" w:rsidRPr="00881887">
        <w:rPr>
          <w:rFonts w:ascii="Times New Roman" w:hAnsi="Times New Roman" w:cs="Times New Roman"/>
          <w:i/>
          <w:iCs/>
          <w:sz w:val="24"/>
          <w:szCs w:val="24"/>
          <w:lang w:val="en-GB"/>
        </w:rPr>
        <w:t>QY</w:t>
      </w:r>
      <w:r w:rsidR="00EF5E81">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case, the Court </w:t>
      </w:r>
      <w:r w:rsidR="00304EAD">
        <w:rPr>
          <w:rFonts w:ascii="Times New Roman" w:hAnsi="Times New Roman" w:cs="Times New Roman"/>
          <w:sz w:val="24"/>
          <w:szCs w:val="24"/>
          <w:lang w:val="en-GB"/>
        </w:rPr>
        <w:t xml:space="preserve">held that a positive decision taken in one Member State </w:t>
      </w:r>
      <w:r>
        <w:rPr>
          <w:rFonts w:ascii="Times New Roman" w:hAnsi="Times New Roman" w:cs="Times New Roman"/>
          <w:sz w:val="24"/>
          <w:szCs w:val="24"/>
          <w:lang w:val="en-GB"/>
        </w:rPr>
        <w:t>carries</w:t>
      </w:r>
      <w:r w:rsidR="00304EAD" w:rsidRPr="00304EAD">
        <w:rPr>
          <w:rFonts w:ascii="Times New Roman" w:hAnsi="Times New Roman" w:cs="Times New Roman"/>
          <w:sz w:val="24"/>
          <w:szCs w:val="24"/>
          <w:lang w:val="en-GB"/>
        </w:rPr>
        <w:t xml:space="preserve"> limited </w:t>
      </w:r>
      <w:r>
        <w:rPr>
          <w:rFonts w:ascii="Times New Roman" w:hAnsi="Times New Roman" w:cs="Times New Roman"/>
          <w:sz w:val="24"/>
          <w:szCs w:val="24"/>
          <w:lang w:val="en-GB"/>
        </w:rPr>
        <w:t xml:space="preserve">procedural </w:t>
      </w:r>
      <w:r w:rsidR="00304EAD" w:rsidRPr="00304EAD">
        <w:rPr>
          <w:rFonts w:ascii="Times New Roman" w:hAnsi="Times New Roman" w:cs="Times New Roman"/>
          <w:sz w:val="24"/>
          <w:szCs w:val="24"/>
          <w:lang w:val="en-GB"/>
        </w:rPr>
        <w:t xml:space="preserve">legal effects </w:t>
      </w:r>
      <w:r w:rsidR="00304EAD">
        <w:rPr>
          <w:rFonts w:ascii="Times New Roman" w:hAnsi="Times New Roman" w:cs="Times New Roman"/>
          <w:sz w:val="24"/>
          <w:szCs w:val="24"/>
          <w:lang w:val="en-GB"/>
        </w:rPr>
        <w:t xml:space="preserve">for another Member State. In section 2 above, it was also mentioned how the limitations of these effects were justified </w:t>
      </w:r>
      <w:r w:rsidR="00E9421B">
        <w:rPr>
          <w:rFonts w:ascii="Times New Roman" w:hAnsi="Times New Roman" w:cs="Times New Roman"/>
          <w:sz w:val="24"/>
          <w:szCs w:val="24"/>
          <w:lang w:val="en-GB"/>
        </w:rPr>
        <w:t xml:space="preserve">with the argument that a positive decision leads to certain </w:t>
      </w:r>
      <w:r w:rsidR="00304EAD">
        <w:rPr>
          <w:rFonts w:ascii="Times New Roman" w:hAnsi="Times New Roman" w:cs="Times New Roman"/>
          <w:sz w:val="24"/>
          <w:szCs w:val="24"/>
          <w:lang w:val="en-GB"/>
        </w:rPr>
        <w:t xml:space="preserve">rights </w:t>
      </w:r>
      <w:r w:rsidR="00E9421B">
        <w:rPr>
          <w:rFonts w:ascii="Times New Roman" w:hAnsi="Times New Roman" w:cs="Times New Roman"/>
          <w:sz w:val="24"/>
          <w:szCs w:val="24"/>
          <w:lang w:val="en-GB"/>
        </w:rPr>
        <w:t>meant to be exercised in the Member States that has taken this decision. Put it otherwise, a positive decision comes with a certain package of burdens (i.e. the content of international protection rights</w:t>
      </w:r>
      <w:r w:rsidR="00117BC9">
        <w:rPr>
          <w:rFonts w:ascii="Times New Roman" w:hAnsi="Times New Roman" w:cs="Times New Roman"/>
          <w:sz w:val="24"/>
          <w:szCs w:val="24"/>
          <w:lang w:val="en-GB"/>
        </w:rPr>
        <w:t>/the content of the refugee status</w:t>
      </w:r>
      <w:r w:rsidR="00E9421B">
        <w:rPr>
          <w:rFonts w:ascii="Times New Roman" w:hAnsi="Times New Roman" w:cs="Times New Roman"/>
          <w:sz w:val="24"/>
          <w:szCs w:val="24"/>
          <w:lang w:val="en-GB"/>
        </w:rPr>
        <w:t>). When this logic is followed, it comes as unfair for a Member State to take the burden without having the possibility to assess</w:t>
      </w:r>
      <w:r w:rsidR="00672E58">
        <w:rPr>
          <w:rFonts w:ascii="Times New Roman" w:hAnsi="Times New Roman" w:cs="Times New Roman"/>
          <w:sz w:val="24"/>
          <w:szCs w:val="24"/>
          <w:lang w:val="en-GB"/>
        </w:rPr>
        <w:t xml:space="preserve"> the basis on which it takes the burden (i.e. the grounds for international protection).</w:t>
      </w:r>
    </w:p>
    <w:p w14:paraId="6DCB180D" w14:textId="77777777" w:rsidR="00117BC9" w:rsidRPr="00A35A69" w:rsidRDefault="00117BC9" w:rsidP="00A15486">
      <w:pPr>
        <w:spacing w:after="0" w:line="240" w:lineRule="auto"/>
        <w:jc w:val="both"/>
        <w:rPr>
          <w:rFonts w:ascii="Times New Roman" w:hAnsi="Times New Roman" w:cs="Times New Roman"/>
          <w:sz w:val="24"/>
          <w:szCs w:val="24"/>
          <w:lang w:val="en-GB"/>
        </w:rPr>
      </w:pPr>
    </w:p>
    <w:p w14:paraId="33D798AF" w14:textId="23521F66" w:rsidR="00425719" w:rsidRDefault="00117BC9" w:rsidP="00A15486">
      <w:pPr>
        <w:spacing w:after="0" w:line="240" w:lineRule="auto"/>
        <w:jc w:val="both"/>
        <w:rPr>
          <w:rFonts w:ascii="Times New Roman" w:hAnsi="Times New Roman" w:cs="Times New Roman"/>
          <w:sz w:val="24"/>
          <w:szCs w:val="24"/>
          <w:lang w:val="en-GB"/>
        </w:rPr>
      </w:pPr>
      <w:r w:rsidRPr="00A35A69">
        <w:rPr>
          <w:rFonts w:ascii="Times New Roman" w:hAnsi="Times New Roman" w:cs="Times New Roman"/>
          <w:sz w:val="24"/>
          <w:szCs w:val="24"/>
          <w:lang w:val="en-GB"/>
        </w:rPr>
        <w:t xml:space="preserve">As this point it is therefore relevant </w:t>
      </w:r>
      <w:r w:rsidR="00A35A69">
        <w:rPr>
          <w:rFonts w:ascii="Times New Roman" w:hAnsi="Times New Roman" w:cs="Times New Roman"/>
          <w:sz w:val="24"/>
          <w:szCs w:val="24"/>
          <w:lang w:val="en-GB"/>
        </w:rPr>
        <w:t>to</w:t>
      </w:r>
      <w:r w:rsidRPr="00A35A69">
        <w:rPr>
          <w:rFonts w:ascii="Times New Roman" w:hAnsi="Times New Roman" w:cs="Times New Roman"/>
          <w:sz w:val="24"/>
          <w:szCs w:val="24"/>
          <w:lang w:val="en-GB"/>
        </w:rPr>
        <w:t xml:space="preserve"> further explore the link between</w:t>
      </w:r>
      <w:r w:rsidR="00BA0A4E">
        <w:rPr>
          <w:rFonts w:ascii="Times New Roman" w:hAnsi="Times New Roman" w:cs="Times New Roman"/>
          <w:sz w:val="24"/>
          <w:szCs w:val="24"/>
          <w:lang w:val="en-GB"/>
        </w:rPr>
        <w:t>, on the one hand,</w:t>
      </w:r>
      <w:r w:rsidRPr="00A35A69">
        <w:rPr>
          <w:rFonts w:ascii="Times New Roman" w:hAnsi="Times New Roman" w:cs="Times New Roman"/>
          <w:sz w:val="24"/>
          <w:szCs w:val="24"/>
          <w:lang w:val="en-GB"/>
        </w:rPr>
        <w:t xml:space="preserve"> the effects of a positive decision for </w:t>
      </w:r>
      <w:r w:rsidR="00BA0A4E">
        <w:rPr>
          <w:rFonts w:ascii="Times New Roman" w:hAnsi="Times New Roman" w:cs="Times New Roman"/>
          <w:sz w:val="24"/>
          <w:szCs w:val="24"/>
          <w:lang w:val="en-GB"/>
        </w:rPr>
        <w:t>the new</w:t>
      </w:r>
      <w:r w:rsidRPr="00A35A69">
        <w:rPr>
          <w:rFonts w:ascii="Times New Roman" w:hAnsi="Times New Roman" w:cs="Times New Roman"/>
          <w:sz w:val="24"/>
          <w:szCs w:val="24"/>
          <w:lang w:val="en-GB"/>
        </w:rPr>
        <w:t xml:space="preserve"> Member State</w:t>
      </w:r>
      <w:r w:rsidR="00A35A69" w:rsidRPr="00A35A69">
        <w:rPr>
          <w:rFonts w:ascii="Times New Roman" w:hAnsi="Times New Roman" w:cs="Times New Roman"/>
          <w:sz w:val="24"/>
          <w:szCs w:val="24"/>
          <w:lang w:val="en-GB"/>
        </w:rPr>
        <w:t xml:space="preserve"> and</w:t>
      </w:r>
      <w:r w:rsidR="00BA0A4E">
        <w:rPr>
          <w:rFonts w:ascii="Times New Roman" w:hAnsi="Times New Roman" w:cs="Times New Roman"/>
          <w:sz w:val="24"/>
          <w:szCs w:val="24"/>
          <w:lang w:val="en-GB"/>
        </w:rPr>
        <w:t>, on the other,</w:t>
      </w:r>
      <w:r w:rsidR="00A35A69" w:rsidRPr="00A35A69">
        <w:rPr>
          <w:rFonts w:ascii="Times New Roman" w:hAnsi="Times New Roman" w:cs="Times New Roman"/>
          <w:sz w:val="24"/>
          <w:szCs w:val="24"/>
          <w:lang w:val="en-GB"/>
        </w:rPr>
        <w:t xml:space="preserve"> the content of the refugee status. To proceed with this exploration, </w:t>
      </w:r>
      <w:r w:rsidR="00A35A69" w:rsidRPr="00A35A69">
        <w:rPr>
          <w:rFonts w:ascii="Times New Roman" w:hAnsi="Times New Roman" w:cs="Times New Roman"/>
          <w:i/>
          <w:iCs/>
          <w:sz w:val="24"/>
          <w:szCs w:val="24"/>
          <w:lang w:val="en-GB"/>
        </w:rPr>
        <w:t xml:space="preserve">A., v </w:t>
      </w:r>
      <w:proofErr w:type="spellStart"/>
      <w:r w:rsidR="00A35A69" w:rsidRPr="00A35A69">
        <w:rPr>
          <w:rFonts w:ascii="Times New Roman" w:hAnsi="Times New Roman" w:cs="Times New Roman"/>
          <w:i/>
          <w:iCs/>
          <w:sz w:val="24"/>
          <w:szCs w:val="24"/>
          <w:lang w:val="en-GB"/>
        </w:rPr>
        <w:t>Generalstaatsanwaltschaft</w:t>
      </w:r>
      <w:proofErr w:type="spellEnd"/>
      <w:r w:rsidR="00A35A69" w:rsidRPr="00A35A69">
        <w:rPr>
          <w:rFonts w:ascii="Times New Roman" w:hAnsi="Times New Roman" w:cs="Times New Roman"/>
          <w:i/>
          <w:iCs/>
          <w:sz w:val="24"/>
          <w:szCs w:val="24"/>
          <w:lang w:val="en-GB"/>
        </w:rPr>
        <w:t xml:space="preserve"> Hamm</w:t>
      </w:r>
      <w:r w:rsidR="00A35A69">
        <w:rPr>
          <w:rFonts w:ascii="Times New Roman" w:hAnsi="Times New Roman" w:cs="Times New Roman"/>
          <w:i/>
          <w:iCs/>
          <w:sz w:val="24"/>
          <w:szCs w:val="24"/>
          <w:lang w:val="en-GB"/>
        </w:rPr>
        <w:t xml:space="preserve"> </w:t>
      </w:r>
      <w:r w:rsidR="00A35A69">
        <w:rPr>
          <w:rFonts w:ascii="Times New Roman" w:hAnsi="Times New Roman" w:cs="Times New Roman"/>
          <w:sz w:val="24"/>
          <w:szCs w:val="24"/>
          <w:lang w:val="en-GB"/>
        </w:rPr>
        <w:t xml:space="preserve">delivered on the same day as </w:t>
      </w:r>
      <w:r w:rsidR="00A35A69" w:rsidRPr="00881887">
        <w:rPr>
          <w:rFonts w:ascii="Times New Roman" w:hAnsi="Times New Roman" w:cs="Times New Roman"/>
          <w:i/>
          <w:iCs/>
          <w:sz w:val="24"/>
          <w:szCs w:val="24"/>
          <w:lang w:val="en-GB"/>
        </w:rPr>
        <w:t>QY</w:t>
      </w:r>
      <w:r w:rsidR="00A35A69">
        <w:rPr>
          <w:rFonts w:ascii="Times New Roman" w:hAnsi="Times New Roman" w:cs="Times New Roman"/>
          <w:i/>
          <w:iCs/>
          <w:sz w:val="24"/>
          <w:szCs w:val="24"/>
          <w:lang w:val="en-GB"/>
        </w:rPr>
        <w:t xml:space="preserve"> </w:t>
      </w:r>
      <w:r w:rsidR="00A35A69">
        <w:rPr>
          <w:rFonts w:ascii="Times New Roman" w:hAnsi="Times New Roman" w:cs="Times New Roman"/>
          <w:sz w:val="24"/>
          <w:szCs w:val="24"/>
          <w:lang w:val="en-GB"/>
        </w:rPr>
        <w:t>needs to be</w:t>
      </w:r>
      <w:r w:rsidR="00540134">
        <w:rPr>
          <w:rFonts w:ascii="Times New Roman" w:hAnsi="Times New Roman" w:cs="Times New Roman"/>
          <w:sz w:val="24"/>
          <w:szCs w:val="24"/>
          <w:lang w:val="en-GB"/>
        </w:rPr>
        <w:t xml:space="preserve"> taken into consideration.</w:t>
      </w:r>
      <w:r w:rsidR="00540134">
        <w:rPr>
          <w:rStyle w:val="FootnoteReference"/>
          <w:rFonts w:ascii="Times New Roman" w:hAnsi="Times New Roman" w:cs="Times New Roman"/>
          <w:sz w:val="24"/>
          <w:szCs w:val="24"/>
          <w:lang w:val="en-GB"/>
        </w:rPr>
        <w:footnoteReference w:id="19"/>
      </w:r>
      <w:r w:rsidR="00540134">
        <w:rPr>
          <w:rFonts w:ascii="Times New Roman" w:hAnsi="Times New Roman" w:cs="Times New Roman"/>
          <w:sz w:val="24"/>
          <w:szCs w:val="24"/>
          <w:lang w:val="en-GB"/>
        </w:rPr>
        <w:t xml:space="preserve"> </w:t>
      </w:r>
      <w:r w:rsidR="00865062">
        <w:rPr>
          <w:rFonts w:ascii="Times New Roman" w:hAnsi="Times New Roman" w:cs="Times New Roman"/>
          <w:sz w:val="24"/>
          <w:szCs w:val="24"/>
          <w:lang w:val="en-GB"/>
        </w:rPr>
        <w:t>The request for preliminary ruling in this case was made in relationship to proceeding</w:t>
      </w:r>
      <w:r w:rsidR="003E4B66">
        <w:rPr>
          <w:rFonts w:ascii="Times New Roman" w:hAnsi="Times New Roman" w:cs="Times New Roman"/>
          <w:sz w:val="24"/>
          <w:szCs w:val="24"/>
          <w:lang w:val="en-GB"/>
        </w:rPr>
        <w:t>s</w:t>
      </w:r>
      <w:r w:rsidR="00865062">
        <w:rPr>
          <w:rFonts w:ascii="Times New Roman" w:hAnsi="Times New Roman" w:cs="Times New Roman"/>
          <w:sz w:val="24"/>
          <w:szCs w:val="24"/>
          <w:lang w:val="en-GB"/>
        </w:rPr>
        <w:t xml:space="preserve"> related to A. He was a Turkish national with refugee status granted by Italy </w:t>
      </w:r>
      <w:r w:rsidR="00425719">
        <w:rPr>
          <w:rFonts w:ascii="Times New Roman" w:hAnsi="Times New Roman" w:cs="Times New Roman"/>
          <w:sz w:val="24"/>
          <w:szCs w:val="24"/>
          <w:lang w:val="en-GB"/>
        </w:rPr>
        <w:t xml:space="preserve">in 2010 </w:t>
      </w:r>
      <w:r w:rsidR="00865062">
        <w:rPr>
          <w:rFonts w:ascii="Times New Roman" w:hAnsi="Times New Roman" w:cs="Times New Roman"/>
          <w:sz w:val="24"/>
          <w:szCs w:val="24"/>
          <w:lang w:val="en-GB"/>
        </w:rPr>
        <w:t xml:space="preserve">on the ground that he was at risk of political persecution by the Turkish authorities because of his support for the PKK. He, however, </w:t>
      </w:r>
      <w:r w:rsidR="00425719">
        <w:rPr>
          <w:rFonts w:ascii="Times New Roman" w:hAnsi="Times New Roman" w:cs="Times New Roman"/>
          <w:sz w:val="24"/>
          <w:szCs w:val="24"/>
          <w:lang w:val="en-GB"/>
        </w:rPr>
        <w:t xml:space="preserve">had </w:t>
      </w:r>
      <w:r w:rsidR="00865062">
        <w:rPr>
          <w:rFonts w:ascii="Times New Roman" w:hAnsi="Times New Roman" w:cs="Times New Roman"/>
          <w:sz w:val="24"/>
          <w:szCs w:val="24"/>
          <w:lang w:val="en-GB"/>
        </w:rPr>
        <w:t>resided in Germany</w:t>
      </w:r>
      <w:r w:rsidR="00425719">
        <w:rPr>
          <w:rFonts w:ascii="Times New Roman" w:hAnsi="Times New Roman" w:cs="Times New Roman"/>
          <w:sz w:val="24"/>
          <w:szCs w:val="24"/>
          <w:lang w:val="en-GB"/>
        </w:rPr>
        <w:t xml:space="preserve"> since 2019</w:t>
      </w:r>
      <w:r w:rsidR="00865062">
        <w:rPr>
          <w:rFonts w:ascii="Times New Roman" w:hAnsi="Times New Roman" w:cs="Times New Roman"/>
          <w:sz w:val="24"/>
          <w:szCs w:val="24"/>
          <w:lang w:val="en-GB"/>
        </w:rPr>
        <w:t xml:space="preserve">. </w:t>
      </w:r>
      <w:r w:rsidR="00425719">
        <w:rPr>
          <w:rFonts w:ascii="Times New Roman" w:hAnsi="Times New Roman" w:cs="Times New Roman"/>
          <w:sz w:val="24"/>
          <w:szCs w:val="24"/>
          <w:lang w:val="en-GB"/>
        </w:rPr>
        <w:t xml:space="preserve">In 2020 </w:t>
      </w:r>
      <w:r w:rsidR="00865062">
        <w:rPr>
          <w:rFonts w:ascii="Times New Roman" w:hAnsi="Times New Roman" w:cs="Times New Roman"/>
          <w:sz w:val="24"/>
          <w:szCs w:val="24"/>
          <w:lang w:val="en-GB"/>
        </w:rPr>
        <w:t xml:space="preserve">Turkey requested Germany to extradite A. for the purpose of his criminal prosecution. </w:t>
      </w:r>
      <w:r w:rsidR="00425719">
        <w:rPr>
          <w:rFonts w:ascii="Times New Roman" w:hAnsi="Times New Roman" w:cs="Times New Roman"/>
          <w:sz w:val="24"/>
          <w:szCs w:val="24"/>
          <w:lang w:val="en-GB"/>
        </w:rPr>
        <w:t xml:space="preserve">In </w:t>
      </w:r>
      <w:r w:rsidR="003E4B66">
        <w:rPr>
          <w:rFonts w:ascii="Times New Roman" w:hAnsi="Times New Roman" w:cs="Times New Roman"/>
          <w:sz w:val="24"/>
          <w:szCs w:val="24"/>
          <w:lang w:val="en-GB"/>
        </w:rPr>
        <w:t>its</w:t>
      </w:r>
      <w:r w:rsidR="00425719">
        <w:rPr>
          <w:rFonts w:ascii="Times New Roman" w:hAnsi="Times New Roman" w:cs="Times New Roman"/>
          <w:sz w:val="24"/>
          <w:szCs w:val="24"/>
          <w:lang w:val="en-GB"/>
        </w:rPr>
        <w:t xml:space="preserve"> reference for a preliminary ruling the German court asked whether the positive refugee status decision taken by Italy </w:t>
      </w:r>
      <w:r w:rsidR="003E4B66">
        <w:rPr>
          <w:rFonts w:ascii="Times New Roman" w:hAnsi="Times New Roman" w:cs="Times New Roman"/>
          <w:sz w:val="24"/>
          <w:szCs w:val="24"/>
          <w:lang w:val="en-GB"/>
        </w:rPr>
        <w:t>was</w:t>
      </w:r>
      <w:r w:rsidR="00425719">
        <w:rPr>
          <w:rFonts w:ascii="Times New Roman" w:hAnsi="Times New Roman" w:cs="Times New Roman"/>
          <w:sz w:val="24"/>
          <w:szCs w:val="24"/>
          <w:lang w:val="en-GB"/>
        </w:rPr>
        <w:t xml:space="preserve"> binding upon Germany to the effect that Germany would not be allowed to extradite him.</w:t>
      </w:r>
    </w:p>
    <w:p w14:paraId="32EF0C55" w14:textId="4571A519" w:rsidR="00117BC9" w:rsidRPr="00A35A69" w:rsidRDefault="00865062" w:rsidP="00A1548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06C31871" w14:textId="3D72B529" w:rsidR="00C71732" w:rsidRDefault="00425719" w:rsidP="000A292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After reiterating that as EU law currently stands, there is no uniform status for asylum</w:t>
      </w:r>
      <w:r w:rsidR="000A2922">
        <w:rPr>
          <w:rFonts w:ascii="Times New Roman" w:hAnsi="Times New Roman" w:cs="Times New Roman"/>
          <w:sz w:val="24"/>
          <w:szCs w:val="24"/>
          <w:lang w:val="en-GB"/>
        </w:rPr>
        <w:t>,</w:t>
      </w:r>
      <w:r>
        <w:rPr>
          <w:rStyle w:val="FootnoteReference"/>
          <w:rFonts w:ascii="Times New Roman" w:hAnsi="Times New Roman" w:cs="Times New Roman"/>
          <w:sz w:val="24"/>
          <w:szCs w:val="24"/>
          <w:lang w:val="en-GB"/>
        </w:rPr>
        <w:footnoteReference w:id="20"/>
      </w:r>
      <w:r>
        <w:rPr>
          <w:rFonts w:ascii="Times New Roman" w:hAnsi="Times New Roman" w:cs="Times New Roman"/>
          <w:sz w:val="24"/>
          <w:szCs w:val="24"/>
          <w:lang w:val="en-GB"/>
        </w:rPr>
        <w:t xml:space="preserve"> </w:t>
      </w:r>
      <w:r w:rsidR="000A2922">
        <w:rPr>
          <w:rFonts w:ascii="Times New Roman" w:hAnsi="Times New Roman" w:cs="Times New Roman"/>
          <w:sz w:val="24"/>
          <w:szCs w:val="24"/>
          <w:lang w:val="en-GB"/>
        </w:rPr>
        <w:t>the Court noted</w:t>
      </w:r>
      <w:r>
        <w:rPr>
          <w:rFonts w:ascii="Times New Roman" w:hAnsi="Times New Roman" w:cs="Times New Roman"/>
          <w:sz w:val="24"/>
          <w:szCs w:val="24"/>
          <w:lang w:val="en-GB"/>
        </w:rPr>
        <w:t xml:space="preserve"> that Member State are free to make a new decision</w:t>
      </w:r>
      <w:r w:rsidR="000A2922">
        <w:rPr>
          <w:rFonts w:ascii="Times New Roman" w:hAnsi="Times New Roman" w:cs="Times New Roman"/>
          <w:sz w:val="24"/>
          <w:szCs w:val="24"/>
          <w:lang w:val="en-GB"/>
        </w:rPr>
        <w:t>: ‘</w:t>
      </w:r>
      <w:r w:rsidR="000A2922" w:rsidRPr="000A2922">
        <w:rPr>
          <w:rFonts w:ascii="Times New Roman" w:hAnsi="Times New Roman" w:cs="Times New Roman"/>
          <w:sz w:val="24"/>
          <w:szCs w:val="24"/>
          <w:lang w:val="en-GB"/>
        </w:rPr>
        <w:t xml:space="preserve">Member States are thus, as EU law currently stands, </w:t>
      </w:r>
      <w:r w:rsidR="000A2922" w:rsidRPr="000A2922">
        <w:rPr>
          <w:rFonts w:ascii="Times New Roman" w:hAnsi="Times New Roman" w:cs="Times New Roman"/>
          <w:i/>
          <w:iCs/>
          <w:sz w:val="24"/>
          <w:szCs w:val="24"/>
          <w:lang w:val="en-GB"/>
        </w:rPr>
        <w:t>free to make recognition of all of the rights relating to refugee status on their territory subject to the adoption</w:t>
      </w:r>
      <w:r w:rsidR="000A2922" w:rsidRPr="000A2922">
        <w:rPr>
          <w:rFonts w:ascii="Times New Roman" w:hAnsi="Times New Roman" w:cs="Times New Roman"/>
          <w:sz w:val="24"/>
          <w:szCs w:val="24"/>
          <w:lang w:val="en-GB"/>
        </w:rPr>
        <w:t>, by their competent authorities, of a new decision</w:t>
      </w:r>
      <w:r w:rsidR="000A2922">
        <w:rPr>
          <w:rFonts w:ascii="Times New Roman" w:hAnsi="Times New Roman" w:cs="Times New Roman"/>
          <w:sz w:val="24"/>
          <w:szCs w:val="24"/>
          <w:lang w:val="en-GB"/>
        </w:rPr>
        <w:t xml:space="preserve"> </w:t>
      </w:r>
      <w:r w:rsidR="000A2922" w:rsidRPr="000A2922">
        <w:rPr>
          <w:rFonts w:ascii="Times New Roman" w:hAnsi="Times New Roman" w:cs="Times New Roman"/>
          <w:sz w:val="24"/>
          <w:szCs w:val="24"/>
          <w:lang w:val="en-GB"/>
        </w:rPr>
        <w:t>granting refugee status</w:t>
      </w:r>
      <w:r w:rsidR="000A2922">
        <w:rPr>
          <w:rFonts w:ascii="Times New Roman" w:hAnsi="Times New Roman" w:cs="Times New Roman"/>
          <w:sz w:val="24"/>
          <w:szCs w:val="24"/>
          <w:lang w:val="en-GB"/>
        </w:rPr>
        <w:t>’</w:t>
      </w:r>
      <w:r>
        <w:rPr>
          <w:rStyle w:val="FootnoteReference"/>
          <w:rFonts w:ascii="Times New Roman" w:hAnsi="Times New Roman" w:cs="Times New Roman"/>
          <w:sz w:val="24"/>
          <w:szCs w:val="24"/>
          <w:lang w:val="en-GB"/>
        </w:rPr>
        <w:footnoteReference w:id="21"/>
      </w:r>
      <w:r w:rsidR="00C71732">
        <w:rPr>
          <w:rFonts w:ascii="Times New Roman" w:hAnsi="Times New Roman" w:cs="Times New Roman"/>
          <w:sz w:val="24"/>
          <w:szCs w:val="24"/>
          <w:lang w:val="en-GB"/>
        </w:rPr>
        <w:t xml:space="preserve"> Then, however, it assessed a positive decision as not linked to all the rights, but as only linked to removal from the territory for the purpose of extradition. In this respect, the Court clarified that </w:t>
      </w:r>
    </w:p>
    <w:p w14:paraId="3A049D08" w14:textId="77777777" w:rsidR="00C71732" w:rsidRDefault="00C71732" w:rsidP="000A2922">
      <w:pPr>
        <w:spacing w:after="0" w:line="240" w:lineRule="auto"/>
        <w:jc w:val="both"/>
        <w:rPr>
          <w:rFonts w:ascii="Times New Roman" w:hAnsi="Times New Roman" w:cs="Times New Roman"/>
          <w:sz w:val="24"/>
          <w:szCs w:val="24"/>
          <w:lang w:val="en-GB"/>
        </w:rPr>
      </w:pPr>
    </w:p>
    <w:p w14:paraId="68B5C8EF" w14:textId="56AD1F79" w:rsidR="00C71732" w:rsidRPr="00C71732" w:rsidRDefault="00C71732" w:rsidP="00C71732">
      <w:pPr>
        <w:spacing w:after="0" w:line="240" w:lineRule="auto"/>
        <w:ind w:left="113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roofErr w:type="gramStart"/>
      <w:r w:rsidRPr="00C71732">
        <w:rPr>
          <w:rFonts w:ascii="Times New Roman" w:hAnsi="Times New Roman" w:cs="Times New Roman"/>
          <w:sz w:val="24"/>
          <w:szCs w:val="24"/>
          <w:lang w:val="en-GB"/>
        </w:rPr>
        <w:t>as long as</w:t>
      </w:r>
      <w:proofErr w:type="gramEnd"/>
      <w:r w:rsidRPr="00C71732">
        <w:rPr>
          <w:rFonts w:ascii="Times New Roman" w:hAnsi="Times New Roman" w:cs="Times New Roman"/>
          <w:sz w:val="24"/>
          <w:szCs w:val="24"/>
          <w:lang w:val="en-GB"/>
        </w:rPr>
        <w:t xml:space="preserve"> that individual qualifies as a refugee, Article 18 of the</w:t>
      </w:r>
      <w:r>
        <w:rPr>
          <w:rFonts w:ascii="Times New Roman" w:hAnsi="Times New Roman" w:cs="Times New Roman"/>
          <w:sz w:val="24"/>
          <w:szCs w:val="24"/>
          <w:lang w:val="en-GB"/>
        </w:rPr>
        <w:t xml:space="preserve"> </w:t>
      </w:r>
      <w:r w:rsidRPr="00C71732">
        <w:rPr>
          <w:rFonts w:ascii="Times New Roman" w:hAnsi="Times New Roman" w:cs="Times New Roman"/>
          <w:sz w:val="24"/>
          <w:szCs w:val="24"/>
          <w:lang w:val="en-GB"/>
        </w:rPr>
        <w:t>Charter precludes the extradition of that individual to the third country which he or she fled and in which</w:t>
      </w:r>
      <w:r>
        <w:rPr>
          <w:rFonts w:ascii="Times New Roman" w:hAnsi="Times New Roman" w:cs="Times New Roman"/>
          <w:sz w:val="24"/>
          <w:szCs w:val="24"/>
          <w:lang w:val="en-GB"/>
        </w:rPr>
        <w:t xml:space="preserve"> </w:t>
      </w:r>
      <w:r w:rsidRPr="00C71732">
        <w:rPr>
          <w:rFonts w:ascii="Times New Roman" w:hAnsi="Times New Roman" w:cs="Times New Roman"/>
          <w:sz w:val="24"/>
          <w:szCs w:val="24"/>
          <w:lang w:val="en-GB"/>
        </w:rPr>
        <w:t>he or she risks being persecuted.</w:t>
      </w:r>
    </w:p>
    <w:p w14:paraId="3E40C70E" w14:textId="77777777" w:rsidR="00C71732" w:rsidRDefault="00C71732" w:rsidP="00C71732">
      <w:pPr>
        <w:spacing w:after="0" w:line="240" w:lineRule="auto"/>
        <w:ind w:left="1134"/>
        <w:jc w:val="both"/>
        <w:rPr>
          <w:rFonts w:ascii="Times New Roman" w:hAnsi="Times New Roman" w:cs="Times New Roman"/>
          <w:sz w:val="24"/>
          <w:szCs w:val="24"/>
          <w:lang w:val="en-GB"/>
        </w:rPr>
      </w:pPr>
    </w:p>
    <w:p w14:paraId="1F4EBE25" w14:textId="51D742DF" w:rsidR="00C71732" w:rsidRPr="00A35A69" w:rsidRDefault="00C71732" w:rsidP="00C71732">
      <w:pPr>
        <w:spacing w:after="0" w:line="240" w:lineRule="auto"/>
        <w:ind w:left="1134"/>
        <w:jc w:val="both"/>
        <w:rPr>
          <w:rFonts w:ascii="Times New Roman" w:hAnsi="Times New Roman" w:cs="Times New Roman"/>
          <w:sz w:val="24"/>
          <w:szCs w:val="24"/>
          <w:lang w:val="en-GB"/>
        </w:rPr>
      </w:pPr>
      <w:r w:rsidRPr="00C71732">
        <w:rPr>
          <w:rFonts w:ascii="Times New Roman" w:hAnsi="Times New Roman" w:cs="Times New Roman"/>
          <w:sz w:val="24"/>
          <w:szCs w:val="24"/>
          <w:lang w:val="en-GB"/>
        </w:rPr>
        <w:t xml:space="preserve">In the present case, this means that </w:t>
      </w:r>
      <w:proofErr w:type="gramStart"/>
      <w:r w:rsidRPr="00C71732">
        <w:rPr>
          <w:rFonts w:ascii="Times New Roman" w:hAnsi="Times New Roman" w:cs="Times New Roman"/>
          <w:i/>
          <w:iCs/>
          <w:sz w:val="24"/>
          <w:szCs w:val="24"/>
          <w:lang w:val="en-GB"/>
        </w:rPr>
        <w:t>as long as</w:t>
      </w:r>
      <w:proofErr w:type="gramEnd"/>
      <w:r w:rsidRPr="00C71732">
        <w:rPr>
          <w:rFonts w:ascii="Times New Roman" w:hAnsi="Times New Roman" w:cs="Times New Roman"/>
          <w:i/>
          <w:iCs/>
          <w:sz w:val="24"/>
          <w:szCs w:val="24"/>
          <w:lang w:val="en-GB"/>
        </w:rPr>
        <w:t xml:space="preserve"> there is a risk</w:t>
      </w:r>
      <w:r w:rsidRPr="00C71732">
        <w:rPr>
          <w:rFonts w:ascii="Times New Roman" w:hAnsi="Times New Roman" w:cs="Times New Roman"/>
          <w:sz w:val="24"/>
          <w:szCs w:val="24"/>
          <w:lang w:val="en-GB"/>
        </w:rPr>
        <w:t xml:space="preserve"> that A. may suffer political persecution </w:t>
      </w:r>
      <w:r>
        <w:rPr>
          <w:rFonts w:ascii="Times New Roman" w:hAnsi="Times New Roman" w:cs="Times New Roman"/>
          <w:sz w:val="24"/>
          <w:szCs w:val="24"/>
          <w:lang w:val="en-GB"/>
        </w:rPr>
        <w:t xml:space="preserve">- </w:t>
      </w:r>
      <w:r w:rsidRPr="00C71732">
        <w:rPr>
          <w:rFonts w:ascii="Times New Roman" w:hAnsi="Times New Roman" w:cs="Times New Roman"/>
          <w:sz w:val="24"/>
          <w:szCs w:val="24"/>
          <w:lang w:val="en-GB"/>
        </w:rPr>
        <w:t>because of which he was granted refugee status by the Italian authorities – in his third State of origin</w:t>
      </w:r>
      <w:r>
        <w:rPr>
          <w:rFonts w:ascii="Times New Roman" w:hAnsi="Times New Roman" w:cs="Times New Roman"/>
          <w:sz w:val="24"/>
          <w:szCs w:val="24"/>
          <w:lang w:val="en-GB"/>
        </w:rPr>
        <w:t xml:space="preserve"> </w:t>
      </w:r>
      <w:r w:rsidRPr="00C71732">
        <w:rPr>
          <w:rFonts w:ascii="Times New Roman" w:hAnsi="Times New Roman" w:cs="Times New Roman"/>
          <w:sz w:val="24"/>
          <w:szCs w:val="24"/>
          <w:lang w:val="en-GB"/>
        </w:rPr>
        <w:t>which submitted the extradition request, A.’s extradition to that third State must be ruled out under</w:t>
      </w:r>
      <w:r>
        <w:rPr>
          <w:rFonts w:ascii="Times New Roman" w:hAnsi="Times New Roman" w:cs="Times New Roman"/>
          <w:sz w:val="24"/>
          <w:szCs w:val="24"/>
          <w:lang w:val="en-GB"/>
        </w:rPr>
        <w:t xml:space="preserve"> </w:t>
      </w:r>
      <w:r w:rsidRPr="00C71732">
        <w:rPr>
          <w:rFonts w:ascii="Times New Roman" w:hAnsi="Times New Roman" w:cs="Times New Roman"/>
          <w:sz w:val="24"/>
          <w:szCs w:val="24"/>
          <w:lang w:val="en-GB"/>
        </w:rPr>
        <w:t>Article 18 of the Charter.</w:t>
      </w:r>
      <w:r>
        <w:rPr>
          <w:rStyle w:val="FootnoteReference"/>
          <w:rFonts w:ascii="Times New Roman" w:hAnsi="Times New Roman" w:cs="Times New Roman"/>
          <w:sz w:val="24"/>
          <w:szCs w:val="24"/>
          <w:lang w:val="en-GB"/>
        </w:rPr>
        <w:footnoteReference w:id="22"/>
      </w:r>
    </w:p>
    <w:p w14:paraId="5AB69774" w14:textId="77777777" w:rsidR="00C71732" w:rsidRDefault="00C71732" w:rsidP="00A15486">
      <w:pPr>
        <w:spacing w:after="0" w:line="240" w:lineRule="auto"/>
        <w:jc w:val="both"/>
        <w:rPr>
          <w:rFonts w:ascii="Times New Roman" w:hAnsi="Times New Roman" w:cs="Times New Roman"/>
          <w:sz w:val="24"/>
          <w:szCs w:val="24"/>
          <w:lang w:val="en-GB"/>
        </w:rPr>
      </w:pPr>
    </w:p>
    <w:p w14:paraId="117AC70E" w14:textId="77777777" w:rsidR="00FD4D4E" w:rsidRDefault="00C71732" w:rsidP="00FD4D4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 these paragraph</w:t>
      </w:r>
      <w:r w:rsidR="00FD4D4E">
        <w:rPr>
          <w:rFonts w:ascii="Times New Roman" w:hAnsi="Times New Roman" w:cs="Times New Roman"/>
          <w:sz w:val="24"/>
          <w:szCs w:val="24"/>
          <w:lang w:val="en-GB"/>
        </w:rPr>
        <w:t>s</w:t>
      </w:r>
      <w:r>
        <w:rPr>
          <w:rFonts w:ascii="Times New Roman" w:hAnsi="Times New Roman" w:cs="Times New Roman"/>
          <w:sz w:val="24"/>
          <w:szCs w:val="24"/>
          <w:lang w:val="en-GB"/>
        </w:rPr>
        <w:t xml:space="preserve"> the following conceptual move is performed in the reasoning – it is not the positive decision </w:t>
      </w:r>
      <w:r w:rsidRPr="00FD4D4E">
        <w:rPr>
          <w:rFonts w:ascii="Times New Roman" w:hAnsi="Times New Roman" w:cs="Times New Roman"/>
          <w:i/>
          <w:iCs/>
          <w:sz w:val="24"/>
          <w:szCs w:val="24"/>
          <w:lang w:val="en-GB"/>
        </w:rPr>
        <w:t>as such</w:t>
      </w:r>
      <w:r>
        <w:rPr>
          <w:rFonts w:ascii="Times New Roman" w:hAnsi="Times New Roman" w:cs="Times New Roman"/>
          <w:sz w:val="24"/>
          <w:szCs w:val="24"/>
          <w:lang w:val="en-GB"/>
        </w:rPr>
        <w:t xml:space="preserve"> that seems to matter, but the factual reality as to whether there is risk for the person. </w:t>
      </w:r>
      <w:r w:rsidR="00FD4D4E">
        <w:rPr>
          <w:rFonts w:ascii="Times New Roman" w:hAnsi="Times New Roman" w:cs="Times New Roman"/>
          <w:sz w:val="24"/>
          <w:szCs w:val="24"/>
          <w:lang w:val="en-GB"/>
        </w:rPr>
        <w:t xml:space="preserve">Along the same lines, the Court added that </w:t>
      </w:r>
    </w:p>
    <w:p w14:paraId="7BE4A0E8" w14:textId="77777777" w:rsidR="00FD4D4E" w:rsidRDefault="00FD4D4E" w:rsidP="00FD4D4E">
      <w:pPr>
        <w:spacing w:after="0" w:line="240" w:lineRule="auto"/>
        <w:jc w:val="both"/>
        <w:rPr>
          <w:rFonts w:ascii="Times New Roman" w:hAnsi="Times New Roman" w:cs="Times New Roman"/>
          <w:sz w:val="24"/>
          <w:szCs w:val="24"/>
          <w:lang w:val="en-GB"/>
        </w:rPr>
      </w:pPr>
    </w:p>
    <w:p w14:paraId="186272FA" w14:textId="6F2BCBD0" w:rsidR="00304EAD" w:rsidRDefault="00FD4D4E" w:rsidP="00FD4D4E">
      <w:pPr>
        <w:spacing w:after="0" w:line="240" w:lineRule="auto"/>
        <w:ind w:left="1134"/>
        <w:jc w:val="both"/>
        <w:rPr>
          <w:rFonts w:ascii="Times New Roman" w:hAnsi="Times New Roman" w:cs="Times New Roman"/>
          <w:sz w:val="24"/>
          <w:szCs w:val="24"/>
          <w:lang w:val="en-GB"/>
        </w:rPr>
      </w:pPr>
      <w:r w:rsidRPr="00FD4D4E">
        <w:rPr>
          <w:rFonts w:ascii="Times New Roman" w:hAnsi="Times New Roman" w:cs="Times New Roman"/>
          <w:sz w:val="24"/>
          <w:szCs w:val="24"/>
          <w:lang w:val="en-GB"/>
        </w:rPr>
        <w:t>where the person whose extradition is sought invokes a real risk of inhuman or degrading</w:t>
      </w:r>
      <w:r>
        <w:rPr>
          <w:rFonts w:ascii="Times New Roman" w:hAnsi="Times New Roman" w:cs="Times New Roman"/>
          <w:sz w:val="24"/>
          <w:szCs w:val="24"/>
          <w:lang w:val="en-GB"/>
        </w:rPr>
        <w:t xml:space="preserve"> </w:t>
      </w:r>
      <w:r w:rsidRPr="00FD4D4E">
        <w:rPr>
          <w:rFonts w:ascii="Times New Roman" w:hAnsi="Times New Roman" w:cs="Times New Roman"/>
          <w:sz w:val="24"/>
          <w:szCs w:val="24"/>
          <w:lang w:val="en-GB"/>
        </w:rPr>
        <w:t>treatment if extradited, the requested Member State must verify, before carrying out that extradition, that</w:t>
      </w:r>
      <w:r>
        <w:rPr>
          <w:rFonts w:ascii="Times New Roman" w:hAnsi="Times New Roman" w:cs="Times New Roman"/>
          <w:sz w:val="24"/>
          <w:szCs w:val="24"/>
          <w:lang w:val="en-GB"/>
        </w:rPr>
        <w:t xml:space="preserve"> </w:t>
      </w:r>
      <w:r w:rsidRPr="00FD4D4E">
        <w:rPr>
          <w:rFonts w:ascii="Times New Roman" w:hAnsi="Times New Roman" w:cs="Times New Roman"/>
          <w:sz w:val="24"/>
          <w:szCs w:val="24"/>
          <w:lang w:val="en-GB"/>
        </w:rPr>
        <w:t>the extradition will not prejudice the rights referred to in Article 19(2) of the Charter</w:t>
      </w:r>
    </w:p>
    <w:p w14:paraId="02CAE7BC" w14:textId="77777777" w:rsidR="00FD4D4E" w:rsidRDefault="00FD4D4E" w:rsidP="00FD4D4E">
      <w:pPr>
        <w:spacing w:after="0" w:line="240" w:lineRule="auto"/>
        <w:ind w:left="1134"/>
        <w:jc w:val="both"/>
        <w:rPr>
          <w:rFonts w:ascii="Times New Roman" w:hAnsi="Times New Roman" w:cs="Times New Roman"/>
          <w:sz w:val="24"/>
          <w:szCs w:val="24"/>
          <w:lang w:val="en-GB"/>
        </w:rPr>
      </w:pPr>
    </w:p>
    <w:p w14:paraId="79C8430A" w14:textId="0BBA3446" w:rsidR="00C71732" w:rsidRDefault="00FD4D4E" w:rsidP="00A1548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reasoning also suggests a departure from the already made positive decision as such. Yet, </w:t>
      </w:r>
      <w:r w:rsidR="003E4B66">
        <w:rPr>
          <w:rFonts w:ascii="Times New Roman" w:hAnsi="Times New Roman" w:cs="Times New Roman"/>
          <w:sz w:val="24"/>
          <w:szCs w:val="24"/>
          <w:lang w:val="en-GB"/>
        </w:rPr>
        <w:t>then the Court’s reason</w:t>
      </w:r>
      <w:r w:rsidR="00BA0A4E">
        <w:rPr>
          <w:rFonts w:ascii="Times New Roman" w:hAnsi="Times New Roman" w:cs="Times New Roman"/>
          <w:sz w:val="24"/>
          <w:szCs w:val="24"/>
          <w:lang w:val="en-GB"/>
        </w:rPr>
        <w:t>ing</w:t>
      </w:r>
      <w:r w:rsidR="003E4B66">
        <w:rPr>
          <w:rFonts w:ascii="Times New Roman" w:hAnsi="Times New Roman" w:cs="Times New Roman"/>
          <w:sz w:val="24"/>
          <w:szCs w:val="24"/>
          <w:lang w:val="en-GB"/>
        </w:rPr>
        <w:t xml:space="preserve"> return</w:t>
      </w:r>
      <w:r w:rsidR="00BA0A4E">
        <w:rPr>
          <w:rFonts w:ascii="Times New Roman" w:hAnsi="Times New Roman" w:cs="Times New Roman"/>
          <w:sz w:val="24"/>
          <w:szCs w:val="24"/>
          <w:lang w:val="en-GB"/>
        </w:rPr>
        <w:t>ed</w:t>
      </w:r>
      <w:r w:rsidR="003E4B66">
        <w:rPr>
          <w:rFonts w:ascii="Times New Roman" w:hAnsi="Times New Roman" w:cs="Times New Roman"/>
          <w:sz w:val="24"/>
          <w:szCs w:val="24"/>
          <w:lang w:val="en-GB"/>
        </w:rPr>
        <w:t xml:space="preserve"> to </w:t>
      </w:r>
      <w:r>
        <w:rPr>
          <w:rFonts w:ascii="Times New Roman" w:hAnsi="Times New Roman" w:cs="Times New Roman"/>
          <w:sz w:val="24"/>
          <w:szCs w:val="24"/>
          <w:lang w:val="en-GB"/>
        </w:rPr>
        <w:t>this decision</w:t>
      </w:r>
      <w:r w:rsidR="003E4B66">
        <w:rPr>
          <w:rFonts w:ascii="Times New Roman" w:hAnsi="Times New Roman" w:cs="Times New Roman"/>
          <w:sz w:val="24"/>
          <w:szCs w:val="24"/>
          <w:lang w:val="en-GB"/>
        </w:rPr>
        <w:t xml:space="preserve">’s </w:t>
      </w:r>
      <w:r>
        <w:rPr>
          <w:rFonts w:ascii="Times New Roman" w:hAnsi="Times New Roman" w:cs="Times New Roman"/>
          <w:sz w:val="24"/>
          <w:szCs w:val="24"/>
          <w:lang w:val="en-GB"/>
        </w:rPr>
        <w:t>role:</w:t>
      </w:r>
    </w:p>
    <w:p w14:paraId="38DC9384" w14:textId="77777777" w:rsidR="00FD4D4E" w:rsidRDefault="00FD4D4E" w:rsidP="00A15486">
      <w:pPr>
        <w:spacing w:after="0" w:line="240" w:lineRule="auto"/>
        <w:jc w:val="both"/>
        <w:rPr>
          <w:rFonts w:ascii="Times New Roman" w:hAnsi="Times New Roman" w:cs="Times New Roman"/>
          <w:sz w:val="24"/>
          <w:szCs w:val="24"/>
          <w:lang w:val="en-GB"/>
        </w:rPr>
      </w:pPr>
    </w:p>
    <w:p w14:paraId="79E6F6CD" w14:textId="09E3380A" w:rsidR="00FD4D4E" w:rsidRDefault="00FD4D4E" w:rsidP="00FD4D4E">
      <w:pPr>
        <w:spacing w:after="0" w:line="240" w:lineRule="auto"/>
        <w:ind w:left="1134"/>
        <w:jc w:val="both"/>
        <w:rPr>
          <w:rFonts w:ascii="Times New Roman" w:hAnsi="Times New Roman" w:cs="Times New Roman"/>
          <w:sz w:val="24"/>
          <w:szCs w:val="24"/>
          <w:lang w:val="en-GB"/>
        </w:rPr>
      </w:pPr>
      <w:r w:rsidRPr="00FD4D4E">
        <w:rPr>
          <w:rFonts w:ascii="Times New Roman" w:hAnsi="Times New Roman" w:cs="Times New Roman"/>
          <w:sz w:val="24"/>
          <w:szCs w:val="24"/>
          <w:lang w:val="en-GB"/>
        </w:rPr>
        <w:t>For the purposes of assessing the risk of infringement of Article 21(1) of Directive 2011/95 and of</w:t>
      </w:r>
      <w:r>
        <w:rPr>
          <w:rFonts w:ascii="Times New Roman" w:hAnsi="Times New Roman" w:cs="Times New Roman"/>
          <w:sz w:val="24"/>
          <w:szCs w:val="24"/>
          <w:lang w:val="en-GB"/>
        </w:rPr>
        <w:t xml:space="preserve"> </w:t>
      </w:r>
      <w:r w:rsidRPr="00FD4D4E">
        <w:rPr>
          <w:rFonts w:ascii="Times New Roman" w:hAnsi="Times New Roman" w:cs="Times New Roman"/>
          <w:sz w:val="24"/>
          <w:szCs w:val="24"/>
          <w:lang w:val="en-GB"/>
        </w:rPr>
        <w:t>Article 18 and Article 19(2) of the Charter, the fact that another Member State granted the requested</w:t>
      </w:r>
      <w:r>
        <w:rPr>
          <w:rFonts w:ascii="Times New Roman" w:hAnsi="Times New Roman" w:cs="Times New Roman"/>
          <w:sz w:val="24"/>
          <w:szCs w:val="24"/>
          <w:lang w:val="en-GB"/>
        </w:rPr>
        <w:t xml:space="preserve"> </w:t>
      </w:r>
      <w:r w:rsidRPr="00FD4D4E">
        <w:rPr>
          <w:rFonts w:ascii="Times New Roman" w:hAnsi="Times New Roman" w:cs="Times New Roman"/>
          <w:sz w:val="24"/>
          <w:szCs w:val="24"/>
          <w:lang w:val="en-GB"/>
        </w:rPr>
        <w:t xml:space="preserve">individual refugee status, in accordance with Directives 2011/95 and 2013/32, </w:t>
      </w:r>
      <w:r w:rsidRPr="00FD4D4E">
        <w:rPr>
          <w:rFonts w:ascii="Times New Roman" w:hAnsi="Times New Roman" w:cs="Times New Roman"/>
          <w:i/>
          <w:iCs/>
          <w:sz w:val="24"/>
          <w:szCs w:val="24"/>
          <w:lang w:val="en-GB"/>
        </w:rPr>
        <w:t>is a particularly substantial piece of evidence</w:t>
      </w:r>
      <w:r w:rsidRPr="00FD4D4E">
        <w:rPr>
          <w:rFonts w:ascii="Times New Roman" w:hAnsi="Times New Roman" w:cs="Times New Roman"/>
          <w:sz w:val="24"/>
          <w:szCs w:val="24"/>
          <w:lang w:val="en-GB"/>
        </w:rPr>
        <w:t xml:space="preserve"> which the competent authority of the requested Member State must </w:t>
      </w:r>
      <w:proofErr w:type="gramStart"/>
      <w:r w:rsidRPr="00FD4D4E">
        <w:rPr>
          <w:rFonts w:ascii="Times New Roman" w:hAnsi="Times New Roman" w:cs="Times New Roman"/>
          <w:sz w:val="24"/>
          <w:szCs w:val="24"/>
          <w:lang w:val="en-GB"/>
        </w:rPr>
        <w:t>take into account</w:t>
      </w:r>
      <w:proofErr w:type="gramEnd"/>
      <w:r w:rsidRPr="00FD4D4E">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FD4D4E">
        <w:rPr>
          <w:rFonts w:ascii="Times New Roman" w:hAnsi="Times New Roman" w:cs="Times New Roman"/>
          <w:sz w:val="24"/>
          <w:szCs w:val="24"/>
          <w:lang w:val="en-GB"/>
        </w:rPr>
        <w:t xml:space="preserve">Thus, a decision granting refugee status </w:t>
      </w:r>
      <w:r w:rsidRPr="00222C08">
        <w:rPr>
          <w:rFonts w:ascii="Times New Roman" w:hAnsi="Times New Roman" w:cs="Times New Roman"/>
          <w:i/>
          <w:iCs/>
          <w:sz w:val="24"/>
          <w:szCs w:val="24"/>
          <w:lang w:val="en-GB"/>
        </w:rPr>
        <w:t>must lead that authority to refuse extradition</w:t>
      </w:r>
      <w:r w:rsidRPr="00FD4D4E">
        <w:rPr>
          <w:rFonts w:ascii="Times New Roman" w:hAnsi="Times New Roman" w:cs="Times New Roman"/>
          <w:sz w:val="24"/>
          <w:szCs w:val="24"/>
          <w:lang w:val="en-GB"/>
        </w:rPr>
        <w:t>, in accordance with</w:t>
      </w:r>
      <w:r>
        <w:rPr>
          <w:rFonts w:ascii="Times New Roman" w:hAnsi="Times New Roman" w:cs="Times New Roman"/>
          <w:sz w:val="24"/>
          <w:szCs w:val="24"/>
          <w:lang w:val="en-GB"/>
        </w:rPr>
        <w:t xml:space="preserve"> </w:t>
      </w:r>
      <w:r w:rsidRPr="00FD4D4E">
        <w:rPr>
          <w:rFonts w:ascii="Times New Roman" w:hAnsi="Times New Roman" w:cs="Times New Roman"/>
          <w:sz w:val="24"/>
          <w:szCs w:val="24"/>
          <w:lang w:val="en-GB"/>
        </w:rPr>
        <w:t>those provisions, provided that that refugee status has not been revoked or withdrawn by the Member State</w:t>
      </w:r>
      <w:r>
        <w:rPr>
          <w:rFonts w:ascii="Times New Roman" w:hAnsi="Times New Roman" w:cs="Times New Roman"/>
          <w:sz w:val="24"/>
          <w:szCs w:val="24"/>
          <w:lang w:val="en-GB"/>
        </w:rPr>
        <w:t xml:space="preserve"> </w:t>
      </w:r>
      <w:r w:rsidRPr="00FD4D4E">
        <w:rPr>
          <w:rFonts w:ascii="Times New Roman" w:hAnsi="Times New Roman" w:cs="Times New Roman"/>
          <w:sz w:val="24"/>
          <w:szCs w:val="24"/>
          <w:lang w:val="en-GB"/>
        </w:rPr>
        <w:t>that granted it.</w:t>
      </w:r>
      <w:r>
        <w:rPr>
          <w:rStyle w:val="FootnoteReference"/>
          <w:rFonts w:ascii="Times New Roman" w:hAnsi="Times New Roman" w:cs="Times New Roman"/>
          <w:sz w:val="24"/>
          <w:szCs w:val="24"/>
          <w:lang w:val="en-GB"/>
        </w:rPr>
        <w:footnoteReference w:id="23"/>
      </w:r>
    </w:p>
    <w:p w14:paraId="31FFA20D" w14:textId="77777777" w:rsidR="00222C08" w:rsidRDefault="00222C08" w:rsidP="00A15486">
      <w:pPr>
        <w:spacing w:after="0" w:line="240" w:lineRule="auto"/>
        <w:jc w:val="both"/>
        <w:rPr>
          <w:rFonts w:ascii="Times New Roman" w:hAnsi="Times New Roman" w:cs="Times New Roman"/>
          <w:sz w:val="24"/>
          <w:szCs w:val="24"/>
          <w:lang w:val="en-GB"/>
        </w:rPr>
      </w:pPr>
    </w:p>
    <w:p w14:paraId="747E27C5" w14:textId="484C63AD" w:rsidR="00C71732" w:rsidRDefault="00222C08" w:rsidP="003E4B6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Notably, the standard of ‘substantial </w:t>
      </w:r>
      <w:r w:rsidR="003E4B66">
        <w:rPr>
          <w:rFonts w:ascii="Times New Roman" w:hAnsi="Times New Roman" w:cs="Times New Roman"/>
          <w:sz w:val="24"/>
          <w:szCs w:val="24"/>
          <w:lang w:val="en-GB"/>
        </w:rPr>
        <w:t>piece</w:t>
      </w:r>
      <w:r>
        <w:rPr>
          <w:rFonts w:ascii="Times New Roman" w:hAnsi="Times New Roman" w:cs="Times New Roman"/>
          <w:sz w:val="24"/>
          <w:szCs w:val="24"/>
          <w:lang w:val="en-GB"/>
        </w:rPr>
        <w:t xml:space="preserve"> of evidence’ was not invoked in </w:t>
      </w:r>
      <w:r w:rsidRPr="00222C08">
        <w:rPr>
          <w:rFonts w:ascii="Times New Roman" w:hAnsi="Times New Roman" w:cs="Times New Roman"/>
          <w:i/>
          <w:iCs/>
          <w:sz w:val="24"/>
          <w:szCs w:val="24"/>
          <w:lang w:val="en-GB"/>
        </w:rPr>
        <w:t>QY</w:t>
      </w:r>
      <w:r>
        <w:rPr>
          <w:rFonts w:ascii="Times New Roman" w:hAnsi="Times New Roman" w:cs="Times New Roman"/>
          <w:sz w:val="24"/>
          <w:szCs w:val="24"/>
          <w:lang w:val="en-GB"/>
        </w:rPr>
        <w:t>. This means that when it comes to the non-removal (as one of the rights that attache</w:t>
      </w:r>
      <w:r w:rsidR="003E4B66">
        <w:rPr>
          <w:rFonts w:ascii="Times New Roman" w:hAnsi="Times New Roman" w:cs="Times New Roman"/>
          <w:sz w:val="24"/>
          <w:szCs w:val="24"/>
          <w:lang w:val="en-GB"/>
        </w:rPr>
        <w:t>d</w:t>
      </w:r>
      <w:r>
        <w:rPr>
          <w:rFonts w:ascii="Times New Roman" w:hAnsi="Times New Roman" w:cs="Times New Roman"/>
          <w:sz w:val="24"/>
          <w:szCs w:val="24"/>
          <w:lang w:val="en-GB"/>
        </w:rPr>
        <w:t xml:space="preserve"> to refugee status), the evidential value of the positive refugee decision is much higher. The last sentence in the above quotation implies </w:t>
      </w:r>
      <w:r w:rsidR="003E4B66">
        <w:rPr>
          <w:rFonts w:ascii="Times New Roman" w:hAnsi="Times New Roman" w:cs="Times New Roman"/>
          <w:sz w:val="24"/>
          <w:szCs w:val="24"/>
          <w:lang w:val="en-GB"/>
        </w:rPr>
        <w:t>that such a decision does not simply have an evidential value, but it should automatically preclude the removal. The formal automatic value of the positive decision is further supported by the Court’s statement that ‘</w:t>
      </w:r>
      <w:r w:rsidR="003E4B66" w:rsidRPr="003E4B66">
        <w:rPr>
          <w:rFonts w:ascii="Times New Roman" w:hAnsi="Times New Roman" w:cs="Times New Roman"/>
          <w:sz w:val="24"/>
          <w:szCs w:val="24"/>
          <w:lang w:val="en-GB"/>
        </w:rPr>
        <w:t xml:space="preserve">the requested Member State </w:t>
      </w:r>
      <w:r w:rsidR="003E4B66">
        <w:rPr>
          <w:rFonts w:ascii="Times New Roman" w:hAnsi="Times New Roman" w:cs="Times New Roman"/>
          <w:sz w:val="24"/>
          <w:szCs w:val="24"/>
          <w:lang w:val="en-GB"/>
        </w:rPr>
        <w:t xml:space="preserve">[i.e. Germany] </w:t>
      </w:r>
      <w:r w:rsidR="003E4B66" w:rsidRPr="003E4B66">
        <w:rPr>
          <w:rFonts w:ascii="Times New Roman" w:hAnsi="Times New Roman" w:cs="Times New Roman"/>
          <w:sz w:val="24"/>
          <w:szCs w:val="24"/>
          <w:lang w:val="en-GB"/>
        </w:rPr>
        <w:t>cannot authorise extradition unless it has initiated</w:t>
      </w:r>
      <w:r w:rsidR="003E4B66">
        <w:rPr>
          <w:rFonts w:ascii="Times New Roman" w:hAnsi="Times New Roman" w:cs="Times New Roman"/>
          <w:sz w:val="24"/>
          <w:szCs w:val="24"/>
          <w:lang w:val="en-GB"/>
        </w:rPr>
        <w:t xml:space="preserve"> </w:t>
      </w:r>
      <w:r w:rsidR="003E4B66" w:rsidRPr="003E4B66">
        <w:rPr>
          <w:rFonts w:ascii="Times New Roman" w:hAnsi="Times New Roman" w:cs="Times New Roman"/>
          <w:sz w:val="24"/>
          <w:szCs w:val="24"/>
          <w:lang w:val="en-GB"/>
        </w:rPr>
        <w:t>an exchange of information with the authority that granted the requested individual refugee status and</w:t>
      </w:r>
      <w:r w:rsidR="003E4B66">
        <w:rPr>
          <w:rFonts w:ascii="Times New Roman" w:hAnsi="Times New Roman" w:cs="Times New Roman"/>
          <w:sz w:val="24"/>
          <w:szCs w:val="24"/>
          <w:lang w:val="en-GB"/>
        </w:rPr>
        <w:t xml:space="preserve"> </w:t>
      </w:r>
      <w:r w:rsidR="003E4B66" w:rsidRPr="003E4B66">
        <w:rPr>
          <w:rFonts w:ascii="Times New Roman" w:hAnsi="Times New Roman" w:cs="Times New Roman"/>
          <w:i/>
          <w:iCs/>
          <w:sz w:val="24"/>
          <w:szCs w:val="24"/>
          <w:lang w:val="en-GB"/>
        </w:rPr>
        <w:t>where that status has not been revoked</w:t>
      </w:r>
      <w:r w:rsidR="003E4B66" w:rsidRPr="003E4B66">
        <w:rPr>
          <w:rFonts w:ascii="Times New Roman" w:hAnsi="Times New Roman" w:cs="Times New Roman"/>
          <w:sz w:val="24"/>
          <w:szCs w:val="24"/>
          <w:lang w:val="en-GB"/>
        </w:rPr>
        <w:t xml:space="preserve"> by that authority.</w:t>
      </w:r>
      <w:r w:rsidR="003E4B66">
        <w:rPr>
          <w:rFonts w:ascii="Times New Roman" w:hAnsi="Times New Roman" w:cs="Times New Roman"/>
          <w:sz w:val="24"/>
          <w:szCs w:val="24"/>
          <w:lang w:val="en-GB"/>
        </w:rPr>
        <w:t>’</w:t>
      </w:r>
      <w:r w:rsidR="003E4B66">
        <w:rPr>
          <w:rStyle w:val="FootnoteReference"/>
          <w:rFonts w:ascii="Times New Roman" w:hAnsi="Times New Roman" w:cs="Times New Roman"/>
          <w:sz w:val="24"/>
          <w:szCs w:val="24"/>
          <w:lang w:val="en-GB"/>
        </w:rPr>
        <w:footnoteReference w:id="24"/>
      </w:r>
    </w:p>
    <w:p w14:paraId="3D5E82CB" w14:textId="0A0B7EA4" w:rsidR="003E4B66" w:rsidRDefault="003E4B66" w:rsidP="003E4B66">
      <w:pPr>
        <w:spacing w:after="0" w:line="240" w:lineRule="auto"/>
        <w:jc w:val="both"/>
        <w:rPr>
          <w:rFonts w:ascii="Times New Roman" w:hAnsi="Times New Roman" w:cs="Times New Roman"/>
          <w:sz w:val="24"/>
          <w:szCs w:val="24"/>
          <w:lang w:val="en-GB"/>
        </w:rPr>
      </w:pPr>
    </w:p>
    <w:p w14:paraId="40053320" w14:textId="259AA66E" w:rsidR="003E4B66" w:rsidRPr="00286BF6" w:rsidRDefault="003E4B66" w:rsidP="00A1548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Overall, then although the Court’s reasoning oscillates between the factual reality of risk and the formal automatic role of the positive decision, </w:t>
      </w:r>
      <w:r w:rsidR="003704AC">
        <w:rPr>
          <w:rFonts w:ascii="Times New Roman" w:hAnsi="Times New Roman" w:cs="Times New Roman"/>
          <w:sz w:val="24"/>
          <w:szCs w:val="24"/>
          <w:lang w:val="en-GB"/>
        </w:rPr>
        <w:t xml:space="preserve">the latter trumps. This means that the new Member States </w:t>
      </w:r>
      <w:proofErr w:type="gramStart"/>
      <w:r w:rsidR="003704AC">
        <w:rPr>
          <w:rFonts w:ascii="Times New Roman" w:hAnsi="Times New Roman" w:cs="Times New Roman"/>
          <w:sz w:val="24"/>
          <w:szCs w:val="24"/>
          <w:lang w:val="en-GB"/>
        </w:rPr>
        <w:t>has to</w:t>
      </w:r>
      <w:proofErr w:type="gramEnd"/>
      <w:r w:rsidR="003704AC">
        <w:rPr>
          <w:rFonts w:ascii="Times New Roman" w:hAnsi="Times New Roman" w:cs="Times New Roman"/>
          <w:sz w:val="24"/>
          <w:szCs w:val="24"/>
          <w:lang w:val="en-GB"/>
        </w:rPr>
        <w:t xml:space="preserve"> </w:t>
      </w:r>
      <w:r w:rsidR="003704AC" w:rsidRPr="003704AC">
        <w:rPr>
          <w:rFonts w:ascii="Times New Roman" w:hAnsi="Times New Roman" w:cs="Times New Roman"/>
          <w:i/>
          <w:iCs/>
          <w:sz w:val="24"/>
          <w:szCs w:val="24"/>
          <w:lang w:val="en-GB"/>
        </w:rPr>
        <w:t>automatically give effect to the most fundamental</w:t>
      </w:r>
      <w:r w:rsidR="00382CF1">
        <w:rPr>
          <w:rFonts w:ascii="Times New Roman" w:hAnsi="Times New Roman" w:cs="Times New Roman"/>
          <w:i/>
          <w:iCs/>
          <w:sz w:val="24"/>
          <w:szCs w:val="24"/>
          <w:lang w:val="en-GB"/>
        </w:rPr>
        <w:t xml:space="preserve"> minimum</w:t>
      </w:r>
      <w:r w:rsidR="003704AC" w:rsidRPr="003704AC">
        <w:rPr>
          <w:rFonts w:ascii="Times New Roman" w:hAnsi="Times New Roman" w:cs="Times New Roman"/>
          <w:i/>
          <w:iCs/>
          <w:sz w:val="24"/>
          <w:szCs w:val="24"/>
          <w:lang w:val="en-GB"/>
        </w:rPr>
        <w:t xml:space="preserve"> right</w:t>
      </w:r>
      <w:r w:rsidR="003704AC">
        <w:rPr>
          <w:rFonts w:ascii="Times New Roman" w:hAnsi="Times New Roman" w:cs="Times New Roman"/>
          <w:sz w:val="24"/>
          <w:szCs w:val="24"/>
          <w:lang w:val="en-GB"/>
        </w:rPr>
        <w:t xml:space="preserve"> </w:t>
      </w:r>
      <w:r w:rsidR="00D21280">
        <w:rPr>
          <w:rFonts w:ascii="Times New Roman" w:hAnsi="Times New Roman" w:cs="Times New Roman"/>
          <w:sz w:val="24"/>
          <w:szCs w:val="24"/>
          <w:lang w:val="en-GB"/>
        </w:rPr>
        <w:t xml:space="preserve">(i.e. </w:t>
      </w:r>
      <w:r w:rsidR="00D21280" w:rsidRPr="00D21280">
        <w:rPr>
          <w:rFonts w:ascii="Times New Roman" w:hAnsi="Times New Roman" w:cs="Times New Roman"/>
          <w:i/>
          <w:iCs/>
          <w:sz w:val="24"/>
          <w:szCs w:val="24"/>
          <w:lang w:val="en-GB"/>
        </w:rPr>
        <w:t>non-refoulement</w:t>
      </w:r>
      <w:r w:rsidR="00D21280">
        <w:rPr>
          <w:rFonts w:ascii="Times New Roman" w:hAnsi="Times New Roman" w:cs="Times New Roman"/>
          <w:sz w:val="24"/>
          <w:szCs w:val="24"/>
          <w:lang w:val="en-GB"/>
        </w:rPr>
        <w:t xml:space="preserve">) </w:t>
      </w:r>
      <w:r w:rsidR="003704AC">
        <w:rPr>
          <w:rFonts w:ascii="Times New Roman" w:hAnsi="Times New Roman" w:cs="Times New Roman"/>
          <w:sz w:val="24"/>
          <w:szCs w:val="24"/>
          <w:lang w:val="en-GB"/>
        </w:rPr>
        <w:t>attached to the refugee status</w:t>
      </w:r>
      <w:r>
        <w:rPr>
          <w:rFonts w:ascii="Times New Roman" w:hAnsi="Times New Roman" w:cs="Times New Roman"/>
          <w:sz w:val="24"/>
          <w:szCs w:val="24"/>
          <w:lang w:val="en-GB"/>
        </w:rPr>
        <w:t xml:space="preserve"> </w:t>
      </w:r>
      <w:r w:rsidR="003704AC">
        <w:rPr>
          <w:rFonts w:ascii="Times New Roman" w:hAnsi="Times New Roman" w:cs="Times New Roman"/>
          <w:sz w:val="24"/>
          <w:szCs w:val="24"/>
          <w:lang w:val="en-GB"/>
        </w:rPr>
        <w:t>provided that this status is not withdrawn</w:t>
      </w:r>
      <w:r w:rsidR="00232276">
        <w:rPr>
          <w:rFonts w:ascii="Times New Roman" w:hAnsi="Times New Roman" w:cs="Times New Roman"/>
          <w:sz w:val="24"/>
          <w:szCs w:val="24"/>
          <w:lang w:val="en-GB"/>
        </w:rPr>
        <w:t xml:space="preserve"> (by the Member State that has granted it)</w:t>
      </w:r>
      <w:r w:rsidR="003704AC">
        <w:rPr>
          <w:rFonts w:ascii="Times New Roman" w:hAnsi="Times New Roman" w:cs="Times New Roman"/>
          <w:sz w:val="24"/>
          <w:szCs w:val="24"/>
          <w:lang w:val="en-GB"/>
        </w:rPr>
        <w:t xml:space="preserve">. </w:t>
      </w:r>
      <w:r w:rsidR="003704AC" w:rsidRPr="003704AC">
        <w:rPr>
          <w:rFonts w:ascii="Times New Roman" w:hAnsi="Times New Roman" w:cs="Times New Roman"/>
          <w:sz w:val="24"/>
          <w:szCs w:val="24"/>
          <w:lang w:val="en-GB"/>
        </w:rPr>
        <w:t xml:space="preserve">Importantly, when </w:t>
      </w:r>
      <w:r w:rsidR="003704AC" w:rsidRPr="00286BF6">
        <w:rPr>
          <w:rFonts w:ascii="Times New Roman" w:hAnsi="Times New Roman" w:cs="Times New Roman"/>
          <w:i/>
          <w:iCs/>
          <w:sz w:val="24"/>
          <w:szCs w:val="24"/>
          <w:lang w:val="en-GB"/>
        </w:rPr>
        <w:t xml:space="preserve">A., v </w:t>
      </w:r>
      <w:proofErr w:type="spellStart"/>
      <w:r w:rsidR="003704AC" w:rsidRPr="00286BF6">
        <w:rPr>
          <w:rFonts w:ascii="Times New Roman" w:hAnsi="Times New Roman" w:cs="Times New Roman"/>
          <w:i/>
          <w:iCs/>
          <w:sz w:val="24"/>
          <w:szCs w:val="24"/>
          <w:lang w:val="en-GB"/>
        </w:rPr>
        <w:t>Generalstaatsanwaltschaft</w:t>
      </w:r>
      <w:proofErr w:type="spellEnd"/>
      <w:r w:rsidR="003704AC" w:rsidRPr="00286BF6">
        <w:rPr>
          <w:rFonts w:ascii="Times New Roman" w:hAnsi="Times New Roman" w:cs="Times New Roman"/>
          <w:i/>
          <w:iCs/>
          <w:sz w:val="24"/>
          <w:szCs w:val="24"/>
          <w:lang w:val="en-GB"/>
        </w:rPr>
        <w:t xml:space="preserve"> Hamm</w:t>
      </w:r>
      <w:r w:rsidR="00286BF6">
        <w:rPr>
          <w:rFonts w:ascii="Times New Roman" w:hAnsi="Times New Roman" w:cs="Times New Roman"/>
          <w:i/>
          <w:iCs/>
          <w:sz w:val="24"/>
          <w:szCs w:val="24"/>
          <w:lang w:val="en-GB"/>
        </w:rPr>
        <w:t xml:space="preserve"> </w:t>
      </w:r>
      <w:r w:rsidR="00286BF6">
        <w:rPr>
          <w:rFonts w:ascii="Times New Roman" w:hAnsi="Times New Roman" w:cs="Times New Roman"/>
          <w:sz w:val="24"/>
          <w:szCs w:val="24"/>
          <w:lang w:val="en-GB"/>
        </w:rPr>
        <w:t xml:space="preserve">is juxtaposed against </w:t>
      </w:r>
      <w:r w:rsidR="003704AC" w:rsidRPr="00286BF6">
        <w:rPr>
          <w:rFonts w:ascii="Times New Roman" w:hAnsi="Times New Roman" w:cs="Times New Roman"/>
          <w:i/>
          <w:iCs/>
          <w:sz w:val="24"/>
          <w:szCs w:val="24"/>
          <w:lang w:val="en-GB"/>
        </w:rPr>
        <w:t>QY</w:t>
      </w:r>
      <w:r w:rsidR="00286BF6">
        <w:rPr>
          <w:rFonts w:ascii="Times New Roman" w:hAnsi="Times New Roman" w:cs="Times New Roman"/>
          <w:i/>
          <w:iCs/>
          <w:sz w:val="24"/>
          <w:szCs w:val="24"/>
          <w:lang w:val="en-GB"/>
        </w:rPr>
        <w:t xml:space="preserve">, </w:t>
      </w:r>
      <w:r w:rsidR="00286BF6">
        <w:rPr>
          <w:rFonts w:ascii="Times New Roman" w:hAnsi="Times New Roman" w:cs="Times New Roman"/>
          <w:sz w:val="24"/>
          <w:szCs w:val="24"/>
          <w:lang w:val="en-GB"/>
        </w:rPr>
        <w:t>it follows that the role of the positive decision taken by one Member States depends on the rights at issue that attach to this decision.</w:t>
      </w:r>
      <w:r w:rsidR="00382CF1">
        <w:rPr>
          <w:rFonts w:ascii="Times New Roman" w:hAnsi="Times New Roman" w:cs="Times New Roman"/>
          <w:sz w:val="24"/>
          <w:szCs w:val="24"/>
          <w:lang w:val="en-GB"/>
        </w:rPr>
        <w:t xml:space="preserve"> The effects of a positive decision taken by one Member State</w:t>
      </w:r>
      <w:r w:rsidR="00232276">
        <w:rPr>
          <w:rFonts w:ascii="Times New Roman" w:hAnsi="Times New Roman" w:cs="Times New Roman"/>
          <w:sz w:val="24"/>
          <w:szCs w:val="24"/>
          <w:lang w:val="en-GB"/>
        </w:rPr>
        <w:t xml:space="preserve"> </w:t>
      </w:r>
      <w:r w:rsidR="00382CF1">
        <w:rPr>
          <w:rFonts w:ascii="Times New Roman" w:hAnsi="Times New Roman" w:cs="Times New Roman"/>
          <w:sz w:val="24"/>
          <w:szCs w:val="24"/>
          <w:lang w:val="en-GB"/>
        </w:rPr>
        <w:t>upon any decision-making procedures or actual decisions in a new Member State, depend on</w:t>
      </w:r>
      <w:r w:rsidR="00E60730">
        <w:rPr>
          <w:rFonts w:ascii="Times New Roman" w:hAnsi="Times New Roman" w:cs="Times New Roman"/>
          <w:sz w:val="24"/>
          <w:szCs w:val="24"/>
          <w:lang w:val="en-GB"/>
        </w:rPr>
        <w:t xml:space="preserve"> which rights of refugee are at issue. </w:t>
      </w:r>
      <w:r w:rsidR="00232276">
        <w:rPr>
          <w:rFonts w:ascii="Times New Roman" w:hAnsi="Times New Roman" w:cs="Times New Roman"/>
          <w:sz w:val="24"/>
          <w:szCs w:val="24"/>
          <w:lang w:val="en-GB"/>
        </w:rPr>
        <w:t xml:space="preserve">These rights form the content of international protection (i.e. the content of the refugee status). As Chapter VII of the 2011 Qualification Directive has outlined them, these rights range from the very minimum guarantee of </w:t>
      </w:r>
      <w:r w:rsidR="00232276" w:rsidRPr="00382CF1">
        <w:rPr>
          <w:rFonts w:ascii="Times New Roman" w:hAnsi="Times New Roman" w:cs="Times New Roman"/>
          <w:i/>
          <w:iCs/>
          <w:sz w:val="24"/>
          <w:szCs w:val="24"/>
          <w:lang w:val="en-GB"/>
        </w:rPr>
        <w:t>non-refoulement</w:t>
      </w:r>
      <w:r w:rsidR="00232276">
        <w:rPr>
          <w:rFonts w:ascii="Times New Roman" w:hAnsi="Times New Roman" w:cs="Times New Roman"/>
          <w:sz w:val="24"/>
          <w:szCs w:val="24"/>
          <w:lang w:val="en-GB"/>
        </w:rPr>
        <w:t xml:space="preserve"> to much far-reaching benefits such as residence permits, access to the national labour market and social welfare. </w:t>
      </w:r>
      <w:r w:rsidR="00286BF6">
        <w:rPr>
          <w:rFonts w:ascii="Times New Roman" w:hAnsi="Times New Roman" w:cs="Times New Roman"/>
          <w:sz w:val="24"/>
          <w:szCs w:val="24"/>
          <w:lang w:val="en-GB"/>
        </w:rPr>
        <w:t xml:space="preserve"> If the right forming the content of the refugee status pertains to the most fundamental </w:t>
      </w:r>
      <w:r w:rsidR="00382CF1">
        <w:rPr>
          <w:rFonts w:ascii="Times New Roman" w:hAnsi="Times New Roman" w:cs="Times New Roman"/>
          <w:sz w:val="24"/>
          <w:szCs w:val="24"/>
          <w:lang w:val="en-GB"/>
        </w:rPr>
        <w:t xml:space="preserve">minimum </w:t>
      </w:r>
      <w:r w:rsidR="00286BF6">
        <w:rPr>
          <w:rFonts w:ascii="Times New Roman" w:hAnsi="Times New Roman" w:cs="Times New Roman"/>
          <w:sz w:val="24"/>
          <w:szCs w:val="24"/>
          <w:lang w:val="en-GB"/>
        </w:rPr>
        <w:t xml:space="preserve">core principle of </w:t>
      </w:r>
      <w:r w:rsidR="00286BF6" w:rsidRPr="00286BF6">
        <w:rPr>
          <w:rFonts w:ascii="Times New Roman" w:hAnsi="Times New Roman" w:cs="Times New Roman"/>
          <w:i/>
          <w:iCs/>
          <w:sz w:val="24"/>
          <w:szCs w:val="24"/>
          <w:lang w:val="en-GB"/>
        </w:rPr>
        <w:t>non-refoulement</w:t>
      </w:r>
      <w:r w:rsidR="00286BF6">
        <w:rPr>
          <w:rFonts w:ascii="Times New Roman" w:hAnsi="Times New Roman" w:cs="Times New Roman"/>
          <w:sz w:val="24"/>
          <w:szCs w:val="24"/>
          <w:lang w:val="en-GB"/>
        </w:rPr>
        <w:t>, the positive decision taken by the first Member States holds overriding role.</w:t>
      </w:r>
      <w:r w:rsidR="00E60730">
        <w:rPr>
          <w:rFonts w:ascii="Times New Roman" w:hAnsi="Times New Roman" w:cs="Times New Roman"/>
          <w:sz w:val="24"/>
          <w:szCs w:val="24"/>
          <w:lang w:val="en-GB"/>
        </w:rPr>
        <w:t xml:space="preserve"> This follows from</w:t>
      </w:r>
      <w:r w:rsidR="00286BF6">
        <w:rPr>
          <w:rFonts w:ascii="Times New Roman" w:hAnsi="Times New Roman" w:cs="Times New Roman"/>
          <w:sz w:val="24"/>
          <w:szCs w:val="24"/>
          <w:lang w:val="en-GB"/>
        </w:rPr>
        <w:t xml:space="preserve"> </w:t>
      </w:r>
      <w:r w:rsidR="00E60730" w:rsidRPr="00286BF6">
        <w:rPr>
          <w:rFonts w:ascii="Times New Roman" w:hAnsi="Times New Roman" w:cs="Times New Roman"/>
          <w:i/>
          <w:iCs/>
          <w:sz w:val="24"/>
          <w:szCs w:val="24"/>
          <w:lang w:val="en-GB"/>
        </w:rPr>
        <w:t xml:space="preserve">A., v </w:t>
      </w:r>
      <w:proofErr w:type="spellStart"/>
      <w:r w:rsidR="00E60730" w:rsidRPr="00286BF6">
        <w:rPr>
          <w:rFonts w:ascii="Times New Roman" w:hAnsi="Times New Roman" w:cs="Times New Roman"/>
          <w:i/>
          <w:iCs/>
          <w:sz w:val="24"/>
          <w:szCs w:val="24"/>
          <w:lang w:val="en-GB"/>
        </w:rPr>
        <w:t>Generalstaatsanwaltschaft</w:t>
      </w:r>
      <w:proofErr w:type="spellEnd"/>
      <w:r w:rsidR="00E60730" w:rsidRPr="00286BF6">
        <w:rPr>
          <w:rFonts w:ascii="Times New Roman" w:hAnsi="Times New Roman" w:cs="Times New Roman"/>
          <w:i/>
          <w:iCs/>
          <w:sz w:val="24"/>
          <w:szCs w:val="24"/>
          <w:lang w:val="en-GB"/>
        </w:rPr>
        <w:t xml:space="preserve"> Hamm</w:t>
      </w:r>
      <w:r w:rsidR="00E60730">
        <w:rPr>
          <w:rFonts w:ascii="Times New Roman" w:hAnsi="Times New Roman" w:cs="Times New Roman"/>
          <w:i/>
          <w:iCs/>
          <w:sz w:val="24"/>
          <w:szCs w:val="24"/>
          <w:lang w:val="en-GB"/>
        </w:rPr>
        <w:t xml:space="preserve"> </w:t>
      </w:r>
      <w:r w:rsidR="00E60730">
        <w:rPr>
          <w:rFonts w:ascii="Times New Roman" w:hAnsi="Times New Roman" w:cs="Times New Roman"/>
          <w:sz w:val="24"/>
          <w:szCs w:val="24"/>
          <w:lang w:val="en-GB"/>
        </w:rPr>
        <w:t xml:space="preserve">that was about possible </w:t>
      </w:r>
      <w:r w:rsidR="00E60730" w:rsidRPr="0013600E">
        <w:rPr>
          <w:rFonts w:ascii="Times New Roman" w:hAnsi="Times New Roman" w:cs="Times New Roman"/>
          <w:i/>
          <w:iCs/>
          <w:sz w:val="24"/>
          <w:szCs w:val="24"/>
          <w:lang w:val="en-GB"/>
        </w:rPr>
        <w:t>refoulement</w:t>
      </w:r>
      <w:r w:rsidR="00E60730">
        <w:rPr>
          <w:rFonts w:ascii="Times New Roman" w:hAnsi="Times New Roman" w:cs="Times New Roman"/>
          <w:sz w:val="24"/>
          <w:szCs w:val="24"/>
          <w:lang w:val="en-GB"/>
        </w:rPr>
        <w:t xml:space="preserve"> to a </w:t>
      </w:r>
      <w:r w:rsidR="0013600E">
        <w:rPr>
          <w:rFonts w:ascii="Times New Roman" w:hAnsi="Times New Roman" w:cs="Times New Roman"/>
          <w:sz w:val="24"/>
          <w:szCs w:val="24"/>
          <w:lang w:val="en-GB"/>
        </w:rPr>
        <w:t>third country</w:t>
      </w:r>
      <w:r w:rsidR="00E60730">
        <w:rPr>
          <w:rFonts w:ascii="Times New Roman" w:hAnsi="Times New Roman" w:cs="Times New Roman"/>
          <w:sz w:val="24"/>
          <w:szCs w:val="24"/>
          <w:lang w:val="en-GB"/>
        </w:rPr>
        <w:t xml:space="preserve">. </w:t>
      </w:r>
      <w:r w:rsidR="00286BF6">
        <w:rPr>
          <w:rFonts w:ascii="Times New Roman" w:hAnsi="Times New Roman" w:cs="Times New Roman"/>
          <w:sz w:val="24"/>
          <w:szCs w:val="24"/>
          <w:lang w:val="en-GB"/>
        </w:rPr>
        <w:t xml:space="preserve">The further we move from the </w:t>
      </w:r>
      <w:r w:rsidR="0013600E">
        <w:rPr>
          <w:rFonts w:ascii="Times New Roman" w:hAnsi="Times New Roman" w:cs="Times New Roman"/>
          <w:sz w:val="24"/>
          <w:szCs w:val="24"/>
          <w:lang w:val="en-GB"/>
        </w:rPr>
        <w:t xml:space="preserve">minimum </w:t>
      </w:r>
      <w:r w:rsidR="00286BF6">
        <w:rPr>
          <w:rFonts w:ascii="Times New Roman" w:hAnsi="Times New Roman" w:cs="Times New Roman"/>
          <w:sz w:val="24"/>
          <w:szCs w:val="24"/>
          <w:lang w:val="en-GB"/>
        </w:rPr>
        <w:t xml:space="preserve">core of the rights attached to the status and enter the area of e.g. residence permits, employment, education etc, the </w:t>
      </w:r>
      <w:r w:rsidR="00BA0A4E">
        <w:rPr>
          <w:rFonts w:ascii="Times New Roman" w:hAnsi="Times New Roman" w:cs="Times New Roman"/>
          <w:sz w:val="24"/>
          <w:szCs w:val="24"/>
          <w:lang w:val="en-GB"/>
        </w:rPr>
        <w:t>more diminished is the</w:t>
      </w:r>
      <w:r w:rsidR="00286BF6">
        <w:rPr>
          <w:rFonts w:ascii="Times New Roman" w:hAnsi="Times New Roman" w:cs="Times New Roman"/>
          <w:sz w:val="24"/>
          <w:szCs w:val="24"/>
          <w:lang w:val="en-GB"/>
        </w:rPr>
        <w:t xml:space="preserve"> formal role of the decision. If we follow</w:t>
      </w:r>
      <w:r w:rsidR="00BA0A4E">
        <w:rPr>
          <w:rFonts w:ascii="Times New Roman" w:hAnsi="Times New Roman" w:cs="Times New Roman"/>
          <w:sz w:val="24"/>
          <w:szCs w:val="24"/>
          <w:lang w:val="en-GB"/>
        </w:rPr>
        <w:t xml:space="preserve"> </w:t>
      </w:r>
      <w:r w:rsidR="00286BF6" w:rsidRPr="00286BF6">
        <w:rPr>
          <w:rFonts w:ascii="Times New Roman" w:hAnsi="Times New Roman" w:cs="Times New Roman"/>
          <w:i/>
          <w:iCs/>
          <w:sz w:val="24"/>
          <w:szCs w:val="24"/>
          <w:lang w:val="en-GB"/>
        </w:rPr>
        <w:t>QY</w:t>
      </w:r>
      <w:r w:rsidR="00BA0A4E">
        <w:rPr>
          <w:rFonts w:ascii="Times New Roman" w:hAnsi="Times New Roman" w:cs="Times New Roman"/>
          <w:i/>
          <w:iCs/>
          <w:sz w:val="24"/>
          <w:szCs w:val="24"/>
          <w:lang w:val="en-GB"/>
        </w:rPr>
        <w:t>,</w:t>
      </w:r>
      <w:r w:rsidR="00286BF6">
        <w:rPr>
          <w:rFonts w:ascii="Times New Roman" w:hAnsi="Times New Roman" w:cs="Times New Roman"/>
          <w:i/>
          <w:iCs/>
          <w:sz w:val="24"/>
          <w:szCs w:val="24"/>
          <w:lang w:val="en-GB"/>
        </w:rPr>
        <w:t xml:space="preserve"> </w:t>
      </w:r>
      <w:r w:rsidR="00286BF6">
        <w:rPr>
          <w:rFonts w:ascii="Times New Roman" w:hAnsi="Times New Roman" w:cs="Times New Roman"/>
          <w:sz w:val="24"/>
          <w:szCs w:val="24"/>
          <w:lang w:val="en-GB"/>
        </w:rPr>
        <w:t>it simply has an evidentiary value.</w:t>
      </w:r>
    </w:p>
    <w:p w14:paraId="5B36BE05" w14:textId="77777777" w:rsidR="009F5D8C" w:rsidRDefault="009F5D8C" w:rsidP="00C0036E">
      <w:pPr>
        <w:spacing w:after="0" w:line="240" w:lineRule="auto"/>
        <w:jc w:val="both"/>
        <w:rPr>
          <w:rFonts w:ascii="Times New Roman" w:hAnsi="Times New Roman" w:cs="Times New Roman"/>
          <w:sz w:val="24"/>
          <w:szCs w:val="24"/>
          <w:lang w:val="en-GB"/>
        </w:rPr>
      </w:pPr>
    </w:p>
    <w:p w14:paraId="7A335531" w14:textId="474F8068" w:rsidR="00B50D07" w:rsidRDefault="009F5D8C" w:rsidP="00C0036E">
      <w:pPr>
        <w:pStyle w:val="Heading1"/>
        <w:spacing w:before="0" w:after="0" w:line="240" w:lineRule="auto"/>
        <w:rPr>
          <w:lang w:val="en-GB"/>
        </w:rPr>
      </w:pPr>
      <w:r>
        <w:rPr>
          <w:lang w:val="en-GB"/>
        </w:rPr>
        <w:t>5</w:t>
      </w:r>
      <w:r w:rsidR="00633632">
        <w:rPr>
          <w:lang w:val="en-GB"/>
        </w:rPr>
        <w:t xml:space="preserve">. Conclusion </w:t>
      </w:r>
    </w:p>
    <w:p w14:paraId="2C5D01B7" w14:textId="2ED3FB0B" w:rsidR="00401D02" w:rsidRDefault="003D4234" w:rsidP="00401D0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Movements of beneficiaries of international protection between Member States pose a challenge to the very idea of a common asylum system</w:t>
      </w:r>
      <w:r w:rsidR="001A1882">
        <w:rPr>
          <w:rFonts w:ascii="Times New Roman" w:hAnsi="Times New Roman" w:cs="Times New Roman"/>
          <w:sz w:val="24"/>
          <w:szCs w:val="24"/>
          <w:lang w:val="en-GB"/>
        </w:rPr>
        <w:t xml:space="preserve">. It cannot be truly common, if the positive decision to grant refugee status ultimately remains a national decision. </w:t>
      </w:r>
      <w:r w:rsidR="001A1882" w:rsidRPr="00286BF6">
        <w:rPr>
          <w:rFonts w:ascii="Times New Roman" w:hAnsi="Times New Roman" w:cs="Times New Roman"/>
          <w:i/>
          <w:iCs/>
          <w:sz w:val="24"/>
          <w:szCs w:val="24"/>
          <w:lang w:val="en-GB"/>
        </w:rPr>
        <w:t>QY</w:t>
      </w:r>
      <w:r w:rsidR="001A1882">
        <w:rPr>
          <w:rFonts w:ascii="Times New Roman" w:hAnsi="Times New Roman" w:cs="Times New Roman"/>
          <w:i/>
          <w:iCs/>
          <w:sz w:val="24"/>
          <w:szCs w:val="24"/>
          <w:lang w:val="en-GB"/>
        </w:rPr>
        <w:t xml:space="preserve"> </w:t>
      </w:r>
      <w:r w:rsidR="001A1882">
        <w:rPr>
          <w:rFonts w:ascii="Times New Roman" w:hAnsi="Times New Roman" w:cs="Times New Roman"/>
          <w:sz w:val="24"/>
          <w:szCs w:val="24"/>
          <w:lang w:val="en-GB"/>
        </w:rPr>
        <w:t xml:space="preserve">clarified that it has an evidential role since the new Member State is under the procedural obligation to take ‘full account’ of the positive decision taken by another Member State. </w:t>
      </w:r>
      <w:r w:rsidR="001A1882" w:rsidRPr="00286BF6">
        <w:rPr>
          <w:rFonts w:ascii="Times New Roman" w:hAnsi="Times New Roman" w:cs="Times New Roman"/>
          <w:i/>
          <w:iCs/>
          <w:sz w:val="24"/>
          <w:szCs w:val="24"/>
          <w:lang w:val="en-GB"/>
        </w:rPr>
        <w:t>QY</w:t>
      </w:r>
      <w:r w:rsidR="00401D02">
        <w:rPr>
          <w:rFonts w:ascii="Times New Roman" w:hAnsi="Times New Roman" w:cs="Times New Roman"/>
          <w:i/>
          <w:iCs/>
          <w:sz w:val="24"/>
          <w:szCs w:val="24"/>
          <w:lang w:val="en-GB"/>
        </w:rPr>
        <w:t xml:space="preserve">, </w:t>
      </w:r>
      <w:r w:rsidR="00401D02">
        <w:rPr>
          <w:rFonts w:ascii="Times New Roman" w:hAnsi="Times New Roman" w:cs="Times New Roman"/>
          <w:sz w:val="24"/>
          <w:szCs w:val="24"/>
          <w:lang w:val="en-GB"/>
        </w:rPr>
        <w:t xml:space="preserve">as also compared with </w:t>
      </w:r>
      <w:r w:rsidR="00401D02" w:rsidRPr="00286BF6">
        <w:rPr>
          <w:rFonts w:ascii="Times New Roman" w:hAnsi="Times New Roman" w:cs="Times New Roman"/>
          <w:i/>
          <w:iCs/>
          <w:sz w:val="24"/>
          <w:szCs w:val="24"/>
          <w:lang w:val="en-GB"/>
        </w:rPr>
        <w:t xml:space="preserve">A., v </w:t>
      </w:r>
      <w:proofErr w:type="spellStart"/>
      <w:r w:rsidR="00401D02" w:rsidRPr="00286BF6">
        <w:rPr>
          <w:rFonts w:ascii="Times New Roman" w:hAnsi="Times New Roman" w:cs="Times New Roman"/>
          <w:i/>
          <w:iCs/>
          <w:sz w:val="24"/>
          <w:szCs w:val="24"/>
          <w:lang w:val="en-GB"/>
        </w:rPr>
        <w:t>Generalstaatsanwaltschaft</w:t>
      </w:r>
      <w:proofErr w:type="spellEnd"/>
      <w:r w:rsidR="00401D02" w:rsidRPr="00286BF6">
        <w:rPr>
          <w:rFonts w:ascii="Times New Roman" w:hAnsi="Times New Roman" w:cs="Times New Roman"/>
          <w:i/>
          <w:iCs/>
          <w:sz w:val="24"/>
          <w:szCs w:val="24"/>
          <w:lang w:val="en-GB"/>
        </w:rPr>
        <w:t xml:space="preserve"> Hamm</w:t>
      </w:r>
      <w:r w:rsidR="00401D02">
        <w:rPr>
          <w:rFonts w:ascii="Times New Roman" w:hAnsi="Times New Roman" w:cs="Times New Roman"/>
          <w:i/>
          <w:iCs/>
          <w:sz w:val="24"/>
          <w:szCs w:val="24"/>
          <w:lang w:val="en-GB"/>
        </w:rPr>
        <w:t xml:space="preserve">, </w:t>
      </w:r>
      <w:r w:rsidR="00401D02">
        <w:rPr>
          <w:rFonts w:ascii="Times New Roman" w:hAnsi="Times New Roman" w:cs="Times New Roman"/>
          <w:sz w:val="24"/>
          <w:szCs w:val="24"/>
          <w:lang w:val="en-GB"/>
        </w:rPr>
        <w:t xml:space="preserve">lays bare the </w:t>
      </w:r>
      <w:r w:rsidR="00EB1D78">
        <w:rPr>
          <w:rFonts w:ascii="Times New Roman" w:hAnsi="Times New Roman" w:cs="Times New Roman"/>
          <w:sz w:val="24"/>
          <w:szCs w:val="24"/>
          <w:lang w:val="en-GB"/>
        </w:rPr>
        <w:t xml:space="preserve">following </w:t>
      </w:r>
      <w:r w:rsidR="00401D02">
        <w:rPr>
          <w:rFonts w:ascii="Times New Roman" w:hAnsi="Times New Roman" w:cs="Times New Roman"/>
          <w:sz w:val="24"/>
          <w:szCs w:val="24"/>
          <w:lang w:val="en-GB"/>
        </w:rPr>
        <w:t>logic</w:t>
      </w:r>
      <w:r w:rsidR="00EB1D78">
        <w:rPr>
          <w:rFonts w:ascii="Times New Roman" w:hAnsi="Times New Roman" w:cs="Times New Roman"/>
          <w:sz w:val="24"/>
          <w:szCs w:val="24"/>
          <w:lang w:val="en-GB"/>
        </w:rPr>
        <w:t xml:space="preserve">: </w:t>
      </w:r>
      <w:r w:rsidR="00401D02">
        <w:rPr>
          <w:rFonts w:ascii="Times New Roman" w:hAnsi="Times New Roman" w:cs="Times New Roman"/>
          <w:sz w:val="24"/>
          <w:szCs w:val="24"/>
          <w:lang w:val="en-GB"/>
        </w:rPr>
        <w:t xml:space="preserve"> the more burdens (i.e. the content of international protection rights/the content of the refugee status) the Member States has, the more unfair it can be to </w:t>
      </w:r>
      <w:r w:rsidR="00EB1D78">
        <w:rPr>
          <w:rFonts w:ascii="Times New Roman" w:hAnsi="Times New Roman" w:cs="Times New Roman"/>
          <w:sz w:val="24"/>
          <w:szCs w:val="24"/>
          <w:lang w:val="en-GB"/>
        </w:rPr>
        <w:t xml:space="preserve">undertake </w:t>
      </w:r>
      <w:r w:rsidR="00401D02">
        <w:rPr>
          <w:rFonts w:ascii="Times New Roman" w:hAnsi="Times New Roman" w:cs="Times New Roman"/>
          <w:sz w:val="24"/>
          <w:szCs w:val="24"/>
          <w:lang w:val="en-GB"/>
        </w:rPr>
        <w:t>these burdens without having the possibility to assess the basis on which it takes the burdens (i.e. the grounds for international protection).</w:t>
      </w:r>
      <w:r w:rsidR="00EB1D78">
        <w:rPr>
          <w:rFonts w:ascii="Times New Roman" w:hAnsi="Times New Roman" w:cs="Times New Roman"/>
          <w:sz w:val="24"/>
          <w:szCs w:val="24"/>
          <w:lang w:val="en-GB"/>
        </w:rPr>
        <w:t xml:space="preserve"> This logic</w:t>
      </w:r>
      <w:r w:rsidR="000F5835">
        <w:rPr>
          <w:rFonts w:ascii="Times New Roman" w:hAnsi="Times New Roman" w:cs="Times New Roman"/>
          <w:sz w:val="24"/>
          <w:szCs w:val="24"/>
          <w:lang w:val="en-GB"/>
        </w:rPr>
        <w:t>,</w:t>
      </w:r>
      <w:r w:rsidR="00EB1D78">
        <w:rPr>
          <w:rFonts w:ascii="Times New Roman" w:hAnsi="Times New Roman" w:cs="Times New Roman"/>
          <w:sz w:val="24"/>
          <w:szCs w:val="24"/>
          <w:lang w:val="en-GB"/>
        </w:rPr>
        <w:t xml:space="preserve"> </w:t>
      </w:r>
      <w:r w:rsidR="000F5835">
        <w:rPr>
          <w:rFonts w:ascii="Times New Roman" w:hAnsi="Times New Roman" w:cs="Times New Roman"/>
          <w:sz w:val="24"/>
          <w:szCs w:val="24"/>
          <w:lang w:val="en-GB"/>
        </w:rPr>
        <w:t>underpinned by the idea that a positive protection decision is a national decision</w:t>
      </w:r>
      <w:r w:rsidR="007C7329">
        <w:rPr>
          <w:rFonts w:ascii="Times New Roman" w:hAnsi="Times New Roman" w:cs="Times New Roman"/>
          <w:sz w:val="24"/>
          <w:szCs w:val="24"/>
          <w:lang w:val="en-GB"/>
        </w:rPr>
        <w:t xml:space="preserve"> that allows access to the benefit of belonging to the specific </w:t>
      </w:r>
      <w:r w:rsidR="007C7329" w:rsidRPr="007C7329">
        <w:rPr>
          <w:rFonts w:ascii="Times New Roman" w:hAnsi="Times New Roman" w:cs="Times New Roman"/>
          <w:i/>
          <w:iCs/>
          <w:sz w:val="24"/>
          <w:szCs w:val="24"/>
          <w:lang w:val="en-GB"/>
        </w:rPr>
        <w:t>national</w:t>
      </w:r>
      <w:r w:rsidR="007C7329">
        <w:rPr>
          <w:rFonts w:ascii="Times New Roman" w:hAnsi="Times New Roman" w:cs="Times New Roman"/>
          <w:sz w:val="24"/>
          <w:szCs w:val="24"/>
          <w:lang w:val="en-GB"/>
        </w:rPr>
        <w:t xml:space="preserve"> community</w:t>
      </w:r>
      <w:r w:rsidR="000F5835">
        <w:rPr>
          <w:rFonts w:ascii="Times New Roman" w:hAnsi="Times New Roman" w:cs="Times New Roman"/>
          <w:sz w:val="24"/>
          <w:szCs w:val="24"/>
          <w:lang w:val="en-GB"/>
        </w:rPr>
        <w:t>,</w:t>
      </w:r>
      <w:r w:rsidR="000F5835">
        <w:rPr>
          <w:rStyle w:val="FootnoteReference"/>
          <w:rFonts w:ascii="Times New Roman" w:hAnsi="Times New Roman" w:cs="Times New Roman"/>
          <w:sz w:val="24"/>
          <w:szCs w:val="24"/>
          <w:lang w:val="en-GB"/>
        </w:rPr>
        <w:footnoteReference w:id="25"/>
      </w:r>
      <w:r w:rsidR="000F5835">
        <w:rPr>
          <w:rFonts w:ascii="Times New Roman" w:hAnsi="Times New Roman" w:cs="Times New Roman"/>
          <w:sz w:val="24"/>
          <w:szCs w:val="24"/>
          <w:lang w:val="en-GB"/>
        </w:rPr>
        <w:t xml:space="preserve"> continues to be reflected in the 2024 amendments to the EU asylum legislation.</w:t>
      </w:r>
    </w:p>
    <w:p w14:paraId="5DEEC734" w14:textId="77777777" w:rsidR="00401D02" w:rsidRPr="00401D02" w:rsidRDefault="00401D02" w:rsidP="00C0036E">
      <w:pPr>
        <w:spacing w:after="0" w:line="240" w:lineRule="auto"/>
        <w:jc w:val="both"/>
        <w:rPr>
          <w:rFonts w:ascii="Times New Roman" w:hAnsi="Times New Roman" w:cs="Times New Roman"/>
          <w:sz w:val="24"/>
          <w:szCs w:val="24"/>
          <w:lang w:val="en-GB"/>
        </w:rPr>
      </w:pPr>
    </w:p>
    <w:p w14:paraId="111E7DB1" w14:textId="77777777" w:rsidR="000846D4" w:rsidRDefault="000846D4" w:rsidP="00C0036E">
      <w:pPr>
        <w:spacing w:after="0" w:line="240" w:lineRule="auto"/>
        <w:jc w:val="both"/>
        <w:rPr>
          <w:rFonts w:ascii="Times New Roman" w:hAnsi="Times New Roman" w:cs="Times New Roman"/>
          <w:sz w:val="24"/>
          <w:szCs w:val="24"/>
          <w:lang w:val="en-GB"/>
        </w:rPr>
      </w:pPr>
    </w:p>
    <w:p w14:paraId="15EB7802" w14:textId="77777777" w:rsidR="00E82095" w:rsidRDefault="00E82095" w:rsidP="00C0036E">
      <w:pPr>
        <w:spacing w:after="0" w:line="240" w:lineRule="auto"/>
        <w:jc w:val="both"/>
        <w:rPr>
          <w:rFonts w:ascii="Times New Roman" w:hAnsi="Times New Roman" w:cs="Times New Roman"/>
          <w:sz w:val="24"/>
          <w:szCs w:val="24"/>
          <w:lang w:val="en-GB"/>
        </w:rPr>
      </w:pPr>
    </w:p>
    <w:p w14:paraId="03439FF4" w14:textId="77777777" w:rsidR="0004409D" w:rsidRDefault="0004409D" w:rsidP="00C0036E">
      <w:pPr>
        <w:spacing w:after="0" w:line="240" w:lineRule="auto"/>
        <w:jc w:val="both"/>
        <w:rPr>
          <w:rFonts w:ascii="Times New Roman" w:hAnsi="Times New Roman" w:cs="Times New Roman"/>
          <w:sz w:val="24"/>
          <w:szCs w:val="24"/>
          <w:lang w:val="en-GB"/>
        </w:rPr>
      </w:pPr>
    </w:p>
    <w:p w14:paraId="508B64EB" w14:textId="77777777" w:rsidR="0004409D" w:rsidRDefault="0004409D" w:rsidP="00C0036E">
      <w:pPr>
        <w:spacing w:after="0" w:line="240" w:lineRule="auto"/>
        <w:jc w:val="both"/>
        <w:rPr>
          <w:rFonts w:ascii="Times New Roman" w:hAnsi="Times New Roman" w:cs="Times New Roman"/>
          <w:sz w:val="24"/>
          <w:szCs w:val="24"/>
          <w:lang w:val="en-GB"/>
        </w:rPr>
      </w:pPr>
    </w:p>
    <w:p w14:paraId="4CB64BB5" w14:textId="45FC55E3" w:rsidR="00881887" w:rsidRPr="00881887" w:rsidRDefault="00881887" w:rsidP="00C0036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1984C99A" w14:textId="77777777" w:rsidR="00E6432E" w:rsidRPr="00B8734C" w:rsidRDefault="00E6432E" w:rsidP="00C0036E">
      <w:pPr>
        <w:spacing w:after="0" w:line="240" w:lineRule="auto"/>
        <w:jc w:val="both"/>
        <w:rPr>
          <w:rFonts w:ascii="Times New Roman" w:hAnsi="Times New Roman" w:cs="Times New Roman"/>
          <w:sz w:val="24"/>
          <w:szCs w:val="24"/>
          <w:lang w:val="en-GB"/>
        </w:rPr>
      </w:pPr>
    </w:p>
    <w:sectPr w:rsidR="00E6432E" w:rsidRPr="00B8734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263EB" w14:textId="77777777" w:rsidR="003B75BA" w:rsidRDefault="003B75BA" w:rsidP="003A76E5">
      <w:pPr>
        <w:spacing w:after="0" w:line="240" w:lineRule="auto"/>
      </w:pPr>
      <w:r>
        <w:separator/>
      </w:r>
    </w:p>
  </w:endnote>
  <w:endnote w:type="continuationSeparator" w:id="0">
    <w:p w14:paraId="7387F88B" w14:textId="77777777" w:rsidR="003B75BA" w:rsidRDefault="003B75BA" w:rsidP="003A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7760145"/>
      <w:docPartObj>
        <w:docPartGallery w:val="Page Numbers (Bottom of Page)"/>
        <w:docPartUnique/>
      </w:docPartObj>
    </w:sdtPr>
    <w:sdtEndPr/>
    <w:sdtContent>
      <w:p w14:paraId="6FC4987B" w14:textId="6A03436F" w:rsidR="0004409D" w:rsidRDefault="0004409D">
        <w:pPr>
          <w:pStyle w:val="Footer"/>
          <w:jc w:val="center"/>
        </w:pPr>
        <w:r>
          <w:fldChar w:fldCharType="begin"/>
        </w:r>
        <w:r>
          <w:instrText>PAGE   \* MERGEFORMAT</w:instrText>
        </w:r>
        <w:r>
          <w:fldChar w:fldCharType="separate"/>
        </w:r>
        <w:r>
          <w:t>2</w:t>
        </w:r>
        <w:r>
          <w:fldChar w:fldCharType="end"/>
        </w:r>
      </w:p>
    </w:sdtContent>
  </w:sdt>
  <w:p w14:paraId="438E0066" w14:textId="77777777" w:rsidR="0004409D" w:rsidRDefault="00044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947CC" w14:textId="77777777" w:rsidR="003B75BA" w:rsidRDefault="003B75BA" w:rsidP="003A76E5">
      <w:pPr>
        <w:spacing w:after="0" w:line="240" w:lineRule="auto"/>
      </w:pPr>
      <w:r>
        <w:separator/>
      </w:r>
    </w:p>
  </w:footnote>
  <w:footnote w:type="continuationSeparator" w:id="0">
    <w:p w14:paraId="738E045E" w14:textId="77777777" w:rsidR="003B75BA" w:rsidRDefault="003B75BA" w:rsidP="003A76E5">
      <w:pPr>
        <w:spacing w:after="0" w:line="240" w:lineRule="auto"/>
      </w:pPr>
      <w:r>
        <w:continuationSeparator/>
      </w:r>
    </w:p>
  </w:footnote>
  <w:footnote w:id="1">
    <w:p w14:paraId="6EB6F77D" w14:textId="28957582" w:rsidR="003A76E5" w:rsidRPr="001B4B84" w:rsidRDefault="003A76E5" w:rsidP="001B4B84">
      <w:pPr>
        <w:pStyle w:val="FootnoteText"/>
        <w:jc w:val="both"/>
        <w:rPr>
          <w:rFonts w:ascii="Times New Roman" w:hAnsi="Times New Roman" w:cs="Times New Roman"/>
          <w:lang w:val="en-GB"/>
        </w:rPr>
      </w:pPr>
      <w:r w:rsidRPr="001B4B84">
        <w:rPr>
          <w:rStyle w:val="FootnoteReference"/>
          <w:rFonts w:ascii="Times New Roman" w:hAnsi="Times New Roman" w:cs="Times New Roman"/>
        </w:rPr>
        <w:footnoteRef/>
      </w:r>
      <w:r w:rsidRPr="001B4B84">
        <w:rPr>
          <w:rFonts w:ascii="Times New Roman" w:hAnsi="Times New Roman" w:cs="Times New Roman"/>
          <w:lang w:val="en-GB"/>
        </w:rPr>
        <w:t xml:space="preserve"> </w:t>
      </w:r>
      <w:r w:rsidRPr="001B4B84">
        <w:rPr>
          <w:rFonts w:ascii="Times New Roman" w:hAnsi="Times New Roman" w:cs="Times New Roman"/>
          <w:i/>
          <w:iCs/>
          <w:lang w:val="en-GB"/>
        </w:rPr>
        <w:t>N.S. and Others</w:t>
      </w:r>
      <w:r w:rsidRPr="001B4B84">
        <w:rPr>
          <w:rFonts w:ascii="Times New Roman" w:hAnsi="Times New Roman" w:cs="Times New Roman"/>
          <w:lang w:val="en-GB"/>
        </w:rPr>
        <w:t xml:space="preserve"> C-411/10.</w:t>
      </w:r>
    </w:p>
  </w:footnote>
  <w:footnote w:id="2">
    <w:p w14:paraId="734DAB90" w14:textId="6C45F6D1" w:rsidR="001B4B84" w:rsidRPr="00C0036E" w:rsidRDefault="001B4B84" w:rsidP="001B4B84">
      <w:pPr>
        <w:pStyle w:val="FootnoteText"/>
        <w:jc w:val="both"/>
        <w:rPr>
          <w:rFonts w:ascii="Times New Roman" w:hAnsi="Times New Roman" w:cs="Times New Roman"/>
          <w:lang w:val="en-GB"/>
        </w:rPr>
      </w:pPr>
      <w:r w:rsidRPr="001B4B84">
        <w:rPr>
          <w:rStyle w:val="FootnoteReference"/>
          <w:rFonts w:ascii="Times New Roman" w:hAnsi="Times New Roman" w:cs="Times New Roman"/>
        </w:rPr>
        <w:footnoteRef/>
      </w:r>
      <w:r w:rsidRPr="001B4B84">
        <w:rPr>
          <w:rFonts w:ascii="Times New Roman" w:hAnsi="Times New Roman" w:cs="Times New Roman"/>
          <w:lang w:val="en-GB"/>
        </w:rPr>
        <w:t xml:space="preserve"> Regulation No 604/2013 of 26 June 2013 establishing the criteria and mechanisms for determining the Member </w:t>
      </w:r>
      <w:r w:rsidRPr="00C0036E">
        <w:rPr>
          <w:rFonts w:ascii="Times New Roman" w:hAnsi="Times New Roman" w:cs="Times New Roman"/>
          <w:lang w:val="en-GB"/>
        </w:rPr>
        <w:t>State responsible for examining an application for international protection lodged in one of the Member States by a third-country national or a stateless person (recast).</w:t>
      </w:r>
    </w:p>
  </w:footnote>
  <w:footnote w:id="3">
    <w:p w14:paraId="6784AE88" w14:textId="53B90149" w:rsidR="00B8734C" w:rsidRPr="00C0036E" w:rsidRDefault="00B8734C" w:rsidP="001B4B84">
      <w:pPr>
        <w:pStyle w:val="FootnoteText"/>
        <w:jc w:val="both"/>
        <w:rPr>
          <w:rFonts w:ascii="Times New Roman" w:hAnsi="Times New Roman" w:cs="Times New Roman"/>
          <w:lang w:val="en-GB"/>
        </w:rPr>
      </w:pPr>
      <w:r w:rsidRPr="00C0036E">
        <w:rPr>
          <w:rStyle w:val="FootnoteReference"/>
          <w:rFonts w:ascii="Times New Roman" w:hAnsi="Times New Roman" w:cs="Times New Roman"/>
        </w:rPr>
        <w:footnoteRef/>
      </w:r>
      <w:r w:rsidRPr="00C0036E">
        <w:rPr>
          <w:rFonts w:ascii="Times New Roman" w:hAnsi="Times New Roman" w:cs="Times New Roman"/>
          <w:lang w:val="en-GB"/>
        </w:rPr>
        <w:t xml:space="preserve"> C-288, C-254/21, C-297/21, C-315/21 and C-328</w:t>
      </w:r>
      <w:r w:rsidR="00F95B23" w:rsidRPr="00C0036E">
        <w:rPr>
          <w:rFonts w:ascii="Times New Roman" w:hAnsi="Times New Roman" w:cs="Times New Roman"/>
          <w:lang w:val="en-GB"/>
        </w:rPr>
        <w:t>.</w:t>
      </w:r>
      <w:r w:rsidR="00012FF7" w:rsidRPr="00C0036E">
        <w:rPr>
          <w:rFonts w:ascii="Times New Roman" w:hAnsi="Times New Roman" w:cs="Times New Roman"/>
          <w:lang w:val="en-GB"/>
        </w:rPr>
        <w:t xml:space="preserve"> </w:t>
      </w:r>
      <w:r w:rsidR="00540134">
        <w:rPr>
          <w:rFonts w:ascii="Times New Roman" w:hAnsi="Times New Roman" w:cs="Times New Roman"/>
          <w:lang w:val="en-GB"/>
        </w:rPr>
        <w:t xml:space="preserve">See </w:t>
      </w:r>
      <w:proofErr w:type="spellStart"/>
      <w:r w:rsidR="00540134">
        <w:rPr>
          <w:rFonts w:ascii="Times New Roman" w:hAnsi="Times New Roman" w:cs="Times New Roman"/>
          <w:lang w:val="en-GB"/>
        </w:rPr>
        <w:t>Jointed</w:t>
      </w:r>
      <w:proofErr w:type="spellEnd"/>
      <w:r w:rsidR="00540134">
        <w:rPr>
          <w:rFonts w:ascii="Times New Roman" w:hAnsi="Times New Roman" w:cs="Times New Roman"/>
          <w:lang w:val="en-GB"/>
        </w:rPr>
        <w:t xml:space="preserve"> Cases C-123/23 and C-202/23.</w:t>
      </w:r>
    </w:p>
  </w:footnote>
  <w:footnote w:id="4">
    <w:p w14:paraId="5172BD6C" w14:textId="0095BB0C" w:rsidR="00B50D07" w:rsidRPr="00C0036E" w:rsidRDefault="00B50D07" w:rsidP="001B4B84">
      <w:pPr>
        <w:spacing w:after="0" w:line="240" w:lineRule="auto"/>
        <w:jc w:val="both"/>
        <w:rPr>
          <w:rFonts w:ascii="Times New Roman" w:hAnsi="Times New Roman" w:cs="Times New Roman"/>
          <w:sz w:val="20"/>
          <w:szCs w:val="20"/>
          <w:lang w:val="en-GB"/>
        </w:rPr>
      </w:pPr>
      <w:r w:rsidRPr="00C0036E">
        <w:rPr>
          <w:rStyle w:val="FootnoteReference"/>
          <w:rFonts w:ascii="Times New Roman" w:hAnsi="Times New Roman" w:cs="Times New Roman"/>
          <w:sz w:val="20"/>
          <w:szCs w:val="20"/>
        </w:rPr>
        <w:footnoteRef/>
      </w:r>
      <w:r w:rsidRPr="00C0036E">
        <w:rPr>
          <w:rFonts w:ascii="Times New Roman" w:hAnsi="Times New Roman" w:cs="Times New Roman"/>
          <w:sz w:val="20"/>
          <w:szCs w:val="20"/>
          <w:lang w:val="en-GB"/>
        </w:rPr>
        <w:t xml:space="preserve"> For pending cases at the Court of Justice concerning questions about the role of positive protection decision, see also </w:t>
      </w:r>
      <w:r w:rsidRPr="00C0036E">
        <w:rPr>
          <w:rFonts w:ascii="Times New Roman" w:hAnsi="Times New Roman" w:cs="Times New Roman"/>
          <w:i/>
          <w:iCs/>
          <w:sz w:val="20"/>
          <w:szCs w:val="20"/>
          <w:lang w:val="en-GB"/>
        </w:rPr>
        <w:t>El Baheer </w:t>
      </w:r>
      <w:r>
        <w:fldChar w:fldCharType="begin"/>
      </w:r>
      <w:r w:rsidRPr="002C30F4">
        <w:rPr>
          <w:lang w:val="en-GB"/>
        </w:rPr>
        <w:instrText>HYPERLINK "https://curia.europa.eu/juris/fiche.jsf?id=C%3B288%3B23%3BRP%3B1%3BP%3B1%3BC2023%2F0288%2FP&amp;nat=or&amp;mat=or&amp;pcs=Oor&amp;jur=C%2CT%2CF&amp;num=C-288%252F23&amp;for=&amp;jge=&amp;dates=&amp;language=en&amp;pro=&amp;cit=none%252CC%252CCJ%252CR%252C2008E%252C%252C%252C%252C%252C%252C%252C%252C%252C%252Ctrue%252Cfalse%252Cfalse&amp;oqp=&amp;td=%3BALL&amp;avg=&amp;lgrec=en&amp;lg=&amp;cid=437949" \t "_blank"</w:instrText>
      </w:r>
      <w:r>
        <w:fldChar w:fldCharType="separate"/>
      </w:r>
      <w:r w:rsidRPr="00C0036E">
        <w:rPr>
          <w:rStyle w:val="Hyperlink"/>
          <w:rFonts w:ascii="Times New Roman" w:hAnsi="Times New Roman" w:cs="Times New Roman"/>
          <w:sz w:val="20"/>
          <w:szCs w:val="20"/>
          <w:lang w:val="en-GB"/>
        </w:rPr>
        <w:t>C-288/23</w:t>
      </w:r>
      <w:r>
        <w:fldChar w:fldCharType="end"/>
      </w:r>
      <w:r w:rsidRPr="00C0036E">
        <w:rPr>
          <w:rFonts w:ascii="Times New Roman" w:hAnsi="Times New Roman" w:cs="Times New Roman"/>
          <w:sz w:val="20"/>
          <w:szCs w:val="20"/>
          <w:lang w:val="en-GB"/>
        </w:rPr>
        <w:t>, </w:t>
      </w:r>
      <w:r w:rsidRPr="00C0036E">
        <w:rPr>
          <w:rFonts w:ascii="Times New Roman" w:hAnsi="Times New Roman" w:cs="Times New Roman"/>
          <w:i/>
          <w:iCs/>
          <w:sz w:val="20"/>
          <w:szCs w:val="20"/>
          <w:lang w:val="en-GB"/>
        </w:rPr>
        <w:t>Cassen</w:t>
      </w:r>
      <w:r w:rsidRPr="00C0036E">
        <w:rPr>
          <w:rFonts w:ascii="Times New Roman" w:hAnsi="Times New Roman" w:cs="Times New Roman"/>
          <w:sz w:val="20"/>
          <w:szCs w:val="20"/>
          <w:lang w:val="en-GB"/>
        </w:rPr>
        <w:t> </w:t>
      </w:r>
      <w:r>
        <w:fldChar w:fldCharType="begin"/>
      </w:r>
      <w:r w:rsidRPr="002C30F4">
        <w:rPr>
          <w:lang w:val="en-GB"/>
        </w:rPr>
        <w:instrText>HYPERLINK "https://curia.europa.eu/juris/liste.jsf?nat=or&amp;mat=or&amp;pcs=Oor&amp;jur=C%2CT%2CF&amp;num=C-551%252F23&amp;for=&amp;jge=&amp;dates=&amp;language=en&amp;pro=&amp;cit=none%252CC%252CCJ%252CR%252C2008E%252C%252C%252C%252C%252C%252C%252C%252C%252C%252Ctrue%252Cfalse%252Cfalse&amp;oqp=&amp;td=%3BALL&amp;avg=&amp;lg=&amp;page=1&amp;cid=437949" \t "_blank"</w:instrText>
      </w:r>
      <w:r>
        <w:fldChar w:fldCharType="separate"/>
      </w:r>
      <w:r w:rsidRPr="00C0036E">
        <w:rPr>
          <w:rStyle w:val="Hyperlink"/>
          <w:rFonts w:ascii="Times New Roman" w:hAnsi="Times New Roman" w:cs="Times New Roman"/>
          <w:sz w:val="20"/>
          <w:szCs w:val="20"/>
          <w:lang w:val="en-GB"/>
        </w:rPr>
        <w:t>C-551/23</w:t>
      </w:r>
      <w:r>
        <w:fldChar w:fldCharType="end"/>
      </w:r>
      <w:r w:rsidR="00F84FD9" w:rsidRPr="00C0036E">
        <w:rPr>
          <w:rFonts w:ascii="Times New Roman" w:hAnsi="Times New Roman" w:cs="Times New Roman"/>
          <w:sz w:val="20"/>
          <w:szCs w:val="20"/>
          <w:lang w:val="en-GB"/>
        </w:rPr>
        <w:t>. See also</w:t>
      </w:r>
      <w:r w:rsidR="00F84FD9" w:rsidRPr="00C0036E">
        <w:rPr>
          <w:rFonts w:ascii="Times New Roman" w:hAnsi="Times New Roman" w:cs="Times New Roman"/>
          <w:i/>
          <w:iCs/>
          <w:sz w:val="20"/>
          <w:szCs w:val="20"/>
          <w:lang w:val="en-GB"/>
        </w:rPr>
        <w:t xml:space="preserve"> </w:t>
      </w:r>
      <w:proofErr w:type="spellStart"/>
      <w:r w:rsidRPr="00C0036E">
        <w:rPr>
          <w:rFonts w:ascii="Times New Roman" w:hAnsi="Times New Roman" w:cs="Times New Roman"/>
          <w:i/>
          <w:iCs/>
          <w:sz w:val="20"/>
          <w:szCs w:val="20"/>
          <w:lang w:val="en-GB"/>
        </w:rPr>
        <w:t>Generalstaatsanwaltschaft</w:t>
      </w:r>
      <w:proofErr w:type="spellEnd"/>
      <w:r w:rsidRPr="00C0036E">
        <w:rPr>
          <w:rFonts w:ascii="Times New Roman" w:hAnsi="Times New Roman" w:cs="Times New Roman"/>
          <w:i/>
          <w:iCs/>
          <w:sz w:val="20"/>
          <w:szCs w:val="20"/>
          <w:lang w:val="en-GB"/>
        </w:rPr>
        <w:t xml:space="preserve"> Hamm</w:t>
      </w:r>
      <w:r w:rsidRPr="00C0036E">
        <w:rPr>
          <w:rFonts w:ascii="Times New Roman" w:hAnsi="Times New Roman" w:cs="Times New Roman"/>
          <w:sz w:val="20"/>
          <w:szCs w:val="20"/>
          <w:lang w:val="en-GB"/>
        </w:rPr>
        <w:t> </w:t>
      </w:r>
      <w:hyperlink r:id="rId1" w:tgtFrame="_blank" w:history="1">
        <w:r w:rsidRPr="00C0036E">
          <w:rPr>
            <w:rStyle w:val="Hyperlink"/>
            <w:rFonts w:ascii="Times New Roman" w:hAnsi="Times New Roman" w:cs="Times New Roman"/>
            <w:sz w:val="20"/>
            <w:szCs w:val="20"/>
            <w:lang w:val="en-GB"/>
          </w:rPr>
          <w:t>C-352/22</w:t>
        </w:r>
      </w:hyperlink>
      <w:r w:rsidR="001B4B84" w:rsidRPr="00C0036E">
        <w:rPr>
          <w:rFonts w:ascii="Times New Roman" w:hAnsi="Times New Roman" w:cs="Times New Roman"/>
          <w:sz w:val="20"/>
          <w:szCs w:val="20"/>
          <w:lang w:val="en-GB"/>
        </w:rPr>
        <w:t>.</w:t>
      </w:r>
    </w:p>
  </w:footnote>
  <w:footnote w:id="5">
    <w:p w14:paraId="7F52CFAB" w14:textId="2C34A8B9" w:rsidR="00C0036E" w:rsidRPr="0011449A" w:rsidRDefault="00C0036E">
      <w:pPr>
        <w:pStyle w:val="FootnoteText"/>
        <w:rPr>
          <w:rFonts w:ascii="Times New Roman" w:hAnsi="Times New Roman" w:cs="Times New Roman"/>
        </w:rPr>
      </w:pPr>
      <w:r w:rsidRPr="00C0036E">
        <w:rPr>
          <w:rStyle w:val="FootnoteReference"/>
          <w:rFonts w:ascii="Times New Roman" w:hAnsi="Times New Roman" w:cs="Times New Roman"/>
        </w:rPr>
        <w:footnoteRef/>
      </w:r>
      <w:r w:rsidRPr="0011449A">
        <w:rPr>
          <w:rFonts w:ascii="Times New Roman" w:hAnsi="Times New Roman" w:cs="Times New Roman"/>
        </w:rPr>
        <w:t xml:space="preserve"> </w:t>
      </w:r>
      <w:r w:rsidRPr="0011449A">
        <w:rPr>
          <w:rFonts w:ascii="Times New Roman" w:hAnsi="Times New Roman" w:cs="Times New Roman"/>
          <w:i/>
          <w:iCs/>
        </w:rPr>
        <w:t>QY v Bundesrepublik Deutschland</w:t>
      </w:r>
      <w:r w:rsidRPr="0011449A">
        <w:rPr>
          <w:rFonts w:ascii="Times New Roman" w:hAnsi="Times New Roman" w:cs="Times New Roman"/>
        </w:rPr>
        <w:t>  C-753/22, 18 June 2024.</w:t>
      </w:r>
    </w:p>
  </w:footnote>
  <w:footnote w:id="6">
    <w:p w14:paraId="66F6EFE7" w14:textId="7A0D0106" w:rsidR="001B4B84" w:rsidRPr="001B4B84" w:rsidRDefault="001B4B84" w:rsidP="001B4B84">
      <w:pPr>
        <w:pStyle w:val="FootnoteText"/>
        <w:jc w:val="both"/>
        <w:rPr>
          <w:lang w:val="en-GB"/>
        </w:rPr>
      </w:pPr>
      <w:r w:rsidRPr="00C0036E">
        <w:rPr>
          <w:rStyle w:val="FootnoteReference"/>
          <w:rFonts w:ascii="Times New Roman" w:hAnsi="Times New Roman" w:cs="Times New Roman"/>
        </w:rPr>
        <w:footnoteRef/>
      </w:r>
      <w:r w:rsidRPr="00C0036E">
        <w:rPr>
          <w:rFonts w:ascii="Times New Roman" w:hAnsi="Times New Roman" w:cs="Times New Roman"/>
          <w:lang w:val="en-GB"/>
        </w:rPr>
        <w:t xml:space="preserve"> Regulation 2024/1348 of 14 May 2024 establishing a common procedure for international protection in the Union and repealing Directive 2013/32/EU; Regulation 2024/1347 of 14 May 2024 on standards for the qualification of third-country nationals or stateless</w:t>
      </w:r>
      <w:r w:rsidRPr="001B4B84">
        <w:rPr>
          <w:rFonts w:ascii="Times New Roman" w:hAnsi="Times New Roman" w:cs="Times New Roman"/>
          <w:lang w:val="en-GB"/>
        </w:rPr>
        <w:t xml:space="preserve"> persons as beneficiaries of international protection, for a uniform status for refugees or for persons eligible for subsidiary protection and for the content of the protection granted, amending Council Directive 2003/109/EC and repealing Directive 2011/95/EU of the European Parliament and of the Council.</w:t>
      </w:r>
    </w:p>
  </w:footnote>
  <w:footnote w:id="7">
    <w:p w14:paraId="09DD541C" w14:textId="15832F7C" w:rsidR="00970C2F" w:rsidRPr="00582B35" w:rsidRDefault="00970C2F" w:rsidP="00582B35">
      <w:pPr>
        <w:pStyle w:val="FootnoteText"/>
        <w:jc w:val="both"/>
        <w:rPr>
          <w:rFonts w:ascii="Times New Roman" w:hAnsi="Times New Roman" w:cs="Times New Roman"/>
          <w:lang w:val="en-GB"/>
        </w:rPr>
      </w:pPr>
      <w:r w:rsidRPr="00582B35">
        <w:rPr>
          <w:rStyle w:val="FootnoteReference"/>
          <w:rFonts w:ascii="Times New Roman" w:hAnsi="Times New Roman" w:cs="Times New Roman"/>
        </w:rPr>
        <w:footnoteRef/>
      </w:r>
      <w:r w:rsidRPr="00582B35">
        <w:rPr>
          <w:rFonts w:ascii="Times New Roman" w:hAnsi="Times New Roman" w:cs="Times New Roman"/>
          <w:lang w:val="en-GB"/>
        </w:rPr>
        <w:t xml:space="preserve"> Eligibility for refugee status and subsidiary protection status is defined in </w:t>
      </w:r>
      <w:r w:rsidR="00582B35" w:rsidRPr="00582B35">
        <w:rPr>
          <w:rFonts w:ascii="Times New Roman" w:hAnsi="Times New Roman" w:cs="Times New Roman"/>
          <w:lang w:val="en-GB"/>
        </w:rPr>
        <w:t>Directive 2011/95/EU on standards for the qualification of third-country nationals or stateless persons as beneficiaries of international protection, for a uniform status for refugees or for persons eligible for subsidiary protection, and for the content of the protection granted (recast)</w:t>
      </w:r>
      <w:r w:rsidR="00582B35">
        <w:rPr>
          <w:rFonts w:ascii="Times New Roman" w:hAnsi="Times New Roman" w:cs="Times New Roman"/>
          <w:lang w:val="en-GB"/>
        </w:rPr>
        <w:t xml:space="preserve"> </w:t>
      </w:r>
      <w:r w:rsidR="00582B35" w:rsidRPr="00582B35">
        <w:rPr>
          <w:rFonts w:ascii="Times New Roman" w:hAnsi="Times New Roman" w:cs="Times New Roman"/>
          <w:lang w:val="en-GB"/>
        </w:rPr>
        <w:t>OJ L 337</w:t>
      </w:r>
      <w:r w:rsidR="00582B35">
        <w:rPr>
          <w:rFonts w:ascii="Times New Roman" w:hAnsi="Times New Roman" w:cs="Times New Roman"/>
          <w:lang w:val="en-GB"/>
        </w:rPr>
        <w:t xml:space="preserve">. While the first one implies risk of persecution individually targeted at the applicant; subsidiary protection status is granted upon risk of ‘serious harm’ of a more general nature. Once refugee status or subsidiary protection status granted, the beneficiaries are entitled to the same benefits in many respects. However, there are also important ways in which the benefits different: while refugee status entities the beneficiary to </w:t>
      </w:r>
      <w:r w:rsidR="005C7B13">
        <w:rPr>
          <w:rFonts w:ascii="Times New Roman" w:hAnsi="Times New Roman" w:cs="Times New Roman"/>
          <w:lang w:val="en-GB"/>
        </w:rPr>
        <w:t>three-year</w:t>
      </w:r>
      <w:r w:rsidR="00582B35">
        <w:rPr>
          <w:rFonts w:ascii="Times New Roman" w:hAnsi="Times New Roman" w:cs="Times New Roman"/>
          <w:lang w:val="en-GB"/>
        </w:rPr>
        <w:t xml:space="preserve"> residence permit, subsidiary protection status entitles the beneficiary to only one year permit.   </w:t>
      </w:r>
    </w:p>
  </w:footnote>
  <w:footnote w:id="8">
    <w:p w14:paraId="5FB63699" w14:textId="09031CE6" w:rsidR="005C7B13" w:rsidRPr="001F5560" w:rsidRDefault="005C7B13" w:rsidP="00E212CA">
      <w:pPr>
        <w:pStyle w:val="FootnoteText"/>
        <w:jc w:val="both"/>
        <w:rPr>
          <w:rFonts w:ascii="Times New Roman" w:hAnsi="Times New Roman" w:cs="Times New Roman"/>
          <w:lang w:val="en-GB"/>
        </w:rPr>
      </w:pPr>
      <w:r w:rsidRPr="005C7B13">
        <w:rPr>
          <w:rStyle w:val="FootnoteReference"/>
          <w:rFonts w:ascii="Times New Roman" w:hAnsi="Times New Roman" w:cs="Times New Roman"/>
        </w:rPr>
        <w:footnoteRef/>
      </w:r>
      <w:r w:rsidRPr="00E212CA">
        <w:rPr>
          <w:rFonts w:ascii="Times New Roman" w:hAnsi="Times New Roman" w:cs="Times New Roman"/>
          <w:lang w:val="en-GB"/>
        </w:rPr>
        <w:t xml:space="preserve"> </w:t>
      </w:r>
      <w:r w:rsidR="00E212CA" w:rsidRPr="00E212CA">
        <w:rPr>
          <w:rFonts w:ascii="Times New Roman" w:hAnsi="Times New Roman" w:cs="Times New Roman"/>
          <w:lang w:val="en-GB"/>
        </w:rPr>
        <w:t>For prevention o</w:t>
      </w:r>
      <w:r w:rsidR="00E212CA">
        <w:rPr>
          <w:rFonts w:ascii="Times New Roman" w:hAnsi="Times New Roman" w:cs="Times New Roman"/>
          <w:lang w:val="en-GB"/>
        </w:rPr>
        <w:t xml:space="preserve">f Dublin transfers due to risk of inhuman or degrading treatment in the receiving Member States, see </w:t>
      </w:r>
      <w:r w:rsidR="00E212CA" w:rsidRPr="00E212CA">
        <w:rPr>
          <w:rFonts w:ascii="Times New Roman" w:hAnsi="Times New Roman" w:cs="Times New Roman"/>
          <w:i/>
          <w:iCs/>
          <w:lang w:val="en-GB"/>
        </w:rPr>
        <w:t>N.S. and M.E.</w:t>
      </w:r>
      <w:r w:rsidR="00E212CA">
        <w:rPr>
          <w:rFonts w:ascii="Times New Roman" w:hAnsi="Times New Roman" w:cs="Times New Roman"/>
          <w:lang w:val="en-GB"/>
        </w:rPr>
        <w:t xml:space="preserve"> C-411 and C-493/10, 21 December 2011; </w:t>
      </w:r>
      <w:r w:rsidR="001F5560" w:rsidRPr="001F5560">
        <w:rPr>
          <w:rFonts w:ascii="Times New Roman" w:hAnsi="Times New Roman" w:cs="Times New Roman"/>
          <w:i/>
          <w:iCs/>
          <w:lang w:val="en-GB"/>
        </w:rPr>
        <w:t>CK and Others v Slovenia</w:t>
      </w:r>
      <w:r w:rsidR="001F5560" w:rsidRPr="001F5560">
        <w:rPr>
          <w:rFonts w:ascii="Times New Roman" w:hAnsi="Times New Roman" w:cs="Times New Roman"/>
          <w:lang w:val="en-GB"/>
        </w:rPr>
        <w:t xml:space="preserve"> </w:t>
      </w:r>
      <w:r w:rsidR="001F5560" w:rsidRPr="000E4C7B">
        <w:rPr>
          <w:rFonts w:ascii="Times New Roman" w:hAnsi="Times New Roman" w:cs="Times New Roman"/>
          <w:lang w:val="en-GB"/>
        </w:rPr>
        <w:t>Case C-578/16</w:t>
      </w:r>
      <w:r w:rsidR="001F5560">
        <w:rPr>
          <w:rFonts w:ascii="Times New Roman" w:hAnsi="Times New Roman" w:cs="Times New Roman"/>
          <w:lang w:val="en-GB"/>
        </w:rPr>
        <w:t>, 16 February 2017.</w:t>
      </w:r>
    </w:p>
  </w:footnote>
  <w:footnote w:id="9">
    <w:p w14:paraId="42CD88C5" w14:textId="5C475557" w:rsidR="00FF288B" w:rsidRPr="00582B35" w:rsidRDefault="00FF288B" w:rsidP="00582B35">
      <w:pPr>
        <w:pStyle w:val="FootnoteText"/>
        <w:jc w:val="both"/>
        <w:rPr>
          <w:rFonts w:ascii="Times New Roman" w:hAnsi="Times New Roman" w:cs="Times New Roman"/>
          <w:lang w:val="en-GB"/>
        </w:rPr>
      </w:pPr>
      <w:r w:rsidRPr="00582B35">
        <w:rPr>
          <w:rStyle w:val="FootnoteReference"/>
          <w:rFonts w:ascii="Times New Roman" w:hAnsi="Times New Roman" w:cs="Times New Roman"/>
        </w:rPr>
        <w:footnoteRef/>
      </w:r>
      <w:r w:rsidRPr="00582B35">
        <w:rPr>
          <w:rFonts w:ascii="Times New Roman" w:hAnsi="Times New Roman" w:cs="Times New Roman"/>
          <w:lang w:val="en-GB"/>
        </w:rPr>
        <w:t xml:space="preserve"> </w:t>
      </w:r>
      <w:r w:rsidR="00C0036E" w:rsidRPr="00582B35">
        <w:rPr>
          <w:rFonts w:ascii="Times New Roman" w:hAnsi="Times New Roman" w:cs="Times New Roman"/>
          <w:lang w:val="en-GB"/>
        </w:rPr>
        <w:t>C-753/22, p</w:t>
      </w:r>
      <w:r w:rsidRPr="00582B35">
        <w:rPr>
          <w:rFonts w:ascii="Times New Roman" w:hAnsi="Times New Roman" w:cs="Times New Roman"/>
          <w:lang w:val="en-GB"/>
        </w:rPr>
        <w:t>ara 63.</w:t>
      </w:r>
    </w:p>
  </w:footnote>
  <w:footnote w:id="10">
    <w:p w14:paraId="5E6EE03A" w14:textId="096A4F50" w:rsidR="009353B1" w:rsidRPr="00E071B0" w:rsidRDefault="009353B1" w:rsidP="00582B35">
      <w:pPr>
        <w:pStyle w:val="FootnoteText"/>
        <w:jc w:val="both"/>
        <w:rPr>
          <w:rFonts w:ascii="Times New Roman" w:hAnsi="Times New Roman" w:cs="Times New Roman"/>
          <w:lang w:val="en-GB"/>
        </w:rPr>
      </w:pPr>
      <w:r w:rsidRPr="00582B35">
        <w:rPr>
          <w:rStyle w:val="FootnoteReference"/>
          <w:rFonts w:ascii="Times New Roman" w:hAnsi="Times New Roman" w:cs="Times New Roman"/>
        </w:rPr>
        <w:footnoteRef/>
      </w:r>
      <w:r w:rsidRPr="00582B35">
        <w:rPr>
          <w:rFonts w:ascii="Times New Roman" w:hAnsi="Times New Roman" w:cs="Times New Roman"/>
          <w:lang w:val="en-GB"/>
        </w:rPr>
        <w:t xml:space="preserve"> </w:t>
      </w:r>
      <w:r w:rsidR="00E071B0" w:rsidRPr="00582B35">
        <w:rPr>
          <w:rFonts w:ascii="Times New Roman" w:hAnsi="Times New Roman" w:cs="Times New Roman"/>
          <w:lang w:val="en-GB"/>
        </w:rPr>
        <w:t>Vladislava</w:t>
      </w:r>
      <w:r w:rsidR="00E071B0">
        <w:rPr>
          <w:rFonts w:ascii="Times New Roman" w:hAnsi="Times New Roman" w:cs="Times New Roman"/>
          <w:lang w:val="en-GB"/>
        </w:rPr>
        <w:t xml:space="preserve"> Stoyanova, ‘</w:t>
      </w:r>
      <w:r w:rsidR="00E071B0" w:rsidRPr="00E071B0">
        <w:rPr>
          <w:rFonts w:ascii="Times New Roman" w:hAnsi="Times New Roman" w:cs="Times New Roman"/>
          <w:lang w:val="en-GB"/>
        </w:rPr>
        <w:t>Temporariness of Refugee Protection: For What and in Whose Interest? Cessation of Status as Related to Revocation of Residence Permits</w:t>
      </w:r>
      <w:r w:rsidR="00E071B0">
        <w:rPr>
          <w:rFonts w:ascii="Times New Roman" w:hAnsi="Times New Roman" w:cs="Times New Roman"/>
          <w:lang w:val="en-GB"/>
        </w:rPr>
        <w:t xml:space="preserve">’ </w:t>
      </w:r>
      <w:r w:rsidR="00E071B0" w:rsidRPr="00E071B0">
        <w:rPr>
          <w:rFonts w:ascii="Times New Roman" w:hAnsi="Times New Roman" w:cs="Times New Roman"/>
          <w:lang w:val="en-GB"/>
        </w:rPr>
        <w:t>(2022) 29 (5) Maastricht Journal of European and Comparative Law</w:t>
      </w:r>
      <w:r w:rsidR="00E071B0">
        <w:rPr>
          <w:rFonts w:ascii="Times New Roman" w:hAnsi="Times New Roman" w:cs="Times New Roman"/>
          <w:lang w:val="en-GB"/>
        </w:rPr>
        <w:t xml:space="preserve"> 527.</w:t>
      </w:r>
    </w:p>
  </w:footnote>
  <w:footnote w:id="11">
    <w:p w14:paraId="63C42F2B" w14:textId="7242B447" w:rsidR="0089244C" w:rsidRPr="0089244C" w:rsidRDefault="0089244C" w:rsidP="0089244C">
      <w:pPr>
        <w:pStyle w:val="FootnoteText"/>
        <w:jc w:val="both"/>
        <w:rPr>
          <w:lang w:val="en-GB"/>
        </w:rPr>
      </w:pPr>
      <w:r w:rsidRPr="0089244C">
        <w:rPr>
          <w:rStyle w:val="FootnoteReference"/>
          <w:rFonts w:ascii="Times New Roman" w:hAnsi="Times New Roman" w:cs="Times New Roman"/>
        </w:rPr>
        <w:footnoteRef/>
      </w:r>
      <w:r w:rsidRPr="0089244C">
        <w:rPr>
          <w:rFonts w:ascii="Times New Roman" w:hAnsi="Times New Roman" w:cs="Times New Roman"/>
          <w:lang w:val="en-GB"/>
        </w:rPr>
        <w:t xml:space="preserve"> Council Directive 2003/109/EC of 25 November 2003 concerning the status of third-country nationals who are long-term residents.</w:t>
      </w:r>
    </w:p>
  </w:footnote>
  <w:footnote w:id="12">
    <w:p w14:paraId="151FCA68" w14:textId="2C189D39" w:rsidR="007D5313" w:rsidRPr="00D62D69" w:rsidRDefault="007D5313" w:rsidP="007D5313">
      <w:pPr>
        <w:pStyle w:val="FootnoteText"/>
        <w:jc w:val="both"/>
        <w:rPr>
          <w:rFonts w:ascii="Times New Roman" w:hAnsi="Times New Roman" w:cs="Times New Roman"/>
          <w:lang w:val="en-GB"/>
        </w:rPr>
      </w:pPr>
      <w:r w:rsidRPr="00D62D69">
        <w:rPr>
          <w:rStyle w:val="FootnoteReference"/>
          <w:rFonts w:ascii="Times New Roman" w:hAnsi="Times New Roman" w:cs="Times New Roman"/>
        </w:rPr>
        <w:footnoteRef/>
      </w:r>
      <w:r w:rsidRPr="00D62D69">
        <w:rPr>
          <w:rFonts w:ascii="Times New Roman" w:hAnsi="Times New Roman" w:cs="Times New Roman"/>
          <w:lang w:val="en-GB"/>
        </w:rPr>
        <w:t xml:space="preserve"> See also </w:t>
      </w:r>
      <w:r w:rsidRPr="00D62D69">
        <w:rPr>
          <w:rFonts w:ascii="Times New Roman" w:hAnsi="Times New Roman" w:cs="Times New Roman"/>
          <w:i/>
          <w:iCs/>
          <w:lang w:val="en-GB"/>
        </w:rPr>
        <w:t xml:space="preserve">A. v </w:t>
      </w:r>
      <w:proofErr w:type="spellStart"/>
      <w:r w:rsidRPr="00D62D69">
        <w:rPr>
          <w:rFonts w:ascii="Times New Roman" w:hAnsi="Times New Roman" w:cs="Times New Roman"/>
          <w:i/>
          <w:iCs/>
          <w:lang w:val="en-GB"/>
        </w:rPr>
        <w:t>Generalstaatsanwaltschaft</w:t>
      </w:r>
      <w:proofErr w:type="spellEnd"/>
      <w:r w:rsidRPr="00D62D69">
        <w:rPr>
          <w:rFonts w:ascii="Times New Roman" w:hAnsi="Times New Roman" w:cs="Times New Roman"/>
          <w:i/>
          <w:iCs/>
          <w:lang w:val="en-GB"/>
        </w:rPr>
        <w:t xml:space="preserve"> Hamm</w:t>
      </w:r>
      <w:r w:rsidRPr="00D62D69">
        <w:rPr>
          <w:rFonts w:ascii="Times New Roman" w:hAnsi="Times New Roman" w:cs="Times New Roman"/>
          <w:lang w:val="en-GB"/>
        </w:rPr>
        <w:t>, C‑352/22, 18 June 2024, para 44: ‘Member States are thus, as EU law currently stands, free to make recognition of all of the rights relating to refugee status on their territory subject to the adoption, by their competent authorities, of a new decision granting refugee status.’</w:t>
      </w:r>
    </w:p>
  </w:footnote>
  <w:footnote w:id="13">
    <w:p w14:paraId="73C98143" w14:textId="40E2C902" w:rsidR="00060B61" w:rsidRPr="00D62D69" w:rsidRDefault="00060B61">
      <w:pPr>
        <w:pStyle w:val="FootnoteText"/>
        <w:rPr>
          <w:rFonts w:ascii="Times New Roman" w:hAnsi="Times New Roman" w:cs="Times New Roman"/>
          <w:lang w:val="en-GB"/>
        </w:rPr>
      </w:pPr>
      <w:r w:rsidRPr="00D62D69">
        <w:rPr>
          <w:rStyle w:val="FootnoteReference"/>
          <w:rFonts w:ascii="Times New Roman" w:hAnsi="Times New Roman" w:cs="Times New Roman"/>
        </w:rPr>
        <w:footnoteRef/>
      </w:r>
      <w:r w:rsidRPr="00D62D69">
        <w:rPr>
          <w:rFonts w:ascii="Times New Roman" w:hAnsi="Times New Roman" w:cs="Times New Roman"/>
          <w:lang w:val="en-GB"/>
        </w:rPr>
        <w:t xml:space="preserve"> Emphasis added.</w:t>
      </w:r>
    </w:p>
  </w:footnote>
  <w:footnote w:id="14">
    <w:p w14:paraId="05057F1A" w14:textId="75332196" w:rsidR="00D43C1A" w:rsidRPr="00B50D07" w:rsidRDefault="00D43C1A">
      <w:pPr>
        <w:pStyle w:val="FootnoteText"/>
        <w:rPr>
          <w:rFonts w:ascii="Times New Roman" w:hAnsi="Times New Roman" w:cs="Times New Roman"/>
          <w:lang w:val="en-GB"/>
        </w:rPr>
      </w:pPr>
      <w:r w:rsidRPr="00D62D69">
        <w:rPr>
          <w:rStyle w:val="FootnoteReference"/>
          <w:rFonts w:ascii="Times New Roman" w:hAnsi="Times New Roman" w:cs="Times New Roman"/>
        </w:rPr>
        <w:footnoteRef/>
      </w:r>
      <w:r w:rsidRPr="00D62D69">
        <w:rPr>
          <w:rFonts w:ascii="Times New Roman" w:hAnsi="Times New Roman" w:cs="Times New Roman"/>
          <w:lang w:val="en-GB"/>
        </w:rPr>
        <w:t xml:space="preserve"> </w:t>
      </w:r>
      <w:r w:rsidR="00C0036E" w:rsidRPr="002A298B">
        <w:rPr>
          <w:rFonts w:ascii="Times New Roman" w:hAnsi="Times New Roman" w:cs="Times New Roman"/>
          <w:lang w:val="en-GB"/>
        </w:rPr>
        <w:t>C-753/22, p</w:t>
      </w:r>
      <w:r w:rsidR="00C0036E" w:rsidRPr="0089244C">
        <w:rPr>
          <w:rFonts w:ascii="Times New Roman" w:hAnsi="Times New Roman" w:cs="Times New Roman"/>
          <w:lang w:val="en-GB"/>
        </w:rPr>
        <w:t xml:space="preserve">ara </w:t>
      </w:r>
      <w:r w:rsidRPr="00D62D69">
        <w:rPr>
          <w:rFonts w:ascii="Times New Roman" w:hAnsi="Times New Roman" w:cs="Times New Roman"/>
          <w:lang w:val="en-GB"/>
        </w:rPr>
        <w:t>76</w:t>
      </w:r>
      <w:r w:rsidR="002317DA" w:rsidRPr="00D62D69">
        <w:rPr>
          <w:rFonts w:ascii="Times New Roman" w:hAnsi="Times New Roman" w:cs="Times New Roman"/>
          <w:lang w:val="en-GB"/>
        </w:rPr>
        <w:t xml:space="preserve"> (emphasis added)</w:t>
      </w:r>
      <w:r w:rsidRPr="00D62D69">
        <w:rPr>
          <w:rFonts w:ascii="Times New Roman" w:hAnsi="Times New Roman" w:cs="Times New Roman"/>
          <w:lang w:val="en-GB"/>
        </w:rPr>
        <w:t>.</w:t>
      </w:r>
    </w:p>
  </w:footnote>
  <w:footnote w:id="15">
    <w:p w14:paraId="4082E214" w14:textId="54CEF35B" w:rsidR="002A298B" w:rsidRPr="00425719" w:rsidRDefault="002A298B" w:rsidP="00A15486">
      <w:pPr>
        <w:pStyle w:val="FootnoteText"/>
        <w:jc w:val="both"/>
        <w:rPr>
          <w:rFonts w:ascii="Times New Roman" w:hAnsi="Times New Roman" w:cs="Times New Roman"/>
          <w:lang w:val="en-GB"/>
        </w:rPr>
      </w:pPr>
      <w:r w:rsidRPr="00425719">
        <w:rPr>
          <w:rStyle w:val="FootnoteReference"/>
          <w:rFonts w:ascii="Times New Roman" w:hAnsi="Times New Roman" w:cs="Times New Roman"/>
          <w:lang w:val="en-GB"/>
        </w:rPr>
        <w:footnoteRef/>
      </w:r>
      <w:r w:rsidRPr="00425719">
        <w:rPr>
          <w:rFonts w:ascii="Times New Roman" w:hAnsi="Times New Roman" w:cs="Times New Roman"/>
          <w:lang w:val="en-GB"/>
        </w:rPr>
        <w:t xml:space="preserve"> Admittedly, in light of 2024 Procedures Regulation, the </w:t>
      </w:r>
      <w:r w:rsidR="00A15486" w:rsidRPr="00425719">
        <w:rPr>
          <w:rFonts w:ascii="Times New Roman" w:hAnsi="Times New Roman" w:cs="Times New Roman"/>
          <w:lang w:val="en-GB"/>
        </w:rPr>
        <w:t xml:space="preserve">procedures in Members States are expected to become more harmonized. This supports the idea that when one Member States takes a positive refugee status decision, the same outcome/conclusion (i.e. the positive decision) should be reached by following the procedure in another Member States. Yet, the reception conditions have not been harmonized to the same level. See Directive 2024/1346 of 14 May 2024 laying down standards for the reception of applicants for international protection. </w:t>
      </w:r>
    </w:p>
  </w:footnote>
  <w:footnote w:id="16">
    <w:p w14:paraId="401E67EC" w14:textId="55178A70" w:rsidR="00385E5F" w:rsidRPr="00385E5F" w:rsidRDefault="00385E5F" w:rsidP="00385E5F">
      <w:pPr>
        <w:pStyle w:val="FootnoteText"/>
        <w:jc w:val="both"/>
        <w:rPr>
          <w:rFonts w:ascii="Times New Roman" w:hAnsi="Times New Roman" w:cs="Times New Roman"/>
          <w:lang w:val="en-GB"/>
        </w:rPr>
      </w:pPr>
      <w:r>
        <w:rPr>
          <w:rStyle w:val="FootnoteReference"/>
        </w:rPr>
        <w:footnoteRef/>
      </w:r>
      <w:r w:rsidRPr="00385E5F">
        <w:rPr>
          <w:lang w:val="en-GB"/>
        </w:rPr>
        <w:t xml:space="preserve"> </w:t>
      </w:r>
      <w:r w:rsidRPr="001F5560">
        <w:rPr>
          <w:rFonts w:ascii="Times New Roman" w:hAnsi="Times New Roman" w:cs="Times New Roman"/>
          <w:i/>
          <w:iCs/>
          <w:lang w:val="en-GB"/>
        </w:rPr>
        <w:t>CK and Others v Slovenia</w:t>
      </w:r>
      <w:r w:rsidRPr="001F5560">
        <w:rPr>
          <w:rFonts w:ascii="Times New Roman" w:hAnsi="Times New Roman" w:cs="Times New Roman"/>
          <w:lang w:val="en-GB"/>
        </w:rPr>
        <w:t xml:space="preserve"> </w:t>
      </w:r>
      <w:r w:rsidRPr="000E4C7B">
        <w:rPr>
          <w:rFonts w:ascii="Times New Roman" w:hAnsi="Times New Roman" w:cs="Times New Roman"/>
          <w:lang w:val="en-GB"/>
        </w:rPr>
        <w:t>Case C-578/16</w:t>
      </w:r>
      <w:r>
        <w:rPr>
          <w:rFonts w:ascii="Times New Roman" w:hAnsi="Times New Roman" w:cs="Times New Roman"/>
          <w:lang w:val="en-GB"/>
        </w:rPr>
        <w:t xml:space="preserve">, 16 February 2017, para 96: ‘systemic </w:t>
      </w:r>
      <w:proofErr w:type="gramStart"/>
      <w:r>
        <w:rPr>
          <w:rFonts w:ascii="Times New Roman" w:hAnsi="Times New Roman" w:cs="Times New Roman"/>
          <w:lang w:val="en-GB"/>
        </w:rPr>
        <w:t>flaws’</w:t>
      </w:r>
      <w:proofErr w:type="gramEnd"/>
      <w:r>
        <w:rPr>
          <w:rFonts w:ascii="Times New Roman" w:hAnsi="Times New Roman" w:cs="Times New Roman"/>
          <w:lang w:val="en-GB"/>
        </w:rPr>
        <w:t>.</w:t>
      </w:r>
    </w:p>
  </w:footnote>
  <w:footnote w:id="17">
    <w:p w14:paraId="2C77697B" w14:textId="1F34F536" w:rsidR="00B50D07" w:rsidRPr="00F7753B" w:rsidRDefault="00B50D07">
      <w:pPr>
        <w:pStyle w:val="FootnoteText"/>
        <w:rPr>
          <w:rFonts w:ascii="Times New Roman" w:hAnsi="Times New Roman" w:cs="Times New Roman"/>
        </w:rPr>
      </w:pPr>
      <w:r w:rsidRPr="00425719">
        <w:rPr>
          <w:rStyle w:val="FootnoteReference"/>
          <w:rFonts w:ascii="Times New Roman" w:hAnsi="Times New Roman" w:cs="Times New Roman"/>
          <w:lang w:val="en-GB"/>
        </w:rPr>
        <w:footnoteRef/>
      </w:r>
      <w:r w:rsidRPr="00F7753B">
        <w:rPr>
          <w:rFonts w:ascii="Times New Roman" w:hAnsi="Times New Roman" w:cs="Times New Roman"/>
        </w:rPr>
        <w:t xml:space="preserve"> Para 78.</w:t>
      </w:r>
    </w:p>
  </w:footnote>
  <w:footnote w:id="18">
    <w:p w14:paraId="3A3873C1" w14:textId="7C8DD03D" w:rsidR="00B50D07" w:rsidRPr="00F7753B" w:rsidRDefault="00B50D07">
      <w:pPr>
        <w:pStyle w:val="FootnoteText"/>
        <w:rPr>
          <w:rFonts w:ascii="Times New Roman" w:hAnsi="Times New Roman" w:cs="Times New Roman"/>
        </w:rPr>
      </w:pPr>
      <w:r w:rsidRPr="00425719">
        <w:rPr>
          <w:rStyle w:val="FootnoteReference"/>
          <w:rFonts w:ascii="Times New Roman" w:hAnsi="Times New Roman" w:cs="Times New Roman"/>
          <w:lang w:val="en-GB"/>
        </w:rPr>
        <w:footnoteRef/>
      </w:r>
      <w:r w:rsidRPr="00F7753B">
        <w:rPr>
          <w:rFonts w:ascii="Times New Roman" w:hAnsi="Times New Roman" w:cs="Times New Roman"/>
        </w:rPr>
        <w:t xml:space="preserve"> Para 79.</w:t>
      </w:r>
    </w:p>
  </w:footnote>
  <w:footnote w:id="19">
    <w:p w14:paraId="39C96892" w14:textId="616A7F06" w:rsidR="00540134" w:rsidRPr="00F7753B" w:rsidRDefault="00540134">
      <w:pPr>
        <w:pStyle w:val="FootnoteText"/>
        <w:rPr>
          <w:rFonts w:ascii="Times New Roman" w:hAnsi="Times New Roman" w:cs="Times New Roman"/>
        </w:rPr>
      </w:pPr>
      <w:r w:rsidRPr="00425719">
        <w:rPr>
          <w:rStyle w:val="FootnoteReference"/>
          <w:rFonts w:ascii="Times New Roman" w:hAnsi="Times New Roman" w:cs="Times New Roman"/>
        </w:rPr>
        <w:footnoteRef/>
      </w:r>
      <w:r w:rsidRPr="00425719">
        <w:rPr>
          <w:rFonts w:ascii="Times New Roman" w:hAnsi="Times New Roman" w:cs="Times New Roman"/>
        </w:rPr>
        <w:t xml:space="preserve"> </w:t>
      </w:r>
      <w:r w:rsidRPr="00F7753B">
        <w:rPr>
          <w:rFonts w:ascii="Times New Roman" w:hAnsi="Times New Roman" w:cs="Times New Roman"/>
        </w:rPr>
        <w:t>A</w:t>
      </w:r>
      <w:r w:rsidRPr="00F7753B">
        <w:rPr>
          <w:rFonts w:ascii="Times New Roman" w:hAnsi="Times New Roman" w:cs="Times New Roman"/>
          <w:i/>
          <w:iCs/>
        </w:rPr>
        <w:t xml:space="preserve">., v </w:t>
      </w:r>
      <w:proofErr w:type="spellStart"/>
      <w:r w:rsidRPr="00F7753B">
        <w:rPr>
          <w:rFonts w:ascii="Times New Roman" w:hAnsi="Times New Roman" w:cs="Times New Roman"/>
          <w:i/>
          <w:iCs/>
        </w:rPr>
        <w:t>Generalstaatsanwaltschaft</w:t>
      </w:r>
      <w:proofErr w:type="spellEnd"/>
      <w:r w:rsidRPr="00F7753B">
        <w:rPr>
          <w:rFonts w:ascii="Times New Roman" w:hAnsi="Times New Roman" w:cs="Times New Roman"/>
          <w:i/>
          <w:iCs/>
        </w:rPr>
        <w:t xml:space="preserve"> Hamm</w:t>
      </w:r>
      <w:r w:rsidRPr="00F7753B">
        <w:rPr>
          <w:rFonts w:ascii="Times New Roman" w:hAnsi="Times New Roman" w:cs="Times New Roman"/>
        </w:rPr>
        <w:t>, Case C‑352/22, 18 June 2024.</w:t>
      </w:r>
    </w:p>
  </w:footnote>
  <w:footnote w:id="20">
    <w:p w14:paraId="10F0AE13" w14:textId="481C520C" w:rsidR="00425719" w:rsidRPr="00425719" w:rsidRDefault="00425719">
      <w:pPr>
        <w:pStyle w:val="FootnoteText"/>
        <w:rPr>
          <w:lang w:val="en-GB"/>
        </w:rPr>
      </w:pPr>
      <w:r w:rsidRPr="00425719">
        <w:rPr>
          <w:rStyle w:val="FootnoteReference"/>
          <w:rFonts w:ascii="Times New Roman" w:hAnsi="Times New Roman" w:cs="Times New Roman"/>
        </w:rPr>
        <w:footnoteRef/>
      </w:r>
      <w:r w:rsidRPr="00425719">
        <w:rPr>
          <w:rFonts w:ascii="Times New Roman" w:hAnsi="Times New Roman" w:cs="Times New Roman"/>
          <w:lang w:val="en-GB"/>
        </w:rPr>
        <w:t xml:space="preserve"> Case C‑352/22, para 43.</w:t>
      </w:r>
    </w:p>
  </w:footnote>
  <w:footnote w:id="21">
    <w:p w14:paraId="15A63A7F" w14:textId="30CE0FE9" w:rsidR="00425719" w:rsidRPr="00425719" w:rsidRDefault="00425719">
      <w:pPr>
        <w:pStyle w:val="FootnoteText"/>
        <w:rPr>
          <w:lang w:val="en-GB"/>
        </w:rPr>
      </w:pPr>
      <w:r>
        <w:rPr>
          <w:rStyle w:val="FootnoteReference"/>
        </w:rPr>
        <w:footnoteRef/>
      </w:r>
      <w:r w:rsidRPr="00425719">
        <w:rPr>
          <w:lang w:val="en-GB"/>
        </w:rPr>
        <w:t xml:space="preserve"> </w:t>
      </w:r>
      <w:r w:rsidRPr="00425719">
        <w:rPr>
          <w:rFonts w:ascii="Times New Roman" w:hAnsi="Times New Roman" w:cs="Times New Roman"/>
          <w:lang w:val="en-GB"/>
        </w:rPr>
        <w:t>Case C‑352/22, para 4</w:t>
      </w:r>
      <w:r>
        <w:rPr>
          <w:rFonts w:ascii="Times New Roman" w:hAnsi="Times New Roman" w:cs="Times New Roman"/>
          <w:lang w:val="en-GB"/>
        </w:rPr>
        <w:t>4</w:t>
      </w:r>
      <w:r w:rsidR="000A2922">
        <w:rPr>
          <w:rFonts w:ascii="Times New Roman" w:hAnsi="Times New Roman" w:cs="Times New Roman"/>
          <w:lang w:val="en-GB"/>
        </w:rPr>
        <w:t xml:space="preserve"> (emphasis added)</w:t>
      </w:r>
      <w:r>
        <w:rPr>
          <w:rFonts w:ascii="Times New Roman" w:hAnsi="Times New Roman" w:cs="Times New Roman"/>
          <w:lang w:val="en-GB"/>
        </w:rPr>
        <w:t>.</w:t>
      </w:r>
    </w:p>
  </w:footnote>
  <w:footnote w:id="22">
    <w:p w14:paraId="4A2D5867" w14:textId="26FD1700" w:rsidR="00C71732" w:rsidRPr="00C71732" w:rsidRDefault="00C71732">
      <w:pPr>
        <w:pStyle w:val="FootnoteText"/>
        <w:rPr>
          <w:lang w:val="en-GB"/>
        </w:rPr>
      </w:pPr>
      <w:r>
        <w:rPr>
          <w:rStyle w:val="FootnoteReference"/>
        </w:rPr>
        <w:footnoteRef/>
      </w:r>
      <w:r w:rsidRPr="00C71732">
        <w:rPr>
          <w:lang w:val="en-GB"/>
        </w:rPr>
        <w:t xml:space="preserve"> </w:t>
      </w:r>
      <w:r w:rsidRPr="00425719">
        <w:rPr>
          <w:rFonts w:ascii="Times New Roman" w:hAnsi="Times New Roman" w:cs="Times New Roman"/>
          <w:lang w:val="en-GB"/>
        </w:rPr>
        <w:t xml:space="preserve">Case C‑352/22, para </w:t>
      </w:r>
      <w:r>
        <w:rPr>
          <w:rFonts w:ascii="Times New Roman" w:hAnsi="Times New Roman" w:cs="Times New Roman"/>
          <w:lang w:val="en-GB"/>
        </w:rPr>
        <w:t>58 and 59.</w:t>
      </w:r>
    </w:p>
  </w:footnote>
  <w:footnote w:id="23">
    <w:p w14:paraId="6CE995BF" w14:textId="12944C32" w:rsidR="00FD4D4E" w:rsidRPr="00FD4D4E" w:rsidRDefault="00FD4D4E">
      <w:pPr>
        <w:pStyle w:val="FootnoteText"/>
        <w:rPr>
          <w:lang w:val="en-GB"/>
        </w:rPr>
      </w:pPr>
      <w:r>
        <w:rPr>
          <w:rStyle w:val="FootnoteReference"/>
        </w:rPr>
        <w:footnoteRef/>
      </w:r>
      <w:r w:rsidRPr="00FD4D4E">
        <w:rPr>
          <w:lang w:val="en-GB"/>
        </w:rPr>
        <w:t xml:space="preserve"> </w:t>
      </w:r>
      <w:r w:rsidRPr="00425719">
        <w:rPr>
          <w:rFonts w:ascii="Times New Roman" w:hAnsi="Times New Roman" w:cs="Times New Roman"/>
          <w:lang w:val="en-GB"/>
        </w:rPr>
        <w:t xml:space="preserve">Case C‑352/22, para </w:t>
      </w:r>
      <w:r>
        <w:rPr>
          <w:rFonts w:ascii="Times New Roman" w:hAnsi="Times New Roman" w:cs="Times New Roman"/>
          <w:lang w:val="en-GB"/>
        </w:rPr>
        <w:t>64.</w:t>
      </w:r>
    </w:p>
  </w:footnote>
  <w:footnote w:id="24">
    <w:p w14:paraId="3598CFE5" w14:textId="36E64CCE" w:rsidR="003E4B66" w:rsidRPr="003E4B66" w:rsidRDefault="003E4B66">
      <w:pPr>
        <w:pStyle w:val="FootnoteText"/>
        <w:rPr>
          <w:lang w:val="en-GB"/>
        </w:rPr>
      </w:pPr>
      <w:r>
        <w:rPr>
          <w:rStyle w:val="FootnoteReference"/>
        </w:rPr>
        <w:footnoteRef/>
      </w:r>
      <w:r w:rsidRPr="003E4B66">
        <w:rPr>
          <w:lang w:val="en-GB"/>
        </w:rPr>
        <w:t xml:space="preserve"> </w:t>
      </w:r>
      <w:r w:rsidRPr="00425719">
        <w:rPr>
          <w:rFonts w:ascii="Times New Roman" w:hAnsi="Times New Roman" w:cs="Times New Roman"/>
          <w:lang w:val="en-GB"/>
        </w:rPr>
        <w:t xml:space="preserve">Case C‑352/22, para </w:t>
      </w:r>
      <w:r>
        <w:rPr>
          <w:rFonts w:ascii="Times New Roman" w:hAnsi="Times New Roman" w:cs="Times New Roman"/>
          <w:lang w:val="en-GB"/>
        </w:rPr>
        <w:t>72.</w:t>
      </w:r>
    </w:p>
  </w:footnote>
  <w:footnote w:id="25">
    <w:p w14:paraId="4E4BCE4B" w14:textId="7D1D75C4" w:rsidR="000F5835" w:rsidRPr="000F5835" w:rsidRDefault="000F5835" w:rsidP="007C7329">
      <w:pPr>
        <w:pStyle w:val="FootnoteText"/>
        <w:jc w:val="both"/>
        <w:rPr>
          <w:rFonts w:ascii="Times New Roman" w:hAnsi="Times New Roman" w:cs="Times New Roman"/>
          <w:lang w:val="en-GB"/>
        </w:rPr>
      </w:pPr>
      <w:r w:rsidRPr="000F5835">
        <w:rPr>
          <w:rStyle w:val="FootnoteReference"/>
          <w:rFonts w:ascii="Times New Roman" w:hAnsi="Times New Roman" w:cs="Times New Roman"/>
          <w:lang w:val="en-GB"/>
        </w:rPr>
        <w:footnoteRef/>
      </w:r>
      <w:r w:rsidR="007C7329">
        <w:rPr>
          <w:rFonts w:ascii="Times New Roman" w:hAnsi="Times New Roman" w:cs="Times New Roman"/>
          <w:lang w:val="en-GB"/>
        </w:rPr>
        <w:t xml:space="preserve"> See Gregor Noll, ‘Salvation by the Grace of State? Explaining Credibility Assessment in the Asylum Procedure’ in Gregor Noll (eds), </w:t>
      </w:r>
      <w:hyperlink r:id="rId2" w:history="1">
        <w:r w:rsidR="007C7329" w:rsidRPr="007C7329">
          <w:rPr>
            <w:rStyle w:val="Hyperlink"/>
            <w:rFonts w:ascii="Times New Roman" w:hAnsi="Times New Roman" w:cs="Times New Roman"/>
            <w:i/>
            <w:iCs/>
            <w:lang w:val="en-GB"/>
          </w:rPr>
          <w:t xml:space="preserve">Proof, </w:t>
        </w:r>
        <w:r w:rsidR="007C7329">
          <w:rPr>
            <w:rStyle w:val="Hyperlink"/>
            <w:rFonts w:ascii="Times New Roman" w:hAnsi="Times New Roman" w:cs="Times New Roman"/>
            <w:i/>
            <w:iCs/>
            <w:lang w:val="en-GB"/>
          </w:rPr>
          <w:t>E</w:t>
        </w:r>
        <w:r w:rsidR="007C7329" w:rsidRPr="007C7329">
          <w:rPr>
            <w:rStyle w:val="Hyperlink"/>
            <w:rFonts w:ascii="Times New Roman" w:hAnsi="Times New Roman" w:cs="Times New Roman"/>
            <w:i/>
            <w:iCs/>
            <w:lang w:val="en-GB"/>
          </w:rPr>
          <w:t xml:space="preserve">videntiary </w:t>
        </w:r>
        <w:r w:rsidR="007C7329">
          <w:rPr>
            <w:rStyle w:val="Hyperlink"/>
            <w:rFonts w:ascii="Times New Roman" w:hAnsi="Times New Roman" w:cs="Times New Roman"/>
            <w:i/>
            <w:iCs/>
            <w:lang w:val="en-GB"/>
          </w:rPr>
          <w:t>A</w:t>
        </w:r>
        <w:r w:rsidR="007C7329" w:rsidRPr="007C7329">
          <w:rPr>
            <w:rStyle w:val="Hyperlink"/>
            <w:rFonts w:ascii="Times New Roman" w:hAnsi="Times New Roman" w:cs="Times New Roman"/>
            <w:i/>
            <w:iCs/>
            <w:lang w:val="en-GB"/>
          </w:rPr>
          <w:t xml:space="preserve">ssessment and </w:t>
        </w:r>
        <w:r w:rsidR="007C7329">
          <w:rPr>
            <w:rStyle w:val="Hyperlink"/>
            <w:rFonts w:ascii="Times New Roman" w:hAnsi="Times New Roman" w:cs="Times New Roman"/>
            <w:i/>
            <w:iCs/>
            <w:lang w:val="en-GB"/>
          </w:rPr>
          <w:t>C</w:t>
        </w:r>
        <w:r w:rsidR="007C7329" w:rsidRPr="007C7329">
          <w:rPr>
            <w:rStyle w:val="Hyperlink"/>
            <w:rFonts w:ascii="Times New Roman" w:hAnsi="Times New Roman" w:cs="Times New Roman"/>
            <w:i/>
            <w:iCs/>
            <w:lang w:val="en-GB"/>
          </w:rPr>
          <w:t xml:space="preserve">redibility in </w:t>
        </w:r>
        <w:r w:rsidR="007C7329">
          <w:rPr>
            <w:rStyle w:val="Hyperlink"/>
            <w:rFonts w:ascii="Times New Roman" w:hAnsi="Times New Roman" w:cs="Times New Roman"/>
            <w:i/>
            <w:iCs/>
            <w:lang w:val="en-GB"/>
          </w:rPr>
          <w:t>A</w:t>
        </w:r>
        <w:r w:rsidR="007C7329" w:rsidRPr="007C7329">
          <w:rPr>
            <w:rStyle w:val="Hyperlink"/>
            <w:rFonts w:ascii="Times New Roman" w:hAnsi="Times New Roman" w:cs="Times New Roman"/>
            <w:i/>
            <w:iCs/>
            <w:lang w:val="en-GB"/>
          </w:rPr>
          <w:t xml:space="preserve">sylum </w:t>
        </w:r>
        <w:r w:rsidR="007C7329">
          <w:rPr>
            <w:rStyle w:val="Hyperlink"/>
            <w:rFonts w:ascii="Times New Roman" w:hAnsi="Times New Roman" w:cs="Times New Roman"/>
            <w:i/>
            <w:iCs/>
            <w:lang w:val="en-GB"/>
          </w:rPr>
          <w:t>P</w:t>
        </w:r>
        <w:r w:rsidR="007C7329" w:rsidRPr="007C7329">
          <w:rPr>
            <w:rStyle w:val="Hyperlink"/>
            <w:rFonts w:ascii="Times New Roman" w:hAnsi="Times New Roman" w:cs="Times New Roman"/>
            <w:i/>
            <w:iCs/>
            <w:lang w:val="en-GB"/>
          </w:rPr>
          <w:t>rocedures</w:t>
        </w:r>
      </w:hyperlink>
      <w:r w:rsidR="007C7329">
        <w:rPr>
          <w:rFonts w:ascii="Times New Roman" w:hAnsi="Times New Roman" w:cs="Times New Roman"/>
          <w:lang w:val="en-GB"/>
        </w:rPr>
        <w:t xml:space="preserve"> (</w:t>
      </w:r>
      <w:proofErr w:type="spellStart"/>
      <w:r w:rsidR="007C7329" w:rsidRPr="007C7329">
        <w:rPr>
          <w:rFonts w:ascii="Times New Roman" w:hAnsi="Times New Roman" w:cs="Times New Roman"/>
          <w:lang w:val="en-GB"/>
        </w:rPr>
        <w:t>Nijhoff</w:t>
      </w:r>
      <w:proofErr w:type="spellEnd"/>
      <w:r w:rsidR="007C7329" w:rsidRPr="007C7329">
        <w:rPr>
          <w:rFonts w:ascii="Times New Roman" w:hAnsi="Times New Roman" w:cs="Times New Roman"/>
          <w:lang w:val="en-GB"/>
        </w:rPr>
        <w:t xml:space="preserve"> Publishers, 2005</w:t>
      </w:r>
      <w:r w:rsidR="007C7329">
        <w:rPr>
          <w:rFonts w:ascii="Times New Roman" w:hAnsi="Times New Roman" w:cs="Times New Roman"/>
          <w:lang w:val="en-GB"/>
        </w:rPr>
        <w:t>) 197</w:t>
      </w:r>
      <w:r w:rsidR="0068644F">
        <w:rPr>
          <w:rFonts w:ascii="Times New Roman" w:hAnsi="Times New Roman" w:cs="Times New Roman"/>
          <w:lang w:val="en-GB"/>
        </w:rPr>
        <w:t>, 198 where i</w:t>
      </w:r>
      <w:r w:rsidRPr="000F5835">
        <w:rPr>
          <w:rFonts w:ascii="Times New Roman" w:hAnsi="Times New Roman" w:cs="Times New Roman"/>
          <w:lang w:val="en-GB"/>
        </w:rPr>
        <w:t>n more theoretical terms,</w:t>
      </w:r>
      <w:r w:rsidR="0068644F">
        <w:rPr>
          <w:rFonts w:ascii="Times New Roman" w:hAnsi="Times New Roman" w:cs="Times New Roman"/>
          <w:lang w:val="en-GB"/>
        </w:rPr>
        <w:t xml:space="preserve"> it is explained how the</w:t>
      </w:r>
      <w:r w:rsidRPr="000F5835">
        <w:rPr>
          <w:rFonts w:ascii="Times New Roman" w:hAnsi="Times New Roman" w:cs="Times New Roman"/>
          <w:lang w:val="en-GB"/>
        </w:rPr>
        <w:t xml:space="preserve"> </w:t>
      </w:r>
      <w:r w:rsidR="0068644F">
        <w:rPr>
          <w:rFonts w:ascii="Times New Roman" w:hAnsi="Times New Roman" w:cs="Times New Roman"/>
          <w:lang w:val="en-GB"/>
        </w:rPr>
        <w:t>positive asylum decision is a constitutional nature since it concerns i</w:t>
      </w:r>
      <w:r w:rsidR="00171A09" w:rsidRPr="00171A09">
        <w:rPr>
          <w:rFonts w:ascii="Times New Roman" w:hAnsi="Times New Roman" w:cs="Times New Roman"/>
          <w:lang w:val="en-GB"/>
        </w:rPr>
        <w:t xml:space="preserve">nclusion into </w:t>
      </w:r>
      <w:r w:rsidR="0068644F">
        <w:rPr>
          <w:rFonts w:ascii="Times New Roman" w:hAnsi="Times New Roman" w:cs="Times New Roman"/>
          <w:lang w:val="en-GB"/>
        </w:rPr>
        <w:t>the</w:t>
      </w:r>
      <w:r w:rsidR="00171A09">
        <w:rPr>
          <w:rFonts w:ascii="Times New Roman" w:hAnsi="Times New Roman" w:cs="Times New Roman"/>
          <w:lang w:val="en-GB"/>
        </w:rPr>
        <w:t xml:space="preserve"> protective community of the host state</w:t>
      </w:r>
      <w:r w:rsidR="0068644F">
        <w:rPr>
          <w:rFonts w:ascii="Times New Roman" w:hAnsi="Times New Roman" w:cs="Times New Roman"/>
          <w:lang w:val="en-GB"/>
        </w:rPr>
        <w:t xml:space="preserve">. Noll also adds that </w:t>
      </w:r>
      <w:r w:rsidR="00171A09">
        <w:rPr>
          <w:rFonts w:ascii="Times New Roman" w:hAnsi="Times New Roman" w:cs="Times New Roman"/>
          <w:lang w:val="en-GB"/>
        </w:rPr>
        <w:t>‘</w:t>
      </w:r>
      <w:r w:rsidR="0068644F">
        <w:rPr>
          <w:rFonts w:ascii="Times New Roman" w:hAnsi="Times New Roman" w:cs="Times New Roman"/>
          <w:lang w:val="en-GB"/>
        </w:rPr>
        <w:t>[a]</w:t>
      </w:r>
      <w:proofErr w:type="spellStart"/>
      <w:r w:rsidR="00171A09" w:rsidRPr="00171A09">
        <w:rPr>
          <w:rFonts w:ascii="Times New Roman" w:hAnsi="Times New Roman" w:cs="Times New Roman"/>
          <w:lang w:val="en-GB"/>
        </w:rPr>
        <w:t>sylum</w:t>
      </w:r>
      <w:proofErr w:type="spellEnd"/>
      <w:r w:rsidR="00171A09" w:rsidRPr="00171A09">
        <w:rPr>
          <w:rFonts w:ascii="Times New Roman" w:hAnsi="Times New Roman" w:cs="Times New Roman"/>
          <w:lang w:val="en-GB"/>
        </w:rPr>
        <w:t xml:space="preserve"> procedures are, too, about membership. At a minimalist level, </w:t>
      </w:r>
      <w:r w:rsidR="00171A09" w:rsidRPr="0068644F">
        <w:rPr>
          <w:rFonts w:ascii="Times New Roman" w:hAnsi="Times New Roman" w:cs="Times New Roman"/>
          <w:i/>
          <w:iCs/>
          <w:lang w:val="en-GB"/>
        </w:rPr>
        <w:t>nonrefoulement</w:t>
      </w:r>
      <w:r w:rsidR="00171A09" w:rsidRPr="00171A09">
        <w:rPr>
          <w:rFonts w:ascii="Times New Roman" w:hAnsi="Times New Roman" w:cs="Times New Roman"/>
          <w:lang w:val="en-GB"/>
        </w:rPr>
        <w:t xml:space="preserve"> allows for a limited form of membership. At the other extreme of the scale, we encounter a recognised refugee with a permanent residence permit, perhaps aspiring for naturalisation.</w:t>
      </w:r>
      <w:r w:rsidR="00171A09">
        <w:rPr>
          <w:rFonts w:ascii="Times New Roman" w:hAnsi="Times New Roman" w:cs="Times New Roman"/>
          <w:lang w:val="en-GB"/>
        </w:rPr>
        <w:t>’ 205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32288" w14:textId="6EE45E8E" w:rsidR="00D0111F" w:rsidRPr="00F475B3" w:rsidRDefault="00D0111F">
    <w:pPr>
      <w:pStyle w:val="Header"/>
      <w:rPr>
        <w:rFonts w:ascii="Times New Roman" w:hAnsi="Times New Roman" w:cs="Times New Roman"/>
        <w:sz w:val="24"/>
        <w:szCs w:val="24"/>
        <w:lang w:val="en-GB"/>
      </w:rPr>
    </w:pPr>
    <w:r w:rsidRPr="00F475B3">
      <w:rPr>
        <w:rFonts w:ascii="Times New Roman" w:hAnsi="Times New Roman" w:cs="Times New Roman"/>
        <w:sz w:val="24"/>
        <w:szCs w:val="24"/>
        <w:lang w:val="en-GB"/>
      </w:rPr>
      <w:t xml:space="preserve">European Papers </w:t>
    </w:r>
    <w:r w:rsidR="00F475B3" w:rsidRPr="00F475B3">
      <w:rPr>
        <w:rFonts w:ascii="Times New Roman" w:hAnsi="Times New Roman" w:cs="Times New Roman"/>
        <w:sz w:val="24"/>
        <w:szCs w:val="24"/>
        <w:lang w:val="en-GB"/>
      </w:rPr>
      <w:t>A Journal on Law and Integration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62E"/>
    <w:rsid w:val="00004CC8"/>
    <w:rsid w:val="00012FF7"/>
    <w:rsid w:val="000133F0"/>
    <w:rsid w:val="0004409D"/>
    <w:rsid w:val="00060B61"/>
    <w:rsid w:val="000846D4"/>
    <w:rsid w:val="000A2922"/>
    <w:rsid w:val="000D733A"/>
    <w:rsid w:val="000F5835"/>
    <w:rsid w:val="0011449A"/>
    <w:rsid w:val="00117BC9"/>
    <w:rsid w:val="001229B0"/>
    <w:rsid w:val="0013600E"/>
    <w:rsid w:val="00171A09"/>
    <w:rsid w:val="001877DA"/>
    <w:rsid w:val="00195C2E"/>
    <w:rsid w:val="001A1882"/>
    <w:rsid w:val="001B4B84"/>
    <w:rsid w:val="001E5934"/>
    <w:rsid w:val="001F5560"/>
    <w:rsid w:val="00222C08"/>
    <w:rsid w:val="002317DA"/>
    <w:rsid w:val="00232276"/>
    <w:rsid w:val="00265239"/>
    <w:rsid w:val="002712A2"/>
    <w:rsid w:val="00285AA1"/>
    <w:rsid w:val="00286BF6"/>
    <w:rsid w:val="002A298B"/>
    <w:rsid w:val="002C30F4"/>
    <w:rsid w:val="002E023C"/>
    <w:rsid w:val="00304EAD"/>
    <w:rsid w:val="003704AC"/>
    <w:rsid w:val="00382CF1"/>
    <w:rsid w:val="00385E5F"/>
    <w:rsid w:val="003A76E5"/>
    <w:rsid w:val="003B75BA"/>
    <w:rsid w:val="003D4234"/>
    <w:rsid w:val="003D65EB"/>
    <w:rsid w:val="003E4B66"/>
    <w:rsid w:val="003F2FAB"/>
    <w:rsid w:val="00401D02"/>
    <w:rsid w:val="004074B3"/>
    <w:rsid w:val="00425719"/>
    <w:rsid w:val="004A51EB"/>
    <w:rsid w:val="004B2F2B"/>
    <w:rsid w:val="00521F9B"/>
    <w:rsid w:val="00540134"/>
    <w:rsid w:val="00582B35"/>
    <w:rsid w:val="005C7B13"/>
    <w:rsid w:val="00633632"/>
    <w:rsid w:val="00672E58"/>
    <w:rsid w:val="00682678"/>
    <w:rsid w:val="0068644F"/>
    <w:rsid w:val="006C4D8C"/>
    <w:rsid w:val="006F2A40"/>
    <w:rsid w:val="00751416"/>
    <w:rsid w:val="00767B53"/>
    <w:rsid w:val="007B3D6B"/>
    <w:rsid w:val="007C7329"/>
    <w:rsid w:val="007D5313"/>
    <w:rsid w:val="00865062"/>
    <w:rsid w:val="00881887"/>
    <w:rsid w:val="00887EFE"/>
    <w:rsid w:val="0089244C"/>
    <w:rsid w:val="008A39DC"/>
    <w:rsid w:val="009353B1"/>
    <w:rsid w:val="00970C2F"/>
    <w:rsid w:val="009F5D8C"/>
    <w:rsid w:val="00A15486"/>
    <w:rsid w:val="00A2233D"/>
    <w:rsid w:val="00A31709"/>
    <w:rsid w:val="00A35A69"/>
    <w:rsid w:val="00A723BA"/>
    <w:rsid w:val="00AA53E3"/>
    <w:rsid w:val="00B50D07"/>
    <w:rsid w:val="00B8734C"/>
    <w:rsid w:val="00B913ED"/>
    <w:rsid w:val="00BA0A4E"/>
    <w:rsid w:val="00BE1807"/>
    <w:rsid w:val="00BF22A5"/>
    <w:rsid w:val="00C0036E"/>
    <w:rsid w:val="00C6150E"/>
    <w:rsid w:val="00C71732"/>
    <w:rsid w:val="00CB5027"/>
    <w:rsid w:val="00CF4D36"/>
    <w:rsid w:val="00D0111F"/>
    <w:rsid w:val="00D21280"/>
    <w:rsid w:val="00D43C1A"/>
    <w:rsid w:val="00D62D69"/>
    <w:rsid w:val="00D739E1"/>
    <w:rsid w:val="00D8562E"/>
    <w:rsid w:val="00DA04C5"/>
    <w:rsid w:val="00E071B0"/>
    <w:rsid w:val="00E212CA"/>
    <w:rsid w:val="00E30012"/>
    <w:rsid w:val="00E60730"/>
    <w:rsid w:val="00E6432E"/>
    <w:rsid w:val="00E65C09"/>
    <w:rsid w:val="00E82095"/>
    <w:rsid w:val="00E82563"/>
    <w:rsid w:val="00E9421B"/>
    <w:rsid w:val="00EB1D78"/>
    <w:rsid w:val="00EF5E81"/>
    <w:rsid w:val="00F26405"/>
    <w:rsid w:val="00F475B3"/>
    <w:rsid w:val="00F62731"/>
    <w:rsid w:val="00F7753B"/>
    <w:rsid w:val="00F84FD9"/>
    <w:rsid w:val="00F87BDF"/>
    <w:rsid w:val="00F95B23"/>
    <w:rsid w:val="00F97889"/>
    <w:rsid w:val="00FD4D4E"/>
    <w:rsid w:val="00FF28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37D0F"/>
  <w15:chartTrackingRefBased/>
  <w15:docId w15:val="{CF5FE1AD-37AB-49B4-91B7-6F6FDEFC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77DA"/>
    <w:pPr>
      <w:keepNext/>
      <w:keepLines/>
      <w:spacing w:before="360" w:after="80"/>
      <w:outlineLvl w:val="0"/>
    </w:pPr>
    <w:rPr>
      <w:rFonts w:ascii="Times New Roman" w:eastAsiaTheme="majorEastAsia" w:hAnsi="Times New Roman" w:cstheme="majorBidi"/>
      <w:b/>
      <w:sz w:val="24"/>
      <w:szCs w:val="40"/>
    </w:rPr>
  </w:style>
  <w:style w:type="paragraph" w:styleId="Heading2">
    <w:name w:val="heading 2"/>
    <w:basedOn w:val="Normal"/>
    <w:next w:val="Normal"/>
    <w:link w:val="Heading2Char"/>
    <w:uiPriority w:val="9"/>
    <w:semiHidden/>
    <w:unhideWhenUsed/>
    <w:qFormat/>
    <w:rsid w:val="00D856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56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56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56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56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56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56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56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7DA"/>
    <w:rPr>
      <w:rFonts w:ascii="Times New Roman" w:eastAsiaTheme="majorEastAsia" w:hAnsi="Times New Roman" w:cstheme="majorBidi"/>
      <w:b/>
      <w:sz w:val="24"/>
      <w:szCs w:val="40"/>
    </w:rPr>
  </w:style>
  <w:style w:type="character" w:customStyle="1" w:styleId="Heading2Char">
    <w:name w:val="Heading 2 Char"/>
    <w:basedOn w:val="DefaultParagraphFont"/>
    <w:link w:val="Heading2"/>
    <w:uiPriority w:val="9"/>
    <w:semiHidden/>
    <w:rsid w:val="00D856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56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56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56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56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56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56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562E"/>
    <w:rPr>
      <w:rFonts w:eastAsiaTheme="majorEastAsia" w:cstheme="majorBidi"/>
      <w:color w:val="272727" w:themeColor="text1" w:themeTint="D8"/>
    </w:rPr>
  </w:style>
  <w:style w:type="paragraph" w:styleId="Title">
    <w:name w:val="Title"/>
    <w:basedOn w:val="Normal"/>
    <w:next w:val="Normal"/>
    <w:link w:val="TitleChar"/>
    <w:uiPriority w:val="10"/>
    <w:qFormat/>
    <w:rsid w:val="00D856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6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6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56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562E"/>
    <w:pPr>
      <w:spacing w:before="160"/>
      <w:jc w:val="center"/>
    </w:pPr>
    <w:rPr>
      <w:i/>
      <w:iCs/>
      <w:color w:val="404040" w:themeColor="text1" w:themeTint="BF"/>
    </w:rPr>
  </w:style>
  <w:style w:type="character" w:customStyle="1" w:styleId="QuoteChar">
    <w:name w:val="Quote Char"/>
    <w:basedOn w:val="DefaultParagraphFont"/>
    <w:link w:val="Quote"/>
    <w:uiPriority w:val="29"/>
    <w:rsid w:val="00D8562E"/>
    <w:rPr>
      <w:i/>
      <w:iCs/>
      <w:color w:val="404040" w:themeColor="text1" w:themeTint="BF"/>
    </w:rPr>
  </w:style>
  <w:style w:type="paragraph" w:styleId="ListParagraph">
    <w:name w:val="List Paragraph"/>
    <w:basedOn w:val="Normal"/>
    <w:uiPriority w:val="34"/>
    <w:qFormat/>
    <w:rsid w:val="00D8562E"/>
    <w:pPr>
      <w:ind w:left="720"/>
      <w:contextualSpacing/>
    </w:pPr>
  </w:style>
  <w:style w:type="character" w:styleId="IntenseEmphasis">
    <w:name w:val="Intense Emphasis"/>
    <w:basedOn w:val="DefaultParagraphFont"/>
    <w:uiPriority w:val="21"/>
    <w:qFormat/>
    <w:rsid w:val="00D8562E"/>
    <w:rPr>
      <w:i/>
      <w:iCs/>
      <w:color w:val="0F4761" w:themeColor="accent1" w:themeShade="BF"/>
    </w:rPr>
  </w:style>
  <w:style w:type="paragraph" w:styleId="IntenseQuote">
    <w:name w:val="Intense Quote"/>
    <w:basedOn w:val="Normal"/>
    <w:next w:val="Normal"/>
    <w:link w:val="IntenseQuoteChar"/>
    <w:uiPriority w:val="30"/>
    <w:qFormat/>
    <w:rsid w:val="00D856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562E"/>
    <w:rPr>
      <w:i/>
      <w:iCs/>
      <w:color w:val="0F4761" w:themeColor="accent1" w:themeShade="BF"/>
    </w:rPr>
  </w:style>
  <w:style w:type="character" w:styleId="IntenseReference">
    <w:name w:val="Intense Reference"/>
    <w:basedOn w:val="DefaultParagraphFont"/>
    <w:uiPriority w:val="32"/>
    <w:qFormat/>
    <w:rsid w:val="00D8562E"/>
    <w:rPr>
      <w:b/>
      <w:bCs/>
      <w:smallCaps/>
      <w:color w:val="0F4761" w:themeColor="accent1" w:themeShade="BF"/>
      <w:spacing w:val="5"/>
    </w:rPr>
  </w:style>
  <w:style w:type="character" w:styleId="Hyperlink">
    <w:name w:val="Hyperlink"/>
    <w:basedOn w:val="DefaultParagraphFont"/>
    <w:uiPriority w:val="99"/>
    <w:unhideWhenUsed/>
    <w:rsid w:val="003A76E5"/>
    <w:rPr>
      <w:color w:val="467886" w:themeColor="hyperlink"/>
      <w:u w:val="single"/>
    </w:rPr>
  </w:style>
  <w:style w:type="character" w:styleId="UnresolvedMention">
    <w:name w:val="Unresolved Mention"/>
    <w:basedOn w:val="DefaultParagraphFont"/>
    <w:uiPriority w:val="99"/>
    <w:semiHidden/>
    <w:unhideWhenUsed/>
    <w:rsid w:val="003A76E5"/>
    <w:rPr>
      <w:color w:val="605E5C"/>
      <w:shd w:val="clear" w:color="auto" w:fill="E1DFDD"/>
    </w:rPr>
  </w:style>
  <w:style w:type="paragraph" w:styleId="FootnoteText">
    <w:name w:val="footnote text"/>
    <w:basedOn w:val="Normal"/>
    <w:link w:val="FootnoteTextChar"/>
    <w:uiPriority w:val="99"/>
    <w:semiHidden/>
    <w:unhideWhenUsed/>
    <w:rsid w:val="003A76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76E5"/>
    <w:rPr>
      <w:sz w:val="20"/>
      <w:szCs w:val="20"/>
    </w:rPr>
  </w:style>
  <w:style w:type="character" w:styleId="FootnoteReference">
    <w:name w:val="footnote reference"/>
    <w:basedOn w:val="DefaultParagraphFont"/>
    <w:uiPriority w:val="99"/>
    <w:semiHidden/>
    <w:unhideWhenUsed/>
    <w:rsid w:val="003A76E5"/>
    <w:rPr>
      <w:vertAlign w:val="superscript"/>
    </w:rPr>
  </w:style>
  <w:style w:type="paragraph" w:styleId="Header">
    <w:name w:val="header"/>
    <w:basedOn w:val="Normal"/>
    <w:link w:val="HeaderChar"/>
    <w:uiPriority w:val="99"/>
    <w:unhideWhenUsed/>
    <w:rsid w:val="000440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4409D"/>
  </w:style>
  <w:style w:type="paragraph" w:styleId="Footer">
    <w:name w:val="footer"/>
    <w:basedOn w:val="Normal"/>
    <w:link w:val="FooterChar"/>
    <w:uiPriority w:val="99"/>
    <w:unhideWhenUsed/>
    <w:rsid w:val="000440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4409D"/>
  </w:style>
  <w:style w:type="character" w:styleId="FollowedHyperlink">
    <w:name w:val="FollowedHyperlink"/>
    <w:basedOn w:val="DefaultParagraphFont"/>
    <w:uiPriority w:val="99"/>
    <w:semiHidden/>
    <w:unhideWhenUsed/>
    <w:rsid w:val="00633632"/>
    <w:rPr>
      <w:color w:val="96607D" w:themeColor="followedHyperlink"/>
      <w:u w:val="single"/>
    </w:rPr>
  </w:style>
  <w:style w:type="character" w:styleId="CommentReference">
    <w:name w:val="annotation reference"/>
    <w:basedOn w:val="DefaultParagraphFont"/>
    <w:uiPriority w:val="99"/>
    <w:semiHidden/>
    <w:unhideWhenUsed/>
    <w:rsid w:val="003F2FAB"/>
    <w:rPr>
      <w:sz w:val="16"/>
      <w:szCs w:val="16"/>
    </w:rPr>
  </w:style>
  <w:style w:type="paragraph" w:styleId="CommentText">
    <w:name w:val="annotation text"/>
    <w:basedOn w:val="Normal"/>
    <w:link w:val="CommentTextChar"/>
    <w:uiPriority w:val="99"/>
    <w:semiHidden/>
    <w:unhideWhenUsed/>
    <w:rsid w:val="003F2FAB"/>
    <w:pPr>
      <w:spacing w:line="240" w:lineRule="auto"/>
    </w:pPr>
    <w:rPr>
      <w:sz w:val="20"/>
      <w:szCs w:val="20"/>
    </w:rPr>
  </w:style>
  <w:style w:type="character" w:customStyle="1" w:styleId="CommentTextChar">
    <w:name w:val="Comment Text Char"/>
    <w:basedOn w:val="DefaultParagraphFont"/>
    <w:link w:val="CommentText"/>
    <w:uiPriority w:val="99"/>
    <w:semiHidden/>
    <w:rsid w:val="003F2FAB"/>
    <w:rPr>
      <w:sz w:val="20"/>
      <w:szCs w:val="20"/>
    </w:rPr>
  </w:style>
  <w:style w:type="paragraph" w:styleId="CommentSubject">
    <w:name w:val="annotation subject"/>
    <w:basedOn w:val="CommentText"/>
    <w:next w:val="CommentText"/>
    <w:link w:val="CommentSubjectChar"/>
    <w:uiPriority w:val="99"/>
    <w:semiHidden/>
    <w:unhideWhenUsed/>
    <w:rsid w:val="003F2FAB"/>
    <w:rPr>
      <w:b/>
      <w:bCs/>
    </w:rPr>
  </w:style>
  <w:style w:type="character" w:customStyle="1" w:styleId="CommentSubjectChar">
    <w:name w:val="Comment Subject Char"/>
    <w:basedOn w:val="CommentTextChar"/>
    <w:link w:val="CommentSubject"/>
    <w:uiPriority w:val="99"/>
    <w:semiHidden/>
    <w:rsid w:val="003F2FAB"/>
    <w:rPr>
      <w:b/>
      <w:bCs/>
      <w:sz w:val="20"/>
      <w:szCs w:val="20"/>
    </w:rPr>
  </w:style>
  <w:style w:type="paragraph" w:styleId="Revision">
    <w:name w:val="Revision"/>
    <w:hidden/>
    <w:uiPriority w:val="99"/>
    <w:semiHidden/>
    <w:rsid w:val="00F775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71338">
      <w:bodyDiv w:val="1"/>
      <w:marLeft w:val="0"/>
      <w:marRight w:val="0"/>
      <w:marTop w:val="0"/>
      <w:marBottom w:val="0"/>
      <w:divBdr>
        <w:top w:val="none" w:sz="0" w:space="0" w:color="auto"/>
        <w:left w:val="none" w:sz="0" w:space="0" w:color="auto"/>
        <w:bottom w:val="none" w:sz="0" w:space="0" w:color="auto"/>
        <w:right w:val="none" w:sz="0" w:space="0" w:color="auto"/>
      </w:divBdr>
    </w:div>
    <w:div w:id="206915885">
      <w:bodyDiv w:val="1"/>
      <w:marLeft w:val="0"/>
      <w:marRight w:val="0"/>
      <w:marTop w:val="0"/>
      <w:marBottom w:val="0"/>
      <w:divBdr>
        <w:top w:val="none" w:sz="0" w:space="0" w:color="auto"/>
        <w:left w:val="none" w:sz="0" w:space="0" w:color="auto"/>
        <w:bottom w:val="none" w:sz="0" w:space="0" w:color="auto"/>
        <w:right w:val="none" w:sz="0" w:space="0" w:color="auto"/>
      </w:divBdr>
    </w:div>
    <w:div w:id="215549779">
      <w:bodyDiv w:val="1"/>
      <w:marLeft w:val="0"/>
      <w:marRight w:val="0"/>
      <w:marTop w:val="0"/>
      <w:marBottom w:val="0"/>
      <w:divBdr>
        <w:top w:val="none" w:sz="0" w:space="0" w:color="auto"/>
        <w:left w:val="none" w:sz="0" w:space="0" w:color="auto"/>
        <w:bottom w:val="none" w:sz="0" w:space="0" w:color="auto"/>
        <w:right w:val="none" w:sz="0" w:space="0" w:color="auto"/>
      </w:divBdr>
    </w:div>
    <w:div w:id="221184088">
      <w:bodyDiv w:val="1"/>
      <w:marLeft w:val="0"/>
      <w:marRight w:val="0"/>
      <w:marTop w:val="0"/>
      <w:marBottom w:val="0"/>
      <w:divBdr>
        <w:top w:val="none" w:sz="0" w:space="0" w:color="auto"/>
        <w:left w:val="none" w:sz="0" w:space="0" w:color="auto"/>
        <w:bottom w:val="none" w:sz="0" w:space="0" w:color="auto"/>
        <w:right w:val="none" w:sz="0" w:space="0" w:color="auto"/>
      </w:divBdr>
    </w:div>
    <w:div w:id="1315061569">
      <w:bodyDiv w:val="1"/>
      <w:marLeft w:val="0"/>
      <w:marRight w:val="0"/>
      <w:marTop w:val="0"/>
      <w:marBottom w:val="0"/>
      <w:divBdr>
        <w:top w:val="none" w:sz="0" w:space="0" w:color="auto"/>
        <w:left w:val="none" w:sz="0" w:space="0" w:color="auto"/>
        <w:bottom w:val="none" w:sz="0" w:space="0" w:color="auto"/>
        <w:right w:val="none" w:sz="0" w:space="0" w:color="auto"/>
      </w:divBdr>
    </w:div>
    <w:div w:id="162608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lubcat.lub.lu.se/cgi-bin/koha/opac-detail.pl?biblionumber=5724794" TargetMode="External"/><Relationship Id="rId1" Type="http://schemas.openxmlformats.org/officeDocument/2006/relationships/hyperlink" Target="https://curia.europa.eu/juris/liste.jsf?nat=or&amp;mat=or&amp;pcs=Oor&amp;jur=C%2CT%2CF&amp;num=C-352%252F22&amp;for=&amp;jge=&amp;dates=&amp;language=en&amp;pro=&amp;cit=none%252CC%252CCJ%252CR%252C2008E%252C%252C%252C%252C%252C%252C%252C%252C%252C%252Ctrue%252Cfalse%252Cfalse&amp;oqp=&amp;td=%3BALL&amp;avg=&amp;lg=&amp;page=1&amp;cid=4379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51E98-ED2D-4509-B356-B6556298C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3198</Words>
  <Characters>16952</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Lunds universitet</Company>
  <LinksUpToDate>false</LinksUpToDate>
  <CharactersWithSpaces>20110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Vladislava Stoyanova</dc:creator>
  <cp:keywords/>
  <dc:description/>
  <cp:lastModifiedBy>Vladislava Stoyanova</cp:lastModifiedBy>
  <cp:revision>3</cp:revision>
  <dcterms:created xsi:type="dcterms:W3CDTF">2025-03-27T10:42:00Z</dcterms:created>
  <dcterms:modified xsi:type="dcterms:W3CDTF">2025-03-27T10:43:00Z</dcterms:modified>
</cp:coreProperties>
</file>