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3E58" w14:textId="77777777" w:rsidR="0085406A" w:rsidRPr="00C55676" w:rsidRDefault="0085406A" w:rsidP="000E2D72">
      <w:pPr>
        <w:spacing w:after="120"/>
        <w:jc w:val="both"/>
        <w:rPr>
          <w:rFonts w:ascii="Times New Roman" w:hAnsi="Times New Roman" w:cs="Times New Roman"/>
          <w:sz w:val="24"/>
          <w:szCs w:val="24"/>
          <w:lang w:val="en-GB"/>
        </w:rPr>
      </w:pPr>
    </w:p>
    <w:p w14:paraId="544AB427" w14:textId="35AA026F" w:rsidR="0085406A" w:rsidRPr="00C55676" w:rsidRDefault="0085406A" w:rsidP="000E2D72">
      <w:pPr>
        <w:pStyle w:val="Heading2"/>
        <w:spacing w:before="0" w:after="120"/>
        <w:jc w:val="both"/>
        <w:rPr>
          <w:rFonts w:ascii="Times New Roman" w:hAnsi="Times New Roman" w:cs="Times New Roman"/>
          <w:b/>
          <w:bCs/>
          <w:color w:val="auto"/>
          <w:sz w:val="24"/>
          <w:szCs w:val="24"/>
          <w:lang w:val="en-GB"/>
        </w:rPr>
      </w:pPr>
      <w:r w:rsidRPr="00C55676">
        <w:rPr>
          <w:rFonts w:ascii="Times New Roman" w:hAnsi="Times New Roman" w:cs="Times New Roman"/>
          <w:b/>
          <w:bCs/>
          <w:color w:val="auto"/>
          <w:sz w:val="24"/>
          <w:szCs w:val="24"/>
          <w:lang w:val="en-GB"/>
        </w:rPr>
        <w:t xml:space="preserve">The Borders Within: </w:t>
      </w:r>
      <w:r w:rsidR="001D1F03" w:rsidRPr="00C55676">
        <w:rPr>
          <w:rFonts w:ascii="Times New Roman" w:hAnsi="Times New Roman" w:cs="Times New Roman"/>
          <w:b/>
          <w:bCs/>
          <w:color w:val="auto"/>
          <w:sz w:val="24"/>
          <w:szCs w:val="24"/>
          <w:lang w:val="en-GB"/>
        </w:rPr>
        <w:t>Socio-</w:t>
      </w:r>
      <w:r w:rsidR="000D131B" w:rsidRPr="00C55676">
        <w:rPr>
          <w:rFonts w:ascii="Times New Roman" w:hAnsi="Times New Roman" w:cs="Times New Roman"/>
          <w:b/>
          <w:bCs/>
          <w:color w:val="auto"/>
          <w:sz w:val="24"/>
          <w:szCs w:val="24"/>
          <w:lang w:val="en-GB"/>
        </w:rPr>
        <w:t xml:space="preserve">Economic </w:t>
      </w:r>
      <w:r w:rsidR="00900E23" w:rsidRPr="00C55676">
        <w:rPr>
          <w:rFonts w:ascii="Times New Roman" w:hAnsi="Times New Roman" w:cs="Times New Roman"/>
          <w:b/>
          <w:bCs/>
          <w:color w:val="auto"/>
          <w:sz w:val="24"/>
          <w:szCs w:val="24"/>
          <w:lang w:val="en-GB"/>
        </w:rPr>
        <w:t>R</w:t>
      </w:r>
      <w:r w:rsidR="000D131B" w:rsidRPr="00C55676">
        <w:rPr>
          <w:rFonts w:ascii="Times New Roman" w:hAnsi="Times New Roman" w:cs="Times New Roman"/>
          <w:b/>
          <w:bCs/>
          <w:color w:val="auto"/>
          <w:sz w:val="24"/>
          <w:szCs w:val="24"/>
          <w:lang w:val="en-GB"/>
        </w:rPr>
        <w:t>ights and Non-</w:t>
      </w:r>
      <w:r w:rsidR="00900E23" w:rsidRPr="00C55676">
        <w:rPr>
          <w:rFonts w:ascii="Times New Roman" w:hAnsi="Times New Roman" w:cs="Times New Roman"/>
          <w:b/>
          <w:bCs/>
          <w:color w:val="auto"/>
          <w:sz w:val="24"/>
          <w:szCs w:val="24"/>
          <w:lang w:val="en-GB"/>
        </w:rPr>
        <w:t>d</w:t>
      </w:r>
      <w:r w:rsidRPr="00C55676">
        <w:rPr>
          <w:rFonts w:ascii="Times New Roman" w:hAnsi="Times New Roman" w:cs="Times New Roman"/>
          <w:b/>
          <w:bCs/>
          <w:color w:val="auto"/>
          <w:sz w:val="24"/>
          <w:szCs w:val="24"/>
          <w:lang w:val="en-GB"/>
        </w:rPr>
        <w:t>iscrimination i</w:t>
      </w:r>
      <w:r w:rsidR="000D131B" w:rsidRPr="00C55676">
        <w:rPr>
          <w:rFonts w:ascii="Times New Roman" w:hAnsi="Times New Roman" w:cs="Times New Roman"/>
          <w:b/>
          <w:bCs/>
          <w:color w:val="auto"/>
          <w:sz w:val="24"/>
          <w:szCs w:val="24"/>
          <w:lang w:val="en-GB"/>
        </w:rPr>
        <w:t>n EU Law</w:t>
      </w:r>
    </w:p>
    <w:p w14:paraId="65B0426F" w14:textId="4E22491F" w:rsidR="0085406A" w:rsidRPr="00BF37EF" w:rsidRDefault="000D131B" w:rsidP="000E2D72">
      <w:pPr>
        <w:spacing w:after="120"/>
        <w:jc w:val="both"/>
        <w:rPr>
          <w:rFonts w:ascii="Times New Roman" w:hAnsi="Times New Roman" w:cs="Times New Roman"/>
          <w:sz w:val="24"/>
          <w:szCs w:val="24"/>
          <w:lang w:val="en-GB"/>
        </w:rPr>
      </w:pPr>
      <w:r w:rsidRPr="00C55676">
        <w:rPr>
          <w:rFonts w:ascii="Times New Roman" w:hAnsi="Times New Roman" w:cs="Times New Roman"/>
          <w:i/>
          <w:iCs/>
          <w:sz w:val="24"/>
          <w:szCs w:val="24"/>
          <w:lang w:val="en-GB"/>
        </w:rPr>
        <w:t>European Papers - A Journal on Law and Integration</w:t>
      </w:r>
      <w:r w:rsidR="00BF37EF">
        <w:rPr>
          <w:rFonts w:ascii="Times New Roman" w:hAnsi="Times New Roman" w:cs="Times New Roman"/>
          <w:i/>
          <w:iCs/>
          <w:sz w:val="24"/>
          <w:szCs w:val="24"/>
          <w:lang w:val="en-GB"/>
        </w:rPr>
        <w:t xml:space="preserve"> </w:t>
      </w:r>
      <w:r w:rsidR="00BF37EF">
        <w:rPr>
          <w:rFonts w:ascii="Times New Roman" w:hAnsi="Times New Roman" w:cs="Times New Roman"/>
          <w:sz w:val="24"/>
          <w:szCs w:val="24"/>
          <w:lang w:val="en-GB"/>
        </w:rPr>
        <w:t>2025</w:t>
      </w:r>
    </w:p>
    <w:p w14:paraId="11F3E7C7" w14:textId="77777777" w:rsidR="00E14863" w:rsidRPr="00C55676" w:rsidRDefault="00E14863" w:rsidP="00E14863">
      <w:pPr>
        <w:spacing w:after="120"/>
        <w:jc w:val="both"/>
        <w:rPr>
          <w:rFonts w:ascii="Times New Roman" w:hAnsi="Times New Roman" w:cs="Times New Roman"/>
          <w:b/>
          <w:bCs/>
          <w:sz w:val="24"/>
          <w:szCs w:val="24"/>
          <w:lang w:val="en-GB"/>
        </w:rPr>
      </w:pPr>
      <w:r w:rsidRPr="00C55676">
        <w:rPr>
          <w:rFonts w:ascii="Times New Roman" w:hAnsi="Times New Roman" w:cs="Times New Roman"/>
          <w:b/>
          <w:bCs/>
          <w:sz w:val="24"/>
          <w:szCs w:val="24"/>
          <w:lang w:val="en-GB"/>
        </w:rPr>
        <w:t xml:space="preserve">Editors </w:t>
      </w:r>
    </w:p>
    <w:p w14:paraId="550F7257" w14:textId="4189889E" w:rsidR="00E14863" w:rsidRPr="00C55676" w:rsidRDefault="00E14863" w:rsidP="00E14863">
      <w:pPr>
        <w:spacing w:after="120"/>
        <w:jc w:val="both"/>
        <w:rPr>
          <w:rFonts w:ascii="Times New Roman" w:hAnsi="Times New Roman" w:cs="Times New Roman"/>
          <w:sz w:val="24"/>
          <w:szCs w:val="24"/>
          <w:lang w:val="en-GB"/>
        </w:rPr>
      </w:pPr>
      <w:hyperlink r:id="rId8" w:history="1">
        <w:r w:rsidRPr="00C55676">
          <w:rPr>
            <w:rStyle w:val="Hyperlink"/>
            <w:rFonts w:ascii="Times New Roman" w:hAnsi="Times New Roman" w:cs="Times New Roman"/>
            <w:sz w:val="24"/>
            <w:szCs w:val="24"/>
            <w:lang w:val="en-GB"/>
          </w:rPr>
          <w:t>Vladislava Stoyanova</w:t>
        </w:r>
      </w:hyperlink>
      <w:r w:rsidRPr="00C55676">
        <w:rPr>
          <w:rFonts w:ascii="Times New Roman" w:hAnsi="Times New Roman" w:cs="Times New Roman"/>
          <w:sz w:val="24"/>
          <w:szCs w:val="24"/>
          <w:lang w:val="en-GB"/>
        </w:rPr>
        <w:t>, Associate Professor, Faculty of Law, Lund University</w:t>
      </w:r>
    </w:p>
    <w:p w14:paraId="4CA26486" w14:textId="753581A4" w:rsidR="00E14863" w:rsidRPr="00C55676" w:rsidRDefault="00E14863" w:rsidP="00E14863">
      <w:pPr>
        <w:spacing w:after="120"/>
        <w:jc w:val="both"/>
        <w:rPr>
          <w:rFonts w:ascii="Times New Roman" w:hAnsi="Times New Roman" w:cs="Times New Roman"/>
          <w:sz w:val="24"/>
          <w:szCs w:val="24"/>
          <w:lang w:val="en-GB"/>
        </w:rPr>
      </w:pPr>
      <w:hyperlink r:id="rId9" w:history="1">
        <w:r w:rsidRPr="00C55676">
          <w:rPr>
            <w:rStyle w:val="Hyperlink"/>
            <w:rFonts w:ascii="Times New Roman" w:hAnsi="Times New Roman" w:cs="Times New Roman"/>
            <w:sz w:val="24"/>
            <w:szCs w:val="24"/>
            <w:lang w:val="en-GB"/>
          </w:rPr>
          <w:t>Alezini Loxa</w:t>
        </w:r>
      </w:hyperlink>
      <w:r w:rsidRPr="00C55676">
        <w:rPr>
          <w:rFonts w:ascii="Times New Roman" w:hAnsi="Times New Roman" w:cs="Times New Roman"/>
          <w:sz w:val="24"/>
          <w:szCs w:val="24"/>
          <w:lang w:val="en-GB"/>
        </w:rPr>
        <w:t>, Postdoctoral researcher in EU Law, Faculty of Law, Lund University</w:t>
      </w:r>
    </w:p>
    <w:p w14:paraId="0CF73842" w14:textId="4D1B05D4" w:rsidR="00E14863" w:rsidRPr="00C55676" w:rsidRDefault="00E14863" w:rsidP="00E14863">
      <w:pPr>
        <w:spacing w:after="120"/>
        <w:jc w:val="both"/>
        <w:rPr>
          <w:rFonts w:ascii="Times New Roman" w:hAnsi="Times New Roman" w:cs="Times New Roman"/>
          <w:sz w:val="24"/>
          <w:szCs w:val="24"/>
          <w:lang w:val="en-GB"/>
        </w:rPr>
      </w:pPr>
      <w:hyperlink r:id="rId10" w:history="1">
        <w:r w:rsidRPr="00C55676">
          <w:rPr>
            <w:rStyle w:val="Hyperlink"/>
            <w:rFonts w:ascii="Times New Roman" w:hAnsi="Times New Roman" w:cs="Times New Roman"/>
            <w:sz w:val="24"/>
            <w:szCs w:val="24"/>
            <w:lang w:val="en-GB"/>
          </w:rPr>
          <w:t>Serde Atalay</w:t>
        </w:r>
      </w:hyperlink>
      <w:r w:rsidRPr="00C55676">
        <w:rPr>
          <w:rFonts w:ascii="Times New Roman" w:hAnsi="Times New Roman" w:cs="Times New Roman"/>
          <w:sz w:val="24"/>
          <w:szCs w:val="24"/>
          <w:lang w:val="en-GB"/>
        </w:rPr>
        <w:t>, PhD candidate, Faculty of Law, Lund University</w:t>
      </w:r>
    </w:p>
    <w:p w14:paraId="4009B665" w14:textId="7CD55C78" w:rsidR="0085406A" w:rsidRPr="00C55676" w:rsidRDefault="00B145C0" w:rsidP="00040C84">
      <w:pPr>
        <w:pStyle w:val="Heading2"/>
        <w:spacing w:before="0" w:after="0" w:line="240" w:lineRule="auto"/>
        <w:jc w:val="both"/>
        <w:rPr>
          <w:rFonts w:ascii="Times New Roman" w:hAnsi="Times New Roman" w:cs="Times New Roman"/>
          <w:b/>
          <w:bCs/>
          <w:color w:val="auto"/>
          <w:sz w:val="24"/>
          <w:szCs w:val="24"/>
          <w:lang w:val="en-GB"/>
        </w:rPr>
      </w:pPr>
      <w:r w:rsidRPr="00C55676">
        <w:rPr>
          <w:rFonts w:ascii="Times New Roman" w:hAnsi="Times New Roman" w:cs="Times New Roman"/>
          <w:b/>
          <w:bCs/>
          <w:color w:val="auto"/>
          <w:sz w:val="24"/>
          <w:szCs w:val="24"/>
          <w:lang w:val="en-GB"/>
        </w:rPr>
        <w:t xml:space="preserve">1. </w:t>
      </w:r>
      <w:r w:rsidR="00094556" w:rsidRPr="00C55676">
        <w:rPr>
          <w:rFonts w:ascii="Times New Roman" w:hAnsi="Times New Roman" w:cs="Times New Roman"/>
          <w:b/>
          <w:bCs/>
          <w:color w:val="auto"/>
          <w:sz w:val="24"/>
          <w:szCs w:val="24"/>
          <w:lang w:val="en-GB"/>
        </w:rPr>
        <w:t>Introduction</w:t>
      </w:r>
    </w:p>
    <w:p w14:paraId="573303A5" w14:textId="2E87A197" w:rsidR="000E2D72" w:rsidRPr="00C55676" w:rsidRDefault="00094556" w:rsidP="00040C84">
      <w:pPr>
        <w:spacing w:after="0" w:line="240" w:lineRule="auto"/>
        <w:jc w:val="both"/>
        <w:rPr>
          <w:rFonts w:ascii="Times New Roman" w:hAnsi="Times New Roman" w:cs="Times New Roman"/>
          <w:sz w:val="24"/>
          <w:szCs w:val="24"/>
          <w:lang w:val="en-US"/>
        </w:rPr>
      </w:pPr>
      <w:r w:rsidRPr="00C55676">
        <w:rPr>
          <w:rFonts w:ascii="Times New Roman" w:hAnsi="Times New Roman" w:cs="Times New Roman"/>
          <w:sz w:val="24"/>
          <w:szCs w:val="24"/>
          <w:lang w:val="en-GB"/>
        </w:rPr>
        <w:t>The</w:t>
      </w:r>
      <w:r w:rsidR="009D3033" w:rsidRPr="00C55676">
        <w:rPr>
          <w:rFonts w:ascii="Times New Roman" w:hAnsi="Times New Roman" w:cs="Times New Roman"/>
          <w:sz w:val="24"/>
          <w:szCs w:val="24"/>
          <w:lang w:val="en-GB"/>
        </w:rPr>
        <w:t xml:space="preserve"> contributions </w:t>
      </w:r>
      <w:r w:rsidRPr="00C55676">
        <w:rPr>
          <w:rFonts w:ascii="Times New Roman" w:hAnsi="Times New Roman" w:cs="Times New Roman"/>
          <w:sz w:val="24"/>
          <w:szCs w:val="24"/>
          <w:lang w:val="en-GB"/>
        </w:rPr>
        <w:t>in</w:t>
      </w:r>
      <w:r w:rsidR="009D3033" w:rsidRPr="00C55676">
        <w:rPr>
          <w:rFonts w:ascii="Times New Roman" w:hAnsi="Times New Roman" w:cs="Times New Roman"/>
          <w:sz w:val="24"/>
          <w:szCs w:val="24"/>
          <w:lang w:val="en-GB"/>
        </w:rPr>
        <w:t xml:space="preserve"> </w:t>
      </w:r>
      <w:r w:rsidR="00D517C9" w:rsidRPr="00C55676">
        <w:rPr>
          <w:rFonts w:ascii="Times New Roman" w:hAnsi="Times New Roman" w:cs="Times New Roman"/>
          <w:sz w:val="24"/>
          <w:szCs w:val="24"/>
          <w:lang w:val="en-GB"/>
        </w:rPr>
        <w:t xml:space="preserve">this special </w:t>
      </w:r>
      <w:r w:rsidR="00A34FCE" w:rsidRPr="00C55676">
        <w:rPr>
          <w:rFonts w:ascii="Times New Roman" w:hAnsi="Times New Roman" w:cs="Times New Roman"/>
          <w:sz w:val="24"/>
          <w:szCs w:val="24"/>
          <w:lang w:val="en-GB"/>
        </w:rPr>
        <w:t>section</w:t>
      </w:r>
      <w:r w:rsidR="009D3033" w:rsidRPr="00C55676">
        <w:rPr>
          <w:rFonts w:ascii="Times New Roman" w:hAnsi="Times New Roman" w:cs="Times New Roman"/>
          <w:sz w:val="24"/>
          <w:szCs w:val="24"/>
          <w:lang w:val="en-GB"/>
        </w:rPr>
        <w:t xml:space="preserve"> engage with socio-economic rights and non-discrimination as sources of welfare </w:t>
      </w:r>
      <w:r w:rsidR="00437BCA" w:rsidRPr="00C55676">
        <w:rPr>
          <w:rFonts w:ascii="Times New Roman" w:hAnsi="Times New Roman" w:cs="Times New Roman"/>
          <w:sz w:val="24"/>
          <w:szCs w:val="24"/>
          <w:lang w:val="en-GB"/>
        </w:rPr>
        <w:t xml:space="preserve">for nationals of the Member States, EU citizens </w:t>
      </w:r>
      <w:r w:rsidR="00070FC0" w:rsidRPr="00C55676">
        <w:rPr>
          <w:rFonts w:ascii="Times New Roman" w:hAnsi="Times New Roman" w:cs="Times New Roman"/>
          <w:sz w:val="24"/>
          <w:szCs w:val="24"/>
          <w:lang w:val="en-GB"/>
        </w:rPr>
        <w:t xml:space="preserve">on the move </w:t>
      </w:r>
      <w:r w:rsidR="00437BCA" w:rsidRPr="00C55676">
        <w:rPr>
          <w:rFonts w:ascii="Times New Roman" w:hAnsi="Times New Roman" w:cs="Times New Roman"/>
          <w:sz w:val="24"/>
          <w:szCs w:val="24"/>
          <w:lang w:val="en-GB"/>
        </w:rPr>
        <w:t>and third-country nationals</w:t>
      </w:r>
      <w:r w:rsidR="009D3033" w:rsidRPr="00C55676">
        <w:rPr>
          <w:rFonts w:ascii="Times New Roman" w:hAnsi="Times New Roman" w:cs="Times New Roman"/>
          <w:sz w:val="24"/>
          <w:szCs w:val="24"/>
          <w:lang w:val="en-GB"/>
        </w:rPr>
        <w:t>.</w:t>
      </w:r>
      <w:r w:rsidR="007070A9" w:rsidRPr="00C55676">
        <w:rPr>
          <w:rFonts w:ascii="Times New Roman" w:hAnsi="Times New Roman" w:cs="Times New Roman"/>
          <w:sz w:val="24"/>
          <w:szCs w:val="24"/>
          <w:lang w:val="en-GB"/>
        </w:rPr>
        <w:t xml:space="preserve"> </w:t>
      </w:r>
      <w:r w:rsidR="00437BCA" w:rsidRPr="00C55676">
        <w:rPr>
          <w:rFonts w:ascii="Times New Roman" w:hAnsi="Times New Roman" w:cs="Times New Roman"/>
          <w:sz w:val="24"/>
          <w:szCs w:val="24"/>
          <w:lang w:val="en-GB"/>
        </w:rPr>
        <w:t xml:space="preserve">Under </w:t>
      </w:r>
      <w:r w:rsidR="00DF2804">
        <w:rPr>
          <w:rFonts w:ascii="Times New Roman" w:hAnsi="Times New Roman" w:cs="Times New Roman"/>
          <w:sz w:val="24"/>
          <w:szCs w:val="24"/>
          <w:lang w:val="en-GB"/>
        </w:rPr>
        <w:t xml:space="preserve">European </w:t>
      </w:r>
      <w:r w:rsidR="00437BCA" w:rsidRPr="00C55676">
        <w:rPr>
          <w:rFonts w:ascii="Times New Roman" w:hAnsi="Times New Roman" w:cs="Times New Roman"/>
          <w:sz w:val="24"/>
          <w:szCs w:val="24"/>
          <w:lang w:val="en-GB"/>
        </w:rPr>
        <w:t>human rights law, s</w:t>
      </w:r>
      <w:r w:rsidR="000D131B" w:rsidRPr="00C55676">
        <w:rPr>
          <w:rFonts w:ascii="Times New Roman" w:hAnsi="Times New Roman" w:cs="Times New Roman"/>
          <w:sz w:val="24"/>
          <w:szCs w:val="24"/>
          <w:lang w:val="en-GB"/>
        </w:rPr>
        <w:t xml:space="preserve">tates have </w:t>
      </w:r>
      <w:r w:rsidR="004838A2">
        <w:rPr>
          <w:rFonts w:ascii="Times New Roman" w:hAnsi="Times New Roman" w:cs="Times New Roman"/>
          <w:sz w:val="24"/>
          <w:szCs w:val="24"/>
          <w:lang w:val="en-GB"/>
        </w:rPr>
        <w:t xml:space="preserve">considerable </w:t>
      </w:r>
      <w:r w:rsidR="000D131B" w:rsidRPr="00C55676">
        <w:rPr>
          <w:rFonts w:ascii="Times New Roman" w:hAnsi="Times New Roman" w:cs="Times New Roman"/>
          <w:sz w:val="24"/>
          <w:szCs w:val="24"/>
          <w:lang w:val="en-GB"/>
        </w:rPr>
        <w:t xml:space="preserve">discretion when it comes to </w:t>
      </w:r>
      <w:r w:rsidR="000D131B" w:rsidRPr="00C55676">
        <w:rPr>
          <w:rFonts w:ascii="Times New Roman" w:hAnsi="Times New Roman" w:cs="Times New Roman"/>
          <w:sz w:val="24"/>
          <w:szCs w:val="24"/>
          <w:lang w:val="en-US"/>
        </w:rPr>
        <w:t>socio</w:t>
      </w:r>
      <w:r w:rsidR="00026B5A" w:rsidRPr="00C55676">
        <w:rPr>
          <w:rFonts w:ascii="Times New Roman" w:hAnsi="Times New Roman" w:cs="Times New Roman"/>
          <w:sz w:val="24"/>
          <w:szCs w:val="24"/>
          <w:lang w:val="en-US"/>
        </w:rPr>
        <w:t>-</w:t>
      </w:r>
      <w:r w:rsidR="000D131B" w:rsidRPr="00C55676">
        <w:rPr>
          <w:rFonts w:ascii="Times New Roman" w:hAnsi="Times New Roman" w:cs="Times New Roman"/>
          <w:sz w:val="24"/>
          <w:szCs w:val="24"/>
          <w:lang w:val="en-US"/>
        </w:rPr>
        <w:t>economic policy</w:t>
      </w:r>
      <w:r w:rsidR="00804F83" w:rsidRPr="00C55676">
        <w:rPr>
          <w:rFonts w:ascii="Times New Roman" w:hAnsi="Times New Roman" w:cs="Times New Roman"/>
          <w:sz w:val="24"/>
          <w:szCs w:val="24"/>
          <w:lang w:val="en-US"/>
        </w:rPr>
        <w:t>-</w:t>
      </w:r>
      <w:r w:rsidR="000D131B" w:rsidRPr="00C55676">
        <w:rPr>
          <w:rFonts w:ascii="Times New Roman" w:hAnsi="Times New Roman" w:cs="Times New Roman"/>
          <w:sz w:val="24"/>
          <w:szCs w:val="24"/>
          <w:lang w:val="en-US"/>
        </w:rPr>
        <w:t>making despite the direct impact of such policies on individuals’ enjoyment of economic and social rights.</w:t>
      </w:r>
      <w:r w:rsidR="00B9090C" w:rsidRPr="00C55676">
        <w:rPr>
          <w:rStyle w:val="FootnoteReference"/>
          <w:rFonts w:ascii="Times New Roman" w:hAnsi="Times New Roman" w:cs="Times New Roman"/>
          <w:sz w:val="24"/>
          <w:szCs w:val="24"/>
          <w:lang w:val="en-US"/>
        </w:rPr>
        <w:footnoteReference w:id="2"/>
      </w:r>
      <w:r w:rsidR="000D131B" w:rsidRPr="00C55676">
        <w:rPr>
          <w:rFonts w:ascii="Times New Roman" w:hAnsi="Times New Roman" w:cs="Times New Roman"/>
          <w:sz w:val="24"/>
          <w:szCs w:val="24"/>
          <w:lang w:val="en-US"/>
        </w:rPr>
        <w:t xml:space="preserve"> Moreover, </w:t>
      </w:r>
      <w:r w:rsidR="004838A2">
        <w:rPr>
          <w:rFonts w:ascii="Times New Roman" w:hAnsi="Times New Roman" w:cs="Times New Roman"/>
          <w:sz w:val="24"/>
          <w:szCs w:val="24"/>
          <w:lang w:val="en-US"/>
        </w:rPr>
        <w:t xml:space="preserve">there is room to </w:t>
      </w:r>
      <w:r w:rsidR="000D131B" w:rsidRPr="00C55676">
        <w:rPr>
          <w:rFonts w:ascii="Times New Roman" w:hAnsi="Times New Roman" w:cs="Times New Roman"/>
          <w:sz w:val="24"/>
          <w:szCs w:val="24"/>
          <w:lang w:val="en-US"/>
        </w:rPr>
        <w:t>differentiat</w:t>
      </w:r>
      <w:r w:rsidR="004838A2">
        <w:rPr>
          <w:rFonts w:ascii="Times New Roman" w:hAnsi="Times New Roman" w:cs="Times New Roman"/>
          <w:sz w:val="24"/>
          <w:szCs w:val="24"/>
          <w:lang w:val="en-US"/>
        </w:rPr>
        <w:t>e</w:t>
      </w:r>
      <w:r w:rsidR="000D131B" w:rsidRPr="00C55676">
        <w:rPr>
          <w:rFonts w:ascii="Times New Roman" w:hAnsi="Times New Roman" w:cs="Times New Roman"/>
          <w:sz w:val="24"/>
          <w:szCs w:val="24"/>
          <w:lang w:val="en-US"/>
        </w:rPr>
        <w:t xml:space="preserve"> between citizens and non-citizens </w:t>
      </w:r>
      <w:r w:rsidR="00070FC0" w:rsidRPr="00C55676">
        <w:rPr>
          <w:rFonts w:ascii="Times New Roman" w:hAnsi="Times New Roman" w:cs="Times New Roman"/>
          <w:sz w:val="24"/>
          <w:szCs w:val="24"/>
          <w:lang w:val="en-US"/>
        </w:rPr>
        <w:t xml:space="preserve">as well as </w:t>
      </w:r>
      <w:r w:rsidR="000D131B" w:rsidRPr="00C55676">
        <w:rPr>
          <w:rFonts w:ascii="Times New Roman" w:hAnsi="Times New Roman" w:cs="Times New Roman"/>
          <w:sz w:val="24"/>
          <w:szCs w:val="24"/>
          <w:lang w:val="en-US"/>
        </w:rPr>
        <w:t>among non-citizens in the distribution of welfare as a matter of state discretion.</w:t>
      </w:r>
      <w:r w:rsidR="00070FC0" w:rsidRPr="00C55676">
        <w:rPr>
          <w:rStyle w:val="FootnoteReference"/>
          <w:rFonts w:ascii="Times New Roman" w:hAnsi="Times New Roman" w:cs="Times New Roman"/>
          <w:sz w:val="24"/>
          <w:szCs w:val="24"/>
          <w:lang w:val="en-US"/>
        </w:rPr>
        <w:footnoteReference w:id="3"/>
      </w:r>
      <w:r w:rsidR="000E2D72" w:rsidRPr="00C55676">
        <w:rPr>
          <w:rFonts w:ascii="Times New Roman" w:hAnsi="Times New Roman" w:cs="Times New Roman"/>
          <w:sz w:val="24"/>
          <w:szCs w:val="24"/>
          <w:lang w:val="en-US"/>
        </w:rPr>
        <w:t xml:space="preserve"> </w:t>
      </w:r>
      <w:r w:rsidR="000C7F91">
        <w:rPr>
          <w:rFonts w:ascii="Times New Roman" w:hAnsi="Times New Roman" w:cs="Times New Roman"/>
          <w:sz w:val="24"/>
          <w:szCs w:val="24"/>
          <w:lang w:val="en-US"/>
        </w:rPr>
        <w:t>U</w:t>
      </w:r>
      <w:r w:rsidR="00437BCA" w:rsidRPr="00C55676">
        <w:rPr>
          <w:rFonts w:ascii="Times New Roman" w:hAnsi="Times New Roman" w:cs="Times New Roman"/>
          <w:sz w:val="24"/>
          <w:szCs w:val="24"/>
          <w:lang w:val="en-US"/>
        </w:rPr>
        <w:t xml:space="preserve">nder </w:t>
      </w:r>
      <w:r w:rsidR="000D131B" w:rsidRPr="00C55676">
        <w:rPr>
          <w:rFonts w:ascii="Times New Roman" w:hAnsi="Times New Roman" w:cs="Times New Roman"/>
          <w:sz w:val="24"/>
          <w:szCs w:val="24"/>
          <w:lang w:val="en-US"/>
        </w:rPr>
        <w:t xml:space="preserve">EU </w:t>
      </w:r>
      <w:r w:rsidR="00437BCA" w:rsidRPr="00C55676">
        <w:rPr>
          <w:rFonts w:ascii="Times New Roman" w:hAnsi="Times New Roman" w:cs="Times New Roman"/>
          <w:sz w:val="24"/>
          <w:szCs w:val="24"/>
          <w:lang w:val="en-US"/>
        </w:rPr>
        <w:t>law,</w:t>
      </w:r>
      <w:r w:rsidR="000D131B" w:rsidRPr="00C55676">
        <w:rPr>
          <w:rFonts w:ascii="Times New Roman" w:hAnsi="Times New Roman" w:cs="Times New Roman"/>
          <w:sz w:val="24"/>
          <w:szCs w:val="24"/>
          <w:lang w:val="en-US"/>
        </w:rPr>
        <w:t xml:space="preserve"> </w:t>
      </w:r>
      <w:r w:rsidR="000C7F91">
        <w:rPr>
          <w:rFonts w:ascii="Times New Roman" w:hAnsi="Times New Roman" w:cs="Times New Roman"/>
          <w:sz w:val="24"/>
          <w:szCs w:val="24"/>
          <w:lang w:val="en-US"/>
        </w:rPr>
        <w:t xml:space="preserve">on the other hand, </w:t>
      </w:r>
      <w:r w:rsidR="000D131B" w:rsidRPr="00C55676">
        <w:rPr>
          <w:rFonts w:ascii="Times New Roman" w:hAnsi="Times New Roman" w:cs="Times New Roman"/>
          <w:sz w:val="24"/>
          <w:szCs w:val="24"/>
          <w:lang w:val="en-US"/>
        </w:rPr>
        <w:t>the</w:t>
      </w:r>
      <w:r w:rsidR="001C4DE9" w:rsidRPr="00C55676">
        <w:rPr>
          <w:rFonts w:ascii="Times New Roman" w:hAnsi="Times New Roman" w:cs="Times New Roman"/>
          <w:sz w:val="24"/>
          <w:szCs w:val="24"/>
          <w:lang w:val="en-US"/>
        </w:rPr>
        <w:t xml:space="preserve"> boundaries between national socio</w:t>
      </w:r>
      <w:r w:rsidR="002A5EE8" w:rsidRPr="00C55676">
        <w:rPr>
          <w:rFonts w:ascii="Times New Roman" w:hAnsi="Times New Roman" w:cs="Times New Roman"/>
          <w:sz w:val="24"/>
          <w:szCs w:val="24"/>
          <w:lang w:val="en-US"/>
        </w:rPr>
        <w:t>-</w:t>
      </w:r>
      <w:r w:rsidR="001C4DE9" w:rsidRPr="00C55676">
        <w:rPr>
          <w:rFonts w:ascii="Times New Roman" w:hAnsi="Times New Roman" w:cs="Times New Roman"/>
          <w:sz w:val="24"/>
          <w:szCs w:val="24"/>
          <w:lang w:val="en-US"/>
        </w:rPr>
        <w:t>economic polic</w:t>
      </w:r>
      <w:r w:rsidR="00F167DC" w:rsidRPr="00C55676">
        <w:rPr>
          <w:rFonts w:ascii="Times New Roman" w:hAnsi="Times New Roman" w:cs="Times New Roman"/>
          <w:sz w:val="24"/>
          <w:szCs w:val="24"/>
          <w:lang w:val="en-US"/>
        </w:rPr>
        <w:t xml:space="preserve">ies </w:t>
      </w:r>
      <w:r w:rsidR="001C4DE9" w:rsidRPr="00C55676">
        <w:rPr>
          <w:rFonts w:ascii="Times New Roman" w:hAnsi="Times New Roman" w:cs="Times New Roman"/>
          <w:sz w:val="24"/>
          <w:szCs w:val="24"/>
          <w:lang w:val="en-US"/>
        </w:rPr>
        <w:t>and the enjoyment of socio</w:t>
      </w:r>
      <w:r w:rsidR="002A5EE8" w:rsidRPr="00C55676">
        <w:rPr>
          <w:rFonts w:ascii="Times New Roman" w:hAnsi="Times New Roman" w:cs="Times New Roman"/>
          <w:sz w:val="24"/>
          <w:szCs w:val="24"/>
          <w:lang w:val="en-US"/>
        </w:rPr>
        <w:t>-</w:t>
      </w:r>
      <w:r w:rsidR="001C4DE9" w:rsidRPr="00C55676">
        <w:rPr>
          <w:rFonts w:ascii="Times New Roman" w:hAnsi="Times New Roman" w:cs="Times New Roman"/>
          <w:sz w:val="24"/>
          <w:szCs w:val="24"/>
          <w:lang w:val="en-US"/>
        </w:rPr>
        <w:t xml:space="preserve">economic rights by non-citizens become blurred for a series of reasons. </w:t>
      </w:r>
    </w:p>
    <w:p w14:paraId="7BE875EC" w14:textId="77777777" w:rsidR="00040C84" w:rsidRPr="00C55676" w:rsidRDefault="00040C84" w:rsidP="00040C84">
      <w:pPr>
        <w:spacing w:after="0" w:line="240" w:lineRule="auto"/>
        <w:jc w:val="both"/>
        <w:rPr>
          <w:rFonts w:ascii="Times New Roman" w:hAnsi="Times New Roman" w:cs="Times New Roman"/>
          <w:sz w:val="24"/>
          <w:szCs w:val="24"/>
          <w:lang w:val="en-GB"/>
        </w:rPr>
      </w:pPr>
    </w:p>
    <w:p w14:paraId="7D2DF302" w14:textId="244EF812" w:rsidR="00BA5789" w:rsidRPr="00C55676" w:rsidRDefault="001C4DE9" w:rsidP="00040C84">
      <w:pPr>
        <w:spacing w:after="0" w:line="240" w:lineRule="auto"/>
        <w:jc w:val="both"/>
        <w:rPr>
          <w:rFonts w:ascii="Times New Roman" w:hAnsi="Times New Roman" w:cs="Times New Roman"/>
          <w:sz w:val="24"/>
          <w:szCs w:val="24"/>
          <w:lang w:val="en-US"/>
        </w:rPr>
      </w:pPr>
      <w:r w:rsidRPr="00C55676">
        <w:rPr>
          <w:rFonts w:ascii="Times New Roman" w:hAnsi="Times New Roman" w:cs="Times New Roman"/>
          <w:sz w:val="24"/>
          <w:szCs w:val="24"/>
          <w:lang w:val="en-US"/>
        </w:rPr>
        <w:t>First, the EU and the Member States have shared competence over social policy</w:t>
      </w:r>
      <w:r w:rsidR="007C0422" w:rsidRPr="00C55676">
        <w:rPr>
          <w:rFonts w:ascii="Times New Roman" w:hAnsi="Times New Roman" w:cs="Times New Roman"/>
          <w:sz w:val="24"/>
          <w:szCs w:val="24"/>
          <w:lang w:val="en-US"/>
        </w:rPr>
        <w:t xml:space="preserve"> under Article 4(2)(b)</w:t>
      </w:r>
      <w:r w:rsidR="001D7359" w:rsidRPr="00C55676">
        <w:rPr>
          <w:rFonts w:ascii="Times New Roman" w:hAnsi="Times New Roman" w:cs="Times New Roman"/>
          <w:sz w:val="24"/>
          <w:szCs w:val="24"/>
          <w:lang w:val="en-US"/>
        </w:rPr>
        <w:t xml:space="preserve"> TEU</w:t>
      </w:r>
      <w:r w:rsidR="007C0422" w:rsidRPr="00C55676">
        <w:rPr>
          <w:rFonts w:ascii="Times New Roman" w:hAnsi="Times New Roman" w:cs="Times New Roman"/>
          <w:sz w:val="24"/>
          <w:szCs w:val="24"/>
          <w:lang w:val="en-US"/>
        </w:rPr>
        <w:t>.</w:t>
      </w:r>
      <w:r w:rsidR="00437BCA" w:rsidRPr="00C55676">
        <w:rPr>
          <w:rFonts w:ascii="Times New Roman" w:hAnsi="Times New Roman" w:cs="Times New Roman"/>
          <w:sz w:val="24"/>
          <w:szCs w:val="24"/>
          <w:lang w:val="en-US"/>
        </w:rPr>
        <w:t xml:space="preserve"> The Member States have historically had different national welfare systems based on different valuations of redistributive justice.</w:t>
      </w:r>
      <w:r w:rsidR="001D7359" w:rsidRPr="00C55676">
        <w:rPr>
          <w:rStyle w:val="FootnoteReference"/>
          <w:rFonts w:ascii="Times New Roman" w:hAnsi="Times New Roman" w:cs="Times New Roman"/>
          <w:sz w:val="24"/>
          <w:szCs w:val="24"/>
          <w:lang w:val="en-US"/>
        </w:rPr>
        <w:footnoteReference w:id="4"/>
      </w:r>
      <w:r w:rsidR="00437BCA" w:rsidRPr="00C55676">
        <w:rPr>
          <w:rFonts w:ascii="Times New Roman" w:hAnsi="Times New Roman" w:cs="Times New Roman"/>
          <w:sz w:val="24"/>
          <w:szCs w:val="24"/>
          <w:lang w:val="en-US"/>
        </w:rPr>
        <w:t xml:space="preserve"> While there has been reluctance to cede competence to the EU, the EU </w:t>
      </w:r>
      <w:r w:rsidRPr="00C55676">
        <w:rPr>
          <w:rFonts w:ascii="Times New Roman" w:hAnsi="Times New Roman" w:cs="Times New Roman"/>
          <w:sz w:val="24"/>
          <w:szCs w:val="24"/>
          <w:lang w:val="en-US"/>
        </w:rPr>
        <w:t xml:space="preserve">can undertake action </w:t>
      </w:r>
      <w:r w:rsidR="00776B04" w:rsidRPr="00C55676">
        <w:rPr>
          <w:rFonts w:ascii="Times New Roman" w:hAnsi="Times New Roman" w:cs="Times New Roman"/>
          <w:sz w:val="24"/>
          <w:szCs w:val="24"/>
          <w:lang w:val="en-US"/>
        </w:rPr>
        <w:t>in accordance with Title X TFEU in order</w:t>
      </w:r>
      <w:r w:rsidRPr="00C55676">
        <w:rPr>
          <w:rFonts w:ascii="Times New Roman" w:hAnsi="Times New Roman" w:cs="Times New Roman"/>
          <w:sz w:val="24"/>
          <w:szCs w:val="24"/>
          <w:lang w:val="en-US"/>
        </w:rPr>
        <w:t xml:space="preserve"> to promote specific social policy objectives</w:t>
      </w:r>
      <w:r w:rsidR="00776B04" w:rsidRPr="00C55676">
        <w:rPr>
          <w:rFonts w:ascii="Times New Roman" w:hAnsi="Times New Roman" w:cs="Times New Roman"/>
          <w:sz w:val="24"/>
          <w:szCs w:val="24"/>
          <w:lang w:val="en-US"/>
        </w:rPr>
        <w:t xml:space="preserve"> within the fields mentioned in Article 153 TFEU</w:t>
      </w:r>
      <w:r w:rsidR="00437BCA" w:rsidRPr="00C55676">
        <w:rPr>
          <w:rFonts w:ascii="Times New Roman" w:hAnsi="Times New Roman" w:cs="Times New Roman"/>
          <w:sz w:val="24"/>
          <w:szCs w:val="24"/>
          <w:lang w:val="en-US"/>
        </w:rPr>
        <w:t>.</w:t>
      </w:r>
      <w:r w:rsidR="00070FC0" w:rsidRPr="00C55676">
        <w:rPr>
          <w:rStyle w:val="FootnoteReference"/>
          <w:rFonts w:ascii="Times New Roman" w:hAnsi="Times New Roman" w:cs="Times New Roman"/>
          <w:sz w:val="24"/>
          <w:szCs w:val="24"/>
          <w:lang w:val="en-US"/>
        </w:rPr>
        <w:footnoteReference w:id="5"/>
      </w:r>
      <w:r w:rsidR="00BA5789" w:rsidRPr="00C55676">
        <w:rPr>
          <w:rFonts w:ascii="Times New Roman" w:hAnsi="Times New Roman" w:cs="Times New Roman"/>
          <w:sz w:val="24"/>
          <w:szCs w:val="24"/>
          <w:lang w:val="en-US"/>
        </w:rPr>
        <w:t xml:space="preserve"> Second, the establishment</w:t>
      </w:r>
      <w:r w:rsidR="004B4B8B" w:rsidRPr="00C55676">
        <w:rPr>
          <w:rFonts w:ascii="Times New Roman" w:hAnsi="Times New Roman" w:cs="Times New Roman"/>
          <w:sz w:val="24"/>
          <w:szCs w:val="24"/>
          <w:lang w:val="en-US"/>
        </w:rPr>
        <w:t xml:space="preserve"> of the</w:t>
      </w:r>
      <w:r w:rsidR="00BA5789" w:rsidRPr="00C55676">
        <w:rPr>
          <w:rFonts w:ascii="Times New Roman" w:hAnsi="Times New Roman" w:cs="Times New Roman"/>
          <w:sz w:val="24"/>
          <w:szCs w:val="24"/>
          <w:lang w:val="en-US"/>
        </w:rPr>
        <w:t xml:space="preserve"> EU citizenship and the right to non-discrimination under Article 18 TFEU require EU </w:t>
      </w:r>
      <w:r w:rsidR="00C70209" w:rsidRPr="00C55676">
        <w:rPr>
          <w:rFonts w:ascii="Times New Roman" w:hAnsi="Times New Roman" w:cs="Times New Roman"/>
          <w:sz w:val="24"/>
          <w:szCs w:val="24"/>
          <w:lang w:val="en-US"/>
        </w:rPr>
        <w:t>M</w:t>
      </w:r>
      <w:r w:rsidR="00BA5789" w:rsidRPr="00C55676">
        <w:rPr>
          <w:rFonts w:ascii="Times New Roman" w:hAnsi="Times New Roman" w:cs="Times New Roman"/>
          <w:sz w:val="24"/>
          <w:szCs w:val="24"/>
          <w:lang w:val="en-US"/>
        </w:rPr>
        <w:t xml:space="preserve">ember </w:t>
      </w:r>
      <w:r w:rsidR="00C70209" w:rsidRPr="00C55676">
        <w:rPr>
          <w:rFonts w:ascii="Times New Roman" w:hAnsi="Times New Roman" w:cs="Times New Roman"/>
          <w:sz w:val="24"/>
          <w:szCs w:val="24"/>
          <w:lang w:val="en-US"/>
        </w:rPr>
        <w:t>S</w:t>
      </w:r>
      <w:r w:rsidR="00BA5789" w:rsidRPr="00C55676">
        <w:rPr>
          <w:rFonts w:ascii="Times New Roman" w:hAnsi="Times New Roman" w:cs="Times New Roman"/>
          <w:sz w:val="24"/>
          <w:szCs w:val="24"/>
          <w:lang w:val="en-US"/>
        </w:rPr>
        <w:t>tates to extend equal treatment to EU nationals residing within their borders</w:t>
      </w:r>
      <w:r w:rsidR="004B4B8B" w:rsidRPr="00C55676">
        <w:rPr>
          <w:rFonts w:ascii="Times New Roman" w:hAnsi="Times New Roman" w:cs="Times New Roman"/>
          <w:sz w:val="24"/>
          <w:szCs w:val="24"/>
          <w:lang w:val="en-US"/>
        </w:rPr>
        <w:t xml:space="preserve"> in </w:t>
      </w:r>
      <w:r w:rsidR="00393EF0" w:rsidRPr="00C55676">
        <w:rPr>
          <w:rFonts w:ascii="Times New Roman" w:hAnsi="Times New Roman" w:cs="Times New Roman"/>
          <w:sz w:val="24"/>
          <w:szCs w:val="24"/>
          <w:lang w:val="en-US"/>
        </w:rPr>
        <w:t>the enjoyment</w:t>
      </w:r>
      <w:r w:rsidR="004B4B8B" w:rsidRPr="00C55676">
        <w:rPr>
          <w:rFonts w:ascii="Times New Roman" w:hAnsi="Times New Roman" w:cs="Times New Roman"/>
          <w:sz w:val="24"/>
          <w:szCs w:val="24"/>
          <w:lang w:val="en-US"/>
        </w:rPr>
        <w:t xml:space="preserve"> of socio-economic rights</w:t>
      </w:r>
      <w:r w:rsidR="000E2D72" w:rsidRPr="00C55676">
        <w:rPr>
          <w:rFonts w:ascii="Times New Roman" w:hAnsi="Times New Roman" w:cs="Times New Roman"/>
          <w:sz w:val="24"/>
          <w:szCs w:val="24"/>
          <w:lang w:val="en-US"/>
        </w:rPr>
        <w:t>. This has been historically connected to the integrating function of</w:t>
      </w:r>
      <w:r w:rsidR="00D35FA6" w:rsidRPr="00C55676">
        <w:rPr>
          <w:rFonts w:ascii="Times New Roman" w:hAnsi="Times New Roman" w:cs="Times New Roman"/>
          <w:sz w:val="24"/>
          <w:szCs w:val="24"/>
          <w:lang w:val="en-US"/>
        </w:rPr>
        <w:t xml:space="preserve"> the principle of equal treatment</w:t>
      </w:r>
      <w:r w:rsidR="000E2D72" w:rsidRPr="00C55676">
        <w:rPr>
          <w:rFonts w:ascii="Times New Roman" w:hAnsi="Times New Roman" w:cs="Times New Roman"/>
          <w:sz w:val="24"/>
          <w:szCs w:val="24"/>
          <w:lang w:val="en-US"/>
        </w:rPr>
        <w:t xml:space="preserve"> </w:t>
      </w:r>
      <w:r w:rsidR="00233594" w:rsidRPr="00C55676">
        <w:rPr>
          <w:rFonts w:ascii="Times New Roman" w:hAnsi="Times New Roman" w:cs="Times New Roman"/>
          <w:sz w:val="24"/>
          <w:szCs w:val="24"/>
          <w:lang w:val="en-US"/>
        </w:rPr>
        <w:t>for</w:t>
      </w:r>
      <w:r w:rsidR="000E2D72" w:rsidRPr="00C55676">
        <w:rPr>
          <w:rFonts w:ascii="Times New Roman" w:hAnsi="Times New Roman" w:cs="Times New Roman"/>
          <w:sz w:val="24"/>
          <w:szCs w:val="24"/>
          <w:lang w:val="en-US"/>
        </w:rPr>
        <w:t xml:space="preserve"> free movement under EU law</w:t>
      </w:r>
      <w:r w:rsidR="00BA5789" w:rsidRPr="00C55676">
        <w:rPr>
          <w:rFonts w:ascii="Times New Roman" w:hAnsi="Times New Roman" w:cs="Times New Roman"/>
          <w:sz w:val="24"/>
          <w:szCs w:val="24"/>
          <w:lang w:val="en-US"/>
        </w:rPr>
        <w:t>.</w:t>
      </w:r>
      <w:r w:rsidR="00C47AFF" w:rsidRPr="00C55676">
        <w:rPr>
          <w:rStyle w:val="FootnoteReference"/>
          <w:rFonts w:ascii="Times New Roman" w:hAnsi="Times New Roman" w:cs="Times New Roman"/>
          <w:sz w:val="24"/>
          <w:szCs w:val="24"/>
          <w:lang w:val="en-US"/>
        </w:rPr>
        <w:footnoteReference w:id="6"/>
      </w:r>
      <w:r w:rsidR="00BA5789" w:rsidRPr="00C55676">
        <w:rPr>
          <w:rFonts w:ascii="Times New Roman" w:hAnsi="Times New Roman" w:cs="Times New Roman"/>
          <w:sz w:val="24"/>
          <w:szCs w:val="24"/>
          <w:lang w:val="en-US"/>
        </w:rPr>
        <w:t xml:space="preserve"> </w:t>
      </w:r>
      <w:r w:rsidR="000E2D72" w:rsidRPr="00C55676">
        <w:rPr>
          <w:rFonts w:ascii="Times New Roman" w:hAnsi="Times New Roman" w:cs="Times New Roman"/>
          <w:sz w:val="24"/>
          <w:szCs w:val="24"/>
          <w:lang w:val="en-US"/>
        </w:rPr>
        <w:t xml:space="preserve">As a result, </w:t>
      </w:r>
      <w:r w:rsidR="00BA5789" w:rsidRPr="00C55676">
        <w:rPr>
          <w:rFonts w:ascii="Times New Roman" w:hAnsi="Times New Roman" w:cs="Times New Roman"/>
          <w:sz w:val="24"/>
          <w:szCs w:val="24"/>
          <w:lang w:val="en-US"/>
        </w:rPr>
        <w:t>Member State</w:t>
      </w:r>
      <w:r w:rsidR="003222E7" w:rsidRPr="00C55676">
        <w:rPr>
          <w:rFonts w:ascii="Times New Roman" w:hAnsi="Times New Roman" w:cs="Times New Roman"/>
          <w:sz w:val="24"/>
          <w:szCs w:val="24"/>
          <w:lang w:val="en-US"/>
        </w:rPr>
        <w:t>s’</w:t>
      </w:r>
      <w:r w:rsidR="00BA5789" w:rsidRPr="00C55676">
        <w:rPr>
          <w:rFonts w:ascii="Times New Roman" w:hAnsi="Times New Roman" w:cs="Times New Roman"/>
          <w:sz w:val="24"/>
          <w:szCs w:val="24"/>
          <w:lang w:val="en-US"/>
        </w:rPr>
        <w:t xml:space="preserve"> discretion to exclude non-citizens from socio-economic rights </w:t>
      </w:r>
      <w:r w:rsidR="000E2D72" w:rsidRPr="00C55676">
        <w:rPr>
          <w:rFonts w:ascii="Times New Roman" w:hAnsi="Times New Roman" w:cs="Times New Roman"/>
          <w:sz w:val="24"/>
          <w:szCs w:val="24"/>
          <w:lang w:val="en-US"/>
        </w:rPr>
        <w:t>has been curtailed</w:t>
      </w:r>
      <w:r w:rsidR="003222E7" w:rsidRPr="00C55676">
        <w:rPr>
          <w:rFonts w:ascii="Times New Roman" w:hAnsi="Times New Roman" w:cs="Times New Roman"/>
          <w:sz w:val="24"/>
          <w:szCs w:val="24"/>
          <w:lang w:val="en-US"/>
        </w:rPr>
        <w:t>,</w:t>
      </w:r>
      <w:r w:rsidR="000E2D72" w:rsidRPr="00C55676">
        <w:rPr>
          <w:rFonts w:ascii="Times New Roman" w:hAnsi="Times New Roman" w:cs="Times New Roman"/>
          <w:sz w:val="24"/>
          <w:szCs w:val="24"/>
          <w:lang w:val="en-US"/>
        </w:rPr>
        <w:t xml:space="preserve"> </w:t>
      </w:r>
      <w:r w:rsidR="003222E7" w:rsidRPr="00C55676">
        <w:rPr>
          <w:rFonts w:ascii="Times New Roman" w:hAnsi="Times New Roman" w:cs="Times New Roman"/>
          <w:sz w:val="24"/>
          <w:szCs w:val="24"/>
          <w:lang w:val="en-US"/>
        </w:rPr>
        <w:t xml:space="preserve">though </w:t>
      </w:r>
      <w:r w:rsidR="000E2D72" w:rsidRPr="00C55676">
        <w:rPr>
          <w:rFonts w:ascii="Times New Roman" w:hAnsi="Times New Roman" w:cs="Times New Roman"/>
          <w:sz w:val="24"/>
          <w:szCs w:val="24"/>
          <w:lang w:val="en-US"/>
        </w:rPr>
        <w:t>not erased</w:t>
      </w:r>
      <w:r w:rsidR="00BA5789" w:rsidRPr="00C55676">
        <w:rPr>
          <w:rFonts w:ascii="Times New Roman" w:hAnsi="Times New Roman" w:cs="Times New Roman"/>
          <w:sz w:val="24"/>
          <w:szCs w:val="24"/>
          <w:lang w:val="en-US"/>
        </w:rPr>
        <w:t>.</w:t>
      </w:r>
      <w:r w:rsidR="00836708" w:rsidRPr="00C55676">
        <w:rPr>
          <w:rStyle w:val="FootnoteReference"/>
          <w:rFonts w:ascii="Times New Roman" w:hAnsi="Times New Roman" w:cs="Times New Roman"/>
          <w:sz w:val="24"/>
          <w:szCs w:val="24"/>
          <w:lang w:val="en-US"/>
        </w:rPr>
        <w:footnoteReference w:id="7"/>
      </w:r>
      <w:r w:rsidR="00EF483A" w:rsidRPr="00C55676">
        <w:rPr>
          <w:rFonts w:ascii="Times New Roman" w:hAnsi="Times New Roman" w:cs="Times New Roman"/>
          <w:sz w:val="24"/>
          <w:szCs w:val="24"/>
          <w:lang w:val="en-US"/>
        </w:rPr>
        <w:t xml:space="preserve"> </w:t>
      </w:r>
      <w:r w:rsidR="003222E7" w:rsidRPr="00C55676">
        <w:rPr>
          <w:rFonts w:ascii="Times New Roman" w:hAnsi="Times New Roman" w:cs="Times New Roman"/>
          <w:sz w:val="24"/>
          <w:szCs w:val="24"/>
          <w:lang w:val="en-US"/>
        </w:rPr>
        <w:t>Third</w:t>
      </w:r>
      <w:r w:rsidR="00BA5789" w:rsidRPr="00C55676">
        <w:rPr>
          <w:rFonts w:ascii="Times New Roman" w:hAnsi="Times New Roman" w:cs="Times New Roman"/>
          <w:sz w:val="24"/>
          <w:szCs w:val="24"/>
          <w:lang w:val="en-US"/>
        </w:rPr>
        <w:t xml:space="preserve">, social rights are part of the EU </w:t>
      </w:r>
      <w:r w:rsidR="00BA5789" w:rsidRPr="00C55676">
        <w:rPr>
          <w:rFonts w:ascii="Times New Roman" w:hAnsi="Times New Roman" w:cs="Times New Roman"/>
          <w:sz w:val="24"/>
          <w:szCs w:val="24"/>
          <w:lang w:val="en-US"/>
        </w:rPr>
        <w:lastRenderedPageBreak/>
        <w:t>Charter of Fundamental Rights and within the field of application of EU law</w:t>
      </w:r>
      <w:r w:rsidR="0071364A" w:rsidRPr="00C55676">
        <w:rPr>
          <w:rFonts w:ascii="Times New Roman" w:hAnsi="Times New Roman" w:cs="Times New Roman"/>
          <w:sz w:val="24"/>
          <w:szCs w:val="24"/>
          <w:lang w:val="en-US"/>
        </w:rPr>
        <w:t>;</w:t>
      </w:r>
      <w:r w:rsidR="00393EF0" w:rsidRPr="00C55676">
        <w:rPr>
          <w:rFonts w:ascii="Times New Roman" w:hAnsi="Times New Roman" w:cs="Times New Roman"/>
          <w:sz w:val="24"/>
          <w:szCs w:val="24"/>
          <w:lang w:val="en-US"/>
        </w:rPr>
        <w:t xml:space="preserve"> </w:t>
      </w:r>
      <w:r w:rsidR="00BA5789" w:rsidRPr="00C55676">
        <w:rPr>
          <w:rFonts w:ascii="Times New Roman" w:hAnsi="Times New Roman" w:cs="Times New Roman"/>
          <w:sz w:val="24"/>
          <w:szCs w:val="24"/>
          <w:lang w:val="en-US"/>
        </w:rPr>
        <w:t>they also extend to non-EU nationals.</w:t>
      </w:r>
      <w:r w:rsidR="00EF483A" w:rsidRPr="00C55676">
        <w:rPr>
          <w:rStyle w:val="FootnoteReference"/>
          <w:rFonts w:ascii="Times New Roman" w:hAnsi="Times New Roman" w:cs="Times New Roman"/>
          <w:sz w:val="24"/>
          <w:szCs w:val="24"/>
          <w:lang w:val="en-US"/>
        </w:rPr>
        <w:footnoteReference w:id="8"/>
      </w:r>
      <w:r w:rsidR="006D26A8" w:rsidRPr="00C55676">
        <w:rPr>
          <w:rFonts w:ascii="Times New Roman" w:hAnsi="Times New Roman" w:cs="Times New Roman"/>
          <w:sz w:val="24"/>
          <w:szCs w:val="24"/>
          <w:lang w:val="en-US"/>
        </w:rPr>
        <w:t xml:space="preserve"> </w:t>
      </w:r>
      <w:r w:rsidR="00BA5789" w:rsidRPr="00C55676">
        <w:rPr>
          <w:rFonts w:ascii="Times New Roman" w:hAnsi="Times New Roman" w:cs="Times New Roman"/>
          <w:sz w:val="24"/>
          <w:szCs w:val="24"/>
          <w:lang w:val="en-US"/>
        </w:rPr>
        <w:t>This means that next to the national socio-economic policies, the EU engages with questions of social justice between and within the Member States under Articles 2 and 3 TEU.</w:t>
      </w:r>
      <w:r w:rsidR="001773CF" w:rsidRPr="00C55676">
        <w:rPr>
          <w:rStyle w:val="FootnoteReference"/>
          <w:rFonts w:ascii="Times New Roman" w:hAnsi="Times New Roman" w:cs="Times New Roman"/>
          <w:sz w:val="24"/>
          <w:szCs w:val="24"/>
          <w:lang w:val="en-US"/>
        </w:rPr>
        <w:footnoteReference w:id="9"/>
      </w:r>
    </w:p>
    <w:p w14:paraId="2E59A784" w14:textId="77777777" w:rsidR="00040C84" w:rsidRPr="00C55676" w:rsidRDefault="00040C84" w:rsidP="00040C84">
      <w:pPr>
        <w:spacing w:after="0" w:line="240" w:lineRule="auto"/>
        <w:jc w:val="both"/>
        <w:rPr>
          <w:rFonts w:ascii="Times New Roman" w:hAnsi="Times New Roman" w:cs="Times New Roman"/>
          <w:sz w:val="24"/>
          <w:szCs w:val="24"/>
          <w:lang w:val="en-US"/>
        </w:rPr>
      </w:pPr>
    </w:p>
    <w:p w14:paraId="690E92A8" w14:textId="0FE2BD47" w:rsidR="00725576" w:rsidRPr="00C55676" w:rsidRDefault="000D131B" w:rsidP="00040C84">
      <w:pPr>
        <w:spacing w:after="0" w:line="240" w:lineRule="auto"/>
        <w:jc w:val="both"/>
        <w:rPr>
          <w:rFonts w:ascii="Times New Roman" w:hAnsi="Times New Roman" w:cs="Times New Roman"/>
          <w:sz w:val="24"/>
          <w:szCs w:val="24"/>
          <w:lang w:val="en-US"/>
        </w:rPr>
      </w:pPr>
      <w:r w:rsidRPr="00C55676">
        <w:rPr>
          <w:rFonts w:ascii="Times New Roman" w:hAnsi="Times New Roman" w:cs="Times New Roman"/>
          <w:sz w:val="24"/>
          <w:szCs w:val="24"/>
          <w:lang w:val="en-US"/>
        </w:rPr>
        <w:t xml:space="preserve">In order to provide a </w:t>
      </w:r>
      <w:r w:rsidR="009D3033" w:rsidRPr="00C55676">
        <w:rPr>
          <w:rFonts w:ascii="Times New Roman" w:hAnsi="Times New Roman" w:cs="Times New Roman"/>
          <w:sz w:val="24"/>
          <w:szCs w:val="24"/>
          <w:lang w:val="en-US"/>
        </w:rPr>
        <w:t>comprehensive and non-fragmented understanding of socio-economic rights</w:t>
      </w:r>
      <w:r w:rsidR="004C46F8" w:rsidRPr="00C55676">
        <w:rPr>
          <w:rFonts w:ascii="Times New Roman" w:hAnsi="Times New Roman" w:cs="Times New Roman"/>
          <w:sz w:val="24"/>
          <w:szCs w:val="24"/>
          <w:lang w:val="en-US"/>
        </w:rPr>
        <w:t xml:space="preserve">, </w:t>
      </w:r>
      <w:r w:rsidR="009D3033" w:rsidRPr="00C55676">
        <w:rPr>
          <w:rFonts w:ascii="Times New Roman" w:hAnsi="Times New Roman" w:cs="Times New Roman"/>
          <w:sz w:val="24"/>
          <w:szCs w:val="24"/>
          <w:lang w:val="en-US"/>
        </w:rPr>
        <w:t xml:space="preserve">the right to non-discrimination and their meaning </w:t>
      </w:r>
      <w:r w:rsidR="00A968EA" w:rsidRPr="00C55676">
        <w:rPr>
          <w:rFonts w:ascii="Times New Roman" w:hAnsi="Times New Roman" w:cs="Times New Roman"/>
          <w:sz w:val="24"/>
          <w:szCs w:val="24"/>
          <w:lang w:val="en-US"/>
        </w:rPr>
        <w:t>for</w:t>
      </w:r>
      <w:r w:rsidR="009D3033" w:rsidRPr="00C55676">
        <w:rPr>
          <w:rFonts w:ascii="Times New Roman" w:hAnsi="Times New Roman" w:cs="Times New Roman"/>
          <w:sz w:val="24"/>
          <w:szCs w:val="24"/>
          <w:lang w:val="en-US"/>
        </w:rPr>
        <w:t xml:space="preserve"> welfare</w:t>
      </w:r>
      <w:r w:rsidRPr="00C55676">
        <w:rPr>
          <w:rFonts w:ascii="Times New Roman" w:hAnsi="Times New Roman" w:cs="Times New Roman"/>
          <w:sz w:val="24"/>
          <w:szCs w:val="24"/>
          <w:lang w:val="en-US"/>
        </w:rPr>
        <w:t xml:space="preserve"> in </w:t>
      </w:r>
      <w:r w:rsidR="005D5EDC" w:rsidRPr="00C55676">
        <w:rPr>
          <w:rFonts w:ascii="Times New Roman" w:hAnsi="Times New Roman" w:cs="Times New Roman"/>
          <w:sz w:val="24"/>
          <w:szCs w:val="24"/>
          <w:lang w:val="en-US"/>
        </w:rPr>
        <w:t>EU</w:t>
      </w:r>
      <w:r w:rsidRPr="00C55676">
        <w:rPr>
          <w:rFonts w:ascii="Times New Roman" w:hAnsi="Times New Roman" w:cs="Times New Roman"/>
          <w:sz w:val="24"/>
          <w:szCs w:val="24"/>
          <w:lang w:val="en-US"/>
        </w:rPr>
        <w:t xml:space="preserve"> Member States</w:t>
      </w:r>
      <w:r w:rsidR="008E30C3" w:rsidRPr="00C55676">
        <w:rPr>
          <w:rFonts w:ascii="Times New Roman" w:hAnsi="Times New Roman" w:cs="Times New Roman"/>
          <w:sz w:val="24"/>
          <w:szCs w:val="24"/>
          <w:lang w:val="en-US"/>
        </w:rPr>
        <w:t>,</w:t>
      </w:r>
      <w:r w:rsidRPr="00C55676">
        <w:rPr>
          <w:rFonts w:ascii="Times New Roman" w:hAnsi="Times New Roman" w:cs="Times New Roman"/>
          <w:sz w:val="24"/>
          <w:szCs w:val="24"/>
          <w:lang w:val="en-US"/>
        </w:rPr>
        <w:t xml:space="preserve"> one has </w:t>
      </w:r>
      <w:r w:rsidR="00A968EA" w:rsidRPr="00C55676">
        <w:rPr>
          <w:rFonts w:ascii="Times New Roman" w:hAnsi="Times New Roman" w:cs="Times New Roman"/>
          <w:sz w:val="24"/>
          <w:szCs w:val="24"/>
          <w:lang w:val="en-US"/>
        </w:rPr>
        <w:t xml:space="preserve">to </w:t>
      </w:r>
      <w:r w:rsidRPr="00C55676">
        <w:rPr>
          <w:rFonts w:ascii="Times New Roman" w:hAnsi="Times New Roman" w:cs="Times New Roman"/>
          <w:sz w:val="24"/>
          <w:szCs w:val="24"/>
          <w:lang w:val="en-US"/>
        </w:rPr>
        <w:t>necessarily take into account t</w:t>
      </w:r>
      <w:r w:rsidR="00BA5789" w:rsidRPr="00C55676">
        <w:rPr>
          <w:rFonts w:ascii="Times New Roman" w:hAnsi="Times New Roman" w:cs="Times New Roman"/>
          <w:sz w:val="24"/>
          <w:szCs w:val="24"/>
          <w:lang w:val="en-US"/>
        </w:rPr>
        <w:t xml:space="preserve">he complicated link between EU and national </w:t>
      </w:r>
      <w:r w:rsidR="005D5EDC" w:rsidRPr="00C55676">
        <w:rPr>
          <w:rFonts w:ascii="Times New Roman" w:hAnsi="Times New Roman" w:cs="Times New Roman"/>
          <w:sz w:val="24"/>
          <w:szCs w:val="24"/>
          <w:lang w:val="en-US"/>
        </w:rPr>
        <w:t xml:space="preserve">social policy, as well as the operation of national policies against the background of EU social objectives when </w:t>
      </w:r>
      <w:r w:rsidRPr="00C55676">
        <w:rPr>
          <w:rFonts w:ascii="Times New Roman" w:hAnsi="Times New Roman" w:cs="Times New Roman"/>
          <w:sz w:val="24"/>
          <w:szCs w:val="24"/>
          <w:lang w:val="en-US"/>
        </w:rPr>
        <w:t>examining the attribution and limitations of socio-economic rights to different categories of non-citizens (among which are also EU citizens)</w:t>
      </w:r>
      <w:r w:rsidR="005D5EDC" w:rsidRPr="00C55676">
        <w:rPr>
          <w:rFonts w:ascii="Times New Roman" w:hAnsi="Times New Roman" w:cs="Times New Roman"/>
          <w:sz w:val="24"/>
          <w:szCs w:val="24"/>
          <w:lang w:val="en-US"/>
        </w:rPr>
        <w:t xml:space="preserve">. This is precisely what this special </w:t>
      </w:r>
      <w:r w:rsidR="00725576" w:rsidRPr="00C55676">
        <w:rPr>
          <w:rFonts w:ascii="Times New Roman" w:hAnsi="Times New Roman" w:cs="Times New Roman"/>
          <w:sz w:val="24"/>
          <w:szCs w:val="24"/>
          <w:lang w:val="en-US"/>
        </w:rPr>
        <w:t>section</w:t>
      </w:r>
      <w:r w:rsidR="005D5EDC" w:rsidRPr="00C55676">
        <w:rPr>
          <w:rFonts w:ascii="Times New Roman" w:hAnsi="Times New Roman" w:cs="Times New Roman"/>
          <w:sz w:val="24"/>
          <w:szCs w:val="24"/>
          <w:lang w:val="en-US"/>
        </w:rPr>
        <w:t xml:space="preserve"> </w:t>
      </w:r>
      <w:r w:rsidR="007070A9" w:rsidRPr="00C55676">
        <w:rPr>
          <w:rFonts w:ascii="Times New Roman" w:hAnsi="Times New Roman" w:cs="Times New Roman"/>
          <w:sz w:val="24"/>
          <w:szCs w:val="24"/>
          <w:lang w:val="en-US"/>
        </w:rPr>
        <w:t>does</w:t>
      </w:r>
      <w:r w:rsidR="005D5EDC" w:rsidRPr="00C55676">
        <w:rPr>
          <w:rFonts w:ascii="Times New Roman" w:hAnsi="Times New Roman" w:cs="Times New Roman"/>
          <w:sz w:val="24"/>
          <w:szCs w:val="24"/>
          <w:lang w:val="en-US"/>
        </w:rPr>
        <w:t xml:space="preserve"> by examining who is </w:t>
      </w:r>
      <w:r w:rsidR="009D3033" w:rsidRPr="00C55676">
        <w:rPr>
          <w:rFonts w:ascii="Times New Roman" w:hAnsi="Times New Roman" w:cs="Times New Roman"/>
          <w:sz w:val="24"/>
          <w:szCs w:val="24"/>
          <w:lang w:val="en-US"/>
        </w:rPr>
        <w:t xml:space="preserve">included within the welfare structures of </w:t>
      </w:r>
      <w:r w:rsidR="005D5EDC" w:rsidRPr="00C55676">
        <w:rPr>
          <w:rFonts w:ascii="Times New Roman" w:hAnsi="Times New Roman" w:cs="Times New Roman"/>
          <w:sz w:val="24"/>
          <w:szCs w:val="24"/>
          <w:lang w:val="en-US"/>
        </w:rPr>
        <w:t xml:space="preserve">Member States </w:t>
      </w:r>
      <w:r w:rsidR="009D3033" w:rsidRPr="00C55676">
        <w:rPr>
          <w:rFonts w:ascii="Times New Roman" w:hAnsi="Times New Roman" w:cs="Times New Roman"/>
          <w:sz w:val="24"/>
          <w:szCs w:val="24"/>
          <w:lang w:val="en-US"/>
        </w:rPr>
        <w:t>and how, and who is not and why.</w:t>
      </w:r>
      <w:r w:rsidR="00725576" w:rsidRPr="00C55676">
        <w:rPr>
          <w:rFonts w:ascii="Times New Roman" w:hAnsi="Times New Roman" w:cs="Times New Roman"/>
          <w:sz w:val="24"/>
          <w:szCs w:val="24"/>
          <w:lang w:val="en-US"/>
        </w:rPr>
        <w:t xml:space="preserve"> Through a series of contributions, this special section demonstrates the tension between rights that are presumed to carry a cost for public finances, financial solidarity between the Member States and the complicated dynamics of belonging at domestic level dictated by policy choices at a supranational level.</w:t>
      </w:r>
      <w:r w:rsidR="00690051" w:rsidRPr="00C55676">
        <w:rPr>
          <w:rStyle w:val="FootnoteReference"/>
          <w:rFonts w:ascii="Times New Roman" w:hAnsi="Times New Roman" w:cs="Times New Roman"/>
          <w:sz w:val="24"/>
          <w:szCs w:val="24"/>
          <w:lang w:val="en-US"/>
        </w:rPr>
        <w:footnoteReference w:id="10"/>
      </w:r>
    </w:p>
    <w:p w14:paraId="6FBD68A3" w14:textId="77777777" w:rsidR="00040C84" w:rsidRPr="00C55676" w:rsidRDefault="00040C84" w:rsidP="00040C84">
      <w:pPr>
        <w:spacing w:after="0" w:line="240" w:lineRule="auto"/>
        <w:jc w:val="both"/>
        <w:rPr>
          <w:rFonts w:ascii="Times New Roman" w:hAnsi="Times New Roman" w:cs="Times New Roman"/>
          <w:sz w:val="24"/>
          <w:szCs w:val="24"/>
          <w:lang w:val="en-US"/>
        </w:rPr>
      </w:pPr>
    </w:p>
    <w:p w14:paraId="54F73395" w14:textId="41A25AFA" w:rsidR="007070A9" w:rsidRPr="00C55676" w:rsidRDefault="00B145C0" w:rsidP="00040C84">
      <w:pPr>
        <w:pStyle w:val="Heading2"/>
        <w:spacing w:before="0" w:after="0" w:line="240" w:lineRule="auto"/>
        <w:rPr>
          <w:rFonts w:ascii="Times New Roman" w:hAnsi="Times New Roman" w:cs="Times New Roman"/>
          <w:b/>
          <w:bCs/>
          <w:color w:val="auto"/>
          <w:sz w:val="24"/>
          <w:szCs w:val="24"/>
          <w:lang w:val="en-GB"/>
        </w:rPr>
      </w:pPr>
      <w:r w:rsidRPr="00C55676">
        <w:rPr>
          <w:rFonts w:ascii="Times New Roman" w:hAnsi="Times New Roman" w:cs="Times New Roman"/>
          <w:b/>
          <w:bCs/>
          <w:color w:val="auto"/>
          <w:sz w:val="24"/>
          <w:szCs w:val="24"/>
          <w:lang w:val="en-GB"/>
        </w:rPr>
        <w:t xml:space="preserve">2. </w:t>
      </w:r>
      <w:r w:rsidR="00625093" w:rsidRPr="00C55676">
        <w:rPr>
          <w:rFonts w:ascii="Times New Roman" w:hAnsi="Times New Roman" w:cs="Times New Roman"/>
          <w:b/>
          <w:bCs/>
          <w:color w:val="auto"/>
          <w:sz w:val="24"/>
          <w:szCs w:val="24"/>
          <w:lang w:val="en-GB"/>
        </w:rPr>
        <w:t xml:space="preserve">Borders, Markets, Distinctions and </w:t>
      </w:r>
      <w:r w:rsidR="000446DD" w:rsidRPr="00C55676">
        <w:rPr>
          <w:rFonts w:ascii="Times New Roman" w:hAnsi="Times New Roman" w:cs="Times New Roman"/>
          <w:b/>
          <w:bCs/>
          <w:color w:val="auto"/>
          <w:sz w:val="24"/>
          <w:szCs w:val="24"/>
          <w:lang w:val="en-GB"/>
        </w:rPr>
        <w:t xml:space="preserve">Rights </w:t>
      </w:r>
    </w:p>
    <w:p w14:paraId="2D1DFC66" w14:textId="048F98B1" w:rsidR="00696BD1" w:rsidRPr="00C55676" w:rsidRDefault="005D5EDC" w:rsidP="005639BA">
      <w:pPr>
        <w:spacing w:after="0" w:line="240" w:lineRule="auto"/>
        <w:jc w:val="both"/>
        <w:rPr>
          <w:rFonts w:ascii="Times New Roman" w:hAnsi="Times New Roman" w:cs="Times New Roman"/>
          <w:sz w:val="24"/>
          <w:szCs w:val="24"/>
          <w:lang w:val="en-US"/>
        </w:rPr>
      </w:pPr>
      <w:r w:rsidRPr="00C55676">
        <w:rPr>
          <w:rFonts w:ascii="Times New Roman" w:hAnsi="Times New Roman" w:cs="Times New Roman"/>
          <w:sz w:val="24"/>
          <w:szCs w:val="24"/>
          <w:lang w:val="en-US"/>
        </w:rPr>
        <w:t xml:space="preserve">The special </w:t>
      </w:r>
      <w:r w:rsidR="008A6D3A" w:rsidRPr="00C55676">
        <w:rPr>
          <w:rFonts w:ascii="Times New Roman" w:hAnsi="Times New Roman" w:cs="Times New Roman"/>
          <w:sz w:val="24"/>
          <w:szCs w:val="24"/>
          <w:lang w:val="en-US"/>
        </w:rPr>
        <w:t>section</w:t>
      </w:r>
      <w:r w:rsidRPr="00C55676">
        <w:rPr>
          <w:rFonts w:ascii="Times New Roman" w:hAnsi="Times New Roman" w:cs="Times New Roman"/>
          <w:sz w:val="24"/>
          <w:szCs w:val="24"/>
          <w:lang w:val="en-US"/>
        </w:rPr>
        <w:t xml:space="preserve"> starts with an article by</w:t>
      </w:r>
      <w:r w:rsidR="00A20576" w:rsidRPr="00C55676">
        <w:rPr>
          <w:rFonts w:ascii="Times New Roman" w:hAnsi="Times New Roman" w:cs="Times New Roman"/>
          <w:sz w:val="24"/>
          <w:szCs w:val="24"/>
          <w:lang w:val="en-US"/>
        </w:rPr>
        <w:t xml:space="preserve"> </w:t>
      </w:r>
      <w:r w:rsidR="001F37AD" w:rsidRPr="00C55676">
        <w:rPr>
          <w:rFonts w:ascii="Times New Roman" w:hAnsi="Times New Roman" w:cs="Times New Roman"/>
          <w:sz w:val="24"/>
          <w:szCs w:val="24"/>
          <w:lang w:val="en-US"/>
        </w:rPr>
        <w:t xml:space="preserve">Pavlina </w:t>
      </w:r>
      <w:proofErr w:type="spellStart"/>
      <w:r w:rsidR="00A20576" w:rsidRPr="00C55676">
        <w:rPr>
          <w:rFonts w:ascii="Times New Roman" w:hAnsi="Times New Roman" w:cs="Times New Roman"/>
          <w:sz w:val="24"/>
          <w:szCs w:val="24"/>
          <w:lang w:val="en-US"/>
        </w:rPr>
        <w:t>Hubkova</w:t>
      </w:r>
      <w:proofErr w:type="spellEnd"/>
      <w:r w:rsidR="00A20576" w:rsidRPr="00C55676">
        <w:rPr>
          <w:rFonts w:ascii="Times New Roman" w:hAnsi="Times New Roman" w:cs="Times New Roman"/>
          <w:sz w:val="24"/>
          <w:szCs w:val="24"/>
          <w:lang w:val="en-US"/>
        </w:rPr>
        <w:t xml:space="preserve"> </w:t>
      </w:r>
      <w:r w:rsidR="00696BD1" w:rsidRPr="00C55676">
        <w:rPr>
          <w:rFonts w:ascii="Times New Roman" w:hAnsi="Times New Roman" w:cs="Times New Roman"/>
          <w:sz w:val="24"/>
          <w:szCs w:val="24"/>
          <w:lang w:val="en-US"/>
        </w:rPr>
        <w:t>who revisits the traditional understanding of socio-economic rights and their relation to the market under EU law in order to argue that their protection does not necessarily go against the internal market rationale of EU law, neither does it come with extra costs that cannot be carried by the EU economies</w:t>
      </w:r>
      <w:r w:rsidR="00B60BF4" w:rsidRPr="00C55676">
        <w:rPr>
          <w:rFonts w:ascii="Times New Roman" w:hAnsi="Times New Roman" w:cs="Times New Roman"/>
          <w:sz w:val="24"/>
          <w:szCs w:val="24"/>
          <w:lang w:val="en-US"/>
        </w:rPr>
        <w:t xml:space="preserve">. </w:t>
      </w:r>
      <w:r w:rsidR="00696BD1" w:rsidRPr="00C55676">
        <w:rPr>
          <w:rFonts w:ascii="Times New Roman" w:hAnsi="Times New Roman" w:cs="Times New Roman"/>
          <w:sz w:val="24"/>
          <w:szCs w:val="24"/>
          <w:lang w:val="en-US"/>
        </w:rPr>
        <w:t xml:space="preserve">By following an analytical rather than a critical approach, </w:t>
      </w:r>
      <w:proofErr w:type="spellStart"/>
      <w:r w:rsidR="00696BD1" w:rsidRPr="00C55676">
        <w:rPr>
          <w:rFonts w:ascii="Times New Roman" w:hAnsi="Times New Roman" w:cs="Times New Roman"/>
          <w:sz w:val="24"/>
          <w:szCs w:val="24"/>
          <w:lang w:val="en-US"/>
        </w:rPr>
        <w:t>Hubkova</w:t>
      </w:r>
      <w:proofErr w:type="spellEnd"/>
      <w:r w:rsidR="00696BD1" w:rsidRPr="00C55676">
        <w:rPr>
          <w:rFonts w:ascii="Times New Roman" w:hAnsi="Times New Roman" w:cs="Times New Roman"/>
          <w:sz w:val="24"/>
          <w:szCs w:val="24"/>
          <w:lang w:val="en-US"/>
        </w:rPr>
        <w:t xml:space="preserve"> shows the interconnections between political considerations related to social policy, economic considerations behind socio-economic rights and EU primary and secondary law. To do so</w:t>
      </w:r>
      <w:r w:rsidR="00352C1C">
        <w:rPr>
          <w:rFonts w:ascii="Times New Roman" w:hAnsi="Times New Roman" w:cs="Times New Roman"/>
          <w:sz w:val="24"/>
          <w:szCs w:val="24"/>
          <w:lang w:val="en-US"/>
        </w:rPr>
        <w:t>,</w:t>
      </w:r>
      <w:r w:rsidR="00696BD1" w:rsidRPr="00C55676">
        <w:rPr>
          <w:rFonts w:ascii="Times New Roman" w:hAnsi="Times New Roman" w:cs="Times New Roman"/>
          <w:sz w:val="24"/>
          <w:szCs w:val="24"/>
          <w:lang w:val="en-US"/>
        </w:rPr>
        <w:t xml:space="preserve"> </w:t>
      </w:r>
      <w:proofErr w:type="spellStart"/>
      <w:r w:rsidR="00696BD1" w:rsidRPr="00C55676">
        <w:rPr>
          <w:rFonts w:ascii="Times New Roman" w:hAnsi="Times New Roman" w:cs="Times New Roman"/>
          <w:sz w:val="24"/>
          <w:szCs w:val="24"/>
          <w:lang w:val="en-US"/>
        </w:rPr>
        <w:t>Hubkova</w:t>
      </w:r>
      <w:proofErr w:type="spellEnd"/>
      <w:r w:rsidR="00696BD1" w:rsidRPr="00C55676">
        <w:rPr>
          <w:rFonts w:ascii="Times New Roman" w:hAnsi="Times New Roman" w:cs="Times New Roman"/>
          <w:sz w:val="24"/>
          <w:szCs w:val="24"/>
          <w:lang w:val="en-US"/>
        </w:rPr>
        <w:t xml:space="preserve"> provides an overview of the relation of the internal market to fundamental rights in the development of EU law before recounting the complicated history of socio-economic rights in EU law. </w:t>
      </w:r>
      <w:proofErr w:type="spellStart"/>
      <w:r w:rsidR="00696BD1" w:rsidRPr="00C55676">
        <w:rPr>
          <w:rFonts w:ascii="Times New Roman" w:hAnsi="Times New Roman" w:cs="Times New Roman"/>
          <w:sz w:val="24"/>
          <w:szCs w:val="24"/>
          <w:lang w:val="en-US"/>
        </w:rPr>
        <w:t>Hubkova</w:t>
      </w:r>
      <w:proofErr w:type="spellEnd"/>
      <w:r w:rsidR="00696BD1" w:rsidRPr="00C55676">
        <w:rPr>
          <w:rFonts w:ascii="Times New Roman" w:hAnsi="Times New Roman" w:cs="Times New Roman"/>
          <w:sz w:val="24"/>
          <w:szCs w:val="24"/>
          <w:lang w:val="en-US"/>
        </w:rPr>
        <w:t xml:space="preserve"> reminds us not only of early contentious attempts to bring the protection of socio-economic rights to EU law </w:t>
      </w:r>
      <w:r w:rsidR="009B1E3A" w:rsidRPr="00C55676">
        <w:rPr>
          <w:rFonts w:ascii="Times New Roman" w:hAnsi="Times New Roman" w:cs="Times New Roman"/>
          <w:sz w:val="24"/>
          <w:szCs w:val="24"/>
          <w:lang w:val="en-US"/>
        </w:rPr>
        <w:t>b</w:t>
      </w:r>
      <w:r w:rsidR="00696BD1" w:rsidRPr="00C55676">
        <w:rPr>
          <w:rFonts w:ascii="Times New Roman" w:hAnsi="Times New Roman" w:cs="Times New Roman"/>
          <w:sz w:val="24"/>
          <w:szCs w:val="24"/>
          <w:lang w:val="en-US"/>
        </w:rPr>
        <w:t xml:space="preserve">ut also of the complicated position of various social rights due to </w:t>
      </w:r>
      <w:r w:rsidR="00517068" w:rsidRPr="00C55676">
        <w:rPr>
          <w:rFonts w:ascii="Times New Roman" w:hAnsi="Times New Roman" w:cs="Times New Roman"/>
          <w:sz w:val="24"/>
          <w:szCs w:val="24"/>
          <w:lang w:val="en-US"/>
        </w:rPr>
        <w:t>the</w:t>
      </w:r>
      <w:r w:rsidR="00696BD1" w:rsidRPr="00C55676">
        <w:rPr>
          <w:rFonts w:ascii="Times New Roman" w:hAnsi="Times New Roman" w:cs="Times New Roman"/>
          <w:sz w:val="24"/>
          <w:szCs w:val="24"/>
          <w:lang w:val="en-US"/>
        </w:rPr>
        <w:t xml:space="preserve"> unclear distinction between rights and principles under Article 52(5)</w:t>
      </w:r>
      <w:r w:rsidR="00904513" w:rsidRPr="00C55676">
        <w:rPr>
          <w:rFonts w:ascii="Times New Roman" w:hAnsi="Times New Roman" w:cs="Times New Roman"/>
          <w:sz w:val="24"/>
          <w:szCs w:val="24"/>
          <w:lang w:val="en-US"/>
        </w:rPr>
        <w:t xml:space="preserve"> of the Charter</w:t>
      </w:r>
      <w:r w:rsidR="00696BD1" w:rsidRPr="00C55676">
        <w:rPr>
          <w:rFonts w:ascii="Times New Roman" w:hAnsi="Times New Roman" w:cs="Times New Roman"/>
          <w:sz w:val="24"/>
          <w:szCs w:val="24"/>
          <w:lang w:val="en-US"/>
        </w:rPr>
        <w:t>.</w:t>
      </w:r>
      <w:r w:rsidR="00696BD1" w:rsidRPr="00C55676">
        <w:rPr>
          <w:rStyle w:val="FootnoteReference"/>
          <w:rFonts w:ascii="Times New Roman" w:hAnsi="Times New Roman" w:cs="Times New Roman"/>
          <w:sz w:val="24"/>
          <w:szCs w:val="24"/>
        </w:rPr>
        <w:footnoteReference w:id="11"/>
      </w:r>
      <w:r w:rsidR="00696BD1" w:rsidRPr="00C55676">
        <w:rPr>
          <w:rFonts w:ascii="Times New Roman" w:hAnsi="Times New Roman" w:cs="Times New Roman"/>
          <w:sz w:val="24"/>
          <w:szCs w:val="24"/>
          <w:lang w:val="en-US"/>
        </w:rPr>
        <w:t xml:space="preserve"> </w:t>
      </w:r>
      <w:r w:rsidR="00400C13">
        <w:rPr>
          <w:rFonts w:ascii="Times New Roman" w:hAnsi="Times New Roman" w:cs="Times New Roman"/>
          <w:sz w:val="24"/>
          <w:szCs w:val="24"/>
          <w:lang w:val="en-US"/>
        </w:rPr>
        <w:t>Subsequently,</w:t>
      </w:r>
      <w:r w:rsidR="00400C13" w:rsidRPr="00C55676">
        <w:rPr>
          <w:rFonts w:ascii="Times New Roman" w:hAnsi="Times New Roman" w:cs="Times New Roman"/>
          <w:sz w:val="24"/>
          <w:szCs w:val="24"/>
          <w:lang w:val="en-US"/>
        </w:rPr>
        <w:t xml:space="preserve"> </w:t>
      </w:r>
      <w:r w:rsidR="00696BD1" w:rsidRPr="00C55676">
        <w:rPr>
          <w:rFonts w:ascii="Times New Roman" w:hAnsi="Times New Roman" w:cs="Times New Roman"/>
          <w:sz w:val="24"/>
          <w:szCs w:val="24"/>
          <w:lang w:val="en-US"/>
        </w:rPr>
        <w:t xml:space="preserve">she turns to the specific provisions of the </w:t>
      </w:r>
      <w:r w:rsidR="005E32F8" w:rsidRPr="00C55676">
        <w:rPr>
          <w:rFonts w:ascii="Times New Roman" w:hAnsi="Times New Roman" w:cs="Times New Roman"/>
          <w:sz w:val="24"/>
          <w:szCs w:val="24"/>
          <w:lang w:val="en-US"/>
        </w:rPr>
        <w:t>C</w:t>
      </w:r>
      <w:r w:rsidR="00696BD1" w:rsidRPr="00C55676">
        <w:rPr>
          <w:rFonts w:ascii="Times New Roman" w:hAnsi="Times New Roman" w:cs="Times New Roman"/>
          <w:sz w:val="24"/>
          <w:szCs w:val="24"/>
          <w:lang w:val="en-US"/>
        </w:rPr>
        <w:t xml:space="preserve">harter and explains how various of these provisions can be revisited in light of an economic perspective. Crucial in </w:t>
      </w:r>
      <w:r w:rsidR="008F5A71" w:rsidRPr="00C55676">
        <w:rPr>
          <w:rFonts w:ascii="Times New Roman" w:hAnsi="Times New Roman" w:cs="Times New Roman"/>
          <w:sz w:val="24"/>
          <w:szCs w:val="24"/>
          <w:lang w:val="en-US"/>
        </w:rPr>
        <w:t>her</w:t>
      </w:r>
      <w:r w:rsidR="00696BD1" w:rsidRPr="00C55676">
        <w:rPr>
          <w:rFonts w:ascii="Times New Roman" w:hAnsi="Times New Roman" w:cs="Times New Roman"/>
          <w:sz w:val="24"/>
          <w:szCs w:val="24"/>
          <w:lang w:val="en-US"/>
        </w:rPr>
        <w:t xml:space="preserve"> analysis is </w:t>
      </w:r>
      <w:r w:rsidR="008F5A71" w:rsidRPr="00C55676">
        <w:rPr>
          <w:rFonts w:ascii="Times New Roman" w:hAnsi="Times New Roman" w:cs="Times New Roman"/>
          <w:sz w:val="24"/>
          <w:szCs w:val="24"/>
          <w:lang w:val="en-US"/>
        </w:rPr>
        <w:t>the distinction</w:t>
      </w:r>
      <w:r w:rsidR="00696BD1" w:rsidRPr="00C55676">
        <w:rPr>
          <w:rFonts w:ascii="Times New Roman" w:hAnsi="Times New Roman" w:cs="Times New Roman"/>
          <w:sz w:val="24"/>
          <w:szCs w:val="24"/>
          <w:lang w:val="en-US"/>
        </w:rPr>
        <w:t xml:space="preserve"> between </w:t>
      </w:r>
      <w:proofErr w:type="spellStart"/>
      <w:r w:rsidR="00696BD1" w:rsidRPr="00C55676">
        <w:rPr>
          <w:rFonts w:ascii="Times New Roman" w:hAnsi="Times New Roman" w:cs="Times New Roman"/>
          <w:sz w:val="24"/>
          <w:szCs w:val="24"/>
          <w:lang w:val="en-US"/>
        </w:rPr>
        <w:t>labour</w:t>
      </w:r>
      <w:proofErr w:type="spellEnd"/>
      <w:r w:rsidR="00696BD1" w:rsidRPr="00C55676">
        <w:rPr>
          <w:rFonts w:ascii="Times New Roman" w:hAnsi="Times New Roman" w:cs="Times New Roman"/>
          <w:sz w:val="24"/>
          <w:szCs w:val="24"/>
          <w:lang w:val="en-US"/>
        </w:rPr>
        <w:t xml:space="preserve"> rights and the provisions on social security and social assistance. </w:t>
      </w:r>
    </w:p>
    <w:p w14:paraId="726894AB" w14:textId="6F594B53" w:rsidR="00696BD1" w:rsidRPr="00C55676" w:rsidRDefault="00696BD1" w:rsidP="00696BD1">
      <w:pPr>
        <w:jc w:val="both"/>
        <w:rPr>
          <w:rFonts w:ascii="Times New Roman" w:hAnsi="Times New Roman" w:cs="Times New Roman"/>
          <w:sz w:val="24"/>
          <w:szCs w:val="24"/>
          <w:lang w:val="en-GB"/>
        </w:rPr>
      </w:pPr>
      <w:r w:rsidRPr="00C55676">
        <w:rPr>
          <w:rFonts w:ascii="Times New Roman" w:hAnsi="Times New Roman" w:cs="Times New Roman"/>
          <w:sz w:val="24"/>
          <w:szCs w:val="24"/>
          <w:lang w:val="en-US"/>
        </w:rPr>
        <w:t xml:space="preserve">As regards </w:t>
      </w:r>
      <w:proofErr w:type="spellStart"/>
      <w:r w:rsidRPr="00C55676">
        <w:rPr>
          <w:rFonts w:ascii="Times New Roman" w:hAnsi="Times New Roman" w:cs="Times New Roman"/>
          <w:sz w:val="24"/>
          <w:szCs w:val="24"/>
          <w:lang w:val="en-US"/>
        </w:rPr>
        <w:t>labour</w:t>
      </w:r>
      <w:proofErr w:type="spellEnd"/>
      <w:r w:rsidRPr="00C55676">
        <w:rPr>
          <w:rFonts w:ascii="Times New Roman" w:hAnsi="Times New Roman" w:cs="Times New Roman"/>
          <w:sz w:val="24"/>
          <w:szCs w:val="24"/>
          <w:lang w:val="en-US"/>
        </w:rPr>
        <w:t xml:space="preserve"> rights, </w:t>
      </w:r>
      <w:proofErr w:type="spellStart"/>
      <w:r w:rsidRPr="00C55676">
        <w:rPr>
          <w:rFonts w:ascii="Times New Roman" w:hAnsi="Times New Roman" w:cs="Times New Roman"/>
          <w:sz w:val="24"/>
          <w:szCs w:val="24"/>
          <w:lang w:val="en-US"/>
        </w:rPr>
        <w:t>Hubkova</w:t>
      </w:r>
      <w:proofErr w:type="spellEnd"/>
      <w:r w:rsidRPr="00C55676">
        <w:rPr>
          <w:rFonts w:ascii="Times New Roman" w:hAnsi="Times New Roman" w:cs="Times New Roman"/>
          <w:sz w:val="24"/>
          <w:szCs w:val="24"/>
          <w:lang w:val="en-US"/>
        </w:rPr>
        <w:t xml:space="preserve"> suggests that although they are presented as </w:t>
      </w:r>
      <w:r w:rsidRPr="00C55676">
        <w:rPr>
          <w:rFonts w:ascii="Times New Roman" w:hAnsi="Times New Roman" w:cs="Times New Roman"/>
          <w:sz w:val="24"/>
          <w:szCs w:val="24"/>
          <w:lang w:val="en-GB"/>
        </w:rPr>
        <w:t xml:space="preserve">part of </w:t>
      </w:r>
      <w:r w:rsidR="00904513" w:rsidRPr="00C55676">
        <w:rPr>
          <w:rFonts w:ascii="Times New Roman" w:hAnsi="Times New Roman" w:cs="Times New Roman"/>
          <w:sz w:val="24"/>
          <w:szCs w:val="24"/>
          <w:lang w:val="en-GB"/>
        </w:rPr>
        <w:t>‘</w:t>
      </w:r>
      <w:r w:rsidRPr="00C55676">
        <w:rPr>
          <w:rFonts w:ascii="Times New Roman" w:hAnsi="Times New Roman" w:cs="Times New Roman"/>
          <w:sz w:val="24"/>
          <w:szCs w:val="24"/>
          <w:lang w:val="en-GB"/>
        </w:rPr>
        <w:t>social Europe</w:t>
      </w:r>
      <w:r w:rsidR="00904513" w:rsidRPr="00C55676">
        <w:rPr>
          <w:rFonts w:ascii="Times New Roman" w:hAnsi="Times New Roman" w:cs="Times New Roman"/>
          <w:sz w:val="24"/>
          <w:szCs w:val="24"/>
          <w:lang w:val="en-GB"/>
        </w:rPr>
        <w:t xml:space="preserve">’ </w:t>
      </w:r>
      <w:r w:rsidRPr="00C55676">
        <w:rPr>
          <w:rFonts w:ascii="Times New Roman" w:hAnsi="Times New Roman" w:cs="Times New Roman"/>
          <w:sz w:val="24"/>
          <w:szCs w:val="24"/>
          <w:lang w:val="en-GB"/>
        </w:rPr>
        <w:t xml:space="preserve">in contrast to </w:t>
      </w:r>
      <w:r w:rsidR="00904513" w:rsidRPr="00C55676">
        <w:rPr>
          <w:rFonts w:ascii="Times New Roman" w:hAnsi="Times New Roman" w:cs="Times New Roman"/>
          <w:sz w:val="24"/>
          <w:szCs w:val="24"/>
          <w:lang w:val="en-GB"/>
        </w:rPr>
        <w:t>‘</w:t>
      </w:r>
      <w:r w:rsidRPr="00C55676">
        <w:rPr>
          <w:rFonts w:ascii="Times New Roman" w:hAnsi="Times New Roman" w:cs="Times New Roman"/>
          <w:sz w:val="24"/>
          <w:szCs w:val="24"/>
          <w:lang w:val="en-GB"/>
        </w:rPr>
        <w:t>market Europe</w:t>
      </w:r>
      <w:r w:rsidR="00904513" w:rsidRPr="00C55676">
        <w:rPr>
          <w:rFonts w:ascii="Times New Roman" w:hAnsi="Times New Roman" w:cs="Times New Roman"/>
          <w:sz w:val="24"/>
          <w:szCs w:val="24"/>
          <w:lang w:val="en-GB"/>
        </w:rPr>
        <w:t>’</w:t>
      </w:r>
      <w:r w:rsidRPr="00C55676">
        <w:rPr>
          <w:rFonts w:ascii="Times New Roman" w:hAnsi="Times New Roman" w:cs="Times New Roman"/>
          <w:sz w:val="24"/>
          <w:szCs w:val="24"/>
          <w:lang w:val="en-GB"/>
        </w:rPr>
        <w:t xml:space="preserve">, labour rights are clearly rights of those who are active </w:t>
      </w:r>
      <w:r w:rsidRPr="00C55676">
        <w:rPr>
          <w:rFonts w:ascii="Times New Roman" w:hAnsi="Times New Roman" w:cs="Times New Roman"/>
          <w:sz w:val="24"/>
          <w:szCs w:val="24"/>
          <w:lang w:val="en-GB"/>
        </w:rPr>
        <w:lastRenderedPageBreak/>
        <w:t xml:space="preserve">in the specific labour market. Looking at these rights through an economic lens implies that these rights must be considered as having pro-market aspects rather than mere opportunities to </w:t>
      </w:r>
      <w:r w:rsidR="000F52B3" w:rsidRPr="00C55676">
        <w:rPr>
          <w:rFonts w:ascii="Times New Roman" w:hAnsi="Times New Roman" w:cs="Times New Roman"/>
          <w:sz w:val="24"/>
          <w:szCs w:val="24"/>
          <w:lang w:val="en-GB"/>
        </w:rPr>
        <w:t>‘</w:t>
      </w:r>
      <w:r w:rsidRPr="00C55676">
        <w:rPr>
          <w:rFonts w:ascii="Times New Roman" w:hAnsi="Times New Roman" w:cs="Times New Roman"/>
          <w:sz w:val="24"/>
          <w:szCs w:val="24"/>
          <w:lang w:val="en-GB"/>
        </w:rPr>
        <w:t>consume</w:t>
      </w:r>
      <w:r w:rsidR="000F52B3" w:rsidRPr="00C55676">
        <w:rPr>
          <w:rFonts w:ascii="Times New Roman" w:hAnsi="Times New Roman" w:cs="Times New Roman"/>
          <w:sz w:val="24"/>
          <w:szCs w:val="24"/>
          <w:lang w:val="en-GB"/>
        </w:rPr>
        <w:t>’</w:t>
      </w:r>
      <w:r w:rsidRPr="00C55676">
        <w:rPr>
          <w:rFonts w:ascii="Times New Roman" w:hAnsi="Times New Roman" w:cs="Times New Roman"/>
          <w:sz w:val="24"/>
          <w:szCs w:val="24"/>
          <w:lang w:val="en-GB"/>
        </w:rPr>
        <w:t xml:space="preserve"> public budgets. The legal protection of these fundamental rights in EU law inevitably means protection of those who play a weaker role in economic relations but who remain economically active and thus contribute directly to the EU's economic performance and prosperity. Similarly, neither environmental protection, consumer protection nor health care are principles whose observance would necessarily mean only eating from the common cake, since they can be seen as incentives for economic activity, investment or innovation.</w:t>
      </w:r>
      <w:r w:rsidRPr="00C55676">
        <w:rPr>
          <w:rFonts w:ascii="Times New Roman" w:hAnsi="Times New Roman" w:cs="Times New Roman"/>
          <w:sz w:val="24"/>
          <w:szCs w:val="24"/>
          <w:lang w:val="en-US"/>
        </w:rPr>
        <w:t xml:space="preserve"> As regards the ‘genuine solidarity’ provisions of social security and social assistance, such rights are considered ‘costly’ and depend on national budget. </w:t>
      </w:r>
      <w:proofErr w:type="spellStart"/>
      <w:r w:rsidRPr="00C55676">
        <w:rPr>
          <w:rFonts w:ascii="Times New Roman" w:hAnsi="Times New Roman" w:cs="Times New Roman"/>
          <w:sz w:val="24"/>
          <w:szCs w:val="24"/>
          <w:lang w:val="en-US"/>
        </w:rPr>
        <w:t>Hubkova</w:t>
      </w:r>
      <w:proofErr w:type="spellEnd"/>
      <w:r w:rsidRPr="00C55676">
        <w:rPr>
          <w:rFonts w:ascii="Times New Roman" w:hAnsi="Times New Roman" w:cs="Times New Roman"/>
          <w:sz w:val="24"/>
          <w:szCs w:val="24"/>
          <w:lang w:val="en-US"/>
        </w:rPr>
        <w:t xml:space="preserve"> challenges these </w:t>
      </w:r>
      <w:r w:rsidR="008F5A71" w:rsidRPr="00C55676">
        <w:rPr>
          <w:rFonts w:ascii="Times New Roman" w:hAnsi="Times New Roman" w:cs="Times New Roman"/>
          <w:sz w:val="24"/>
          <w:szCs w:val="24"/>
          <w:lang w:val="en-US"/>
        </w:rPr>
        <w:t>understandings</w:t>
      </w:r>
      <w:r w:rsidRPr="00C55676">
        <w:rPr>
          <w:rFonts w:ascii="Times New Roman" w:hAnsi="Times New Roman" w:cs="Times New Roman"/>
          <w:sz w:val="24"/>
          <w:szCs w:val="24"/>
          <w:lang w:val="en-US"/>
        </w:rPr>
        <w:t>, first by suggesting that all rights (also civil and political) are costly as they depend on state action for their protection and enforcement. Most importantly</w:t>
      </w:r>
      <w:r w:rsidR="006A0A5B">
        <w:rPr>
          <w:rFonts w:ascii="Times New Roman" w:hAnsi="Times New Roman" w:cs="Times New Roman"/>
          <w:sz w:val="24"/>
          <w:szCs w:val="24"/>
          <w:lang w:val="en-US"/>
        </w:rPr>
        <w:t>,</w:t>
      </w:r>
      <w:r w:rsidRPr="00C55676">
        <w:rPr>
          <w:rFonts w:ascii="Times New Roman" w:hAnsi="Times New Roman" w:cs="Times New Roman"/>
          <w:sz w:val="24"/>
          <w:szCs w:val="24"/>
          <w:lang w:val="en-US"/>
        </w:rPr>
        <w:t xml:space="preserve"> </w:t>
      </w:r>
      <w:proofErr w:type="spellStart"/>
      <w:r w:rsidRPr="00C55676">
        <w:rPr>
          <w:rFonts w:ascii="Times New Roman" w:hAnsi="Times New Roman" w:cs="Times New Roman"/>
          <w:sz w:val="24"/>
          <w:szCs w:val="24"/>
          <w:lang w:val="en-US"/>
        </w:rPr>
        <w:t>Hubkova</w:t>
      </w:r>
      <w:proofErr w:type="spellEnd"/>
      <w:r w:rsidRPr="00C55676">
        <w:rPr>
          <w:rFonts w:ascii="Times New Roman" w:hAnsi="Times New Roman" w:cs="Times New Roman"/>
          <w:sz w:val="24"/>
          <w:szCs w:val="24"/>
          <w:lang w:val="en-US"/>
        </w:rPr>
        <w:t xml:space="preserve"> argues that</w:t>
      </w:r>
      <w:r w:rsidR="00317DF4">
        <w:rPr>
          <w:rFonts w:ascii="Times New Roman" w:hAnsi="Times New Roman" w:cs="Times New Roman"/>
          <w:sz w:val="24"/>
          <w:szCs w:val="24"/>
          <w:lang w:val="en-US"/>
        </w:rPr>
        <w:t>,</w:t>
      </w:r>
      <w:r w:rsidRPr="00C55676">
        <w:rPr>
          <w:rFonts w:ascii="Times New Roman" w:hAnsi="Times New Roman" w:cs="Times New Roman"/>
          <w:sz w:val="24"/>
          <w:szCs w:val="24"/>
          <w:lang w:val="en-US"/>
        </w:rPr>
        <w:t xml:space="preserve"> viewed from a broader economic perspective</w:t>
      </w:r>
      <w:r w:rsidR="00317DF4">
        <w:rPr>
          <w:rFonts w:ascii="Times New Roman" w:hAnsi="Times New Roman" w:cs="Times New Roman"/>
          <w:sz w:val="24"/>
          <w:szCs w:val="24"/>
          <w:lang w:val="en-US"/>
        </w:rPr>
        <w:t>,</w:t>
      </w:r>
      <w:r w:rsidRPr="00C55676">
        <w:rPr>
          <w:rFonts w:ascii="Times New Roman" w:hAnsi="Times New Roman" w:cs="Times New Roman"/>
          <w:sz w:val="24"/>
          <w:szCs w:val="24"/>
          <w:lang w:val="en-US"/>
        </w:rPr>
        <w:t xml:space="preserve"> such rights should not be seen as a drain on national resources. </w:t>
      </w:r>
      <w:r w:rsidRPr="00C55676">
        <w:rPr>
          <w:rFonts w:ascii="Times New Roman" w:hAnsi="Times New Roman" w:cs="Times New Roman"/>
          <w:sz w:val="24"/>
          <w:szCs w:val="24"/>
          <w:lang w:val="en-GB"/>
        </w:rPr>
        <w:t xml:space="preserve">Although they include the rights of those who are economically inactive or less active, the granting of such entitlements further influences the economic performance of the EU: either they enable people to return to the labour market (e.g. in the case of free childcare) or they enable people to spend money (in the case of cash benefits), which boosts aggregate demand and thus influences both the domestic and the EU economy. </w:t>
      </w:r>
      <w:r w:rsidRPr="00C55676">
        <w:rPr>
          <w:rFonts w:ascii="Times New Roman" w:hAnsi="Times New Roman" w:cs="Times New Roman"/>
          <w:sz w:val="24"/>
          <w:szCs w:val="24"/>
          <w:lang w:val="en-US"/>
        </w:rPr>
        <w:t xml:space="preserve">Overall, </w:t>
      </w:r>
      <w:proofErr w:type="spellStart"/>
      <w:r w:rsidRPr="00C55676">
        <w:rPr>
          <w:rFonts w:ascii="Times New Roman" w:hAnsi="Times New Roman" w:cs="Times New Roman"/>
          <w:sz w:val="24"/>
          <w:szCs w:val="24"/>
          <w:lang w:val="en-US"/>
        </w:rPr>
        <w:t>Hubkova’s</w:t>
      </w:r>
      <w:proofErr w:type="spellEnd"/>
      <w:r w:rsidRPr="00C55676">
        <w:rPr>
          <w:rFonts w:ascii="Times New Roman" w:hAnsi="Times New Roman" w:cs="Times New Roman"/>
          <w:sz w:val="24"/>
          <w:szCs w:val="24"/>
          <w:lang w:val="en-US"/>
        </w:rPr>
        <w:t xml:space="preserve"> contribution asserts that both the content of socio-economic rights and their relative power against free market considerations can be supported by economic arguments. </w:t>
      </w:r>
    </w:p>
    <w:p w14:paraId="5E4C7D45" w14:textId="73571ACC" w:rsidR="00696BD1" w:rsidRPr="00C55676" w:rsidRDefault="00696BD1" w:rsidP="00040C84">
      <w:pPr>
        <w:spacing w:after="0" w:line="240" w:lineRule="auto"/>
        <w:jc w:val="both"/>
        <w:rPr>
          <w:rFonts w:ascii="Times New Roman" w:hAnsi="Times New Roman" w:cs="Times New Roman"/>
          <w:sz w:val="24"/>
          <w:szCs w:val="24"/>
          <w:lang w:val="en-US"/>
        </w:rPr>
      </w:pPr>
      <w:r w:rsidRPr="00C55676">
        <w:rPr>
          <w:rFonts w:ascii="Times New Roman" w:hAnsi="Times New Roman" w:cs="Times New Roman"/>
          <w:sz w:val="24"/>
          <w:szCs w:val="24"/>
          <w:lang w:val="en-GB"/>
        </w:rPr>
        <w:t xml:space="preserve">In conclusion, </w:t>
      </w:r>
      <w:proofErr w:type="spellStart"/>
      <w:r w:rsidRPr="00C55676">
        <w:rPr>
          <w:rFonts w:ascii="Times New Roman" w:hAnsi="Times New Roman" w:cs="Times New Roman"/>
          <w:sz w:val="24"/>
          <w:szCs w:val="24"/>
          <w:lang w:val="en-US"/>
        </w:rPr>
        <w:t>Hubkova</w:t>
      </w:r>
      <w:proofErr w:type="spellEnd"/>
      <w:r w:rsidRPr="00C55676">
        <w:rPr>
          <w:rFonts w:ascii="Times New Roman" w:hAnsi="Times New Roman" w:cs="Times New Roman"/>
          <w:sz w:val="24"/>
          <w:szCs w:val="24"/>
          <w:lang w:val="en-US"/>
        </w:rPr>
        <w:t xml:space="preserve"> </w:t>
      </w:r>
      <w:r w:rsidRPr="00C55676">
        <w:rPr>
          <w:rFonts w:ascii="Times New Roman" w:hAnsi="Times New Roman" w:cs="Times New Roman"/>
          <w:sz w:val="24"/>
          <w:szCs w:val="24"/>
          <w:lang w:val="en-GB"/>
        </w:rPr>
        <w:t>suggests that we should reconsider our perception of socio-economic rights and their relation to the internal market: they are not some sort of tolerable brakes or obstacles to the economy, but its full components.</w:t>
      </w:r>
      <w:r w:rsidRPr="00C55676">
        <w:rPr>
          <w:rFonts w:ascii="Times New Roman" w:hAnsi="Times New Roman" w:cs="Times New Roman"/>
          <w:sz w:val="24"/>
          <w:szCs w:val="24"/>
          <w:lang w:val="en-US"/>
        </w:rPr>
        <w:t xml:space="preserve"> While the protection of socio-economic rights may be formally perceived as a corrective to the exercise of economic freedoms and the functioning of the internal market, in practice, these rights involve micro and macro-economic considerations. Hence the ultimate question is not whether we can afford solidarity through legally enforceable socio-economic rights</w:t>
      </w:r>
      <w:r w:rsidR="00DB66A0" w:rsidRPr="00C55676">
        <w:rPr>
          <w:rFonts w:ascii="Times New Roman" w:hAnsi="Times New Roman" w:cs="Times New Roman"/>
          <w:sz w:val="24"/>
          <w:szCs w:val="24"/>
          <w:lang w:val="en-US"/>
        </w:rPr>
        <w:t>,</w:t>
      </w:r>
      <w:r w:rsidRPr="00C55676">
        <w:rPr>
          <w:rFonts w:ascii="Times New Roman" w:hAnsi="Times New Roman" w:cs="Times New Roman"/>
          <w:sz w:val="24"/>
          <w:szCs w:val="24"/>
          <w:lang w:val="en-US"/>
        </w:rPr>
        <w:t xml:space="preserve"> but rather how to design a legal system that provides such rights with due regard to the double social and economic function they serve.</w:t>
      </w:r>
    </w:p>
    <w:p w14:paraId="19782BD5" w14:textId="77777777" w:rsidR="008F5A71" w:rsidRPr="00C55676" w:rsidRDefault="008F5A71" w:rsidP="00040C84">
      <w:pPr>
        <w:spacing w:after="0" w:line="240" w:lineRule="auto"/>
        <w:jc w:val="both"/>
        <w:rPr>
          <w:rFonts w:ascii="Times New Roman" w:hAnsi="Times New Roman" w:cs="Times New Roman"/>
          <w:sz w:val="24"/>
          <w:szCs w:val="24"/>
          <w:lang w:val="en-US"/>
        </w:rPr>
      </w:pPr>
    </w:p>
    <w:p w14:paraId="7F1FA94B" w14:textId="3AE51D8E" w:rsidR="003613E2" w:rsidRDefault="005D5EDC" w:rsidP="00371032">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 xml:space="preserve">After </w:t>
      </w:r>
      <w:proofErr w:type="spellStart"/>
      <w:r w:rsidR="00840D58" w:rsidRPr="00C55676">
        <w:rPr>
          <w:rFonts w:ascii="Times New Roman" w:hAnsi="Times New Roman" w:cs="Times New Roman"/>
          <w:sz w:val="24"/>
          <w:szCs w:val="24"/>
          <w:lang w:val="en-GB"/>
        </w:rPr>
        <w:t>Hubkova’s</w:t>
      </w:r>
      <w:proofErr w:type="spellEnd"/>
      <w:r w:rsidRPr="00C55676">
        <w:rPr>
          <w:rFonts w:ascii="Times New Roman" w:hAnsi="Times New Roman" w:cs="Times New Roman"/>
          <w:sz w:val="24"/>
          <w:szCs w:val="24"/>
          <w:lang w:val="en-GB"/>
        </w:rPr>
        <w:t xml:space="preserve"> conceptual contribution,</w:t>
      </w:r>
      <w:r w:rsidR="00FF256B" w:rsidRPr="00C55676">
        <w:rPr>
          <w:rFonts w:ascii="Times New Roman" w:hAnsi="Times New Roman" w:cs="Times New Roman"/>
          <w:sz w:val="24"/>
          <w:szCs w:val="24"/>
          <w:lang w:val="en-GB"/>
        </w:rPr>
        <w:t xml:space="preserve"> Sandra Mantu, Alezini Loxa, </w:t>
      </w:r>
      <w:r w:rsidRPr="00C55676">
        <w:rPr>
          <w:rFonts w:ascii="Times New Roman" w:hAnsi="Times New Roman" w:cs="Times New Roman"/>
          <w:sz w:val="24"/>
          <w:szCs w:val="24"/>
          <w:lang w:val="en-GB"/>
        </w:rPr>
        <w:t>and Mat</w:t>
      </w:r>
      <w:r w:rsidR="005E0BB6" w:rsidRPr="00C55676">
        <w:rPr>
          <w:rFonts w:ascii="Times New Roman" w:hAnsi="Times New Roman" w:cs="Times New Roman"/>
          <w:sz w:val="24"/>
          <w:szCs w:val="24"/>
          <w:lang w:val="en-GB"/>
        </w:rPr>
        <w:t>t</w:t>
      </w:r>
      <w:r w:rsidRPr="00C55676">
        <w:rPr>
          <w:rFonts w:ascii="Times New Roman" w:hAnsi="Times New Roman" w:cs="Times New Roman"/>
          <w:sz w:val="24"/>
          <w:szCs w:val="24"/>
          <w:lang w:val="en-GB"/>
        </w:rPr>
        <w:t>e</w:t>
      </w:r>
      <w:r w:rsidR="002A351E" w:rsidRPr="00C55676">
        <w:rPr>
          <w:rFonts w:ascii="Times New Roman" w:hAnsi="Times New Roman" w:cs="Times New Roman"/>
          <w:sz w:val="24"/>
          <w:szCs w:val="24"/>
          <w:lang w:val="en-GB"/>
        </w:rPr>
        <w:t>o</w:t>
      </w:r>
      <w:r w:rsidRPr="00C55676">
        <w:rPr>
          <w:rFonts w:ascii="Times New Roman" w:hAnsi="Times New Roman" w:cs="Times New Roman"/>
          <w:sz w:val="24"/>
          <w:szCs w:val="24"/>
          <w:lang w:val="en-GB"/>
        </w:rPr>
        <w:t xml:space="preserve"> Manfredi look at the socio-economic rights of specific groups of individuals under EU Law. </w:t>
      </w:r>
      <w:r w:rsidR="00371032" w:rsidRPr="00C55676">
        <w:rPr>
          <w:rFonts w:ascii="Times New Roman" w:hAnsi="Times New Roman" w:cs="Times New Roman"/>
          <w:sz w:val="24"/>
          <w:szCs w:val="24"/>
          <w:lang w:val="en-GB"/>
        </w:rPr>
        <w:t>Sandra Mantu reconsiders the well-established limitations to social rights for EU citizens and examines to what extent human rights law and the protection of human dignity can extend rights to destitute EU citizens. The starting point for her analysis is that EU citizens are a category of migrants who enjoy equal treatment with nationals of the Member State where they reside as a matter of primary and secondary EU law. Indeed, concerning equal treatment, they are much more protected than non-EU migrants who lack such a ‘constitutionalised’ right to equal treatment and who enjoy a weaker position under EU anti</w:t>
      </w:r>
      <w:r w:rsidR="00DF7B52">
        <w:rPr>
          <w:rFonts w:ascii="Times New Roman" w:hAnsi="Times New Roman" w:cs="Times New Roman"/>
          <w:sz w:val="24"/>
          <w:szCs w:val="24"/>
          <w:lang w:val="en-GB"/>
        </w:rPr>
        <w:t>-</w:t>
      </w:r>
      <w:r w:rsidR="00371032" w:rsidRPr="00C55676">
        <w:rPr>
          <w:rFonts w:ascii="Times New Roman" w:hAnsi="Times New Roman" w:cs="Times New Roman"/>
          <w:sz w:val="24"/>
          <w:szCs w:val="24"/>
          <w:lang w:val="en-GB"/>
        </w:rPr>
        <w:t>discrimination legislation. Yet, this right to equal treatment for EU citizens is stratified and conditional on the legality of their residence, which requires possession of sufficient resources so as not to become an unreasonable burden on the host state’s welfare system. In the relevant framework, social rights are granted under equal treatment for economically active EU citizens because they operate as part of the completion of the internal market. The attribution of social rights removes obstacles to free movement of workers and citizens. However, when it comes to economically inactive EU citizens</w:t>
      </w:r>
      <w:r w:rsidR="00DB66A0" w:rsidRPr="00C55676">
        <w:rPr>
          <w:rFonts w:ascii="Times New Roman" w:hAnsi="Times New Roman" w:cs="Times New Roman"/>
          <w:sz w:val="24"/>
          <w:szCs w:val="24"/>
          <w:lang w:val="en-GB"/>
        </w:rPr>
        <w:t>,</w:t>
      </w:r>
      <w:r w:rsidR="00371032" w:rsidRPr="00C55676">
        <w:rPr>
          <w:rFonts w:ascii="Times New Roman" w:hAnsi="Times New Roman" w:cs="Times New Roman"/>
          <w:sz w:val="24"/>
          <w:szCs w:val="24"/>
          <w:lang w:val="en-GB"/>
        </w:rPr>
        <w:t xml:space="preserve"> their right to free movement is conditional and it transmutes into a conditional right of equal treatment and limited social rights. It is within this complex legal terrain that human dignity as an EU fundamental right enters the picture as possible justification for social rights for economically inactive EU citizens. </w:t>
      </w:r>
    </w:p>
    <w:p w14:paraId="39CD6C7D" w14:textId="77777777" w:rsidR="006863F0" w:rsidRPr="00C55676" w:rsidRDefault="006863F0" w:rsidP="00371032">
      <w:pPr>
        <w:spacing w:after="0" w:line="240" w:lineRule="auto"/>
        <w:jc w:val="both"/>
        <w:rPr>
          <w:rFonts w:ascii="Times New Roman" w:hAnsi="Times New Roman" w:cs="Times New Roman"/>
          <w:sz w:val="24"/>
          <w:szCs w:val="24"/>
          <w:lang w:val="en-GB"/>
        </w:rPr>
      </w:pPr>
    </w:p>
    <w:p w14:paraId="39FE920E" w14:textId="105A9255" w:rsidR="00C8031B" w:rsidRDefault="00371032" w:rsidP="00371032">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 xml:space="preserve">Specifically, in the </w:t>
      </w:r>
      <w:r w:rsidRPr="00C55676">
        <w:rPr>
          <w:rFonts w:ascii="Times New Roman" w:hAnsi="Times New Roman" w:cs="Times New Roman"/>
          <w:i/>
          <w:iCs/>
          <w:sz w:val="24"/>
          <w:szCs w:val="24"/>
          <w:lang w:val="en-GB"/>
        </w:rPr>
        <w:t>C.G</w:t>
      </w:r>
      <w:r w:rsidRPr="00C55676">
        <w:rPr>
          <w:rFonts w:ascii="Times New Roman" w:hAnsi="Times New Roman" w:cs="Times New Roman"/>
          <w:sz w:val="24"/>
          <w:szCs w:val="24"/>
          <w:lang w:val="en-GB"/>
        </w:rPr>
        <w:t>.</w:t>
      </w:r>
      <w:r w:rsidR="003613E2" w:rsidRPr="00C55676">
        <w:rPr>
          <w:rFonts w:ascii="Times New Roman" w:hAnsi="Times New Roman" w:cs="Times New Roman"/>
          <w:sz w:val="24"/>
          <w:szCs w:val="24"/>
          <w:lang w:val="en-GB"/>
        </w:rPr>
        <w:t xml:space="preserve"> case</w:t>
      </w:r>
      <w:r w:rsidR="006863F0">
        <w:rPr>
          <w:rFonts w:ascii="Times New Roman" w:hAnsi="Times New Roman" w:cs="Times New Roman"/>
          <w:sz w:val="24"/>
          <w:szCs w:val="24"/>
          <w:lang w:val="en-GB"/>
        </w:rPr>
        <w:t>,</w:t>
      </w:r>
      <w:r w:rsidRPr="00C55676">
        <w:rPr>
          <w:rFonts w:ascii="Times New Roman" w:hAnsi="Times New Roman" w:cs="Times New Roman"/>
          <w:sz w:val="24"/>
          <w:szCs w:val="24"/>
          <w:lang w:val="en-GB"/>
        </w:rPr>
        <w:t xml:space="preserve"> the Court of Justice of the EU</w:t>
      </w:r>
      <w:r w:rsidR="006863F0">
        <w:rPr>
          <w:rFonts w:ascii="Times New Roman" w:hAnsi="Times New Roman" w:cs="Times New Roman"/>
          <w:sz w:val="24"/>
          <w:szCs w:val="24"/>
          <w:lang w:val="en-GB"/>
        </w:rPr>
        <w:t xml:space="preserve"> </w:t>
      </w:r>
      <w:r w:rsidR="003613E2" w:rsidRPr="00C55676">
        <w:rPr>
          <w:rFonts w:ascii="Times New Roman" w:hAnsi="Times New Roman" w:cs="Times New Roman"/>
          <w:sz w:val="24"/>
          <w:szCs w:val="24"/>
          <w:lang w:val="en-GB"/>
        </w:rPr>
        <w:t>(CJEU)</w:t>
      </w:r>
      <w:r w:rsidRPr="00C55676">
        <w:rPr>
          <w:rFonts w:ascii="Times New Roman" w:hAnsi="Times New Roman" w:cs="Times New Roman"/>
          <w:sz w:val="24"/>
          <w:szCs w:val="24"/>
          <w:lang w:val="en-GB"/>
        </w:rPr>
        <w:t xml:space="preserve"> relied on the Charter to interpret the claim to social rights made by an EU citizen lacking sufficient resources.</w:t>
      </w:r>
      <w:r w:rsidRPr="00C55676">
        <w:rPr>
          <w:rFonts w:ascii="Times New Roman" w:hAnsi="Times New Roman" w:cs="Times New Roman"/>
          <w:sz w:val="24"/>
          <w:szCs w:val="24"/>
          <w:vertAlign w:val="superscript"/>
          <w:lang w:val="en-GB"/>
        </w:rPr>
        <w:footnoteReference w:id="12"/>
      </w:r>
      <w:r w:rsidRPr="00C55676">
        <w:rPr>
          <w:rFonts w:ascii="Times New Roman" w:hAnsi="Times New Roman" w:cs="Times New Roman"/>
          <w:sz w:val="24"/>
          <w:szCs w:val="24"/>
          <w:lang w:val="en-GB"/>
        </w:rPr>
        <w:t xml:space="preserve"> In its previous jurisprudence such an EU citizen would have been found to be outside the scope of Directive 2004/38 which regulates the residence and rights of migrant EU citizens, and therefore outside the equal treatment provisions contained in this Directive.</w:t>
      </w:r>
      <w:r w:rsidR="000D7A41" w:rsidRPr="00C55676">
        <w:rPr>
          <w:rStyle w:val="FootnoteReference"/>
          <w:rFonts w:ascii="Times New Roman" w:hAnsi="Times New Roman" w:cs="Times New Roman"/>
          <w:sz w:val="24"/>
          <w:szCs w:val="24"/>
          <w:lang w:val="en-GB"/>
        </w:rPr>
        <w:footnoteReference w:id="13"/>
      </w:r>
      <w:r w:rsidRPr="00C55676">
        <w:rPr>
          <w:rFonts w:ascii="Times New Roman" w:hAnsi="Times New Roman" w:cs="Times New Roman"/>
          <w:sz w:val="24"/>
          <w:szCs w:val="24"/>
          <w:lang w:val="en-GB"/>
        </w:rPr>
        <w:t xml:space="preserve"> As Mantu notes, </w:t>
      </w:r>
      <w:r w:rsidRPr="00C55676">
        <w:rPr>
          <w:rFonts w:ascii="Times New Roman" w:hAnsi="Times New Roman" w:cs="Times New Roman"/>
          <w:i/>
          <w:iCs/>
          <w:sz w:val="24"/>
          <w:szCs w:val="24"/>
          <w:lang w:val="en-GB"/>
        </w:rPr>
        <w:t>C.G</w:t>
      </w:r>
      <w:r w:rsidR="00A71DC0">
        <w:rPr>
          <w:rFonts w:ascii="Times New Roman" w:hAnsi="Times New Roman" w:cs="Times New Roman"/>
          <w:i/>
          <w:iCs/>
          <w:sz w:val="24"/>
          <w:szCs w:val="24"/>
          <w:lang w:val="en-GB"/>
        </w:rPr>
        <w:t>.</w:t>
      </w:r>
      <w:r w:rsidRPr="00C55676">
        <w:rPr>
          <w:rFonts w:ascii="Times New Roman" w:hAnsi="Times New Roman" w:cs="Times New Roman"/>
          <w:i/>
          <w:iCs/>
          <w:sz w:val="24"/>
          <w:szCs w:val="24"/>
          <w:lang w:val="en-GB"/>
        </w:rPr>
        <w:t xml:space="preserve"> </w:t>
      </w:r>
      <w:r w:rsidRPr="00C55676">
        <w:rPr>
          <w:rFonts w:ascii="Times New Roman" w:hAnsi="Times New Roman" w:cs="Times New Roman"/>
          <w:sz w:val="24"/>
          <w:szCs w:val="24"/>
          <w:lang w:val="en-GB"/>
        </w:rPr>
        <w:t>introduces the possibility to rely on EU fundamental rights - human dignity, the best interest of the child and respect for family life - as justifications for access to social rights for otherwise excluded migrant EU citizens. Furthermore, it establishes positive state obligations towards vulnerable EU citizens since states must ensure they live in dignified conditions, even when they are refused social assistance.</w:t>
      </w:r>
    </w:p>
    <w:p w14:paraId="277EA0F5" w14:textId="77777777" w:rsidR="006863F0" w:rsidRPr="00C55676" w:rsidRDefault="006863F0" w:rsidP="00371032">
      <w:pPr>
        <w:spacing w:after="0" w:line="240" w:lineRule="auto"/>
        <w:jc w:val="both"/>
        <w:rPr>
          <w:rFonts w:ascii="Times New Roman" w:hAnsi="Times New Roman" w:cs="Times New Roman"/>
          <w:sz w:val="24"/>
          <w:szCs w:val="24"/>
          <w:lang w:val="en-GB"/>
        </w:rPr>
      </w:pPr>
    </w:p>
    <w:p w14:paraId="3E82A6DB" w14:textId="096AF81B" w:rsidR="003B6D65" w:rsidRDefault="00C8031B" w:rsidP="003B6D65">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 xml:space="preserve">This </w:t>
      </w:r>
      <w:r w:rsidR="00371032" w:rsidRPr="00C55676">
        <w:rPr>
          <w:rFonts w:ascii="Times New Roman" w:hAnsi="Times New Roman" w:cs="Times New Roman"/>
          <w:sz w:val="24"/>
          <w:szCs w:val="24"/>
          <w:lang w:val="en-GB"/>
        </w:rPr>
        <w:t>mention to human dignity is a new addition to the legal toolkit of the CJEU.</w:t>
      </w:r>
      <w:r w:rsidRPr="00C55676">
        <w:rPr>
          <w:rFonts w:ascii="Times New Roman" w:hAnsi="Times New Roman" w:cs="Times New Roman"/>
          <w:sz w:val="24"/>
          <w:szCs w:val="24"/>
          <w:lang w:val="en-GB"/>
        </w:rPr>
        <w:t xml:space="preserve"> </w:t>
      </w:r>
      <w:r w:rsidR="00371032" w:rsidRPr="00C55676">
        <w:rPr>
          <w:rFonts w:ascii="Times New Roman" w:hAnsi="Times New Roman" w:cs="Times New Roman"/>
          <w:sz w:val="24"/>
          <w:szCs w:val="24"/>
          <w:lang w:val="en-GB"/>
        </w:rPr>
        <w:t xml:space="preserve">To get an understanding of what this right means for equal treatment of EU citizens and their claims to social rights, Mantu explores the use of human dignity </w:t>
      </w:r>
      <w:r w:rsidR="0044438C" w:rsidRPr="00C55676">
        <w:rPr>
          <w:rFonts w:ascii="Times New Roman" w:hAnsi="Times New Roman" w:cs="Times New Roman"/>
          <w:sz w:val="24"/>
          <w:szCs w:val="24"/>
          <w:lang w:val="en-GB"/>
        </w:rPr>
        <w:t>in</w:t>
      </w:r>
      <w:r w:rsidR="00371032" w:rsidRPr="00C55676">
        <w:rPr>
          <w:rFonts w:ascii="Times New Roman" w:hAnsi="Times New Roman" w:cs="Times New Roman"/>
          <w:sz w:val="24"/>
          <w:szCs w:val="24"/>
          <w:lang w:val="en-GB"/>
        </w:rPr>
        <w:t xml:space="preserve"> the CJEU and </w:t>
      </w:r>
      <w:r w:rsidR="0044438C" w:rsidRPr="00C55676">
        <w:rPr>
          <w:rFonts w:ascii="Times New Roman" w:hAnsi="Times New Roman" w:cs="Times New Roman"/>
          <w:sz w:val="24"/>
          <w:szCs w:val="24"/>
          <w:lang w:val="en-GB"/>
        </w:rPr>
        <w:t>European Court of Human Rights (ECtHR) case law</w:t>
      </w:r>
      <w:r w:rsidR="00371032" w:rsidRPr="00C55676">
        <w:rPr>
          <w:rFonts w:ascii="Times New Roman" w:hAnsi="Times New Roman" w:cs="Times New Roman"/>
          <w:sz w:val="24"/>
          <w:szCs w:val="24"/>
          <w:lang w:val="en-GB"/>
        </w:rPr>
        <w:t>. She brings together two different models for migrants</w:t>
      </w:r>
      <w:r w:rsidR="007F1794">
        <w:rPr>
          <w:rFonts w:ascii="Times New Roman" w:hAnsi="Times New Roman" w:cs="Times New Roman"/>
          <w:sz w:val="24"/>
          <w:szCs w:val="24"/>
          <w:lang w:val="en-GB"/>
        </w:rPr>
        <w:t>’</w:t>
      </w:r>
      <w:r w:rsidR="00371032" w:rsidRPr="00C55676">
        <w:rPr>
          <w:rFonts w:ascii="Times New Roman" w:hAnsi="Times New Roman" w:cs="Times New Roman"/>
          <w:sz w:val="24"/>
          <w:szCs w:val="24"/>
          <w:lang w:val="en-GB"/>
        </w:rPr>
        <w:t xml:space="preserve"> access to social rights: the EU free movement model and the human rights model which is dependent on human dignity considerations. Understanding </w:t>
      </w:r>
      <w:r w:rsidR="00371032" w:rsidRPr="00C55676">
        <w:rPr>
          <w:rFonts w:ascii="Times New Roman" w:hAnsi="Times New Roman" w:cs="Times New Roman"/>
          <w:i/>
          <w:iCs/>
          <w:sz w:val="24"/>
          <w:szCs w:val="24"/>
          <w:lang w:val="en-GB"/>
        </w:rPr>
        <w:t>C</w:t>
      </w:r>
      <w:r w:rsidR="00A71DC0">
        <w:rPr>
          <w:rFonts w:ascii="Times New Roman" w:hAnsi="Times New Roman" w:cs="Times New Roman"/>
          <w:i/>
          <w:iCs/>
          <w:sz w:val="24"/>
          <w:szCs w:val="24"/>
          <w:lang w:val="en-GB"/>
        </w:rPr>
        <w:t>.G.</w:t>
      </w:r>
      <w:r w:rsidR="00371032" w:rsidRPr="00C55676">
        <w:rPr>
          <w:rFonts w:ascii="Times New Roman" w:hAnsi="Times New Roman" w:cs="Times New Roman"/>
          <w:sz w:val="24"/>
          <w:szCs w:val="24"/>
          <w:lang w:val="en-GB"/>
        </w:rPr>
        <w:t xml:space="preserve"> as the case that bridges the two models, Mantu investigates how human dignity informs the interpretation of socio-economic rights under human rights law and whether it can function as an alternative or corrective to the conditional nature of equal treatment for migrant EU citizens. After reviewing the relevant frameworks, she </w:t>
      </w:r>
      <w:r w:rsidR="0044438C" w:rsidRPr="00C55676">
        <w:rPr>
          <w:rFonts w:ascii="Times New Roman" w:hAnsi="Times New Roman" w:cs="Times New Roman"/>
          <w:sz w:val="24"/>
          <w:szCs w:val="24"/>
          <w:lang w:val="en-GB"/>
        </w:rPr>
        <w:t>demonst</w:t>
      </w:r>
      <w:r w:rsidR="00A71DC0">
        <w:rPr>
          <w:rFonts w:ascii="Times New Roman" w:hAnsi="Times New Roman" w:cs="Times New Roman"/>
          <w:sz w:val="24"/>
          <w:szCs w:val="24"/>
          <w:lang w:val="en-GB"/>
        </w:rPr>
        <w:t>r</w:t>
      </w:r>
      <w:r w:rsidR="0044438C" w:rsidRPr="00C55676">
        <w:rPr>
          <w:rFonts w:ascii="Times New Roman" w:hAnsi="Times New Roman" w:cs="Times New Roman"/>
          <w:sz w:val="24"/>
          <w:szCs w:val="24"/>
          <w:lang w:val="en-GB"/>
        </w:rPr>
        <w:t>ates</w:t>
      </w:r>
      <w:r w:rsidR="00371032" w:rsidRPr="00C55676">
        <w:rPr>
          <w:rFonts w:ascii="Times New Roman" w:hAnsi="Times New Roman" w:cs="Times New Roman"/>
          <w:sz w:val="24"/>
          <w:szCs w:val="24"/>
          <w:lang w:val="en-GB"/>
        </w:rPr>
        <w:t xml:space="preserve"> that the conditions for claiming social rights by destitute EU citizens by invoking human dignity as used in the context of the ECtHR case</w:t>
      </w:r>
      <w:r w:rsidR="0044438C" w:rsidRPr="00C55676">
        <w:rPr>
          <w:rFonts w:ascii="Times New Roman" w:hAnsi="Times New Roman" w:cs="Times New Roman"/>
          <w:sz w:val="24"/>
          <w:szCs w:val="24"/>
          <w:lang w:val="en-GB"/>
        </w:rPr>
        <w:t xml:space="preserve"> </w:t>
      </w:r>
      <w:r w:rsidR="00371032" w:rsidRPr="00C55676">
        <w:rPr>
          <w:rFonts w:ascii="Times New Roman" w:hAnsi="Times New Roman" w:cs="Times New Roman"/>
          <w:sz w:val="24"/>
          <w:szCs w:val="24"/>
          <w:lang w:val="en-GB"/>
        </w:rPr>
        <w:t xml:space="preserve">law are high: they demand state action if the living conditions of the migrant reach a certain level of severity, if states have obligations towards such migrants, and if the migrant can be seen as vulnerable. Finally, drawing on diverse literature, Mantu problematizes the role of human dignity in human rights law and its potential as a justification for social rights for migrants. She shows that there is difficulty in reconciling the absolute nature of human dignity understood as foundational value of human rights with the conditionality and relativity that characterise social rights, even when conceived of as human rights. She concludes that while there is an agreement that human dignity requires a minimum of social rights which establishes positive state obligations, there is no clarity as to what </w:t>
      </w:r>
      <w:r w:rsidR="00193779" w:rsidRPr="00C55676">
        <w:rPr>
          <w:rFonts w:ascii="Times New Roman" w:hAnsi="Times New Roman" w:cs="Times New Roman"/>
          <w:sz w:val="24"/>
          <w:szCs w:val="24"/>
          <w:lang w:val="en-GB"/>
        </w:rPr>
        <w:t>states’ obligations</w:t>
      </w:r>
      <w:r w:rsidR="001538C2">
        <w:rPr>
          <w:rFonts w:ascii="Times New Roman" w:hAnsi="Times New Roman" w:cs="Times New Roman"/>
          <w:sz w:val="24"/>
          <w:szCs w:val="24"/>
          <w:lang w:val="en-GB"/>
        </w:rPr>
        <w:t xml:space="preserve"> corresponding to this</w:t>
      </w:r>
      <w:r w:rsidR="00193779" w:rsidRPr="00C55676">
        <w:rPr>
          <w:rFonts w:ascii="Times New Roman" w:hAnsi="Times New Roman" w:cs="Times New Roman"/>
          <w:sz w:val="24"/>
          <w:szCs w:val="24"/>
          <w:lang w:val="en-GB"/>
        </w:rPr>
        <w:t xml:space="preserve"> </w:t>
      </w:r>
      <w:r w:rsidR="001538C2" w:rsidRPr="00C55676">
        <w:rPr>
          <w:rFonts w:ascii="Times New Roman" w:hAnsi="Times New Roman" w:cs="Times New Roman"/>
          <w:sz w:val="24"/>
          <w:szCs w:val="24"/>
          <w:lang w:val="en-GB"/>
        </w:rPr>
        <w:t xml:space="preserve">minimum core </w:t>
      </w:r>
      <w:r w:rsidR="00193779" w:rsidRPr="00C55676">
        <w:rPr>
          <w:rFonts w:ascii="Times New Roman" w:hAnsi="Times New Roman" w:cs="Times New Roman"/>
          <w:sz w:val="24"/>
          <w:szCs w:val="24"/>
          <w:lang w:val="en-GB"/>
        </w:rPr>
        <w:t>in respect of a dignified existence are</w:t>
      </w:r>
      <w:r w:rsidR="00371032" w:rsidRPr="00C55676">
        <w:rPr>
          <w:rFonts w:ascii="Times New Roman" w:hAnsi="Times New Roman" w:cs="Times New Roman"/>
          <w:sz w:val="24"/>
          <w:szCs w:val="24"/>
          <w:lang w:val="en-GB"/>
        </w:rPr>
        <w:t>.</w:t>
      </w:r>
      <w:r w:rsidR="00514F39" w:rsidRPr="00C55676">
        <w:rPr>
          <w:rFonts w:ascii="Times New Roman" w:hAnsi="Times New Roman" w:cs="Times New Roman"/>
          <w:sz w:val="24"/>
          <w:szCs w:val="24"/>
          <w:lang w:val="en-GB"/>
        </w:rPr>
        <w:t xml:space="preserve"> </w:t>
      </w:r>
      <w:r w:rsidR="00371032" w:rsidRPr="00C55676">
        <w:rPr>
          <w:rFonts w:ascii="Times New Roman" w:hAnsi="Times New Roman" w:cs="Times New Roman"/>
          <w:sz w:val="24"/>
          <w:szCs w:val="24"/>
          <w:lang w:val="en-GB"/>
        </w:rPr>
        <w:t xml:space="preserve">The fit between human dignity, equality and social rights is imperfect in both EU citizenship and human rights law. </w:t>
      </w:r>
    </w:p>
    <w:p w14:paraId="37D934A1" w14:textId="77777777" w:rsidR="006863F0" w:rsidRPr="00C55676" w:rsidRDefault="006863F0" w:rsidP="003B6D65">
      <w:pPr>
        <w:spacing w:after="0" w:line="240" w:lineRule="auto"/>
        <w:jc w:val="both"/>
        <w:rPr>
          <w:rFonts w:ascii="Times New Roman" w:hAnsi="Times New Roman" w:cs="Times New Roman"/>
          <w:sz w:val="24"/>
          <w:szCs w:val="24"/>
          <w:lang w:val="en-GB"/>
        </w:rPr>
      </w:pPr>
    </w:p>
    <w:p w14:paraId="37F9C307" w14:textId="506E3648" w:rsidR="00201D03" w:rsidRDefault="00201D03" w:rsidP="00201D03">
      <w:pPr>
        <w:pStyle w:val="bodytext"/>
        <w:spacing w:after="0"/>
        <w:rPr>
          <w:spacing w:val="5"/>
          <w:sz w:val="24"/>
        </w:rPr>
      </w:pPr>
      <w:r w:rsidRPr="00C55676">
        <w:rPr>
          <w:spacing w:val="5"/>
          <w:sz w:val="24"/>
        </w:rPr>
        <w:t xml:space="preserve">This imperfection is further exacerbated by comparing the limitation to social rights for destitute EU citizens to those of third-country nationals. Alezini </w:t>
      </w:r>
      <w:proofErr w:type="spellStart"/>
      <w:r w:rsidRPr="00C55676">
        <w:rPr>
          <w:spacing w:val="5"/>
          <w:sz w:val="24"/>
        </w:rPr>
        <w:t>Loxa’s</w:t>
      </w:r>
      <w:proofErr w:type="spellEnd"/>
      <w:r w:rsidRPr="00C55676">
        <w:rPr>
          <w:spacing w:val="5"/>
          <w:sz w:val="24"/>
        </w:rPr>
        <w:t xml:space="preserve"> contribution </w:t>
      </w:r>
      <w:r w:rsidR="00413D30" w:rsidRPr="00C55676">
        <w:rPr>
          <w:spacing w:val="5"/>
          <w:sz w:val="24"/>
        </w:rPr>
        <w:t>continues</w:t>
      </w:r>
      <w:r w:rsidRPr="00C55676">
        <w:rPr>
          <w:spacing w:val="5"/>
          <w:sz w:val="24"/>
        </w:rPr>
        <w:t xml:space="preserve"> this thread and maps the accepted limitations to social rights of destitute EU citizens, long-term residents and third-country nationals under EU law. By examining the accepted limitations to social rights as they appear in secondary law and case law for both EU and non-EU migrants, Loxa demonstrates that there are overlaps behind the objectives served by the attribution of such rights, while divergences exist behind the legitimate limitations. But the areas of convergence and divergence are to some extent counterintuitive.</w:t>
      </w:r>
    </w:p>
    <w:p w14:paraId="1B4BCE07" w14:textId="77777777" w:rsidR="004B6963" w:rsidRPr="00C55676" w:rsidRDefault="004B6963" w:rsidP="00201D03">
      <w:pPr>
        <w:pStyle w:val="bodytext"/>
        <w:spacing w:after="0"/>
        <w:rPr>
          <w:spacing w:val="5"/>
          <w:sz w:val="24"/>
        </w:rPr>
      </w:pPr>
    </w:p>
    <w:p w14:paraId="03BBBC0A" w14:textId="4264B0B0" w:rsidR="00201D03" w:rsidRDefault="00201D03" w:rsidP="00201D03">
      <w:pPr>
        <w:pStyle w:val="bodytext"/>
        <w:spacing w:after="0"/>
        <w:rPr>
          <w:spacing w:val="5"/>
          <w:sz w:val="24"/>
        </w:rPr>
      </w:pPr>
      <w:r w:rsidRPr="00C55676">
        <w:rPr>
          <w:spacing w:val="5"/>
          <w:sz w:val="24"/>
        </w:rPr>
        <w:t xml:space="preserve">Similarly to </w:t>
      </w:r>
      <w:proofErr w:type="spellStart"/>
      <w:r w:rsidRPr="00C55676">
        <w:rPr>
          <w:spacing w:val="5"/>
          <w:sz w:val="24"/>
        </w:rPr>
        <w:t>Hubkova</w:t>
      </w:r>
      <w:proofErr w:type="spellEnd"/>
      <w:r w:rsidR="004B6963">
        <w:rPr>
          <w:spacing w:val="5"/>
          <w:sz w:val="24"/>
        </w:rPr>
        <w:t>,</w:t>
      </w:r>
      <w:r w:rsidRPr="00C55676">
        <w:rPr>
          <w:spacing w:val="5"/>
          <w:sz w:val="24"/>
        </w:rPr>
        <w:t xml:space="preserve"> Loxa shows that social rights are granted not only due to human rights considerations</w:t>
      </w:r>
      <w:r w:rsidR="00193779" w:rsidRPr="00C55676">
        <w:rPr>
          <w:spacing w:val="5"/>
          <w:sz w:val="24"/>
        </w:rPr>
        <w:t>,</w:t>
      </w:r>
      <w:r w:rsidRPr="00C55676">
        <w:rPr>
          <w:spacing w:val="5"/>
          <w:sz w:val="24"/>
        </w:rPr>
        <w:t xml:space="preserve"> but also to ensure a better functioning of the internal market (by avoiding obstacles to free movement for EU citizens and by avoiding labour exploitation and unfair competition as regards third country nationals). When it comes to limitations to social rights, as Mantu’s contribution also show</w:t>
      </w:r>
      <w:r w:rsidR="00836B9B">
        <w:rPr>
          <w:spacing w:val="5"/>
          <w:sz w:val="24"/>
        </w:rPr>
        <w:t>s</w:t>
      </w:r>
      <w:r w:rsidRPr="00C55676">
        <w:rPr>
          <w:spacing w:val="5"/>
          <w:sz w:val="24"/>
        </w:rPr>
        <w:t>, the free movement framework has developed with conditionalities in secondary law to minimize the negative impacts of migrant movement on national economies. The limitation of rights is based on the objective of maintaining the financial equilibrium of the Member States and is construed with due regard to financial solidarity between Member States. Both secondary law and case law acknowledge a clear link between the economic contribution of an EU citizen and the more extensive social rights they are entitled not only under Directive 2004/38</w:t>
      </w:r>
      <w:r w:rsidR="00193779" w:rsidRPr="00C55676">
        <w:rPr>
          <w:spacing w:val="5"/>
          <w:sz w:val="24"/>
        </w:rPr>
        <w:t>,</w:t>
      </w:r>
      <w:r w:rsidRPr="00C55676">
        <w:rPr>
          <w:spacing w:val="5"/>
          <w:sz w:val="24"/>
        </w:rPr>
        <w:t xml:space="preserve"> but also under the </w:t>
      </w:r>
      <w:r w:rsidR="001F7F77" w:rsidRPr="00C55676">
        <w:rPr>
          <w:spacing w:val="5"/>
          <w:sz w:val="24"/>
        </w:rPr>
        <w:t>Regulati</w:t>
      </w:r>
      <w:r w:rsidR="00193779" w:rsidRPr="00C55676">
        <w:rPr>
          <w:spacing w:val="5"/>
          <w:sz w:val="24"/>
        </w:rPr>
        <w:t>o</w:t>
      </w:r>
      <w:r w:rsidR="001F7F77" w:rsidRPr="00C55676">
        <w:rPr>
          <w:spacing w:val="5"/>
          <w:sz w:val="24"/>
        </w:rPr>
        <w:t>n 492/2011</w:t>
      </w:r>
      <w:r w:rsidRPr="00C55676">
        <w:rPr>
          <w:spacing w:val="5"/>
          <w:sz w:val="24"/>
        </w:rPr>
        <w:t>.</w:t>
      </w:r>
      <w:r w:rsidR="001F7F77" w:rsidRPr="00C55676">
        <w:rPr>
          <w:rStyle w:val="FootnoteReference"/>
          <w:spacing w:val="5"/>
          <w:sz w:val="24"/>
        </w:rPr>
        <w:footnoteReference w:id="14"/>
      </w:r>
      <w:r w:rsidRPr="00C55676">
        <w:rPr>
          <w:spacing w:val="5"/>
          <w:sz w:val="24"/>
        </w:rPr>
        <w:t xml:space="preserve"> As regards third country nationals, despite the fragmentation of the</w:t>
      </w:r>
      <w:r w:rsidR="00193779" w:rsidRPr="00C55676">
        <w:rPr>
          <w:spacing w:val="5"/>
          <w:sz w:val="24"/>
        </w:rPr>
        <w:t xml:space="preserve"> relevant</w:t>
      </w:r>
      <w:r w:rsidRPr="00C55676">
        <w:rPr>
          <w:spacing w:val="5"/>
          <w:sz w:val="24"/>
        </w:rPr>
        <w:t xml:space="preserve"> framework</w:t>
      </w:r>
      <w:r w:rsidR="00193779" w:rsidRPr="00C55676">
        <w:rPr>
          <w:spacing w:val="5"/>
          <w:sz w:val="24"/>
        </w:rPr>
        <w:t>,</w:t>
      </w:r>
      <w:r w:rsidRPr="00C55676">
        <w:rPr>
          <w:spacing w:val="5"/>
          <w:sz w:val="24"/>
        </w:rPr>
        <w:t xml:space="preserve"> the economic function of the migrant is also used as a source of more extensive rights, while limitations are inserted in the relevant secondary law in order to avoid the repercussions of granting rights for public finances. </w:t>
      </w:r>
    </w:p>
    <w:p w14:paraId="682B437C" w14:textId="77777777" w:rsidR="004B6963" w:rsidRPr="00C55676" w:rsidRDefault="004B6963" w:rsidP="00201D03">
      <w:pPr>
        <w:pStyle w:val="bodytext"/>
        <w:spacing w:after="0"/>
        <w:rPr>
          <w:spacing w:val="5"/>
          <w:sz w:val="24"/>
        </w:rPr>
      </w:pPr>
    </w:p>
    <w:p w14:paraId="54296C9A" w14:textId="2BDB3AB6" w:rsidR="00201D03" w:rsidRDefault="00193779" w:rsidP="00201D03">
      <w:pPr>
        <w:pStyle w:val="bodytext"/>
        <w:spacing w:after="0"/>
        <w:rPr>
          <w:spacing w:val="5"/>
          <w:sz w:val="24"/>
        </w:rPr>
      </w:pPr>
      <w:r w:rsidRPr="00C55676">
        <w:rPr>
          <w:spacing w:val="5"/>
          <w:sz w:val="24"/>
        </w:rPr>
        <w:t>Th</w:t>
      </w:r>
      <w:r w:rsidR="00201D03" w:rsidRPr="00C55676">
        <w:rPr>
          <w:spacing w:val="5"/>
          <w:sz w:val="24"/>
        </w:rPr>
        <w:t xml:space="preserve">e counterintuitive differentiation enters the picture in the judicial review of accepted limitations. While both EU citizens and third country nationals are attributed rights in view of their economic function, one would expect that the limitations to EU migrants’ social rights would be reviewed </w:t>
      </w:r>
      <w:proofErr w:type="gramStart"/>
      <w:r w:rsidR="00201D03" w:rsidRPr="00C55676">
        <w:rPr>
          <w:spacing w:val="5"/>
          <w:sz w:val="24"/>
        </w:rPr>
        <w:t>in light of</w:t>
      </w:r>
      <w:proofErr w:type="gramEnd"/>
      <w:r w:rsidR="00201D03" w:rsidRPr="00C55676">
        <w:rPr>
          <w:spacing w:val="5"/>
          <w:sz w:val="24"/>
        </w:rPr>
        <w:t xml:space="preserve"> the primary status of EU citizenship for the EU constitutional architecture. In practice, limitation</w:t>
      </w:r>
      <w:r w:rsidR="000E4D62" w:rsidRPr="00C55676">
        <w:rPr>
          <w:spacing w:val="5"/>
          <w:sz w:val="24"/>
        </w:rPr>
        <w:t>s</w:t>
      </w:r>
      <w:r w:rsidR="00201D03" w:rsidRPr="00C55676">
        <w:rPr>
          <w:spacing w:val="5"/>
          <w:sz w:val="24"/>
        </w:rPr>
        <w:t xml:space="preserve"> to social rights are reviewed </w:t>
      </w:r>
      <w:proofErr w:type="gramStart"/>
      <w:r w:rsidR="00201D03" w:rsidRPr="00C55676">
        <w:rPr>
          <w:spacing w:val="5"/>
          <w:sz w:val="24"/>
        </w:rPr>
        <w:t>in light of</w:t>
      </w:r>
      <w:proofErr w:type="gramEnd"/>
      <w:r w:rsidR="00201D03" w:rsidRPr="00C55676">
        <w:rPr>
          <w:spacing w:val="5"/>
          <w:sz w:val="24"/>
        </w:rPr>
        <w:t xml:space="preserve"> the legitimate objective of protecting public finances with very limited room for protection for destitute EU citizens. In contrast, </w:t>
      </w:r>
      <w:proofErr w:type="gramStart"/>
      <w:r w:rsidR="00201D03" w:rsidRPr="00C55676">
        <w:rPr>
          <w:spacing w:val="5"/>
          <w:sz w:val="24"/>
        </w:rPr>
        <w:t>in the area of</w:t>
      </w:r>
      <w:proofErr w:type="gramEnd"/>
      <w:r w:rsidR="00201D03" w:rsidRPr="00C55676">
        <w:rPr>
          <w:spacing w:val="5"/>
          <w:sz w:val="24"/>
        </w:rPr>
        <w:t xml:space="preserve"> migration</w:t>
      </w:r>
      <w:r w:rsidR="00BE7969">
        <w:rPr>
          <w:spacing w:val="5"/>
          <w:sz w:val="24"/>
        </w:rPr>
        <w:t>,</w:t>
      </w:r>
      <w:r w:rsidR="00201D03" w:rsidRPr="00C55676">
        <w:rPr>
          <w:spacing w:val="5"/>
          <w:sz w:val="24"/>
        </w:rPr>
        <w:t xml:space="preserve"> and despite the fragmentation that appears in the relevant secondary law which is </w:t>
      </w:r>
      <w:r w:rsidR="000E4D62" w:rsidRPr="00C55676">
        <w:rPr>
          <w:spacing w:val="5"/>
          <w:sz w:val="24"/>
        </w:rPr>
        <w:t>also emphasised</w:t>
      </w:r>
      <w:r w:rsidR="00201D03" w:rsidRPr="00C55676">
        <w:rPr>
          <w:spacing w:val="5"/>
          <w:sz w:val="24"/>
        </w:rPr>
        <w:t xml:space="preserve"> </w:t>
      </w:r>
      <w:r w:rsidR="000E4D62" w:rsidRPr="00C55676">
        <w:rPr>
          <w:spacing w:val="5"/>
          <w:sz w:val="24"/>
        </w:rPr>
        <w:t>by</w:t>
      </w:r>
      <w:r w:rsidR="00201D03" w:rsidRPr="00C55676">
        <w:rPr>
          <w:spacing w:val="5"/>
          <w:sz w:val="24"/>
        </w:rPr>
        <w:t xml:space="preserve"> Manfredi, Loxa suggests that the CJEU has consistently emphasized the protection afforded by the Charter to consolidate the rights of migrants, even those with irregular status. </w:t>
      </w:r>
    </w:p>
    <w:p w14:paraId="01EDFDA0" w14:textId="77777777" w:rsidR="00BE7969" w:rsidRPr="00C55676" w:rsidRDefault="00BE7969" w:rsidP="00201D03">
      <w:pPr>
        <w:pStyle w:val="bodytext"/>
        <w:spacing w:after="0"/>
        <w:rPr>
          <w:spacing w:val="5"/>
          <w:sz w:val="24"/>
        </w:rPr>
      </w:pPr>
    </w:p>
    <w:p w14:paraId="0934DADE" w14:textId="167C5251" w:rsidR="00201D03" w:rsidRDefault="00201D03" w:rsidP="00201D03">
      <w:pPr>
        <w:pStyle w:val="bodytext"/>
        <w:spacing w:after="0"/>
        <w:rPr>
          <w:spacing w:val="5"/>
          <w:sz w:val="24"/>
        </w:rPr>
      </w:pPr>
      <w:r w:rsidRPr="00C55676">
        <w:rPr>
          <w:spacing w:val="5"/>
          <w:sz w:val="24"/>
        </w:rPr>
        <w:t>Loxa suggests that</w:t>
      </w:r>
      <w:r w:rsidR="0055577B">
        <w:rPr>
          <w:spacing w:val="5"/>
          <w:sz w:val="24"/>
        </w:rPr>
        <w:t>,</w:t>
      </w:r>
      <w:r w:rsidRPr="00C55676">
        <w:rPr>
          <w:spacing w:val="5"/>
          <w:sz w:val="24"/>
        </w:rPr>
        <w:t xml:space="preserve"> in </w:t>
      </w:r>
      <w:r w:rsidR="000E4D62" w:rsidRPr="00C55676">
        <w:rPr>
          <w:spacing w:val="5"/>
          <w:sz w:val="24"/>
        </w:rPr>
        <w:t>the relevant</w:t>
      </w:r>
      <w:r w:rsidRPr="00C55676">
        <w:rPr>
          <w:spacing w:val="5"/>
          <w:sz w:val="24"/>
        </w:rPr>
        <w:t xml:space="preserve"> case law</w:t>
      </w:r>
      <w:r w:rsidR="0055577B">
        <w:rPr>
          <w:spacing w:val="5"/>
          <w:sz w:val="24"/>
        </w:rPr>
        <w:t>,</w:t>
      </w:r>
      <w:r w:rsidRPr="00C55676">
        <w:rPr>
          <w:spacing w:val="5"/>
          <w:sz w:val="24"/>
        </w:rPr>
        <w:t xml:space="preserve"> the CJEU puts forward the social objectives served by secondary law (integration of long-term residents and fair treatment for all legally resident migrants) not as a byproduct of the economic contribution of the </w:t>
      </w:r>
      <w:r w:rsidR="00D84D3C" w:rsidRPr="00C55676">
        <w:rPr>
          <w:spacing w:val="5"/>
          <w:sz w:val="24"/>
        </w:rPr>
        <w:t>third country nationals</w:t>
      </w:r>
      <w:r w:rsidRPr="00C55676">
        <w:rPr>
          <w:spacing w:val="5"/>
          <w:sz w:val="24"/>
        </w:rPr>
        <w:t>, but rather under a positive vision of social justice in line with the social objectives of primary law. In the case law</w:t>
      </w:r>
      <w:r w:rsidR="0050497B">
        <w:rPr>
          <w:spacing w:val="5"/>
          <w:sz w:val="24"/>
        </w:rPr>
        <w:t>,</w:t>
      </w:r>
      <w:r w:rsidRPr="00C55676">
        <w:rPr>
          <w:spacing w:val="5"/>
          <w:sz w:val="24"/>
        </w:rPr>
        <w:t xml:space="preserve"> the </w:t>
      </w:r>
      <w:r w:rsidR="00D84D3C" w:rsidRPr="00C55676">
        <w:rPr>
          <w:spacing w:val="5"/>
          <w:sz w:val="24"/>
        </w:rPr>
        <w:t>CJEU</w:t>
      </w:r>
      <w:r w:rsidRPr="00C55676">
        <w:rPr>
          <w:spacing w:val="5"/>
          <w:sz w:val="24"/>
        </w:rPr>
        <w:t xml:space="preserve"> draws on the attribution of social rights </w:t>
      </w:r>
      <w:r w:rsidR="0050497B">
        <w:rPr>
          <w:spacing w:val="5"/>
          <w:sz w:val="24"/>
        </w:rPr>
        <w:t>to</w:t>
      </w:r>
      <w:r w:rsidR="0050497B" w:rsidRPr="00C55676">
        <w:rPr>
          <w:spacing w:val="5"/>
          <w:sz w:val="24"/>
        </w:rPr>
        <w:t xml:space="preserve"> </w:t>
      </w:r>
      <w:r w:rsidRPr="00C55676">
        <w:rPr>
          <w:spacing w:val="5"/>
          <w:sz w:val="24"/>
        </w:rPr>
        <w:t xml:space="preserve">third country nationals with a view to social cohesion and integration (an integration that is presumably more easily achieved by EU migrants). This means that when limitations </w:t>
      </w:r>
      <w:r w:rsidR="00D84D3C" w:rsidRPr="00C55676">
        <w:rPr>
          <w:spacing w:val="5"/>
          <w:sz w:val="24"/>
        </w:rPr>
        <w:t xml:space="preserve">to social rights </w:t>
      </w:r>
      <w:r w:rsidRPr="00C55676">
        <w:rPr>
          <w:spacing w:val="5"/>
          <w:sz w:val="24"/>
        </w:rPr>
        <w:t>are reviewed</w:t>
      </w:r>
      <w:r w:rsidR="00D84FCC">
        <w:rPr>
          <w:spacing w:val="5"/>
          <w:sz w:val="24"/>
        </w:rPr>
        <w:t>,</w:t>
      </w:r>
      <w:r w:rsidRPr="00C55676">
        <w:rPr>
          <w:spacing w:val="5"/>
          <w:sz w:val="24"/>
        </w:rPr>
        <w:t xml:space="preserve"> the potential burdens to national welfare systems are weighed against the Charter, thereby ensuring equal access to a minimum set of social rights that can guarantee a dignified life for all those who fall within the scope of EU law. </w:t>
      </w:r>
      <w:r w:rsidR="00D84FCC" w:rsidRPr="00C55676">
        <w:rPr>
          <w:spacing w:val="5"/>
          <w:sz w:val="24"/>
        </w:rPr>
        <w:t>To</w:t>
      </w:r>
      <w:r w:rsidRPr="00C55676">
        <w:rPr>
          <w:spacing w:val="5"/>
          <w:sz w:val="24"/>
        </w:rPr>
        <w:t xml:space="preserve"> constructively combine these opposing yet overlapping logics, Loxa argues that there is room for evolution in judicial review by combining elements of the judicial approach for both EU and non-EU migrants </w:t>
      </w:r>
      <w:proofErr w:type="gramStart"/>
      <w:r w:rsidRPr="00C55676">
        <w:rPr>
          <w:spacing w:val="5"/>
          <w:sz w:val="24"/>
        </w:rPr>
        <w:t>in light of</w:t>
      </w:r>
      <w:proofErr w:type="gramEnd"/>
      <w:r w:rsidRPr="00C55676">
        <w:rPr>
          <w:spacing w:val="5"/>
          <w:sz w:val="24"/>
        </w:rPr>
        <w:t xml:space="preserve"> the social objectives of the EU under Article 3 TEU and the Charter. Loxa presents the potential of this combination not as a groundbreaking shift in the functional approach followed by EU law to social rights, but rather as a limited change that can bring about more extensive protection of social rights for all migrants, </w:t>
      </w:r>
      <w:r w:rsidR="00357162">
        <w:rPr>
          <w:spacing w:val="5"/>
          <w:sz w:val="24"/>
        </w:rPr>
        <w:t xml:space="preserve">while being </w:t>
      </w:r>
      <w:r w:rsidRPr="00C55676">
        <w:rPr>
          <w:spacing w:val="5"/>
          <w:sz w:val="24"/>
        </w:rPr>
        <w:t>acutely aware of the limitations of EU law due to the attribution of rights in the form of equal opportunities and due to financial solidarity as the key justification behind the more extensive attribution of social rights.</w:t>
      </w:r>
    </w:p>
    <w:p w14:paraId="25DAD877" w14:textId="77777777" w:rsidR="006901C6" w:rsidRPr="00C55676" w:rsidRDefault="006901C6" w:rsidP="00201D03">
      <w:pPr>
        <w:pStyle w:val="bodytext"/>
        <w:spacing w:after="0"/>
        <w:rPr>
          <w:spacing w:val="5"/>
          <w:sz w:val="24"/>
        </w:rPr>
      </w:pPr>
    </w:p>
    <w:p w14:paraId="0BCE49CF" w14:textId="41A75041" w:rsidR="005013A1" w:rsidRPr="00C55676" w:rsidRDefault="005013A1" w:rsidP="005013A1">
      <w:pPr>
        <w:pStyle w:val="bodytext"/>
        <w:rPr>
          <w:spacing w:val="5"/>
          <w:sz w:val="24"/>
        </w:rPr>
      </w:pPr>
      <w:r w:rsidRPr="00C55676">
        <w:rPr>
          <w:spacing w:val="5"/>
          <w:sz w:val="24"/>
        </w:rPr>
        <w:t>Finally, Manfredi turns to secondary law and explores the regulation of access to social rights for third country nationals under EU law. This exploration has three aspects. The first one examines whether and how third-country nationals, who have a legal status under EU secondary law, receive equal treatment compared to nationals of the host Member States regarding social benefits. The second aspect relates to the conditions under which it is justifiable to require third-country nationals to integrate into the host country before granting equal treatment and how such conditions can be proportionately implemented. The third aspect relates to the impact of the Charter</w:t>
      </w:r>
      <w:r w:rsidR="00F93725">
        <w:rPr>
          <w:spacing w:val="5"/>
          <w:sz w:val="24"/>
        </w:rPr>
        <w:t xml:space="preserve"> </w:t>
      </w:r>
      <w:r w:rsidRPr="00C55676">
        <w:rPr>
          <w:spacing w:val="5"/>
          <w:sz w:val="24"/>
        </w:rPr>
        <w:t>on third-country nationals’ access to social benefits in the EU.</w:t>
      </w:r>
    </w:p>
    <w:p w14:paraId="03F232BD" w14:textId="3A6E9CB5" w:rsidR="005013A1" w:rsidRPr="00C55676" w:rsidRDefault="00E76B02" w:rsidP="005013A1">
      <w:pPr>
        <w:pStyle w:val="bodytext"/>
        <w:rPr>
          <w:spacing w:val="5"/>
          <w:sz w:val="24"/>
        </w:rPr>
      </w:pPr>
      <w:r w:rsidRPr="00C55676">
        <w:rPr>
          <w:spacing w:val="5"/>
          <w:sz w:val="24"/>
        </w:rPr>
        <w:t>As Loxa also discusse</w:t>
      </w:r>
      <w:r w:rsidR="009679F7">
        <w:rPr>
          <w:spacing w:val="5"/>
          <w:sz w:val="24"/>
        </w:rPr>
        <w:t>s</w:t>
      </w:r>
      <w:r w:rsidRPr="00C55676">
        <w:rPr>
          <w:spacing w:val="5"/>
          <w:sz w:val="24"/>
        </w:rPr>
        <w:t xml:space="preserve">, third-country nationals’ </w:t>
      </w:r>
      <w:r w:rsidR="005013A1" w:rsidRPr="00C55676">
        <w:rPr>
          <w:spacing w:val="5"/>
          <w:sz w:val="24"/>
        </w:rPr>
        <w:t xml:space="preserve">access to social rights on equal terms to nationals of the host state is regulated </w:t>
      </w:r>
      <w:r w:rsidRPr="00C55676">
        <w:rPr>
          <w:spacing w:val="5"/>
          <w:sz w:val="24"/>
        </w:rPr>
        <w:t>by</w:t>
      </w:r>
      <w:r w:rsidR="005013A1" w:rsidRPr="00C55676">
        <w:rPr>
          <w:spacing w:val="5"/>
          <w:sz w:val="24"/>
        </w:rPr>
        <w:t xml:space="preserve"> a set of Directives and is differentiated depending on the category of third-country nationals involved. Unlike in the case of EU citizens, EU primary norms do not contain a non-discrimination clause that applies to third-country nationals. The CJEU has held that Article 18 TFEU and</w:t>
      </w:r>
      <w:r w:rsidR="00377B3E">
        <w:rPr>
          <w:spacing w:val="5"/>
          <w:sz w:val="24"/>
        </w:rPr>
        <w:t>,</w:t>
      </w:r>
      <w:r w:rsidR="005013A1" w:rsidRPr="00C55676">
        <w:rPr>
          <w:spacing w:val="5"/>
          <w:sz w:val="24"/>
        </w:rPr>
        <w:t xml:space="preserve"> relatedly, Article 21 of the Charter can only cover situations of discrimination on the basis of EU nationality, thereby excluding third</w:t>
      </w:r>
      <w:r w:rsidR="00D15911" w:rsidRPr="00C55676">
        <w:rPr>
          <w:spacing w:val="5"/>
          <w:sz w:val="24"/>
        </w:rPr>
        <w:t>-</w:t>
      </w:r>
      <w:r w:rsidR="005013A1" w:rsidRPr="00C55676">
        <w:rPr>
          <w:spacing w:val="5"/>
          <w:sz w:val="24"/>
        </w:rPr>
        <w:t>country nationals from the scope of the relevant provisions.</w:t>
      </w:r>
      <w:r w:rsidR="005013A1" w:rsidRPr="00C55676">
        <w:rPr>
          <w:spacing w:val="5"/>
          <w:sz w:val="24"/>
          <w:vertAlign w:val="superscript"/>
        </w:rPr>
        <w:footnoteReference w:id="15"/>
      </w:r>
      <w:r w:rsidR="005013A1" w:rsidRPr="00C55676">
        <w:rPr>
          <w:spacing w:val="5"/>
          <w:sz w:val="24"/>
        </w:rPr>
        <w:t xml:space="preserve"> While the relevant secondary law partially compensates for the lack of a general principle of non-discrimination for third country nationals, according to Manfredi</w:t>
      </w:r>
      <w:r w:rsidR="00377B3E">
        <w:rPr>
          <w:spacing w:val="5"/>
          <w:sz w:val="24"/>
        </w:rPr>
        <w:t>,</w:t>
      </w:r>
      <w:r w:rsidR="005013A1" w:rsidRPr="00C55676">
        <w:rPr>
          <w:spacing w:val="5"/>
          <w:sz w:val="24"/>
        </w:rPr>
        <w:t xml:space="preserve"> it further entrenches disparities, highlighting the need for a more coherent and harmonized approach to equal treatment under EU law. The study reviews, in particular, secondary law and case law on equal treatment provisions in three directives: Directive 2003/109 on long-term residents, Directive 2011/95 on beneficiaries of international protection, and Directive 2024/1233 on single permit holders.</w:t>
      </w:r>
      <w:r w:rsidR="005013A1" w:rsidRPr="00C55676">
        <w:rPr>
          <w:spacing w:val="5"/>
          <w:sz w:val="24"/>
          <w:vertAlign w:val="superscript"/>
        </w:rPr>
        <w:footnoteReference w:id="16"/>
      </w:r>
      <w:r w:rsidR="005013A1" w:rsidRPr="00C55676">
        <w:rPr>
          <w:spacing w:val="5"/>
          <w:sz w:val="24"/>
        </w:rPr>
        <w:t xml:space="preserve"> </w:t>
      </w:r>
    </w:p>
    <w:p w14:paraId="7D913A66" w14:textId="4FBCD5A9" w:rsidR="005013A1" w:rsidRPr="00C55676" w:rsidRDefault="005013A1" w:rsidP="005013A1">
      <w:pPr>
        <w:pStyle w:val="bodytext"/>
        <w:rPr>
          <w:spacing w:val="5"/>
          <w:sz w:val="24"/>
        </w:rPr>
      </w:pPr>
      <w:r w:rsidRPr="00C55676">
        <w:rPr>
          <w:spacing w:val="5"/>
          <w:sz w:val="24"/>
        </w:rPr>
        <w:t xml:space="preserve">Similarly to the personal scope of these directives which varies and does not cover all third-country nationals legally residing or working in a Member State, the extent of the right to equal treatment is also varied in the various instruments. Directive 2003/109 and Directive 2011/95 refer to the Member States’ national law to determine what falls under social benefits. </w:t>
      </w:r>
      <w:r w:rsidR="00C22123" w:rsidRPr="00C55676">
        <w:rPr>
          <w:spacing w:val="5"/>
          <w:sz w:val="24"/>
        </w:rPr>
        <w:t xml:space="preserve">In contrast, </w:t>
      </w:r>
      <w:r w:rsidRPr="00C55676">
        <w:rPr>
          <w:spacing w:val="5"/>
          <w:sz w:val="24"/>
        </w:rPr>
        <w:t>Directive 2024/1233 refers to the social security benefits within the scope of the European social security coordination provisions in Regulation 883/2004.</w:t>
      </w:r>
      <w:r w:rsidR="001F7F77" w:rsidRPr="00C55676">
        <w:rPr>
          <w:rStyle w:val="FootnoteReference"/>
          <w:spacing w:val="5"/>
          <w:sz w:val="24"/>
        </w:rPr>
        <w:footnoteReference w:id="17"/>
      </w:r>
      <w:r w:rsidRPr="00C55676">
        <w:rPr>
          <w:spacing w:val="5"/>
          <w:sz w:val="24"/>
        </w:rPr>
        <w:t xml:space="preserve"> As far as access to social assistance is concerned, equal treatment is generally excluded in respect of third-country nationals, except in case of long-term residents falling under the scope of Directive 2003/109. In fact, the requirement of having sufficient resources </w:t>
      </w:r>
      <w:r w:rsidR="00C22123" w:rsidRPr="00C55676">
        <w:rPr>
          <w:spacing w:val="5"/>
          <w:sz w:val="24"/>
        </w:rPr>
        <w:t>‘</w:t>
      </w:r>
      <w:r w:rsidRPr="00C55676">
        <w:rPr>
          <w:spacing w:val="5"/>
          <w:sz w:val="24"/>
        </w:rPr>
        <w:t>without having recourse to the social assistance system of that Member State</w:t>
      </w:r>
      <w:r w:rsidR="00C22123" w:rsidRPr="00C55676">
        <w:rPr>
          <w:spacing w:val="5"/>
          <w:sz w:val="24"/>
        </w:rPr>
        <w:t>’</w:t>
      </w:r>
      <w:r w:rsidRPr="00C55676">
        <w:rPr>
          <w:spacing w:val="5"/>
          <w:sz w:val="24"/>
        </w:rPr>
        <w:t xml:space="preserve"> is often laid out as a condition for the grant of a right of residence to third-country nationals. One of the main justifications for introducing such conditions is the argument that Members States should only grant access to social benefits that reflect national solidarity, if the beneficiaries have proven to be sufficiently integrated in the host society, </w:t>
      </w:r>
      <w:r w:rsidRPr="00C55676">
        <w:rPr>
          <w:i/>
          <w:iCs/>
          <w:spacing w:val="5"/>
          <w:sz w:val="24"/>
        </w:rPr>
        <w:t>inter alia</w:t>
      </w:r>
      <w:r w:rsidRPr="00C55676">
        <w:rPr>
          <w:spacing w:val="5"/>
          <w:sz w:val="24"/>
        </w:rPr>
        <w:t xml:space="preserve"> by having contributed for a certain period of time to the financing of these benefits or by having proof of a sufficient level of integration. Also, the exceptions to the right to equal treatment are worded differently. These differences are related to the nature of the third-country national’s stay in the EU (temporary or long-term) and the economically</w:t>
      </w:r>
      <w:r w:rsidR="00862F56">
        <w:rPr>
          <w:spacing w:val="5"/>
          <w:sz w:val="24"/>
        </w:rPr>
        <w:t xml:space="preserve"> </w:t>
      </w:r>
      <w:r w:rsidRPr="00C55676">
        <w:rPr>
          <w:spacing w:val="5"/>
          <w:sz w:val="24"/>
        </w:rPr>
        <w:t>driven approach of the Member States. This fragmented approach is further exacerbated by the significant barriers Member States impose to restrict access to various social benefits due to the limitations of national solidarity.</w:t>
      </w:r>
    </w:p>
    <w:p w14:paraId="477A4EAB" w14:textId="1A5D9907" w:rsidR="005013A1" w:rsidRPr="00C55676" w:rsidRDefault="001416FA" w:rsidP="005013A1">
      <w:pPr>
        <w:pStyle w:val="bodytext"/>
        <w:rPr>
          <w:spacing w:val="5"/>
          <w:sz w:val="24"/>
        </w:rPr>
      </w:pPr>
      <w:r w:rsidRPr="00C55676">
        <w:rPr>
          <w:spacing w:val="5"/>
          <w:sz w:val="24"/>
        </w:rPr>
        <w:t>However</w:t>
      </w:r>
      <w:r w:rsidR="005013A1" w:rsidRPr="00C55676">
        <w:rPr>
          <w:spacing w:val="5"/>
          <w:sz w:val="24"/>
        </w:rPr>
        <w:t>, this fragmented approach risks coming into conflict with the equal treatment provisions laid down in EU primary and secondary law. Manfredi reminds us that the principle of equal treatment plays a significant role in the development of the common immigration policy within the European Union</w:t>
      </w:r>
      <w:r w:rsidR="00EE6DCB" w:rsidRPr="00C55676">
        <w:rPr>
          <w:spacing w:val="5"/>
          <w:sz w:val="24"/>
        </w:rPr>
        <w:t xml:space="preserve">. </w:t>
      </w:r>
      <w:r w:rsidR="005013A1" w:rsidRPr="00C55676">
        <w:rPr>
          <w:spacing w:val="5"/>
          <w:sz w:val="24"/>
        </w:rPr>
        <w:t xml:space="preserve">To examine ways to limit the use of exceptions to the principle of equal treatment by Member States and to address the fragmented protection of </w:t>
      </w:r>
      <w:r w:rsidR="00EE6DCB" w:rsidRPr="00C55676">
        <w:rPr>
          <w:spacing w:val="5"/>
          <w:sz w:val="24"/>
        </w:rPr>
        <w:t>t</w:t>
      </w:r>
      <w:r w:rsidR="005013A1" w:rsidRPr="00C55676">
        <w:rPr>
          <w:spacing w:val="5"/>
          <w:sz w:val="24"/>
        </w:rPr>
        <w:t>hird-country nationals</w:t>
      </w:r>
      <w:r w:rsidR="00EE6DCB" w:rsidRPr="00C55676">
        <w:rPr>
          <w:spacing w:val="5"/>
          <w:sz w:val="24"/>
        </w:rPr>
        <w:t>’</w:t>
      </w:r>
      <w:r w:rsidR="005013A1" w:rsidRPr="00C55676">
        <w:rPr>
          <w:spacing w:val="5"/>
          <w:sz w:val="24"/>
        </w:rPr>
        <w:t xml:space="preserve"> access to social benefits under EU secondary law, Manfredi explores the potentials of particularly Art</w:t>
      </w:r>
      <w:r w:rsidR="001F2849" w:rsidRPr="00C55676">
        <w:rPr>
          <w:spacing w:val="5"/>
          <w:sz w:val="24"/>
        </w:rPr>
        <w:t>icle</w:t>
      </w:r>
      <w:r w:rsidR="005013A1" w:rsidRPr="00C55676">
        <w:rPr>
          <w:spacing w:val="5"/>
          <w:sz w:val="24"/>
        </w:rPr>
        <w:t xml:space="preserve"> 20 and Art</w:t>
      </w:r>
      <w:r w:rsidR="001F2849" w:rsidRPr="00C55676">
        <w:rPr>
          <w:spacing w:val="5"/>
          <w:sz w:val="24"/>
        </w:rPr>
        <w:t xml:space="preserve">icle </w:t>
      </w:r>
      <w:r w:rsidR="005013A1" w:rsidRPr="00C55676">
        <w:rPr>
          <w:spacing w:val="5"/>
          <w:sz w:val="24"/>
        </w:rPr>
        <w:t>34</w:t>
      </w:r>
      <w:r w:rsidR="001F2849" w:rsidRPr="00C55676">
        <w:rPr>
          <w:spacing w:val="5"/>
          <w:sz w:val="24"/>
        </w:rPr>
        <w:t xml:space="preserve"> of the Charter</w:t>
      </w:r>
      <w:r w:rsidR="005013A1" w:rsidRPr="00C55676">
        <w:rPr>
          <w:spacing w:val="5"/>
          <w:sz w:val="24"/>
        </w:rPr>
        <w:t>. In relation to Article 20 of the Charter which provides for equality before the law</w:t>
      </w:r>
      <w:r w:rsidR="001F2849" w:rsidRPr="00C55676">
        <w:rPr>
          <w:spacing w:val="5"/>
          <w:sz w:val="24"/>
        </w:rPr>
        <w:t xml:space="preserve">, the CJEU has held that </w:t>
      </w:r>
      <w:r w:rsidR="005013A1" w:rsidRPr="00C55676">
        <w:rPr>
          <w:spacing w:val="5"/>
          <w:sz w:val="24"/>
        </w:rPr>
        <w:t>it also applies to third-country nationals in situations falling within the scope of Union law. This means that comparable situations should be treated equally, and different situations should not be treated similarly unless justified and with respect to the principle of proportionality. It can be derived that third-country nationals who acquire a certain status through EU directives are in comparable situations to nationals of the host Member State regarding equal treatment for social benefits. In this regard, Manfredi suggests that this Article could ensure proportionality and fairness in evaluating discriminatory practices or exclusions</w:t>
      </w:r>
      <w:r w:rsidR="00DF2F2E" w:rsidRPr="00C55676">
        <w:rPr>
          <w:spacing w:val="5"/>
          <w:sz w:val="24"/>
        </w:rPr>
        <w:t>.</w:t>
      </w:r>
    </w:p>
    <w:p w14:paraId="3A28DA73" w14:textId="7287209D" w:rsidR="005013A1" w:rsidRPr="00C55676" w:rsidRDefault="005013A1" w:rsidP="005013A1">
      <w:pPr>
        <w:pStyle w:val="bodytext"/>
        <w:rPr>
          <w:spacing w:val="5"/>
          <w:sz w:val="24"/>
        </w:rPr>
      </w:pPr>
      <w:r w:rsidRPr="00C55676">
        <w:rPr>
          <w:spacing w:val="5"/>
          <w:sz w:val="24"/>
        </w:rPr>
        <w:t>As regards Article 34</w:t>
      </w:r>
      <w:r w:rsidR="00DF2F2E" w:rsidRPr="00C55676">
        <w:rPr>
          <w:spacing w:val="5"/>
          <w:sz w:val="24"/>
        </w:rPr>
        <w:t xml:space="preserve"> of the Charter on </w:t>
      </w:r>
      <w:r w:rsidR="00622777" w:rsidRPr="00C55676">
        <w:rPr>
          <w:spacing w:val="5"/>
          <w:sz w:val="24"/>
        </w:rPr>
        <w:t>social security and social assistance</w:t>
      </w:r>
      <w:r w:rsidRPr="00C55676">
        <w:rPr>
          <w:spacing w:val="5"/>
          <w:sz w:val="24"/>
        </w:rPr>
        <w:t xml:space="preserve">, the Court has highlighted its importance in defining core benefits </w:t>
      </w:r>
      <w:r w:rsidR="000D5732">
        <w:rPr>
          <w:spacing w:val="5"/>
          <w:sz w:val="24"/>
        </w:rPr>
        <w:t xml:space="preserve">of </w:t>
      </w:r>
      <w:r w:rsidRPr="00C55676">
        <w:rPr>
          <w:spacing w:val="5"/>
          <w:sz w:val="24"/>
        </w:rPr>
        <w:t xml:space="preserve">which </w:t>
      </w:r>
      <w:r w:rsidR="000D5732">
        <w:rPr>
          <w:spacing w:val="5"/>
          <w:sz w:val="24"/>
        </w:rPr>
        <w:t xml:space="preserve">third country national </w:t>
      </w:r>
      <w:r w:rsidRPr="00C55676">
        <w:rPr>
          <w:spacing w:val="5"/>
          <w:sz w:val="24"/>
        </w:rPr>
        <w:t>cannot be deprived. In the relevant case</w:t>
      </w:r>
      <w:r w:rsidR="00622777" w:rsidRPr="00C55676">
        <w:rPr>
          <w:spacing w:val="5"/>
          <w:sz w:val="24"/>
        </w:rPr>
        <w:t xml:space="preserve"> </w:t>
      </w:r>
      <w:r w:rsidRPr="00C55676">
        <w:rPr>
          <w:spacing w:val="5"/>
          <w:sz w:val="24"/>
        </w:rPr>
        <w:t xml:space="preserve">law, the purpose of the benefit becomes a central factor for the assessment: if it is essential for a dignified existence, it must be granted </w:t>
      </w:r>
      <w:r w:rsidR="00622777" w:rsidRPr="00C55676">
        <w:rPr>
          <w:spacing w:val="5"/>
          <w:sz w:val="24"/>
        </w:rPr>
        <w:t>to all third country nationals under equal treatment conditions.</w:t>
      </w:r>
      <w:r w:rsidRPr="00C55676">
        <w:rPr>
          <w:spacing w:val="5"/>
          <w:sz w:val="24"/>
        </w:rPr>
        <w:t xml:space="preserve"> In contrast, for non-core benefits, Member States can exclude migrants</w:t>
      </w:r>
      <w:r w:rsidR="00622777" w:rsidRPr="00C55676">
        <w:rPr>
          <w:spacing w:val="5"/>
          <w:sz w:val="24"/>
        </w:rPr>
        <w:t xml:space="preserve"> </w:t>
      </w:r>
      <w:r w:rsidRPr="00C55676">
        <w:rPr>
          <w:spacing w:val="5"/>
          <w:sz w:val="24"/>
        </w:rPr>
        <w:t>if they explicitly derogate from equal treatment when transposing the relevant Directives</w:t>
      </w:r>
      <w:r w:rsidR="00622777" w:rsidRPr="00C55676">
        <w:rPr>
          <w:spacing w:val="5"/>
          <w:sz w:val="24"/>
        </w:rPr>
        <w:t xml:space="preserve">. </w:t>
      </w:r>
      <w:r w:rsidRPr="00C55676">
        <w:rPr>
          <w:spacing w:val="5"/>
          <w:sz w:val="24"/>
        </w:rPr>
        <w:t>Moreover, thi</w:t>
      </w:r>
      <w:r w:rsidR="00622777" w:rsidRPr="00C55676">
        <w:rPr>
          <w:spacing w:val="5"/>
          <w:sz w:val="24"/>
        </w:rPr>
        <w:t xml:space="preserve">s </w:t>
      </w:r>
      <w:r w:rsidR="00101640">
        <w:rPr>
          <w:spacing w:val="5"/>
          <w:sz w:val="24"/>
        </w:rPr>
        <w:t>A</w:t>
      </w:r>
      <w:r w:rsidRPr="00C55676">
        <w:rPr>
          <w:spacing w:val="5"/>
          <w:sz w:val="24"/>
        </w:rPr>
        <w:t xml:space="preserve">rticle explicitly links social assistance to ensuring a dignified existence for all those who lack sufficient resources. Manfredi links </w:t>
      </w:r>
      <w:r w:rsidR="001B3FFB" w:rsidRPr="00C55676">
        <w:rPr>
          <w:spacing w:val="5"/>
          <w:sz w:val="24"/>
        </w:rPr>
        <w:t>Article 34(3)</w:t>
      </w:r>
      <w:r w:rsidR="000A1CB7">
        <w:rPr>
          <w:spacing w:val="5"/>
          <w:sz w:val="24"/>
        </w:rPr>
        <w:t>’s</w:t>
      </w:r>
      <w:r w:rsidR="005727A3">
        <w:rPr>
          <w:spacing w:val="5"/>
          <w:sz w:val="24"/>
        </w:rPr>
        <w:t xml:space="preserve"> mention</w:t>
      </w:r>
      <w:r w:rsidR="001B3FFB" w:rsidRPr="00C55676">
        <w:rPr>
          <w:spacing w:val="5"/>
          <w:sz w:val="24"/>
        </w:rPr>
        <w:t xml:space="preserve"> </w:t>
      </w:r>
      <w:r w:rsidR="000A1CB7">
        <w:rPr>
          <w:spacing w:val="5"/>
          <w:sz w:val="24"/>
        </w:rPr>
        <w:t>of</w:t>
      </w:r>
      <w:r w:rsidR="001B3FFB" w:rsidRPr="00C55676">
        <w:rPr>
          <w:spacing w:val="5"/>
          <w:sz w:val="24"/>
        </w:rPr>
        <w:t xml:space="preserve"> </w:t>
      </w:r>
      <w:r w:rsidR="00DC4D9C" w:rsidRPr="00C55676">
        <w:rPr>
          <w:spacing w:val="5"/>
          <w:sz w:val="24"/>
        </w:rPr>
        <w:t xml:space="preserve">‘a decent existence for all those who lack sufficient resources’ </w:t>
      </w:r>
      <w:r w:rsidRPr="00C55676">
        <w:rPr>
          <w:spacing w:val="5"/>
          <w:sz w:val="24"/>
        </w:rPr>
        <w:t>to the right to human dignity enshrined in Article 1 of the Charter and suggests that Article 34 provides a strong legal foundation for extending protections based on the fundamental principle of human dignity.</w:t>
      </w:r>
    </w:p>
    <w:p w14:paraId="42AE8CEB" w14:textId="35459415" w:rsidR="00040C84" w:rsidRPr="00C55676" w:rsidRDefault="005013A1" w:rsidP="00004D1E">
      <w:pPr>
        <w:pStyle w:val="bodytext"/>
        <w:rPr>
          <w:rStyle w:val="BookTitle"/>
          <w:b w:val="0"/>
          <w:bCs w:val="0"/>
          <w:i w:val="0"/>
          <w:iCs w:val="0"/>
          <w:sz w:val="24"/>
        </w:rPr>
      </w:pPr>
      <w:r w:rsidRPr="00C55676">
        <w:rPr>
          <w:spacing w:val="5"/>
          <w:sz w:val="24"/>
        </w:rPr>
        <w:t>In closing</w:t>
      </w:r>
      <w:r w:rsidR="00DC4D9C" w:rsidRPr="00C55676">
        <w:rPr>
          <w:spacing w:val="5"/>
          <w:sz w:val="24"/>
        </w:rPr>
        <w:t>,</w:t>
      </w:r>
      <w:r w:rsidRPr="00C55676">
        <w:rPr>
          <w:spacing w:val="5"/>
          <w:sz w:val="24"/>
        </w:rPr>
        <w:t xml:space="preserve"> Manfredi suggests that determining which benefits can be considered core benefits within the framework of EU law could provide a basis for ensuring a minimum level of uniform protection of fundamental social rights and would limit the discretion of national authorities, particularly in areas pertinent to essential needs like food, housing, and healthcare. By identifying core benefits, the national authorities could reasonably ensure that individuals, including third-country nationals, have access to necessities for a dignified existence, regardless of their nationality or immigration status while</w:t>
      </w:r>
      <w:r w:rsidR="00EF5EA4">
        <w:rPr>
          <w:spacing w:val="5"/>
          <w:sz w:val="24"/>
        </w:rPr>
        <w:t>,</w:t>
      </w:r>
      <w:r w:rsidRPr="00C55676">
        <w:rPr>
          <w:spacing w:val="5"/>
          <w:sz w:val="24"/>
        </w:rPr>
        <w:t xml:space="preserve"> at the same time</w:t>
      </w:r>
      <w:r w:rsidR="00EF5EA4">
        <w:rPr>
          <w:spacing w:val="5"/>
          <w:sz w:val="24"/>
        </w:rPr>
        <w:t>,</w:t>
      </w:r>
      <w:r w:rsidRPr="00C55676">
        <w:rPr>
          <w:spacing w:val="5"/>
          <w:sz w:val="24"/>
        </w:rPr>
        <w:t xml:space="preserve"> the uncertainty associated with case-by-case assessments by national courts would be limited. However, such a definition would require political agreement which can be a complex and challenging task given the different perspectives and interests involved. </w:t>
      </w:r>
    </w:p>
    <w:p w14:paraId="54C8FED6" w14:textId="77777777" w:rsidR="00C17799" w:rsidRPr="00C55676" w:rsidRDefault="00C17799" w:rsidP="00040C84">
      <w:pPr>
        <w:autoSpaceDE w:val="0"/>
        <w:autoSpaceDN w:val="0"/>
        <w:adjustRightInd w:val="0"/>
        <w:spacing w:after="0" w:line="240" w:lineRule="auto"/>
        <w:jc w:val="both"/>
        <w:rPr>
          <w:rFonts w:ascii="Times New Roman" w:hAnsi="Times New Roman" w:cs="Times New Roman"/>
          <w:color w:val="231F20"/>
          <w:kern w:val="0"/>
          <w:sz w:val="24"/>
          <w:szCs w:val="24"/>
          <w:lang w:val="en-GB"/>
        </w:rPr>
      </w:pPr>
    </w:p>
    <w:p w14:paraId="5A3508E1" w14:textId="045E7C6B" w:rsidR="007070A9" w:rsidRPr="00C55676" w:rsidRDefault="00B145C0" w:rsidP="00040C84">
      <w:pPr>
        <w:pStyle w:val="Heading2"/>
        <w:spacing w:before="0" w:after="0" w:line="240" w:lineRule="auto"/>
        <w:rPr>
          <w:rFonts w:ascii="Times New Roman" w:hAnsi="Times New Roman" w:cs="Times New Roman"/>
          <w:b/>
          <w:bCs/>
          <w:color w:val="auto"/>
          <w:sz w:val="24"/>
          <w:szCs w:val="24"/>
          <w:lang w:val="en-GB"/>
        </w:rPr>
      </w:pPr>
      <w:r w:rsidRPr="00C55676">
        <w:rPr>
          <w:rFonts w:ascii="Times New Roman" w:hAnsi="Times New Roman" w:cs="Times New Roman"/>
          <w:b/>
          <w:bCs/>
          <w:color w:val="auto"/>
          <w:sz w:val="24"/>
          <w:szCs w:val="24"/>
          <w:lang w:val="en-GB"/>
        </w:rPr>
        <w:t xml:space="preserve">3. </w:t>
      </w:r>
      <w:r w:rsidR="007070A9" w:rsidRPr="00C55676">
        <w:rPr>
          <w:rFonts w:ascii="Times New Roman" w:hAnsi="Times New Roman" w:cs="Times New Roman"/>
          <w:b/>
          <w:bCs/>
          <w:color w:val="auto"/>
          <w:sz w:val="24"/>
          <w:szCs w:val="24"/>
          <w:lang w:val="en-GB"/>
        </w:rPr>
        <w:t>Conclusion</w:t>
      </w:r>
    </w:p>
    <w:p w14:paraId="21BAB806" w14:textId="71E3A37E" w:rsidR="00DA07D4" w:rsidRPr="00C55676" w:rsidRDefault="00DA07D4" w:rsidP="00040C84">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The</w:t>
      </w:r>
      <w:r w:rsidR="004840B7" w:rsidRPr="00C55676">
        <w:rPr>
          <w:rFonts w:ascii="Times New Roman" w:hAnsi="Times New Roman" w:cs="Times New Roman"/>
          <w:sz w:val="24"/>
          <w:szCs w:val="24"/>
          <w:lang w:val="en-GB"/>
        </w:rPr>
        <w:t xml:space="preserve"> contributions </w:t>
      </w:r>
      <w:r w:rsidRPr="00C55676">
        <w:rPr>
          <w:rFonts w:ascii="Times New Roman" w:hAnsi="Times New Roman" w:cs="Times New Roman"/>
          <w:sz w:val="24"/>
          <w:szCs w:val="24"/>
          <w:lang w:val="en-GB"/>
        </w:rPr>
        <w:t xml:space="preserve">in this special section </w:t>
      </w:r>
      <w:r w:rsidR="007070A9" w:rsidRPr="00C55676">
        <w:rPr>
          <w:rFonts w:ascii="Times New Roman" w:hAnsi="Times New Roman" w:cs="Times New Roman"/>
          <w:sz w:val="24"/>
          <w:szCs w:val="24"/>
          <w:lang w:val="en-GB"/>
        </w:rPr>
        <w:t>engage with non-discrimination between nationals of a Member State and EU citizens resident in that Member State, nationals of a Member State and third</w:t>
      </w:r>
      <w:r w:rsidR="00667B1A" w:rsidRPr="00C55676">
        <w:rPr>
          <w:rFonts w:ascii="Times New Roman" w:hAnsi="Times New Roman" w:cs="Times New Roman"/>
          <w:sz w:val="24"/>
          <w:szCs w:val="24"/>
          <w:lang w:val="en-GB"/>
        </w:rPr>
        <w:t>-</w:t>
      </w:r>
      <w:r w:rsidR="007070A9" w:rsidRPr="00C55676">
        <w:rPr>
          <w:rFonts w:ascii="Times New Roman" w:hAnsi="Times New Roman" w:cs="Times New Roman"/>
          <w:sz w:val="24"/>
          <w:szCs w:val="24"/>
          <w:lang w:val="en-GB"/>
        </w:rPr>
        <w:t>country nationals, as well as EU citizens resident in a host Member State and third</w:t>
      </w:r>
      <w:r w:rsidR="00162C54" w:rsidRPr="00C55676">
        <w:rPr>
          <w:rFonts w:ascii="Times New Roman" w:hAnsi="Times New Roman" w:cs="Times New Roman"/>
          <w:sz w:val="24"/>
          <w:szCs w:val="24"/>
          <w:lang w:val="en-GB"/>
        </w:rPr>
        <w:t>-</w:t>
      </w:r>
      <w:r w:rsidR="007070A9" w:rsidRPr="00C55676">
        <w:rPr>
          <w:rFonts w:ascii="Times New Roman" w:hAnsi="Times New Roman" w:cs="Times New Roman"/>
          <w:sz w:val="24"/>
          <w:szCs w:val="24"/>
          <w:lang w:val="en-GB"/>
        </w:rPr>
        <w:t xml:space="preserve">country </w:t>
      </w:r>
      <w:proofErr w:type="gramStart"/>
      <w:r w:rsidR="007070A9" w:rsidRPr="00C55676">
        <w:rPr>
          <w:rFonts w:ascii="Times New Roman" w:hAnsi="Times New Roman" w:cs="Times New Roman"/>
          <w:sz w:val="24"/>
          <w:szCs w:val="24"/>
          <w:lang w:val="en-GB"/>
        </w:rPr>
        <w:t>nationals</w:t>
      </w:r>
      <w:proofErr w:type="gramEnd"/>
      <w:r w:rsidR="007070A9" w:rsidRPr="00C55676">
        <w:rPr>
          <w:rFonts w:ascii="Times New Roman" w:hAnsi="Times New Roman" w:cs="Times New Roman"/>
          <w:sz w:val="24"/>
          <w:szCs w:val="24"/>
          <w:lang w:val="en-GB"/>
        </w:rPr>
        <w:t xml:space="preserve"> resident in that Member State. The changing compar</w:t>
      </w:r>
      <w:r w:rsidR="00AB1C8E">
        <w:rPr>
          <w:rFonts w:ascii="Times New Roman" w:hAnsi="Times New Roman" w:cs="Times New Roman"/>
          <w:sz w:val="24"/>
          <w:szCs w:val="24"/>
          <w:lang w:val="en-GB"/>
        </w:rPr>
        <w:t>isons</w:t>
      </w:r>
      <w:r w:rsidR="007070A9" w:rsidRPr="00C55676">
        <w:rPr>
          <w:rFonts w:ascii="Times New Roman" w:hAnsi="Times New Roman" w:cs="Times New Roman"/>
          <w:sz w:val="24"/>
          <w:szCs w:val="24"/>
          <w:lang w:val="en-GB"/>
        </w:rPr>
        <w:t xml:space="preserve"> and the different limitations accepted as legitimate shape a complicated picture of the borders between insiders and outsiders in EU law as regards accessing socio-economic rights.</w:t>
      </w:r>
      <w:r w:rsidR="00F7308C" w:rsidRPr="00C55676">
        <w:rPr>
          <w:rFonts w:ascii="Times New Roman" w:hAnsi="Times New Roman" w:cs="Times New Roman"/>
          <w:sz w:val="24"/>
          <w:szCs w:val="24"/>
          <w:lang w:val="en-GB"/>
        </w:rPr>
        <w:t xml:space="preserve"> </w:t>
      </w:r>
    </w:p>
    <w:p w14:paraId="1B06B297" w14:textId="77777777" w:rsidR="00563748" w:rsidRPr="00C55676" w:rsidRDefault="00563748" w:rsidP="00040C84">
      <w:pPr>
        <w:spacing w:after="0" w:line="240" w:lineRule="auto"/>
        <w:jc w:val="both"/>
        <w:rPr>
          <w:rFonts w:ascii="Times New Roman" w:hAnsi="Times New Roman" w:cs="Times New Roman"/>
          <w:sz w:val="24"/>
          <w:szCs w:val="24"/>
          <w:lang w:val="en-GB"/>
        </w:rPr>
      </w:pPr>
    </w:p>
    <w:p w14:paraId="0D60F280" w14:textId="77DFBADB" w:rsidR="001264F9" w:rsidRPr="00C55676" w:rsidRDefault="00DA07D4" w:rsidP="00942609">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All the articles develop against the background of a multilevel tension between the universal aspiration of equal treatment, the limitations imposed by concerns over migration as well as the demands imposed by financial solidarity within</w:t>
      </w:r>
      <w:r w:rsidR="00AB1C8E">
        <w:rPr>
          <w:rFonts w:ascii="Times New Roman" w:hAnsi="Times New Roman" w:cs="Times New Roman"/>
          <w:sz w:val="24"/>
          <w:szCs w:val="24"/>
          <w:lang w:val="en-GB"/>
        </w:rPr>
        <w:t xml:space="preserve"> and</w:t>
      </w:r>
      <w:r w:rsidRPr="00C55676">
        <w:rPr>
          <w:rFonts w:ascii="Times New Roman" w:hAnsi="Times New Roman" w:cs="Times New Roman"/>
          <w:sz w:val="24"/>
          <w:szCs w:val="24"/>
          <w:lang w:val="en-GB"/>
        </w:rPr>
        <w:t xml:space="preserve"> between the Member States, and social justice aspirations at the collective EU level. The respective analyses suggest that these tensions have been dealt with by the creation of a continuum of rights rather than a clear-cut differentiation between insiders and outsiders in EU law. While EU citizenship and its primary status under EU law and the early case law of the CJEU created spaces for imaginaries of post-national citizenship, this status is no longer enough to </w:t>
      </w:r>
      <w:r w:rsidR="00333D01" w:rsidRPr="00C55676">
        <w:rPr>
          <w:rFonts w:ascii="Times New Roman" w:hAnsi="Times New Roman" w:cs="Times New Roman"/>
          <w:sz w:val="24"/>
          <w:szCs w:val="24"/>
          <w:lang w:val="en-GB"/>
        </w:rPr>
        <w:t xml:space="preserve">overcome the concerns of Member </w:t>
      </w:r>
      <w:r w:rsidR="00773AF8">
        <w:rPr>
          <w:rFonts w:ascii="Times New Roman" w:hAnsi="Times New Roman" w:cs="Times New Roman"/>
          <w:sz w:val="24"/>
          <w:szCs w:val="24"/>
          <w:lang w:val="en-GB"/>
        </w:rPr>
        <w:t>S</w:t>
      </w:r>
      <w:r w:rsidR="00333D01" w:rsidRPr="00C55676">
        <w:rPr>
          <w:rFonts w:ascii="Times New Roman" w:hAnsi="Times New Roman" w:cs="Times New Roman"/>
          <w:sz w:val="24"/>
          <w:szCs w:val="24"/>
          <w:lang w:val="en-GB"/>
        </w:rPr>
        <w:t xml:space="preserve">tates on the </w:t>
      </w:r>
      <w:r w:rsidR="00D25825" w:rsidRPr="00C55676">
        <w:rPr>
          <w:rFonts w:ascii="Times New Roman" w:hAnsi="Times New Roman" w:cs="Times New Roman"/>
          <w:sz w:val="24"/>
          <w:szCs w:val="24"/>
          <w:lang w:val="en-GB"/>
        </w:rPr>
        <w:t>limits of their national welfare systems</w:t>
      </w:r>
      <w:r w:rsidR="006673DD" w:rsidRPr="00C55676">
        <w:rPr>
          <w:rFonts w:ascii="Times New Roman" w:hAnsi="Times New Roman" w:cs="Times New Roman"/>
          <w:sz w:val="24"/>
          <w:szCs w:val="24"/>
          <w:lang w:val="en-GB"/>
        </w:rPr>
        <w:t>.</w:t>
      </w:r>
      <w:r w:rsidR="00A02F66" w:rsidRPr="00C55676">
        <w:rPr>
          <w:rStyle w:val="FootnoteReference"/>
          <w:rFonts w:ascii="Times New Roman" w:hAnsi="Times New Roman" w:cs="Times New Roman"/>
          <w:sz w:val="24"/>
          <w:szCs w:val="24"/>
          <w:lang w:val="en-GB"/>
        </w:rPr>
        <w:footnoteReference w:id="18"/>
      </w:r>
      <w:r w:rsidR="006673DD" w:rsidRPr="00C55676">
        <w:rPr>
          <w:rFonts w:ascii="Times New Roman" w:hAnsi="Times New Roman" w:cs="Times New Roman"/>
          <w:sz w:val="24"/>
          <w:szCs w:val="24"/>
          <w:lang w:val="en-GB"/>
        </w:rPr>
        <w:t xml:space="preserve"> </w:t>
      </w:r>
      <w:r w:rsidR="008B412A" w:rsidRPr="00C55676">
        <w:rPr>
          <w:rFonts w:ascii="Times New Roman" w:hAnsi="Times New Roman" w:cs="Times New Roman"/>
          <w:sz w:val="24"/>
          <w:szCs w:val="24"/>
          <w:lang w:val="en-GB"/>
        </w:rPr>
        <w:t xml:space="preserve">These concerns </w:t>
      </w:r>
      <w:r w:rsidR="006673DD" w:rsidRPr="00C55676">
        <w:rPr>
          <w:rFonts w:ascii="Times New Roman" w:hAnsi="Times New Roman" w:cs="Times New Roman"/>
          <w:sz w:val="24"/>
          <w:szCs w:val="24"/>
          <w:lang w:val="en-GB"/>
        </w:rPr>
        <w:t>have been considered as legitimate, driven the conditionality of social rights under Directive 2004/38</w:t>
      </w:r>
      <w:r w:rsidR="000F5C31">
        <w:rPr>
          <w:rFonts w:ascii="Times New Roman" w:hAnsi="Times New Roman" w:cs="Times New Roman"/>
          <w:sz w:val="24"/>
          <w:szCs w:val="24"/>
          <w:lang w:val="en-GB"/>
        </w:rPr>
        <w:t>,</w:t>
      </w:r>
      <w:r w:rsidR="006673DD" w:rsidRPr="00C55676">
        <w:rPr>
          <w:rFonts w:ascii="Times New Roman" w:hAnsi="Times New Roman" w:cs="Times New Roman"/>
          <w:sz w:val="24"/>
          <w:szCs w:val="24"/>
          <w:lang w:val="en-GB"/>
        </w:rPr>
        <w:t xml:space="preserve"> and </w:t>
      </w:r>
      <w:r w:rsidR="00942609" w:rsidRPr="00C55676">
        <w:rPr>
          <w:rFonts w:ascii="Times New Roman" w:hAnsi="Times New Roman" w:cs="Times New Roman"/>
          <w:sz w:val="24"/>
          <w:szCs w:val="24"/>
          <w:lang w:val="en-GB"/>
        </w:rPr>
        <w:t>been confirmed in case law with little regard to fundamental rights considerations.</w:t>
      </w:r>
      <w:r w:rsidR="00B4209F" w:rsidRPr="00C55676">
        <w:rPr>
          <w:rStyle w:val="FootnoteReference"/>
          <w:rFonts w:ascii="Times New Roman" w:hAnsi="Times New Roman" w:cs="Times New Roman"/>
          <w:sz w:val="24"/>
          <w:szCs w:val="24"/>
          <w:lang w:val="en-GB"/>
        </w:rPr>
        <w:footnoteReference w:id="19"/>
      </w:r>
      <w:r w:rsidR="00942609" w:rsidRPr="00C55676">
        <w:rPr>
          <w:rFonts w:ascii="Times New Roman" w:hAnsi="Times New Roman" w:cs="Times New Roman"/>
          <w:sz w:val="24"/>
          <w:szCs w:val="24"/>
          <w:lang w:val="en-GB"/>
        </w:rPr>
        <w:t xml:space="preserve"> At the same time, the fair treatment demanded </w:t>
      </w:r>
      <w:r w:rsidR="006740FC" w:rsidRPr="00C55676">
        <w:rPr>
          <w:rFonts w:ascii="Times New Roman" w:hAnsi="Times New Roman" w:cs="Times New Roman"/>
          <w:sz w:val="24"/>
          <w:szCs w:val="24"/>
          <w:lang w:val="en-GB"/>
        </w:rPr>
        <w:t>by Article 79</w:t>
      </w:r>
      <w:r w:rsidR="00667B1A" w:rsidRPr="00C55676">
        <w:rPr>
          <w:rFonts w:ascii="Times New Roman" w:hAnsi="Times New Roman" w:cs="Times New Roman"/>
          <w:sz w:val="24"/>
          <w:szCs w:val="24"/>
          <w:lang w:val="en-GB"/>
        </w:rPr>
        <w:t>(</w:t>
      </w:r>
      <w:r w:rsidR="004B405F" w:rsidRPr="00C55676">
        <w:rPr>
          <w:rFonts w:ascii="Times New Roman" w:hAnsi="Times New Roman" w:cs="Times New Roman"/>
          <w:sz w:val="24"/>
          <w:szCs w:val="24"/>
          <w:lang w:val="en-GB"/>
        </w:rPr>
        <w:t>1</w:t>
      </w:r>
      <w:r w:rsidR="00667B1A" w:rsidRPr="00C55676">
        <w:rPr>
          <w:rFonts w:ascii="Times New Roman" w:hAnsi="Times New Roman" w:cs="Times New Roman"/>
          <w:sz w:val="24"/>
          <w:szCs w:val="24"/>
          <w:lang w:val="en-GB"/>
        </w:rPr>
        <w:t>)</w:t>
      </w:r>
      <w:r w:rsidR="006740FC" w:rsidRPr="00C55676">
        <w:rPr>
          <w:rFonts w:ascii="Times New Roman" w:hAnsi="Times New Roman" w:cs="Times New Roman"/>
          <w:sz w:val="24"/>
          <w:szCs w:val="24"/>
          <w:lang w:val="en-GB"/>
        </w:rPr>
        <w:t xml:space="preserve"> TFEU has been translated into equal treatment for certain third</w:t>
      </w:r>
      <w:r w:rsidR="004B405F" w:rsidRPr="00C55676">
        <w:rPr>
          <w:rFonts w:ascii="Times New Roman" w:hAnsi="Times New Roman" w:cs="Times New Roman"/>
          <w:sz w:val="24"/>
          <w:szCs w:val="24"/>
          <w:lang w:val="en-GB"/>
        </w:rPr>
        <w:t>-</w:t>
      </w:r>
      <w:r w:rsidR="006740FC" w:rsidRPr="00C55676">
        <w:rPr>
          <w:rFonts w:ascii="Times New Roman" w:hAnsi="Times New Roman" w:cs="Times New Roman"/>
          <w:sz w:val="24"/>
          <w:szCs w:val="24"/>
          <w:lang w:val="en-GB"/>
        </w:rPr>
        <w:t xml:space="preserve">country nationals and has overcome national limitations with </w:t>
      </w:r>
      <w:r w:rsidR="00DE2481" w:rsidRPr="00C55676">
        <w:rPr>
          <w:rFonts w:ascii="Times New Roman" w:hAnsi="Times New Roman" w:cs="Times New Roman"/>
          <w:sz w:val="24"/>
          <w:szCs w:val="24"/>
          <w:lang w:val="en-GB"/>
        </w:rPr>
        <w:t>strong basis on the Charter.</w:t>
      </w:r>
      <w:r w:rsidR="00B4209F" w:rsidRPr="00C55676">
        <w:rPr>
          <w:rStyle w:val="FootnoteReference"/>
          <w:rFonts w:ascii="Times New Roman" w:hAnsi="Times New Roman" w:cs="Times New Roman"/>
          <w:sz w:val="24"/>
          <w:szCs w:val="24"/>
          <w:lang w:val="en-GB"/>
        </w:rPr>
        <w:footnoteReference w:id="20"/>
      </w:r>
      <w:r w:rsidR="00FC3517" w:rsidRPr="00C55676">
        <w:rPr>
          <w:rFonts w:ascii="Times New Roman" w:hAnsi="Times New Roman" w:cs="Times New Roman"/>
          <w:sz w:val="24"/>
          <w:szCs w:val="24"/>
          <w:lang w:val="en-GB"/>
        </w:rPr>
        <w:t xml:space="preserve"> </w:t>
      </w:r>
      <w:r w:rsidR="00D455E2" w:rsidRPr="00C55676">
        <w:rPr>
          <w:rFonts w:ascii="Times New Roman" w:hAnsi="Times New Roman" w:cs="Times New Roman"/>
          <w:sz w:val="24"/>
          <w:szCs w:val="24"/>
          <w:lang w:val="en-GB"/>
        </w:rPr>
        <w:t>In practice</w:t>
      </w:r>
      <w:r w:rsidR="004B405F" w:rsidRPr="00C55676">
        <w:rPr>
          <w:rFonts w:ascii="Times New Roman" w:hAnsi="Times New Roman" w:cs="Times New Roman"/>
          <w:sz w:val="24"/>
          <w:szCs w:val="24"/>
          <w:lang w:val="en-GB"/>
        </w:rPr>
        <w:t>,</w:t>
      </w:r>
      <w:r w:rsidR="00D455E2" w:rsidRPr="00C55676">
        <w:rPr>
          <w:rFonts w:ascii="Times New Roman" w:hAnsi="Times New Roman" w:cs="Times New Roman"/>
          <w:sz w:val="24"/>
          <w:szCs w:val="24"/>
          <w:lang w:val="en-GB"/>
        </w:rPr>
        <w:t xml:space="preserve"> EU law creates a system of variable degrees of social rights that should be delivered at the domestic level for economically </w:t>
      </w:r>
      <w:r w:rsidR="00D455E2" w:rsidRPr="00C55676">
        <w:rPr>
          <w:rStyle w:val="citation"/>
          <w:rFonts w:ascii="Times New Roman" w:hAnsi="Times New Roman" w:cs="Times New Roman"/>
          <w:color w:val="000000" w:themeColor="text1"/>
          <w:sz w:val="24"/>
          <w:szCs w:val="24"/>
          <w:lang w:val="en-GB"/>
        </w:rPr>
        <w:t>active or self-sufficient EU citizens, economically active third country nationals, and destitute EU citizens finding themselves in extreme vulnerability.</w:t>
      </w:r>
      <w:r w:rsidR="00B03C22">
        <w:rPr>
          <w:rStyle w:val="FootnoteReference"/>
          <w:rFonts w:ascii="Times New Roman" w:hAnsi="Times New Roman" w:cs="Times New Roman"/>
          <w:color w:val="000000" w:themeColor="text1"/>
          <w:sz w:val="24"/>
          <w:szCs w:val="24"/>
          <w:lang w:val="en-GB"/>
        </w:rPr>
        <w:footnoteReference w:id="21"/>
      </w:r>
      <w:r w:rsidR="00D455E2" w:rsidRPr="00C55676">
        <w:rPr>
          <w:rStyle w:val="citation"/>
          <w:rFonts w:ascii="Times New Roman" w:hAnsi="Times New Roman" w:cs="Times New Roman"/>
          <w:color w:val="000000" w:themeColor="text1"/>
          <w:sz w:val="24"/>
          <w:szCs w:val="24"/>
          <w:lang w:val="en-GB"/>
        </w:rPr>
        <w:t xml:space="preserve"> The relevant fram</w:t>
      </w:r>
      <w:r w:rsidR="007B75BE" w:rsidRPr="00C55676">
        <w:rPr>
          <w:rStyle w:val="citation"/>
          <w:rFonts w:ascii="Times New Roman" w:hAnsi="Times New Roman" w:cs="Times New Roman"/>
          <w:color w:val="000000" w:themeColor="text1"/>
          <w:sz w:val="24"/>
          <w:szCs w:val="24"/>
          <w:lang w:val="en-GB"/>
        </w:rPr>
        <w:t>ework</w:t>
      </w:r>
      <w:r w:rsidR="007B75BE" w:rsidRPr="00C55676">
        <w:rPr>
          <w:rFonts w:ascii="Times New Roman" w:hAnsi="Times New Roman" w:cs="Times New Roman"/>
          <w:color w:val="000000" w:themeColor="text1"/>
          <w:sz w:val="24"/>
          <w:szCs w:val="24"/>
          <w:lang w:val="en-GB"/>
        </w:rPr>
        <w:t xml:space="preserve"> establishes stratified hierarchies of rights among non-citizens which are then implemented in domestic law</w:t>
      </w:r>
      <w:r w:rsidR="00E03DAA" w:rsidRPr="00C55676">
        <w:rPr>
          <w:rFonts w:ascii="Times New Roman" w:hAnsi="Times New Roman" w:cs="Times New Roman"/>
          <w:color w:val="000000" w:themeColor="text1"/>
          <w:sz w:val="24"/>
          <w:szCs w:val="24"/>
          <w:lang w:val="en-GB"/>
        </w:rPr>
        <w:t>.</w:t>
      </w:r>
      <w:r w:rsidR="00E03DAA" w:rsidRPr="00C55676">
        <w:rPr>
          <w:rStyle w:val="FootnoteReference"/>
          <w:rFonts w:ascii="Times New Roman" w:hAnsi="Times New Roman" w:cs="Times New Roman"/>
          <w:color w:val="000000" w:themeColor="text1"/>
          <w:sz w:val="24"/>
          <w:szCs w:val="24"/>
          <w:lang w:val="en-GB"/>
        </w:rPr>
        <w:footnoteReference w:id="22"/>
      </w:r>
      <w:r w:rsidR="007B75BE" w:rsidRPr="00C55676">
        <w:rPr>
          <w:rFonts w:ascii="Times New Roman" w:hAnsi="Times New Roman" w:cs="Times New Roman"/>
          <w:color w:val="000000" w:themeColor="text1"/>
          <w:sz w:val="24"/>
          <w:szCs w:val="24"/>
          <w:lang w:val="en-GB"/>
        </w:rPr>
        <w:t xml:space="preserve"> Th</w:t>
      </w:r>
      <w:r w:rsidR="00C55676" w:rsidRPr="00C55676">
        <w:rPr>
          <w:rFonts w:ascii="Times New Roman" w:hAnsi="Times New Roman" w:cs="Times New Roman"/>
          <w:color w:val="000000" w:themeColor="text1"/>
          <w:sz w:val="24"/>
          <w:szCs w:val="24"/>
          <w:lang w:val="en-GB"/>
        </w:rPr>
        <w:t xml:space="preserve">is </w:t>
      </w:r>
      <w:r w:rsidR="007B75BE" w:rsidRPr="00C55676">
        <w:rPr>
          <w:rFonts w:ascii="Times New Roman" w:hAnsi="Times New Roman" w:cs="Times New Roman"/>
          <w:color w:val="000000" w:themeColor="text1"/>
          <w:sz w:val="24"/>
          <w:szCs w:val="24"/>
          <w:lang w:val="en-GB"/>
        </w:rPr>
        <w:t>finding also fits well with</w:t>
      </w:r>
      <w:r w:rsidR="004B698A" w:rsidRPr="00C55676">
        <w:rPr>
          <w:rFonts w:ascii="Times New Roman" w:hAnsi="Times New Roman" w:cs="Times New Roman"/>
          <w:color w:val="000000" w:themeColor="text1"/>
          <w:sz w:val="24"/>
          <w:szCs w:val="24"/>
          <w:lang w:val="en-GB"/>
        </w:rPr>
        <w:t xml:space="preserve"> literature outside the field of law which investigates the evolution of social policy and welfare states away from universality and based on differentiation </w:t>
      </w:r>
      <w:r w:rsidR="00E956BF" w:rsidRPr="00C55676">
        <w:rPr>
          <w:rFonts w:ascii="Times New Roman" w:hAnsi="Times New Roman" w:cs="Times New Roman"/>
          <w:color w:val="000000" w:themeColor="text1"/>
          <w:sz w:val="24"/>
          <w:szCs w:val="24"/>
          <w:lang w:val="en-GB"/>
        </w:rPr>
        <w:t xml:space="preserve">of social rights depending on the individual’s </w:t>
      </w:r>
      <w:r w:rsidR="004364E1" w:rsidRPr="00C55676">
        <w:rPr>
          <w:rFonts w:ascii="Times New Roman" w:hAnsi="Times New Roman" w:cs="Times New Roman"/>
          <w:color w:val="000000" w:themeColor="text1"/>
          <w:sz w:val="24"/>
          <w:szCs w:val="24"/>
          <w:lang w:val="en-GB"/>
        </w:rPr>
        <w:t>deservingness.</w:t>
      </w:r>
      <w:r w:rsidR="00241C1C" w:rsidRPr="00C55676">
        <w:rPr>
          <w:rStyle w:val="FootnoteReference"/>
          <w:rFonts w:ascii="Times New Roman" w:hAnsi="Times New Roman" w:cs="Times New Roman"/>
          <w:color w:val="000000" w:themeColor="text1"/>
          <w:sz w:val="24"/>
          <w:szCs w:val="24"/>
          <w:lang w:val="en-GB"/>
        </w:rPr>
        <w:footnoteReference w:id="23"/>
      </w:r>
    </w:p>
    <w:p w14:paraId="30485765" w14:textId="0AAE7526" w:rsidR="008731D2" w:rsidRPr="00C55676" w:rsidRDefault="008731D2" w:rsidP="00942609">
      <w:pPr>
        <w:spacing w:after="0" w:line="240" w:lineRule="auto"/>
        <w:jc w:val="both"/>
        <w:rPr>
          <w:rFonts w:ascii="Times New Roman" w:hAnsi="Times New Roman" w:cs="Times New Roman"/>
          <w:sz w:val="24"/>
          <w:szCs w:val="24"/>
          <w:lang w:val="en-GB"/>
        </w:rPr>
      </w:pPr>
    </w:p>
    <w:p w14:paraId="7FDFCBEA" w14:textId="316FC1AC" w:rsidR="006038A0" w:rsidRDefault="008731D2" w:rsidP="00FD35F1">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In parallel, all the contributions reveal a tension between the economic rationale of the EU</w:t>
      </w:r>
      <w:r w:rsidR="00405F2B">
        <w:rPr>
          <w:rFonts w:ascii="Times New Roman" w:hAnsi="Times New Roman" w:cs="Times New Roman"/>
          <w:sz w:val="24"/>
          <w:szCs w:val="24"/>
          <w:lang w:val="en-GB"/>
        </w:rPr>
        <w:t>,</w:t>
      </w:r>
      <w:r w:rsidRPr="00C55676">
        <w:rPr>
          <w:rFonts w:ascii="Times New Roman" w:hAnsi="Times New Roman" w:cs="Times New Roman"/>
          <w:sz w:val="24"/>
          <w:szCs w:val="24"/>
          <w:lang w:val="en-GB"/>
        </w:rPr>
        <w:t xml:space="preserve"> past</w:t>
      </w:r>
      <w:r w:rsidR="00C55676">
        <w:rPr>
          <w:rFonts w:ascii="Times New Roman" w:hAnsi="Times New Roman" w:cs="Times New Roman"/>
          <w:sz w:val="24"/>
          <w:szCs w:val="24"/>
          <w:lang w:val="en-GB"/>
        </w:rPr>
        <w:t xml:space="preserve"> and </w:t>
      </w:r>
      <w:r w:rsidRPr="00C55676">
        <w:rPr>
          <w:rFonts w:ascii="Times New Roman" w:hAnsi="Times New Roman" w:cs="Times New Roman"/>
          <w:sz w:val="24"/>
          <w:szCs w:val="24"/>
          <w:lang w:val="en-GB"/>
        </w:rPr>
        <w:t>present</w:t>
      </w:r>
      <w:r w:rsidR="00405F2B">
        <w:rPr>
          <w:rFonts w:ascii="Times New Roman" w:hAnsi="Times New Roman" w:cs="Times New Roman"/>
          <w:sz w:val="24"/>
          <w:szCs w:val="24"/>
          <w:lang w:val="en-GB"/>
        </w:rPr>
        <w:t>,</w:t>
      </w:r>
      <w:r w:rsidRPr="00C55676">
        <w:rPr>
          <w:rFonts w:ascii="Times New Roman" w:hAnsi="Times New Roman" w:cs="Times New Roman"/>
          <w:sz w:val="24"/>
          <w:szCs w:val="24"/>
          <w:lang w:val="en-GB"/>
        </w:rPr>
        <w:t xml:space="preserve"> and the cosmopolitan aspiration of social rights and inclusion.</w:t>
      </w:r>
      <w:r w:rsidR="00512185" w:rsidRPr="00C55676">
        <w:rPr>
          <w:rStyle w:val="FootnoteReference"/>
          <w:rFonts w:ascii="Times New Roman" w:hAnsi="Times New Roman" w:cs="Times New Roman"/>
          <w:sz w:val="24"/>
          <w:szCs w:val="24"/>
          <w:lang w:val="en-GB"/>
        </w:rPr>
        <w:footnoteReference w:id="24"/>
      </w:r>
      <w:r w:rsidR="008A5190" w:rsidRPr="00C55676">
        <w:rPr>
          <w:rFonts w:ascii="Times New Roman" w:hAnsi="Times New Roman" w:cs="Times New Roman"/>
          <w:sz w:val="24"/>
          <w:szCs w:val="24"/>
          <w:lang w:val="en-GB"/>
        </w:rPr>
        <w:t xml:space="preserve"> </w:t>
      </w:r>
      <w:r w:rsidRPr="00C55676">
        <w:rPr>
          <w:rFonts w:ascii="Times New Roman" w:hAnsi="Times New Roman" w:cs="Times New Roman"/>
          <w:sz w:val="24"/>
          <w:szCs w:val="24"/>
          <w:lang w:val="en-GB"/>
        </w:rPr>
        <w:t xml:space="preserve">The historical tension has been well discussed in scholarship and is currently expressed in the demand of Article 3 </w:t>
      </w:r>
      <w:r w:rsidR="00404F0A">
        <w:rPr>
          <w:rFonts w:ascii="Times New Roman" w:hAnsi="Times New Roman" w:cs="Times New Roman"/>
          <w:sz w:val="24"/>
          <w:szCs w:val="24"/>
          <w:lang w:val="en-GB"/>
        </w:rPr>
        <w:t xml:space="preserve">TEU for a </w:t>
      </w:r>
      <w:r w:rsidR="00DC19B6">
        <w:rPr>
          <w:rFonts w:ascii="Times New Roman" w:hAnsi="Times New Roman" w:cs="Times New Roman"/>
          <w:sz w:val="24"/>
          <w:szCs w:val="24"/>
          <w:lang w:val="en-GB"/>
        </w:rPr>
        <w:t xml:space="preserve">highly competitive </w:t>
      </w:r>
      <w:r w:rsidR="00404F0A">
        <w:rPr>
          <w:rFonts w:ascii="Times New Roman" w:hAnsi="Times New Roman" w:cs="Times New Roman"/>
          <w:sz w:val="24"/>
          <w:szCs w:val="24"/>
          <w:lang w:val="en-GB"/>
        </w:rPr>
        <w:t>social market economy</w:t>
      </w:r>
      <w:r w:rsidR="00DC19B6">
        <w:rPr>
          <w:rFonts w:ascii="Times New Roman" w:hAnsi="Times New Roman" w:cs="Times New Roman"/>
          <w:sz w:val="24"/>
          <w:szCs w:val="24"/>
          <w:lang w:val="en-GB"/>
        </w:rPr>
        <w:t xml:space="preserve"> which shall also combat social exclusion and discrimination</w:t>
      </w:r>
      <w:r w:rsidRPr="00C55676">
        <w:rPr>
          <w:rFonts w:ascii="Times New Roman" w:hAnsi="Times New Roman" w:cs="Times New Roman"/>
          <w:sz w:val="24"/>
          <w:szCs w:val="24"/>
          <w:lang w:val="en-GB"/>
        </w:rPr>
        <w:t>.</w:t>
      </w:r>
      <w:r w:rsidR="005952E8" w:rsidRPr="00C55676">
        <w:rPr>
          <w:rStyle w:val="FootnoteReference"/>
          <w:rFonts w:ascii="Times New Roman" w:hAnsi="Times New Roman" w:cs="Times New Roman"/>
          <w:sz w:val="24"/>
          <w:szCs w:val="24"/>
          <w:lang w:val="en-GB"/>
        </w:rPr>
        <w:footnoteReference w:id="25"/>
      </w:r>
      <w:r w:rsidRPr="00C55676">
        <w:rPr>
          <w:rFonts w:ascii="Times New Roman" w:hAnsi="Times New Roman" w:cs="Times New Roman"/>
          <w:sz w:val="24"/>
          <w:szCs w:val="24"/>
          <w:lang w:val="en-GB"/>
        </w:rPr>
        <w:t xml:space="preserve"> While Mantu and Manfredi take this differentiation</w:t>
      </w:r>
      <w:r w:rsidR="006038A0">
        <w:rPr>
          <w:rFonts w:ascii="Times New Roman" w:hAnsi="Times New Roman" w:cs="Times New Roman"/>
          <w:sz w:val="24"/>
          <w:szCs w:val="24"/>
          <w:lang w:val="en-GB"/>
        </w:rPr>
        <w:t xml:space="preserve"> between economic and social objectives</w:t>
      </w:r>
      <w:r w:rsidRPr="00C55676">
        <w:rPr>
          <w:rFonts w:ascii="Times New Roman" w:hAnsi="Times New Roman" w:cs="Times New Roman"/>
          <w:sz w:val="24"/>
          <w:szCs w:val="24"/>
          <w:lang w:val="en-GB"/>
        </w:rPr>
        <w:t xml:space="preserve"> as the background against which the limitations of social rights for EU citizens and third country nationals respectively are demanded, </w:t>
      </w:r>
      <w:proofErr w:type="spellStart"/>
      <w:r w:rsidRPr="00C55676">
        <w:rPr>
          <w:rFonts w:ascii="Times New Roman" w:hAnsi="Times New Roman" w:cs="Times New Roman"/>
          <w:sz w:val="24"/>
          <w:szCs w:val="24"/>
          <w:lang w:val="en-GB"/>
        </w:rPr>
        <w:t>Hubkova</w:t>
      </w:r>
      <w:proofErr w:type="spellEnd"/>
      <w:r w:rsidRPr="00C55676">
        <w:rPr>
          <w:rFonts w:ascii="Times New Roman" w:hAnsi="Times New Roman" w:cs="Times New Roman"/>
          <w:sz w:val="24"/>
          <w:szCs w:val="24"/>
          <w:lang w:val="en-GB"/>
        </w:rPr>
        <w:t xml:space="preserve"> and Loxa challenge the clear cut differentiation between economic costs and the social imperatives served by social rights. </w:t>
      </w:r>
    </w:p>
    <w:p w14:paraId="2869D094" w14:textId="77777777" w:rsidR="00405F2B" w:rsidRDefault="00405F2B" w:rsidP="00FD35F1">
      <w:pPr>
        <w:spacing w:after="0" w:line="240" w:lineRule="auto"/>
        <w:jc w:val="both"/>
        <w:rPr>
          <w:rFonts w:ascii="Times New Roman" w:hAnsi="Times New Roman" w:cs="Times New Roman"/>
          <w:sz w:val="24"/>
          <w:szCs w:val="24"/>
          <w:lang w:val="en-GB"/>
        </w:rPr>
      </w:pPr>
    </w:p>
    <w:p w14:paraId="17DFAD1C" w14:textId="34E92891" w:rsidR="003B6B8A" w:rsidRPr="00C55676" w:rsidRDefault="00162C54" w:rsidP="00FD35F1">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Another thread that connects the contributions</w:t>
      </w:r>
      <w:r w:rsidR="00211253">
        <w:rPr>
          <w:rFonts w:ascii="Times New Roman" w:hAnsi="Times New Roman" w:cs="Times New Roman"/>
          <w:sz w:val="24"/>
          <w:szCs w:val="24"/>
          <w:lang w:val="en-GB"/>
        </w:rPr>
        <w:t>,</w:t>
      </w:r>
      <w:r w:rsidRPr="00C55676">
        <w:rPr>
          <w:rFonts w:ascii="Times New Roman" w:hAnsi="Times New Roman" w:cs="Times New Roman"/>
          <w:sz w:val="24"/>
          <w:szCs w:val="24"/>
          <w:lang w:val="en-GB"/>
        </w:rPr>
        <w:t xml:space="preserve"> and which has also been explored in EU law scholarship</w:t>
      </w:r>
      <w:r w:rsidR="00211253">
        <w:rPr>
          <w:rFonts w:ascii="Times New Roman" w:hAnsi="Times New Roman" w:cs="Times New Roman"/>
          <w:sz w:val="24"/>
          <w:szCs w:val="24"/>
          <w:lang w:val="en-GB"/>
        </w:rPr>
        <w:t>,</w:t>
      </w:r>
      <w:r w:rsidRPr="00C55676">
        <w:rPr>
          <w:rFonts w:ascii="Times New Roman" w:hAnsi="Times New Roman" w:cs="Times New Roman"/>
          <w:sz w:val="24"/>
          <w:szCs w:val="24"/>
          <w:lang w:val="en-GB"/>
        </w:rPr>
        <w:t xml:space="preserve"> is the role of </w:t>
      </w:r>
      <w:r w:rsidR="00563748" w:rsidRPr="00C55676">
        <w:rPr>
          <w:rFonts w:ascii="Times New Roman" w:hAnsi="Times New Roman" w:cs="Times New Roman"/>
          <w:sz w:val="24"/>
          <w:szCs w:val="24"/>
          <w:lang w:val="en-GB"/>
        </w:rPr>
        <w:t>the CJEU</w:t>
      </w:r>
      <w:r w:rsidRPr="00C55676">
        <w:rPr>
          <w:rFonts w:ascii="Times New Roman" w:hAnsi="Times New Roman" w:cs="Times New Roman"/>
          <w:sz w:val="24"/>
          <w:szCs w:val="24"/>
          <w:lang w:val="en-GB"/>
        </w:rPr>
        <w:t xml:space="preserve"> in the construction of equal treatment, social rights and the delineation of the scope and extent of social solidarity.</w:t>
      </w:r>
      <w:r w:rsidR="008A5190" w:rsidRPr="00C55676">
        <w:rPr>
          <w:rStyle w:val="FootnoteReference"/>
          <w:rFonts w:ascii="Times New Roman" w:hAnsi="Times New Roman" w:cs="Times New Roman"/>
          <w:sz w:val="24"/>
          <w:szCs w:val="24"/>
          <w:lang w:val="en-GB"/>
        </w:rPr>
        <w:footnoteReference w:id="26"/>
      </w:r>
      <w:r w:rsidRPr="00C55676">
        <w:rPr>
          <w:rFonts w:ascii="Times New Roman" w:hAnsi="Times New Roman" w:cs="Times New Roman"/>
          <w:sz w:val="24"/>
          <w:szCs w:val="24"/>
          <w:lang w:val="en-GB"/>
        </w:rPr>
        <w:t xml:space="preserve"> While </w:t>
      </w:r>
      <w:proofErr w:type="spellStart"/>
      <w:r w:rsidRPr="00C55676">
        <w:rPr>
          <w:rFonts w:ascii="Times New Roman" w:hAnsi="Times New Roman" w:cs="Times New Roman"/>
          <w:sz w:val="24"/>
          <w:szCs w:val="24"/>
          <w:lang w:val="en-GB"/>
        </w:rPr>
        <w:t>Hubkova’s</w:t>
      </w:r>
      <w:proofErr w:type="spellEnd"/>
      <w:r w:rsidRPr="00C55676">
        <w:rPr>
          <w:rFonts w:ascii="Times New Roman" w:hAnsi="Times New Roman" w:cs="Times New Roman"/>
          <w:sz w:val="24"/>
          <w:szCs w:val="24"/>
          <w:lang w:val="en-GB"/>
        </w:rPr>
        <w:t xml:space="preserve"> contribution reminds us of the effects of CJEU decisions for the position of labour rights under EU law and their relation to internal market provisions, Mantu</w:t>
      </w:r>
      <w:r w:rsidR="00666110">
        <w:rPr>
          <w:rFonts w:ascii="Times New Roman" w:hAnsi="Times New Roman" w:cs="Times New Roman"/>
          <w:sz w:val="24"/>
          <w:szCs w:val="24"/>
          <w:lang w:val="en-GB"/>
        </w:rPr>
        <w:t>’</w:t>
      </w:r>
      <w:r w:rsidRPr="00C55676">
        <w:rPr>
          <w:rFonts w:ascii="Times New Roman" w:hAnsi="Times New Roman" w:cs="Times New Roman"/>
          <w:sz w:val="24"/>
          <w:szCs w:val="24"/>
          <w:lang w:val="en-GB"/>
        </w:rPr>
        <w:t>s article points to the limits of judicial decision making. Mantu criticises the CJEU for the indeterminacy of its use of human dignity, while at the same time she is acutely aware of how a determinate intervention to social policy could lead to overcoming democratic decision making.</w:t>
      </w:r>
      <w:r w:rsidR="00FA6612">
        <w:rPr>
          <w:rStyle w:val="FootnoteReference"/>
          <w:rFonts w:ascii="Times New Roman" w:hAnsi="Times New Roman" w:cs="Times New Roman"/>
          <w:sz w:val="24"/>
          <w:szCs w:val="24"/>
          <w:lang w:val="en-GB"/>
        </w:rPr>
        <w:footnoteReference w:id="27"/>
      </w:r>
      <w:r w:rsidRPr="00C55676">
        <w:rPr>
          <w:rFonts w:ascii="Times New Roman" w:hAnsi="Times New Roman" w:cs="Times New Roman"/>
          <w:sz w:val="24"/>
          <w:szCs w:val="24"/>
          <w:lang w:val="en-GB"/>
        </w:rPr>
        <w:t xml:space="preserve"> Loxa and Manfredi on the other hand point to the incoherences in CJEU case law, the variable emphasis </w:t>
      </w:r>
      <w:r w:rsidR="00666110">
        <w:rPr>
          <w:rFonts w:ascii="Times New Roman" w:hAnsi="Times New Roman" w:cs="Times New Roman"/>
          <w:sz w:val="24"/>
          <w:szCs w:val="24"/>
          <w:lang w:val="en-GB"/>
        </w:rPr>
        <w:t>on</w:t>
      </w:r>
      <w:r w:rsidR="00666110" w:rsidRPr="00C55676">
        <w:rPr>
          <w:rFonts w:ascii="Times New Roman" w:hAnsi="Times New Roman" w:cs="Times New Roman"/>
          <w:sz w:val="24"/>
          <w:szCs w:val="24"/>
          <w:lang w:val="en-GB"/>
        </w:rPr>
        <w:t xml:space="preserve"> </w:t>
      </w:r>
      <w:r w:rsidRPr="00C55676">
        <w:rPr>
          <w:rFonts w:ascii="Times New Roman" w:hAnsi="Times New Roman" w:cs="Times New Roman"/>
          <w:sz w:val="24"/>
          <w:szCs w:val="24"/>
          <w:lang w:val="en-GB"/>
        </w:rPr>
        <w:t xml:space="preserve">primary law for different categories of migrants as well as the use of the Charter as an attempt to restore coherence into a fragmented legal order. </w:t>
      </w:r>
    </w:p>
    <w:p w14:paraId="69115BC8" w14:textId="77777777" w:rsidR="003B6B8A" w:rsidRPr="00C55676" w:rsidRDefault="003B6B8A" w:rsidP="00FD35F1">
      <w:pPr>
        <w:spacing w:after="0" w:line="240" w:lineRule="auto"/>
        <w:jc w:val="both"/>
        <w:rPr>
          <w:rFonts w:ascii="Times New Roman" w:hAnsi="Times New Roman" w:cs="Times New Roman"/>
          <w:sz w:val="24"/>
          <w:szCs w:val="24"/>
          <w:lang w:val="en-GB"/>
        </w:rPr>
      </w:pPr>
    </w:p>
    <w:p w14:paraId="6BA75F30" w14:textId="0C9C328F" w:rsidR="00986F5E" w:rsidRPr="00C55676" w:rsidRDefault="00162C54" w:rsidP="00FD35F1">
      <w:pPr>
        <w:spacing w:after="0" w:line="240" w:lineRule="auto"/>
        <w:jc w:val="both"/>
        <w:rPr>
          <w:rFonts w:ascii="Times New Roman" w:hAnsi="Times New Roman" w:cs="Times New Roman"/>
          <w:sz w:val="24"/>
          <w:szCs w:val="24"/>
          <w:lang w:val="en-GB"/>
        </w:rPr>
      </w:pPr>
      <w:r w:rsidRPr="00C55676">
        <w:rPr>
          <w:rFonts w:ascii="Times New Roman" w:hAnsi="Times New Roman" w:cs="Times New Roman"/>
          <w:sz w:val="24"/>
          <w:szCs w:val="24"/>
          <w:lang w:val="en-GB"/>
        </w:rPr>
        <w:t xml:space="preserve">In the end, what all authors </w:t>
      </w:r>
      <w:r w:rsidR="00E110C1" w:rsidRPr="00C55676">
        <w:rPr>
          <w:rFonts w:ascii="Times New Roman" w:hAnsi="Times New Roman" w:cs="Times New Roman"/>
          <w:sz w:val="24"/>
          <w:szCs w:val="24"/>
          <w:lang w:val="en-GB"/>
        </w:rPr>
        <w:t>suggest</w:t>
      </w:r>
      <w:r w:rsidRPr="00C55676">
        <w:rPr>
          <w:rFonts w:ascii="Times New Roman" w:hAnsi="Times New Roman" w:cs="Times New Roman"/>
          <w:sz w:val="24"/>
          <w:szCs w:val="24"/>
          <w:lang w:val="en-GB"/>
        </w:rPr>
        <w:t xml:space="preserve"> is that social rights and the extent to which they can protect or exclude </w:t>
      </w:r>
      <w:r w:rsidR="000B0393">
        <w:rPr>
          <w:rFonts w:ascii="Times New Roman" w:hAnsi="Times New Roman" w:cs="Times New Roman"/>
          <w:sz w:val="24"/>
          <w:szCs w:val="24"/>
          <w:lang w:val="en-GB"/>
        </w:rPr>
        <w:t>people</w:t>
      </w:r>
      <w:r w:rsidRPr="00C55676">
        <w:rPr>
          <w:rFonts w:ascii="Times New Roman" w:hAnsi="Times New Roman" w:cs="Times New Roman"/>
          <w:sz w:val="24"/>
          <w:szCs w:val="24"/>
          <w:lang w:val="en-GB"/>
        </w:rPr>
        <w:t xml:space="preserve"> is very much dependent on political choice</w:t>
      </w:r>
      <w:r w:rsidR="00D6188F" w:rsidRPr="00C55676">
        <w:rPr>
          <w:rFonts w:ascii="Times New Roman" w:hAnsi="Times New Roman" w:cs="Times New Roman"/>
          <w:sz w:val="24"/>
          <w:szCs w:val="24"/>
          <w:lang w:val="en-GB"/>
        </w:rPr>
        <w:t>s, as</w:t>
      </w:r>
      <w:r w:rsidR="004955E3">
        <w:rPr>
          <w:rFonts w:ascii="Times New Roman" w:hAnsi="Times New Roman" w:cs="Times New Roman"/>
          <w:sz w:val="24"/>
          <w:szCs w:val="24"/>
          <w:lang w:val="en-GB"/>
        </w:rPr>
        <w:t>,</w:t>
      </w:r>
      <w:r w:rsidR="00D6188F" w:rsidRPr="00C55676">
        <w:rPr>
          <w:rFonts w:ascii="Times New Roman" w:hAnsi="Times New Roman" w:cs="Times New Roman"/>
          <w:sz w:val="24"/>
          <w:szCs w:val="24"/>
          <w:lang w:val="en-GB"/>
        </w:rPr>
        <w:t xml:space="preserve"> after all</w:t>
      </w:r>
      <w:r w:rsidR="004955E3">
        <w:rPr>
          <w:rFonts w:ascii="Times New Roman" w:hAnsi="Times New Roman" w:cs="Times New Roman"/>
          <w:sz w:val="24"/>
          <w:szCs w:val="24"/>
          <w:lang w:val="en-GB"/>
        </w:rPr>
        <w:t>,</w:t>
      </w:r>
      <w:r w:rsidR="00D6188F" w:rsidRPr="00C55676">
        <w:rPr>
          <w:rFonts w:ascii="Times New Roman" w:hAnsi="Times New Roman" w:cs="Times New Roman"/>
          <w:sz w:val="24"/>
          <w:szCs w:val="24"/>
          <w:lang w:val="en-GB"/>
        </w:rPr>
        <w:t xml:space="preserve"> the distribution of collective common goods in a</w:t>
      </w:r>
      <w:r w:rsidR="000B0393">
        <w:rPr>
          <w:rFonts w:ascii="Times New Roman" w:hAnsi="Times New Roman" w:cs="Times New Roman"/>
          <w:sz w:val="24"/>
          <w:szCs w:val="24"/>
          <w:lang w:val="en-GB"/>
        </w:rPr>
        <w:t xml:space="preserve">ny </w:t>
      </w:r>
      <w:r w:rsidR="00D6188F" w:rsidRPr="00C55676">
        <w:rPr>
          <w:rFonts w:ascii="Times New Roman" w:hAnsi="Times New Roman" w:cs="Times New Roman"/>
          <w:sz w:val="24"/>
          <w:szCs w:val="24"/>
          <w:lang w:val="en-GB"/>
        </w:rPr>
        <w:t xml:space="preserve">society </w:t>
      </w:r>
      <w:r w:rsidR="004F4B38" w:rsidRPr="00C55676">
        <w:rPr>
          <w:rFonts w:ascii="Times New Roman" w:hAnsi="Times New Roman" w:cs="Times New Roman"/>
          <w:sz w:val="24"/>
          <w:szCs w:val="24"/>
          <w:lang w:val="en-GB"/>
        </w:rPr>
        <w:t xml:space="preserve">is dependent </w:t>
      </w:r>
      <w:r w:rsidR="000B0393">
        <w:rPr>
          <w:rFonts w:ascii="Times New Roman" w:hAnsi="Times New Roman" w:cs="Times New Roman"/>
          <w:sz w:val="24"/>
          <w:szCs w:val="24"/>
          <w:lang w:val="en-GB"/>
        </w:rPr>
        <w:t>on</w:t>
      </w:r>
      <w:r w:rsidR="004F4B38" w:rsidRPr="00C55676">
        <w:rPr>
          <w:rFonts w:ascii="Times New Roman" w:hAnsi="Times New Roman" w:cs="Times New Roman"/>
          <w:sz w:val="24"/>
          <w:szCs w:val="24"/>
          <w:lang w:val="en-GB"/>
        </w:rPr>
        <w:t xml:space="preserve"> political struggles for equality</w:t>
      </w:r>
      <w:r w:rsidRPr="00C55676">
        <w:rPr>
          <w:rFonts w:ascii="Times New Roman" w:hAnsi="Times New Roman" w:cs="Times New Roman"/>
          <w:sz w:val="24"/>
          <w:szCs w:val="24"/>
          <w:lang w:val="en-GB"/>
        </w:rPr>
        <w:t>.</w:t>
      </w:r>
      <w:r w:rsidR="0068303A" w:rsidRPr="00C55676">
        <w:rPr>
          <w:rStyle w:val="FootnoteReference"/>
          <w:rFonts w:ascii="Times New Roman" w:hAnsi="Times New Roman" w:cs="Times New Roman"/>
          <w:sz w:val="24"/>
          <w:szCs w:val="24"/>
          <w:lang w:val="en-GB"/>
        </w:rPr>
        <w:footnoteReference w:id="28"/>
      </w:r>
      <w:r w:rsidRPr="00C55676">
        <w:rPr>
          <w:rFonts w:ascii="Times New Roman" w:hAnsi="Times New Roman" w:cs="Times New Roman"/>
          <w:sz w:val="24"/>
          <w:szCs w:val="24"/>
          <w:lang w:val="en-GB"/>
        </w:rPr>
        <w:t xml:space="preserve"> Despite the more nuanced understanding of the relationship between social rights and public finances, the contributions do point to the limitations of social rights to ensure welfare for all those within the jurisdiction of Member States. At the same time, human dignity appears to be </w:t>
      </w:r>
      <w:r w:rsidR="00630ACE" w:rsidRPr="00C55676">
        <w:rPr>
          <w:rFonts w:ascii="Times New Roman" w:hAnsi="Times New Roman" w:cs="Times New Roman"/>
          <w:sz w:val="24"/>
          <w:szCs w:val="24"/>
          <w:lang w:val="en-GB"/>
        </w:rPr>
        <w:t xml:space="preserve">a </w:t>
      </w:r>
      <w:r w:rsidRPr="00C55676">
        <w:rPr>
          <w:rFonts w:ascii="Times New Roman" w:hAnsi="Times New Roman" w:cs="Times New Roman"/>
          <w:sz w:val="24"/>
          <w:szCs w:val="24"/>
          <w:lang w:val="en-GB"/>
        </w:rPr>
        <w:t>key</w:t>
      </w:r>
      <w:r w:rsidR="00630ACE" w:rsidRPr="00C55676">
        <w:rPr>
          <w:rFonts w:ascii="Times New Roman" w:hAnsi="Times New Roman" w:cs="Times New Roman"/>
          <w:sz w:val="24"/>
          <w:szCs w:val="24"/>
          <w:lang w:val="en-GB"/>
        </w:rPr>
        <w:t xml:space="preserve"> consideration</w:t>
      </w:r>
      <w:r w:rsidR="000D27EE" w:rsidRPr="00C55676">
        <w:rPr>
          <w:rFonts w:ascii="Times New Roman" w:hAnsi="Times New Roman" w:cs="Times New Roman"/>
          <w:sz w:val="24"/>
          <w:szCs w:val="24"/>
          <w:lang w:val="en-GB"/>
        </w:rPr>
        <w:t xml:space="preserve"> having the potential of creating a minimum level of protection for </w:t>
      </w:r>
      <w:r w:rsidR="003B6B8A" w:rsidRPr="00C55676">
        <w:rPr>
          <w:rFonts w:ascii="Times New Roman" w:hAnsi="Times New Roman" w:cs="Times New Roman"/>
          <w:sz w:val="24"/>
          <w:szCs w:val="24"/>
          <w:lang w:val="en-GB"/>
        </w:rPr>
        <w:t xml:space="preserve">both </w:t>
      </w:r>
      <w:r w:rsidR="000D27EE" w:rsidRPr="00C55676">
        <w:rPr>
          <w:rFonts w:ascii="Times New Roman" w:hAnsi="Times New Roman" w:cs="Times New Roman"/>
          <w:sz w:val="24"/>
          <w:szCs w:val="24"/>
          <w:lang w:val="en-GB"/>
        </w:rPr>
        <w:t xml:space="preserve">destitute </w:t>
      </w:r>
      <w:r w:rsidR="00880D19" w:rsidRPr="00C55676">
        <w:rPr>
          <w:rFonts w:ascii="Times New Roman" w:hAnsi="Times New Roman" w:cs="Times New Roman"/>
          <w:sz w:val="24"/>
          <w:szCs w:val="24"/>
          <w:lang w:val="en-GB"/>
        </w:rPr>
        <w:t>EU citizens</w:t>
      </w:r>
      <w:r w:rsidR="003B6B8A" w:rsidRPr="00C55676">
        <w:rPr>
          <w:rFonts w:ascii="Times New Roman" w:hAnsi="Times New Roman" w:cs="Times New Roman"/>
          <w:sz w:val="24"/>
          <w:szCs w:val="24"/>
          <w:lang w:val="en-GB"/>
        </w:rPr>
        <w:t xml:space="preserve"> and third</w:t>
      </w:r>
      <w:r w:rsidR="00BD775F">
        <w:rPr>
          <w:rFonts w:ascii="Times New Roman" w:hAnsi="Times New Roman" w:cs="Times New Roman"/>
          <w:sz w:val="24"/>
          <w:szCs w:val="24"/>
          <w:lang w:val="en-GB"/>
        </w:rPr>
        <w:t>-</w:t>
      </w:r>
      <w:r w:rsidR="003B6B8A" w:rsidRPr="00C55676">
        <w:rPr>
          <w:rFonts w:ascii="Times New Roman" w:hAnsi="Times New Roman" w:cs="Times New Roman"/>
          <w:sz w:val="24"/>
          <w:szCs w:val="24"/>
          <w:lang w:val="en-GB"/>
        </w:rPr>
        <w:t>country nationals.</w:t>
      </w:r>
    </w:p>
    <w:sectPr w:rsidR="00986F5E" w:rsidRPr="00C55676" w:rsidSect="0085406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6360" w14:textId="77777777" w:rsidR="005869AB" w:rsidRDefault="005869AB" w:rsidP="009D3033">
      <w:pPr>
        <w:spacing w:after="0" w:line="240" w:lineRule="auto"/>
      </w:pPr>
      <w:r>
        <w:separator/>
      </w:r>
    </w:p>
  </w:endnote>
  <w:endnote w:type="continuationSeparator" w:id="0">
    <w:p w14:paraId="20499565" w14:textId="77777777" w:rsidR="005869AB" w:rsidRDefault="005869AB" w:rsidP="009D3033">
      <w:pPr>
        <w:spacing w:after="0" w:line="240" w:lineRule="auto"/>
      </w:pPr>
      <w:r>
        <w:continuationSeparator/>
      </w:r>
    </w:p>
  </w:endnote>
  <w:endnote w:type="continuationNotice" w:id="1">
    <w:p w14:paraId="6E113A69" w14:textId="77777777" w:rsidR="005869AB" w:rsidRDefault="00586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72404244"/>
      <w:docPartObj>
        <w:docPartGallery w:val="Page Numbers (Bottom of Page)"/>
        <w:docPartUnique/>
      </w:docPartObj>
    </w:sdtPr>
    <w:sdtEndPr/>
    <w:sdtContent>
      <w:p w14:paraId="4E79069C" w14:textId="108A236E" w:rsidR="00CE42DC" w:rsidRPr="007E7364" w:rsidRDefault="00CE42DC">
        <w:pPr>
          <w:pStyle w:val="Footer"/>
          <w:jc w:val="center"/>
          <w:rPr>
            <w:rFonts w:ascii="Times New Roman" w:hAnsi="Times New Roman" w:cs="Times New Roman"/>
            <w:sz w:val="24"/>
            <w:szCs w:val="24"/>
          </w:rPr>
        </w:pPr>
        <w:r w:rsidRPr="007E7364">
          <w:rPr>
            <w:rFonts w:ascii="Times New Roman" w:hAnsi="Times New Roman" w:cs="Times New Roman"/>
            <w:sz w:val="24"/>
            <w:szCs w:val="24"/>
          </w:rPr>
          <w:fldChar w:fldCharType="begin"/>
        </w:r>
        <w:r w:rsidRPr="007E7364">
          <w:rPr>
            <w:rFonts w:ascii="Times New Roman" w:hAnsi="Times New Roman" w:cs="Times New Roman"/>
            <w:sz w:val="24"/>
            <w:szCs w:val="24"/>
          </w:rPr>
          <w:instrText>PAGE   \* MERGEFORMAT</w:instrText>
        </w:r>
        <w:r w:rsidRPr="007E7364">
          <w:rPr>
            <w:rFonts w:ascii="Times New Roman" w:hAnsi="Times New Roman" w:cs="Times New Roman"/>
            <w:sz w:val="24"/>
            <w:szCs w:val="24"/>
          </w:rPr>
          <w:fldChar w:fldCharType="separate"/>
        </w:r>
        <w:r w:rsidRPr="007E7364">
          <w:rPr>
            <w:rFonts w:ascii="Times New Roman" w:hAnsi="Times New Roman" w:cs="Times New Roman"/>
            <w:sz w:val="24"/>
            <w:szCs w:val="24"/>
          </w:rPr>
          <w:t>2</w:t>
        </w:r>
        <w:r w:rsidRPr="007E7364">
          <w:rPr>
            <w:rFonts w:ascii="Times New Roman" w:hAnsi="Times New Roman" w:cs="Times New Roman"/>
            <w:sz w:val="24"/>
            <w:szCs w:val="24"/>
          </w:rPr>
          <w:fldChar w:fldCharType="end"/>
        </w:r>
      </w:p>
    </w:sdtContent>
  </w:sdt>
  <w:p w14:paraId="144D4DCC" w14:textId="77777777" w:rsidR="00CE42DC" w:rsidRPr="007E7364" w:rsidRDefault="00CE42D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559E" w14:textId="77777777" w:rsidR="005869AB" w:rsidRDefault="005869AB" w:rsidP="009D3033">
      <w:pPr>
        <w:spacing w:after="0" w:line="240" w:lineRule="auto"/>
      </w:pPr>
      <w:r>
        <w:separator/>
      </w:r>
    </w:p>
  </w:footnote>
  <w:footnote w:type="continuationSeparator" w:id="0">
    <w:p w14:paraId="5B427A4C" w14:textId="77777777" w:rsidR="005869AB" w:rsidRDefault="005869AB" w:rsidP="009D3033">
      <w:pPr>
        <w:spacing w:after="0" w:line="240" w:lineRule="auto"/>
      </w:pPr>
      <w:r>
        <w:continuationSeparator/>
      </w:r>
    </w:p>
  </w:footnote>
  <w:footnote w:type="continuationNotice" w:id="1">
    <w:p w14:paraId="51CFEBD0" w14:textId="77777777" w:rsidR="005869AB" w:rsidRDefault="005869AB">
      <w:pPr>
        <w:spacing w:after="0" w:line="240" w:lineRule="auto"/>
      </w:pPr>
    </w:p>
  </w:footnote>
  <w:footnote w:id="2">
    <w:p w14:paraId="10ACAFC6" w14:textId="1E852480" w:rsidR="00B9090C" w:rsidRPr="00F91454" w:rsidRDefault="00B9090C" w:rsidP="00BD775F">
      <w:pPr>
        <w:pStyle w:val="FootnoteText"/>
        <w:jc w:val="both"/>
        <w:rPr>
          <w:sz w:val="20"/>
          <w:lang w:val="en-US"/>
        </w:rPr>
      </w:pPr>
      <w:r w:rsidRPr="00F91454">
        <w:rPr>
          <w:rStyle w:val="FootnoteReference"/>
          <w:sz w:val="20"/>
        </w:rPr>
        <w:footnoteRef/>
      </w:r>
      <w:r w:rsidRPr="00F91454">
        <w:rPr>
          <w:sz w:val="20"/>
        </w:rPr>
        <w:t xml:space="preserve"> </w:t>
      </w:r>
      <w:r w:rsidRPr="00F91454">
        <w:rPr>
          <w:sz w:val="20"/>
        </w:rPr>
        <w:fldChar w:fldCharType="begin"/>
      </w:r>
      <w:r w:rsidR="001D7359" w:rsidRPr="00F91454">
        <w:rPr>
          <w:sz w:val="20"/>
        </w:rPr>
        <w:instrText xml:space="preserve"> ADDIN ZOTERO_ITEM CSL_CITATION {"citationID":"mrjdqB5S","properties":{"formattedCitation":"See for example, Lieneke Slingenberg, \\uc0\\u8216{}Social Security in the Case Law of the European Court of Human Rights\\uc0\\u8217{} in Frans Pennings and Gijsbert Vonk (eds), {\\i{}Research Handbook on European Social Security Law} (Edward Elgar Publishing 2015).","plainCitation":"See for example, Lieneke Slingenberg, ‘Social Security in the Case Law of the European Court of Human Rights’ in Frans Pennings and Gijsbert Vonk (eds), Research Handbook on European Social Security Law (Edward Elgar Publishing 2015).","noteIndex":1},"citationItems":[{"id":9184,"uris":["http://zotero.org/users/6209047/items/72JPGAD7"],"itemData":{"id":9184,"type":"chapter","container-title":"Research Handbook on European Social Security Law","ISBN":"978-1-78254-733-4","note":"DOI: 10.4337/9781782547334.00013","page":"53-83","publisher":"Edward Elgar Publishing","source":"DOI.org (Crossref)","title":"Social security in the case law of the European Court of Human Rights","editor":[{"family":"Pennings","given":"Frans"},{"family":"Vonk","given":"Gijsbert"}],"author":[{"family":"Slingenberg","given":"Lieneke"}],"accessed":{"date-parts":[["2025",3,6]]},"issued":{"date-parts":[["2015",10,30]]}},"label":"page","prefix":"See for example,"}],"schema":"https://github.com/citation-style-language/schema/raw/master/csl-citation.json"} </w:instrText>
      </w:r>
      <w:r w:rsidRPr="00F91454">
        <w:rPr>
          <w:sz w:val="20"/>
        </w:rPr>
        <w:fldChar w:fldCharType="separate"/>
      </w:r>
      <w:r w:rsidR="001D7359" w:rsidRPr="00F91454">
        <w:rPr>
          <w:sz w:val="20"/>
        </w:rPr>
        <w:t xml:space="preserve">See for example, Lieneke Slingenberg, ‘Social Security in the Case Law of the European Court of Human Rights’ in Frans Pennings and Gijsbert Vonk (eds), </w:t>
      </w:r>
      <w:r w:rsidR="001D7359" w:rsidRPr="00F91454">
        <w:rPr>
          <w:i/>
          <w:iCs/>
          <w:sz w:val="20"/>
        </w:rPr>
        <w:t>Research Handbook on European Social Security Law</w:t>
      </w:r>
      <w:r w:rsidR="001D7359" w:rsidRPr="00F91454">
        <w:rPr>
          <w:sz w:val="20"/>
        </w:rPr>
        <w:t xml:space="preserve"> (Edward Elgar Publishing 2015).</w:t>
      </w:r>
      <w:r w:rsidRPr="00F91454">
        <w:rPr>
          <w:sz w:val="20"/>
        </w:rPr>
        <w:fldChar w:fldCharType="end"/>
      </w:r>
    </w:p>
  </w:footnote>
  <w:footnote w:id="3">
    <w:p w14:paraId="7091F97C" w14:textId="08726222" w:rsidR="007C0422" w:rsidRPr="00BD775F" w:rsidRDefault="00070FC0" w:rsidP="00BD775F">
      <w:pPr>
        <w:pStyle w:val="FootnoteText"/>
        <w:jc w:val="both"/>
        <w:rPr>
          <w:sz w:val="20"/>
        </w:rPr>
      </w:pPr>
      <w:r w:rsidRPr="00F91454">
        <w:rPr>
          <w:rStyle w:val="FootnoteReference"/>
          <w:sz w:val="20"/>
        </w:rPr>
        <w:footnoteRef/>
      </w:r>
      <w:r w:rsidRPr="00F91454">
        <w:rPr>
          <w:sz w:val="20"/>
        </w:rPr>
        <w:t xml:space="preserve"> </w:t>
      </w:r>
      <w:proofErr w:type="spellStart"/>
      <w:r w:rsidR="006974B5" w:rsidRPr="00F91454">
        <w:rPr>
          <w:i/>
          <w:iCs/>
          <w:sz w:val="20"/>
        </w:rPr>
        <w:t>Ponomaryovi</w:t>
      </w:r>
      <w:proofErr w:type="spellEnd"/>
      <w:r w:rsidR="006974B5" w:rsidRPr="00F91454">
        <w:rPr>
          <w:i/>
          <w:iCs/>
          <w:sz w:val="20"/>
        </w:rPr>
        <w:t xml:space="preserve"> v. Bulgari</w:t>
      </w:r>
      <w:r w:rsidR="006974B5" w:rsidRPr="00F91454">
        <w:rPr>
          <w:sz w:val="20"/>
        </w:rPr>
        <w:t>a</w:t>
      </w:r>
      <w:r w:rsidR="00973101" w:rsidRPr="00F91454">
        <w:rPr>
          <w:sz w:val="20"/>
        </w:rPr>
        <w:t>, Application no. 5335/05.</w:t>
      </w:r>
      <w:r w:rsidR="00973101" w:rsidRPr="00BD775F">
        <w:rPr>
          <w:sz w:val="20"/>
        </w:rPr>
        <w:t xml:space="preserve"> </w:t>
      </w:r>
    </w:p>
  </w:footnote>
  <w:footnote w:id="4">
    <w:p w14:paraId="7F2BE97F" w14:textId="752B7E85" w:rsidR="001D7359" w:rsidRPr="00BD775F" w:rsidRDefault="001D7359"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690051" w:rsidRPr="00BD775F">
        <w:rPr>
          <w:sz w:val="20"/>
        </w:rPr>
        <w:instrText xml:space="preserve"> ADDIN ZOTERO_ITEM CSL_CITATION {"citationID":"2XCDbjNa","properties":{"formattedCitation":"Sonja Blum, Johanna Kuhlmann and Klaus Schubert (eds), {\\i{}Routledge Handbook of European Welfare Systems} (Second edition, Routledge 2021).","plainCitation":"Sonja Blum, Johanna Kuhlmann and Klaus Schubert (eds), Routledge Handbook of European Welfare Systems (Second edition, Routledge 2021).","noteIndex":3},"citationItems":[{"id":9183,"uris":["http://zotero.org/users/6209047/items/B2ITHSIE"],"itemData":{"id":9183,"type":"book","abstract":"\"Published ten years after the first edition, this new handbook offers topical, and comprehensive information on the welfare systems of all twenty-eight EU member states and their recent reforms, giving the reader an invaluable introduction and basis for comparative welfare research. Additional chapters provide detailed information on EU social policy, as well as comparative analyses of European welfare systems and their reform pathways. For this second edition, all chapters have been updated and substantially revised, and Croatia additionally included\"--","collection-title":"Routledge international handbooks","edition":"Second edition","event-place":"London New York","ISBN":"978-1-03-217633-8","language":"eng","number-of-pages":"591","publisher":"Routledge","publisher-place":"London New York","source":"K10plus ISBN","title":"Routledge handbook of European welfare systems","editor":[{"family":"Blum","given":"Sonja"},{"family":"Kuhlmann","given":"Johanna"},{"family":"Schubert","given":"Klaus"}],"issued":{"date-parts":[["2021"]]}}}],"schema":"https://github.com/citation-style-language/schema/raw/master/csl-citation.json"} </w:instrText>
      </w:r>
      <w:r w:rsidRPr="00BD775F">
        <w:rPr>
          <w:sz w:val="20"/>
        </w:rPr>
        <w:fldChar w:fldCharType="separate"/>
      </w:r>
      <w:r w:rsidR="00690051" w:rsidRPr="00BD775F">
        <w:rPr>
          <w:sz w:val="20"/>
        </w:rPr>
        <w:t xml:space="preserve">Sonja Blum, Johanna Kuhlmann and Klaus Schubert (eds), </w:t>
      </w:r>
      <w:r w:rsidR="00690051" w:rsidRPr="00BD775F">
        <w:rPr>
          <w:i/>
          <w:iCs/>
          <w:sz w:val="20"/>
        </w:rPr>
        <w:t>Routledge Handbook of European Welfare Systems</w:t>
      </w:r>
      <w:r w:rsidR="00690051" w:rsidRPr="00BD775F">
        <w:rPr>
          <w:sz w:val="20"/>
        </w:rPr>
        <w:t xml:space="preserve"> (Second edition, Routledge 2021).</w:t>
      </w:r>
      <w:r w:rsidRPr="00BD775F">
        <w:rPr>
          <w:sz w:val="20"/>
        </w:rPr>
        <w:fldChar w:fldCharType="end"/>
      </w:r>
    </w:p>
  </w:footnote>
  <w:footnote w:id="5">
    <w:p w14:paraId="688584E4" w14:textId="50A391FF" w:rsidR="00070FC0" w:rsidRPr="00BD775F" w:rsidRDefault="00070FC0" w:rsidP="00BD775F">
      <w:pPr>
        <w:pStyle w:val="FootnoteText"/>
        <w:jc w:val="both"/>
        <w:rPr>
          <w:sz w:val="20"/>
        </w:rPr>
      </w:pPr>
      <w:r w:rsidRPr="00BD775F">
        <w:rPr>
          <w:rStyle w:val="FootnoteReference"/>
          <w:sz w:val="20"/>
        </w:rPr>
        <w:footnoteRef/>
      </w:r>
      <w:r w:rsidRPr="00BD775F">
        <w:rPr>
          <w:sz w:val="20"/>
        </w:rPr>
        <w:t xml:space="preserve"> </w:t>
      </w:r>
      <w:r w:rsidR="00776B04" w:rsidRPr="00BD775F">
        <w:rPr>
          <w:sz w:val="20"/>
        </w:rPr>
        <w:t xml:space="preserve">For the most recent reaction to ceding competence see the </w:t>
      </w:r>
      <w:r w:rsidR="00B8732C" w:rsidRPr="00BD775F">
        <w:rPr>
          <w:sz w:val="20"/>
        </w:rPr>
        <w:t>action for annulment introduced by Denmark and Sweden against the</w:t>
      </w:r>
      <w:r w:rsidR="00783A00" w:rsidRPr="00BD775F">
        <w:rPr>
          <w:sz w:val="20"/>
        </w:rPr>
        <w:t xml:space="preserve"> Proposal for a Directive of the European Parliament and of the Council on adequate minimum wages in the European Union, </w:t>
      </w:r>
      <w:proofErr w:type="gramStart"/>
      <w:r w:rsidR="00783A00" w:rsidRPr="00BD775F">
        <w:rPr>
          <w:sz w:val="20"/>
        </w:rPr>
        <w:t>COM(</w:t>
      </w:r>
      <w:proofErr w:type="gramEnd"/>
      <w:r w:rsidR="00783A00" w:rsidRPr="00BD775F">
        <w:rPr>
          <w:sz w:val="20"/>
        </w:rPr>
        <w:t xml:space="preserve">2020) 682 final. See </w:t>
      </w:r>
      <w:r w:rsidR="00145EB9" w:rsidRPr="00BD775F">
        <w:rPr>
          <w:sz w:val="20"/>
        </w:rPr>
        <w:t xml:space="preserve">Opinion of Advocate General </w:t>
      </w:r>
      <w:proofErr w:type="spellStart"/>
      <w:r w:rsidR="00145EB9" w:rsidRPr="00BD775F">
        <w:rPr>
          <w:sz w:val="20"/>
        </w:rPr>
        <w:t>Emiliou</w:t>
      </w:r>
      <w:proofErr w:type="spellEnd"/>
      <w:r w:rsidR="00145EB9" w:rsidRPr="00BD775F">
        <w:rPr>
          <w:sz w:val="20"/>
        </w:rPr>
        <w:t xml:space="preserve"> delivered on 14 January 2025 </w:t>
      </w:r>
      <w:r w:rsidR="004559EF" w:rsidRPr="00BD775F">
        <w:rPr>
          <w:sz w:val="20"/>
        </w:rPr>
        <w:t xml:space="preserve">in Case C‑19/23, </w:t>
      </w:r>
      <w:r w:rsidR="004559EF" w:rsidRPr="00BD775F">
        <w:rPr>
          <w:i/>
          <w:iCs/>
          <w:sz w:val="20"/>
        </w:rPr>
        <w:t>Kingdom of Denmark v European Parliament and Council of the European Union</w:t>
      </w:r>
      <w:r w:rsidR="004559EF" w:rsidRPr="00BD775F">
        <w:rPr>
          <w:sz w:val="20"/>
        </w:rPr>
        <w:t>, ECLI:EU:C:2025:11</w:t>
      </w:r>
      <w:r w:rsidR="00904513" w:rsidRPr="00BD775F">
        <w:rPr>
          <w:sz w:val="20"/>
        </w:rPr>
        <w:t>.</w:t>
      </w:r>
    </w:p>
  </w:footnote>
  <w:footnote w:id="6">
    <w:p w14:paraId="1A1470D3" w14:textId="1F7729E6" w:rsidR="00C47AFF" w:rsidRPr="00BD775F" w:rsidRDefault="00C47AFF"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836708" w:rsidRPr="00BD775F">
        <w:rPr>
          <w:sz w:val="20"/>
        </w:rPr>
        <w:instrText xml:space="preserve"> ADDIN ZOTERO_ITEM CSL_CITATION {"citationID":"c4c3rhSh","properties":{"formattedCitation":"See Elise Muir, {\\i{}EU Equality Law: The First Fundamental Rights Policy of the EU} (First edition, Oxford University Press 2018).","plainCitation":"See Elise Muir, EU Equality Law: The First Fundamental Rights Policy of the EU (First edition, Oxford University Press 2018).","noteIndex":5},"citationItems":[{"id":1859,"uris":["http://zotero.org/users/6209047/items/TT4F42XD"],"itemData":{"id":1859,"type":"book","call-number":"KJE5142 .M845 2018","collection-title":"Oxford studies in European law","edition":"First edition","event-place":"Oxford","ISBN":"978-0-19-881466-5","number-of-pages":"212","publisher":"Oxford University Press","publisher-place":"Oxford","source":"Library of Congress ISBN","title":"EU equality law: the first fundamental rights policy of the EU","title-short":"EU equality law","author":[{"family":"Muir","given":"Elise"}],"issued":{"date-parts":[["2018"]]}},"label":"page","prefix":"See"}],"schema":"https://github.com/citation-style-language/schema/raw/master/csl-citation.json"} </w:instrText>
      </w:r>
      <w:r w:rsidRPr="00BD775F">
        <w:rPr>
          <w:sz w:val="20"/>
        </w:rPr>
        <w:fldChar w:fldCharType="separate"/>
      </w:r>
      <w:r w:rsidR="00836708" w:rsidRPr="00BD775F">
        <w:rPr>
          <w:sz w:val="20"/>
        </w:rPr>
        <w:t xml:space="preserve">See Elise Muir, </w:t>
      </w:r>
      <w:r w:rsidR="00836708" w:rsidRPr="00BD775F">
        <w:rPr>
          <w:i/>
          <w:iCs/>
          <w:sz w:val="20"/>
        </w:rPr>
        <w:t>EU Equality Law: The First Fundamental Rights Policy of the EU</w:t>
      </w:r>
      <w:r w:rsidR="00836708" w:rsidRPr="00BD775F">
        <w:rPr>
          <w:sz w:val="20"/>
        </w:rPr>
        <w:t xml:space="preserve"> (First edition, Oxford University Press 2018).</w:t>
      </w:r>
      <w:r w:rsidRPr="00BD775F">
        <w:rPr>
          <w:sz w:val="20"/>
        </w:rPr>
        <w:fldChar w:fldCharType="end"/>
      </w:r>
    </w:p>
  </w:footnote>
  <w:footnote w:id="7">
    <w:p w14:paraId="04C69F8C" w14:textId="7F53A5CE" w:rsidR="00836708" w:rsidRPr="00BD775F" w:rsidRDefault="00836708"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3369D8" w:rsidRPr="00BD775F">
        <w:rPr>
          <w:sz w:val="20"/>
        </w:rPr>
        <w:instrText xml:space="preserve"> ADDIN ZOTERO_ITEM CSL_CITATION {"citationID":"d42jr2wF","properties":{"formattedCitation":"Dimitry Kochenov, Nathan Cambien and Elise Muir (eds), {\\i{}European Citizenship under Stress: Social Justice, Brexit and Other Challenges} (Brill Nijhoff 2020); Stamatia Devetzi, \\uc0\\u8216{}EU Citizens, Residence Rights and Solidarity in the Post-Dano/Alimanovic Era in Germany\\uc0\\u8217{} (2019) 21 European Journal of Migration and Law 338; Julio Baquero Cruz, \\uc0\\u8216{}Partial Eclipse of Union Citizenship: From Grzelczyk to Dano\\uc0\\u8217{}, {\\i{}What\\uc0\\u8217{}s Left of the Law of Integration?} (Oxford University Press 2018); Elspeth Guild, \\uc0\\u8216{}Does European Citizenship Blur the Borders of Solidarity?\\uc0\\u8217{} in Elspeth Guild, Cristina Gort\\uc0\\u225{}zar Rotaeche and Dora Kostakopoulou (eds), {\\i{}The Reconceptualization of European Union Citizenship} (Brill Nijhoff 2014).","plainCitation":"Dimitry Kochenov, Nathan Cambien and Elise Muir (eds), European Citizenship under Stress: Social Justice, Brexit and Other Challenges (Brill Nijhoff 2020); Stamatia Devetzi, ‘EU Citizens, Residence Rights and Solidarity in the Post-Dano/Alimanovic Era in Germany’ (2019) 21 European Journal of Migration and Law 338; Julio Baquero Cruz, ‘Partial Eclipse of Union Citizenship: From Grzelczyk to Dano’, What’s Left of the Law of Integration? (Oxford University Press 2018); Elspeth Guild, ‘Does European Citizenship Blur the Borders of Solidarity?’ in Elspeth Guild, Cristina Gortázar Rotaeche and Dora Kostakopoulou (eds), The Reconceptualization of European Union Citizenship (Brill Nijhoff 2014).","noteIndex":6},"citationItems":[{"id":325,"uris":["http://zotero.org/users/6209047/items/ZRWPNNJD"],"itemData":{"id":325,"type":"book","abstract":"\"European Citizenship under Stress\" published on 07 Sep 2020 by Brill | Nijhoff.","ISBN":"978-90-04-43307-6","language":"en","note":"http://brill.com/view/title/56404","publisher":"Brill Nijhoff","title":"European Citizenship under Stress: Social Justice, Brexit and Other Challenges","title-short":"European Citizenship under Stress","editor":[{"family":"Kochenov","given":"Dimitry"},{"family":"Cambien","given":"Nathan"},{"family":"Muir","given":"Elise"}],"issued":{"date-parts":[["2020"]]}}},{"id":1614,"uris":["http://zotero.org/users/6209047/items/2B5HU29V"],"itemData":{"id":1614,"type":"article-journal","abstract":"Abstract The Dano and Alimanovic decisions of the ECJ have triggered various developments in German social security law and (social) court jurisprudence. While the German courts’ rulings regarding the rights of non-active EU migrants still vary, the legislator has moved towards excluding more EU citizens from receiving non-contributory benefits. In the aftermath of Dano and, more specifically, Alimanovic, the provisions of Book II of the German Social Code were revised at the end of 2016. The new rules not only ‘confirm’ the ECJ-decisions, but also go beyond, as far as to exclude EU migrants who have residence rights according to Reg. (EU) No. 492/2011. This article discusses these recent developments. It focuses on the ECJ-case law regarding Art. 10 of Reg. (EU) No. 492/2011 (former Art. 12 of Reg. 1612/68), in particular the Ibrahim and Teixeira rulings. Which residence rights do prevail—those according to Dir. 2004/38/EC or those based on Reg. (EU) No. 492/2011? It is argued that a new discussion on the interrelation between Dir. 2004/38/EC and Reg. (EU) No. 492/2011—an aspect ignored by the German legislator—is emerging: What started as a restriction of access to national welfare for economically non-active persons has obviously reached the ‘economically active’ (= workers) as well. The German example shows that Member States may be testing which other residence rights—in addition to those for short stays and job searches—might be valid before the ECJ ‘as residence rights without social rights’.","container-title":"European Journal of Migration and Law","DOI":"10.1163/15718166-12340054","ISSN":"1388-364X, 1571-8166","issue":"3","language":"eng","note":"publisher: Brill Nijhoff","page":"338-357","source":"brill-com.ludwig.lub.lu.se","title":"EU Citizens, Residence Rights and Solidarity in the Post-Dano/Alimanovic Era in Germany","volume":"21","author":[{"family":"Devetzi","given":"Stamatia"}],"issued":{"date-parts":[["2019"]]}}},{"id":1201,"uris":["http://zotero.org/users/6209047/items/7YDXRHCP"],"itemData":{"id":1201,"type":"chapter","abstract":"This chapter looks at Union citizenship, the obvious choice when looking for a substantive area in which to test the state of health of the law of integration. The chapter analyses how the citizenship case law of the Court of Justice has tried to find a reasonable balance between solidarity and the territorial character of the welfare systems of the Member States, how that balance seems to have been modified with the judgment in the Dano case, as a result of the contemporary pressures on integration, and the reasons behind that decision.","container-title":"What's Left of the Law of Integration?","ISBN":"978-0-19-883061-0","language":"eng","note":"DOI: 10.1093/oso/9780198830610.003.0005","publisher":"Oxford University Press","title":"Partial Eclipse of Union Citizenship: From Grzelczyk to Dano","title-short":"Partial Eclipse of Union Citizenship","author":[{"family":"Baquero Cruz","given":"Julio"}],"issued":{"date-parts":[["2018"]]}}},{"id":1582,"uris":["http://zotero.org/users/6209047/items/8XMV8SWU"],"itemData":{"id":1582,"type":"chapter","abstract":"\"The Reconceptualization of European Union Citizenship\" published on 09 Jan 2014 by Brill | Nijhoff.","container-title":"The Reconceptualization of European Union Citizenship","ISBN":"978-90-04-25152-6","language":"en","publisher":"Brill Nijhoff","source":"brill.com","title":"Does European Citizenship Blur the Borders of Solidarity?","editor":[{"family":"Guild","given":"Elspeth"},{"family":"Rotaeche","given":"Cristina Gortázar"},{"family":"Kostakopoulou","given":"Dora"}],"author":[{"family":"Guild","given":"Elspeth"}],"accessed":{"date-parts":[["2022",11,11]]},"issued":{"date-parts":[["2014"]]}}}],"schema":"https://github.com/citation-style-language/schema/raw/master/csl-citation.json"} </w:instrText>
      </w:r>
      <w:r w:rsidRPr="00BD775F">
        <w:rPr>
          <w:sz w:val="20"/>
        </w:rPr>
        <w:fldChar w:fldCharType="separate"/>
      </w:r>
      <w:r w:rsidR="003369D8" w:rsidRPr="00BD775F">
        <w:rPr>
          <w:sz w:val="20"/>
        </w:rPr>
        <w:t xml:space="preserve">Dimitry Kochenov, Nathan Cambien and Elise Muir (eds), </w:t>
      </w:r>
      <w:r w:rsidR="003369D8" w:rsidRPr="00BD775F">
        <w:rPr>
          <w:i/>
          <w:iCs/>
          <w:sz w:val="20"/>
        </w:rPr>
        <w:t>European Citizenship under Stress: Social Justice, Brexit and Other Challenges</w:t>
      </w:r>
      <w:r w:rsidR="003369D8" w:rsidRPr="00BD775F">
        <w:rPr>
          <w:sz w:val="20"/>
        </w:rPr>
        <w:t xml:space="preserve"> (Brill Nijhoff 2020); Stamatia Devetzi, ‘EU Citizens, Residence Rights and Solidarity in the Post-Dano/Alimanovic Era in Germany’ (2019) 21 European Journal of Migration and Law 338; Julio Baquero Cruz, ‘Partial Eclipse of Union Citizenship: From Grzelczyk to Dano’, </w:t>
      </w:r>
      <w:r w:rsidR="003369D8" w:rsidRPr="00BD775F">
        <w:rPr>
          <w:i/>
          <w:iCs/>
          <w:sz w:val="20"/>
        </w:rPr>
        <w:t>What’s Left of the Law of Integration?</w:t>
      </w:r>
      <w:r w:rsidR="003369D8" w:rsidRPr="00BD775F">
        <w:rPr>
          <w:sz w:val="20"/>
        </w:rPr>
        <w:t xml:space="preserve"> (Oxford University Press 2018); Elspeth Guild, ‘Does European Citizenship Blur the Borders of Solidarity?’ in Elspeth Guild, Cristina Gortázar Rotaeche and Dora Kostakopoulou (eds), </w:t>
      </w:r>
      <w:r w:rsidR="003369D8" w:rsidRPr="00BD775F">
        <w:rPr>
          <w:i/>
          <w:iCs/>
          <w:sz w:val="20"/>
        </w:rPr>
        <w:t>The Reconceptualization of European Union Citizenship</w:t>
      </w:r>
      <w:r w:rsidR="003369D8" w:rsidRPr="00BD775F">
        <w:rPr>
          <w:sz w:val="20"/>
        </w:rPr>
        <w:t xml:space="preserve"> (Brill Nijhoff 2014).</w:t>
      </w:r>
      <w:r w:rsidRPr="00BD775F">
        <w:rPr>
          <w:sz w:val="20"/>
        </w:rPr>
        <w:fldChar w:fldCharType="end"/>
      </w:r>
    </w:p>
  </w:footnote>
  <w:footnote w:id="8">
    <w:p w14:paraId="33A6838B" w14:textId="4941A881" w:rsidR="00EF483A" w:rsidRPr="00BD775F" w:rsidRDefault="00EF483A" w:rsidP="00BD775F">
      <w:pPr>
        <w:pStyle w:val="FootnoteText"/>
        <w:jc w:val="both"/>
        <w:rPr>
          <w:sz w:val="20"/>
          <w:lang w:val="en-US"/>
        </w:rPr>
      </w:pPr>
      <w:r w:rsidRPr="00BD775F">
        <w:rPr>
          <w:rStyle w:val="FootnoteReference"/>
          <w:sz w:val="20"/>
        </w:rPr>
        <w:footnoteRef/>
      </w:r>
      <w:r w:rsidRPr="00BD775F">
        <w:rPr>
          <w:sz w:val="20"/>
        </w:rPr>
        <w:t xml:space="preserve"> </w:t>
      </w:r>
      <w:r w:rsidR="00980C11" w:rsidRPr="00BD775F">
        <w:rPr>
          <w:sz w:val="20"/>
        </w:rPr>
        <w:t xml:space="preserve">Charter of Fundamental Rights of the European Union [2016] OJ C 202/389; </w:t>
      </w:r>
      <w:r w:rsidRPr="00BD775F">
        <w:rPr>
          <w:sz w:val="20"/>
        </w:rPr>
        <w:fldChar w:fldCharType="begin"/>
      </w:r>
      <w:r w:rsidR="006D26A8" w:rsidRPr="00BD775F">
        <w:rPr>
          <w:sz w:val="20"/>
        </w:rPr>
        <w:instrText xml:space="preserve"> ADDIN ZOTERO_ITEM CSL_CITATION {"citationID":"5BHm1Ec9","properties":{"formattedCitation":"See Sara Iglesias S\\uc0\\u225{}nchez, \\uc0\\u8216{}The Constitutional Status of Foreigners and European Union Citizens: Loopholes and Interactions in the Scope of Application of Fundamental Rights\\uc0\\u8217{} in Daniel Thym (ed), {\\i{}Questioning EU citizenship\\uc0\\u8239{}: judges and the limits of free movement and solidarity in the EU} (Hart Publishing 2017).","plainCitation":"See Sara Iglesias Sánchez, ‘The Constitutional Status of Foreigners and European Union Citizens: Loopholes and Interactions in the Scope of Application of Fundamental Rights’ in Daniel Thym (ed), Questioning EU citizenship : judges and the limits of free movement and solidarity in the EU (Hart Publishing 2017).","noteIndex":7},"citationItems":[{"id":17,"uris":["http://zotero.org/users/6209047/items/TAPB9BNG"],"itemData":{"id":17,"type":"chapter","archive_location":"Juridiska fakultetens bibliotek","collection-title":"Modern studies in European law","container-title":"Questioning EU citizenship : judges and the limits of free movement and solidarity in the EU","ISBN":"978-1-5099-1468-5","page":"243-267","publisher":"Hart Publishing","source":"EBSCOhost","title":"The Constitutional Status of Foreigners and European Union Citizens: Loopholes and Interactions in the Scope of Application of Fundamental Rights","editor":[{"family":"Thym","given":"Daniel"}],"author":[{"family":"Iglesias Sánchez","given":"Sara"}],"issued":{"date-parts":[["2017"]]}},"label":"page","prefix":"See "}],"schema":"https://github.com/citation-style-language/schema/raw/master/csl-citation.json"} </w:instrText>
      </w:r>
      <w:r w:rsidRPr="00BD775F">
        <w:rPr>
          <w:sz w:val="20"/>
        </w:rPr>
        <w:fldChar w:fldCharType="separate"/>
      </w:r>
      <w:r w:rsidR="006D26A8" w:rsidRPr="00BD775F">
        <w:rPr>
          <w:sz w:val="20"/>
        </w:rPr>
        <w:t xml:space="preserve">See Sara Iglesias Sánchez, ‘The Constitutional Status of Foreigners and European Union Citizens: Loopholes and Interactions in the Scope of Application of Fundamental Rights’ in Daniel Thym (ed), </w:t>
      </w:r>
      <w:r w:rsidR="006D26A8" w:rsidRPr="00BD775F">
        <w:rPr>
          <w:i/>
          <w:iCs/>
          <w:sz w:val="20"/>
        </w:rPr>
        <w:t>Questioning EU citizenship : judges and the limits of free movement and solidarity in the EU</w:t>
      </w:r>
      <w:r w:rsidR="006D26A8" w:rsidRPr="00BD775F">
        <w:rPr>
          <w:sz w:val="20"/>
        </w:rPr>
        <w:t xml:space="preserve"> (Hart Publishing 2017).</w:t>
      </w:r>
      <w:r w:rsidRPr="00BD775F">
        <w:rPr>
          <w:sz w:val="20"/>
        </w:rPr>
        <w:fldChar w:fldCharType="end"/>
      </w:r>
    </w:p>
  </w:footnote>
  <w:footnote w:id="9">
    <w:p w14:paraId="09F18668" w14:textId="74A20EA6" w:rsidR="001773CF" w:rsidRPr="00BD775F" w:rsidRDefault="001773CF"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9B1E3A" w:rsidRPr="00BD775F">
        <w:rPr>
          <w:sz w:val="20"/>
        </w:rPr>
        <w:instrText xml:space="preserve"> ADDIN ZOTERO_ITEM CSL_CITATION {"citationID":"12izPT14","properties":{"formattedCitation":"See Dimitry Kochenov, Grainne De Burca and Andrew Williams (eds), {\\i{}Europe\\uc0\\u8217{}s Justice Deficit?} (Paperback edition, Hart Publishing 2015).","plainCitation":"See Dimitry Kochenov, Grainne De Burca and Andrew Williams (eds), Europe’s Justice Deficit? (Paperback edition, Hart Publishing 2015).","dontUpdate":true,"noteIndex":8},"citationItems":[{"id":9643,"uris":["http://zotero.org/users/6209047/items/XUB6GZTS"],"itemData":{"id":9643,"type":"book","edition":"Paperback edition","event-place":"Oxford Portland, Oregon","ISBN":"978-1-5099-1549-1","language":"eng","number-of-pages":"474","publisher":"Hart Publishing","publisher-place":"Oxford Portland, Oregon","source":"K10plus ISBN","title":"Europe's justice deficit?","editor":[{"family":"Kochenov","given":"Dimitry"},{"family":"De Burca","given":"Grainne"},{"family":"Williams","given":"Andrew"}],"issued":{"date-parts":[["2015"]]}},"label":"page","prefix":"See"}],"schema":"https://github.com/citation-style-language/schema/raw/master/csl-citation.json"} </w:instrText>
      </w:r>
      <w:r w:rsidRPr="00BD775F">
        <w:rPr>
          <w:sz w:val="20"/>
        </w:rPr>
        <w:fldChar w:fldCharType="separate"/>
      </w:r>
      <w:r w:rsidR="00E519D0" w:rsidRPr="00BD775F">
        <w:rPr>
          <w:sz w:val="20"/>
        </w:rPr>
        <w:t xml:space="preserve">See Dimitry Kochenov, Grainne De Burca and Andrew Williams (eds), </w:t>
      </w:r>
      <w:r w:rsidR="00E519D0" w:rsidRPr="00BD775F">
        <w:rPr>
          <w:i/>
          <w:iCs/>
          <w:sz w:val="20"/>
        </w:rPr>
        <w:t>Europe’s Justice Deficit?</w:t>
      </w:r>
      <w:r w:rsidR="00E519D0" w:rsidRPr="00BD775F">
        <w:rPr>
          <w:sz w:val="20"/>
        </w:rPr>
        <w:t xml:space="preserve"> (Hart Publishing 2015).</w:t>
      </w:r>
      <w:r w:rsidRPr="00BD775F">
        <w:rPr>
          <w:sz w:val="20"/>
        </w:rPr>
        <w:fldChar w:fldCharType="end"/>
      </w:r>
    </w:p>
  </w:footnote>
  <w:footnote w:id="10">
    <w:p w14:paraId="04FB2505" w14:textId="49D771BA" w:rsidR="00690051" w:rsidRPr="00BD775F" w:rsidRDefault="00690051"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9B1E3A" w:rsidRPr="00BD775F">
        <w:rPr>
          <w:sz w:val="20"/>
        </w:rPr>
        <w:instrText xml:space="preserve"> ADDIN ZOTERO_ITEM CSL_CITATION {"citationID":"iR5CPsN2","properties":{"formattedCitation":"Cf Gary P Freeman, \\uc0\\u8216{}Migration and the Political Economy of the Welfare State\\uc0\\u8217{} (1986) 485 The Annals of the American Academy of Political and Social Science 51; Steven LB Jensen and Charles Walton (eds), {\\i{}Social Rights and the Politics of Obligation in History} (1st edn, Cambridge University Press 2022) particularly part III.","plainCitation":"Cf Gary P Freeman, ‘Migration and the Political Economy of the Welfare State’ (1986) 485 The Annals of the American Academy of Political and Social Science 51; Steven LB Jensen and Charles Walton (eds), Social Rights and the Politics of Obligation in History (1st edn, Cambridge University Press 2022) particularly part III.","noteIndex":9},"citationItems":[{"id":7865,"uris":["http://zotero.org/users/6209047/items/GYEIXZ6P"],"itemData":{"id":7865,"type":"article-journal","abstract":"National welfare states are compelled by their logic to be closed systems that seek to insulate themselves from external pressures and that restrict rights and benefits to members. They nonetheless fail to be perfectly bounded in a global economy marked by competition, interdependence, and extreme inequality. This article explores the consequences of transnational flows of labor both for the status of migrants who move to welfare states and for the viability of welfare states themselves. The consequences of migration for the fiscal and political stability of welfare states are discussed, and it is argued that migration has contributed to the Americanization of European welfare politics. It is concluded that the relatively free movement of labor across national frontiers exposes the tension between closed welfare states and open economies and that, ultimately, national welfare states cannot coexist with the free movement of labor.","container-title":"The Annals of the American Academy of Political and Social Science","ISSN":"00027162","page":"51-63","source":"EBSCOhost","title":"Migration and the Political Economy of the Welfare State","volume":"485","author":[{"family":"Freeman","given":"Gary P."}],"issued":{"date-parts":[["1986",5,1]]}},"label":"page","prefix":"Cf"},{"id":148,"uris":["http://zotero.org/users/6209047/items/DCY3IPVD"],"itemData":{"id":148,"type":"book","abstract":"This pioneering volume explores the long-neglected history of social rights, from the Middle Ages to the present. It debunks the myth that social rights are 'second-generation rights' – rights that appeared after World War II as additions to a rights corpus stretching back to the Enlightenment. Not only do social rights stretch back that far; they arguably pre-date the Enlightenment. In tracing their long history across various global contexts, this volume reveals how debates over social rights have often turned on deeper struggles over social obligation – over determining who owes what to whom, morally and legally. In the modern period, these struggles have been intertwined with questions of freedom, democracy, equality and dignity. Many factors have shaped the history of social rights, from class, gender and race to religion, empire and capitalism. With incomparable chronological depth, geographical breadth and conceptual nuance, Social Rights and the Politics of Obligation in History sets an agenda for future histories of human rights.","edition":"1","ISBN":"978-1-00-900868-6","note":"DOI: 10.1017/9781009008686","publisher":"Cambridge University Press","source":"DOI.org (Crossref)","title":"Social Rights and the Politics of Obligation in History","editor":[{"family":"Jensen","given":"Steven L. B."},{"family":"Walton","given":"Charles"}],"accessed":{"date-parts":[["2022",9,21]]},"issued":{"date-parts":[["2022",1,6]]}},"label":"page","suffix":"particularly part III"}],"schema":"https://github.com/citation-style-language/schema/raw/master/csl-citation.json"} </w:instrText>
      </w:r>
      <w:r w:rsidRPr="00BD775F">
        <w:rPr>
          <w:sz w:val="20"/>
        </w:rPr>
        <w:fldChar w:fldCharType="separate"/>
      </w:r>
      <w:r w:rsidR="009B1E3A" w:rsidRPr="00BD775F">
        <w:rPr>
          <w:sz w:val="20"/>
        </w:rPr>
        <w:t xml:space="preserve">Cf Gary P Freeman, ‘Migration and the Political Economy of the Welfare State’ (1986) 485 The Annals of the American Academy of Political and Social Science 51; Steven LB Jensen and Charles Walton (eds), </w:t>
      </w:r>
      <w:r w:rsidR="009B1E3A" w:rsidRPr="00BD775F">
        <w:rPr>
          <w:i/>
          <w:iCs/>
          <w:sz w:val="20"/>
        </w:rPr>
        <w:t>Social Rights and the Politics of Obligation in History</w:t>
      </w:r>
      <w:r w:rsidR="009B1E3A" w:rsidRPr="00BD775F">
        <w:rPr>
          <w:sz w:val="20"/>
        </w:rPr>
        <w:t xml:space="preserve"> (1st edn, Cambridge University Press 2022) particularly part III.</w:t>
      </w:r>
      <w:r w:rsidRPr="00BD775F">
        <w:rPr>
          <w:sz w:val="20"/>
        </w:rPr>
        <w:fldChar w:fldCharType="end"/>
      </w:r>
    </w:p>
  </w:footnote>
  <w:footnote w:id="11">
    <w:p w14:paraId="636559EE" w14:textId="20683903" w:rsidR="00D22A2B" w:rsidRPr="00BD775F" w:rsidRDefault="00696BD1" w:rsidP="00BD775F">
      <w:pPr>
        <w:pStyle w:val="FootnoteText"/>
        <w:jc w:val="both"/>
        <w:rPr>
          <w:sz w:val="20"/>
        </w:rPr>
      </w:pPr>
      <w:r w:rsidRPr="00BD775F">
        <w:rPr>
          <w:rStyle w:val="FootnoteReference"/>
          <w:sz w:val="20"/>
        </w:rPr>
        <w:footnoteRef/>
      </w:r>
      <w:r w:rsidRPr="00BD775F">
        <w:rPr>
          <w:sz w:val="20"/>
        </w:rPr>
        <w:t xml:space="preserve"> </w:t>
      </w:r>
      <w:r w:rsidR="005E32F8" w:rsidRPr="00BD775F">
        <w:rPr>
          <w:sz w:val="20"/>
        </w:rPr>
        <w:t>On earlier attempts to protect social rights see the non-binding Community Charter of Fundamental Social Rights of Workers adopted at the European Council in Strasbourg meeting on 8, 9 December 1989.</w:t>
      </w:r>
      <w:r w:rsidR="00D22A2B" w:rsidRPr="00BD775F">
        <w:rPr>
          <w:sz w:val="20"/>
        </w:rPr>
        <w:t xml:space="preserve">; </w:t>
      </w:r>
      <w:r w:rsidR="00D308B2" w:rsidRPr="00BD775F">
        <w:rPr>
          <w:sz w:val="20"/>
        </w:rPr>
        <w:t>On the complicated relation of rights and principles in the solidarity chapter of the Charter se</w:t>
      </w:r>
      <w:r w:rsidR="00D22A2B" w:rsidRPr="00BD775F">
        <w:rPr>
          <w:sz w:val="20"/>
        </w:rPr>
        <w:t xml:space="preserve">e </w:t>
      </w:r>
      <w:r w:rsidR="00350CA7" w:rsidRPr="00BD775F">
        <w:rPr>
          <w:sz w:val="20"/>
        </w:rPr>
        <w:t>Opinion of Advocate General Cruz Villal</w:t>
      </w:r>
      <w:r w:rsidR="000F52B3" w:rsidRPr="00BD775F">
        <w:rPr>
          <w:sz w:val="20"/>
        </w:rPr>
        <w:t>ó</w:t>
      </w:r>
      <w:r w:rsidR="00350CA7" w:rsidRPr="00BD775F">
        <w:rPr>
          <w:sz w:val="20"/>
        </w:rPr>
        <w:t xml:space="preserve">n </w:t>
      </w:r>
      <w:r w:rsidR="0007381A" w:rsidRPr="00BD775F">
        <w:rPr>
          <w:sz w:val="20"/>
        </w:rPr>
        <w:t xml:space="preserve">delivered on 18 July 2013 </w:t>
      </w:r>
      <w:r w:rsidR="00350CA7" w:rsidRPr="00BD775F">
        <w:rPr>
          <w:sz w:val="20"/>
        </w:rPr>
        <w:t xml:space="preserve">in </w:t>
      </w:r>
      <w:r w:rsidR="00350CA7" w:rsidRPr="00BD775F">
        <w:rPr>
          <w:i/>
          <w:iCs/>
          <w:sz w:val="20"/>
        </w:rPr>
        <w:t>AMS</w:t>
      </w:r>
      <w:r w:rsidR="00350CA7" w:rsidRPr="00BD775F">
        <w:rPr>
          <w:sz w:val="20"/>
        </w:rPr>
        <w:t>, C-176/12, ECLI:EU:C:2013:491 para. 55</w:t>
      </w:r>
      <w:r w:rsidR="009511E2" w:rsidRPr="00BD775F">
        <w:rPr>
          <w:sz w:val="20"/>
        </w:rPr>
        <w:t xml:space="preserve">; Judgement of the </w:t>
      </w:r>
      <w:r w:rsidR="00D308B2" w:rsidRPr="00BD775F">
        <w:rPr>
          <w:sz w:val="20"/>
        </w:rPr>
        <w:t xml:space="preserve">26 June 2001, </w:t>
      </w:r>
      <w:r w:rsidR="009511E2" w:rsidRPr="00BD775F">
        <w:rPr>
          <w:i/>
          <w:iCs/>
          <w:sz w:val="20"/>
        </w:rPr>
        <w:t>BECTU</w:t>
      </w:r>
      <w:r w:rsidR="009511E2" w:rsidRPr="00BD775F">
        <w:rPr>
          <w:sz w:val="20"/>
        </w:rPr>
        <w:t>,</w:t>
      </w:r>
      <w:r w:rsidR="00D308B2" w:rsidRPr="00BD775F">
        <w:rPr>
          <w:sz w:val="20"/>
        </w:rPr>
        <w:t xml:space="preserve"> C-173/99</w:t>
      </w:r>
      <w:r w:rsidR="009511E2" w:rsidRPr="00BD775F">
        <w:rPr>
          <w:sz w:val="20"/>
        </w:rPr>
        <w:t>, ECLI:EU:C:2001:356</w:t>
      </w:r>
      <w:r w:rsidR="00D308B2" w:rsidRPr="00BD775F">
        <w:rPr>
          <w:sz w:val="20"/>
        </w:rPr>
        <w:t xml:space="preserve">, </w:t>
      </w:r>
      <w:r w:rsidR="009511E2" w:rsidRPr="00BD775F">
        <w:rPr>
          <w:sz w:val="20"/>
        </w:rPr>
        <w:t>para. 43</w:t>
      </w:r>
      <w:r w:rsidR="00D308B2" w:rsidRPr="00BD775F">
        <w:rPr>
          <w:sz w:val="20"/>
        </w:rPr>
        <w:t>; Dóra Guðmundsdóttir, ‘A Renewed Emphasis on the Charters Distinction between Rights and Principles: Is a Doctrine of Judicial Restraint More Appropriate?’ (2015) 52 Common Market Law Review 685.</w:t>
      </w:r>
      <w:r w:rsidR="000F52B3" w:rsidRPr="00BD775F">
        <w:rPr>
          <w:sz w:val="20"/>
        </w:rPr>
        <w:t xml:space="preserve"> </w:t>
      </w:r>
    </w:p>
  </w:footnote>
  <w:footnote w:id="12">
    <w:p w14:paraId="0EFA11F4" w14:textId="432A4BD9" w:rsidR="00371032" w:rsidRPr="00BD775F" w:rsidRDefault="00371032" w:rsidP="00BD775F">
      <w:pPr>
        <w:pStyle w:val="FootnoteText"/>
        <w:jc w:val="both"/>
        <w:rPr>
          <w:sz w:val="20"/>
        </w:rPr>
      </w:pPr>
      <w:r w:rsidRPr="00BD775F">
        <w:rPr>
          <w:rStyle w:val="FootnoteReference"/>
          <w:sz w:val="20"/>
        </w:rPr>
        <w:footnoteRef/>
      </w:r>
      <w:r w:rsidRPr="00BD775F">
        <w:rPr>
          <w:sz w:val="20"/>
        </w:rPr>
        <w:t xml:space="preserve"> </w:t>
      </w:r>
      <w:r w:rsidR="00051221" w:rsidRPr="00BD775F">
        <w:rPr>
          <w:sz w:val="20"/>
        </w:rPr>
        <w:t xml:space="preserve">Judgment of 15 July 2021, </w:t>
      </w:r>
      <w:r w:rsidR="00644281" w:rsidRPr="00BD775F">
        <w:rPr>
          <w:i/>
          <w:iCs/>
          <w:sz w:val="20"/>
        </w:rPr>
        <w:t xml:space="preserve">C.G. v </w:t>
      </w:r>
      <w:r w:rsidR="00051221" w:rsidRPr="00BD775F">
        <w:rPr>
          <w:i/>
          <w:iCs/>
          <w:sz w:val="20"/>
        </w:rPr>
        <w:t>The Department for Communities in Northern Ireland</w:t>
      </w:r>
      <w:r w:rsidR="00644281" w:rsidRPr="00BD775F">
        <w:rPr>
          <w:i/>
          <w:iCs/>
          <w:sz w:val="20"/>
        </w:rPr>
        <w:t xml:space="preserve">, </w:t>
      </w:r>
      <w:r w:rsidR="00051221" w:rsidRPr="00BD775F">
        <w:rPr>
          <w:sz w:val="20"/>
        </w:rPr>
        <w:t>C-709/20, ECLI:EU:C:2021:</w:t>
      </w:r>
      <w:r w:rsidR="00D87B0F" w:rsidRPr="00BD775F">
        <w:rPr>
          <w:sz w:val="20"/>
        </w:rPr>
        <w:t>602.</w:t>
      </w:r>
    </w:p>
  </w:footnote>
  <w:footnote w:id="13">
    <w:p w14:paraId="50A44947" w14:textId="293E96D4" w:rsidR="000D7A41" w:rsidRPr="00BD775F" w:rsidRDefault="000D7A41" w:rsidP="00BD775F">
      <w:pPr>
        <w:autoSpaceDE w:val="0"/>
        <w:autoSpaceDN w:val="0"/>
        <w:adjustRightInd w:val="0"/>
        <w:spacing w:after="0" w:line="240" w:lineRule="auto"/>
        <w:jc w:val="both"/>
        <w:rPr>
          <w:rFonts w:ascii="Times New Roman" w:hAnsi="Times New Roman" w:cs="Times New Roman"/>
          <w:kern w:val="0"/>
          <w:sz w:val="20"/>
          <w:szCs w:val="20"/>
          <w:lang w:val="en-GB"/>
        </w:rPr>
      </w:pPr>
      <w:r w:rsidRPr="00BD775F">
        <w:rPr>
          <w:rStyle w:val="FootnoteReference"/>
          <w:rFonts w:ascii="Times New Roman" w:hAnsi="Times New Roman" w:cs="Times New Roman"/>
          <w:sz w:val="20"/>
          <w:szCs w:val="20"/>
        </w:rPr>
        <w:footnoteRef/>
      </w:r>
      <w:r w:rsidRPr="00BD775F">
        <w:rPr>
          <w:rFonts w:ascii="Times New Roman" w:hAnsi="Times New Roman" w:cs="Times New Roman"/>
          <w:sz w:val="20"/>
          <w:szCs w:val="20"/>
          <w:lang w:val="en-US"/>
        </w:rPr>
        <w:t xml:space="preserve"> </w:t>
      </w:r>
      <w:r w:rsidR="004B267B" w:rsidRPr="00BD775F">
        <w:rPr>
          <w:rFonts w:ascii="Times New Roman" w:hAnsi="Times New Roman" w:cs="Times New Roman"/>
          <w:kern w:val="0"/>
          <w:sz w:val="20"/>
          <w:szCs w:val="20"/>
          <w:lang w:val="en-GB"/>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[2004] OJ L</w:t>
      </w:r>
      <w:r w:rsidR="004B267B" w:rsidRPr="00BD775F">
        <w:rPr>
          <w:rFonts w:ascii="Times New Roman" w:hAnsi="Times New Roman" w:cs="Times New Roman"/>
          <w:sz w:val="20"/>
          <w:szCs w:val="20"/>
          <w:lang w:val="en-US"/>
        </w:rPr>
        <w:t xml:space="preserve"> </w:t>
      </w:r>
      <w:r w:rsidR="004B267B" w:rsidRPr="00BD775F">
        <w:rPr>
          <w:rFonts w:ascii="Times New Roman" w:hAnsi="Times New Roman" w:cs="Times New Roman"/>
          <w:kern w:val="0"/>
          <w:sz w:val="20"/>
          <w:szCs w:val="20"/>
          <w:lang w:val="en-GB"/>
        </w:rPr>
        <w:t>158/77.</w:t>
      </w:r>
    </w:p>
  </w:footnote>
  <w:footnote w:id="14">
    <w:p w14:paraId="617EF356" w14:textId="018E9C4F" w:rsidR="001F7F77" w:rsidRPr="00BD775F" w:rsidRDefault="001F7F77" w:rsidP="00BD775F">
      <w:pPr>
        <w:autoSpaceDE w:val="0"/>
        <w:autoSpaceDN w:val="0"/>
        <w:adjustRightInd w:val="0"/>
        <w:spacing w:after="0" w:line="240" w:lineRule="auto"/>
        <w:jc w:val="both"/>
        <w:rPr>
          <w:rFonts w:ascii="Times New Roman" w:hAnsi="Times New Roman" w:cs="Times New Roman"/>
          <w:kern w:val="0"/>
          <w:sz w:val="20"/>
          <w:szCs w:val="20"/>
          <w:lang w:val="en-GB"/>
        </w:rPr>
      </w:pPr>
      <w:r w:rsidRPr="00BD775F">
        <w:rPr>
          <w:rStyle w:val="FootnoteReference"/>
          <w:rFonts w:ascii="Times New Roman" w:hAnsi="Times New Roman" w:cs="Times New Roman"/>
          <w:sz w:val="20"/>
          <w:szCs w:val="20"/>
        </w:rPr>
        <w:footnoteRef/>
      </w:r>
      <w:r w:rsidRPr="00BD775F">
        <w:rPr>
          <w:rFonts w:ascii="Times New Roman" w:hAnsi="Times New Roman" w:cs="Times New Roman"/>
          <w:sz w:val="20"/>
          <w:szCs w:val="20"/>
          <w:lang w:val="en-US"/>
        </w:rPr>
        <w:t xml:space="preserve"> </w:t>
      </w:r>
      <w:r w:rsidRPr="00BD775F">
        <w:rPr>
          <w:rFonts w:ascii="Times New Roman" w:hAnsi="Times New Roman" w:cs="Times New Roman"/>
          <w:kern w:val="0"/>
          <w:sz w:val="20"/>
          <w:szCs w:val="20"/>
          <w:lang w:val="en-GB"/>
        </w:rPr>
        <w:t>Regulation (EU) No 492/2011 of the European Parliament and of the Council of 5 April 2011 on freedom of movement for workers within the Union [2011] OJ L 141/1.</w:t>
      </w:r>
    </w:p>
  </w:footnote>
  <w:footnote w:id="15">
    <w:p w14:paraId="66745BB7" w14:textId="75C7E79E" w:rsidR="005013A1" w:rsidRPr="00BD775F" w:rsidRDefault="005013A1" w:rsidP="00BD775F">
      <w:pPr>
        <w:pStyle w:val="FootnoteText"/>
        <w:jc w:val="both"/>
        <w:rPr>
          <w:sz w:val="20"/>
        </w:rPr>
      </w:pPr>
      <w:r w:rsidRPr="00BD775F">
        <w:rPr>
          <w:rStyle w:val="FootnoteReference"/>
          <w:sz w:val="20"/>
        </w:rPr>
        <w:footnoteRef/>
      </w:r>
      <w:r w:rsidRPr="00BD775F">
        <w:rPr>
          <w:sz w:val="20"/>
        </w:rPr>
        <w:t xml:space="preserve"> </w:t>
      </w:r>
      <w:r w:rsidR="004A049A" w:rsidRPr="00BD775F">
        <w:rPr>
          <w:sz w:val="20"/>
        </w:rPr>
        <w:t xml:space="preserve">See </w:t>
      </w:r>
      <w:r w:rsidR="000D7A41" w:rsidRPr="00BD775F">
        <w:rPr>
          <w:sz w:val="20"/>
        </w:rPr>
        <w:t xml:space="preserve">Judgment of 4 June 2009, </w:t>
      </w:r>
      <w:proofErr w:type="spellStart"/>
      <w:r w:rsidR="000D7A41" w:rsidRPr="00BD775F">
        <w:rPr>
          <w:i/>
          <w:iCs/>
          <w:sz w:val="20"/>
        </w:rPr>
        <w:t>Vatsouras</w:t>
      </w:r>
      <w:proofErr w:type="spellEnd"/>
      <w:r w:rsidR="000D7A41" w:rsidRPr="00BD775F">
        <w:rPr>
          <w:i/>
          <w:iCs/>
          <w:sz w:val="20"/>
        </w:rPr>
        <w:t xml:space="preserve"> and </w:t>
      </w:r>
      <w:proofErr w:type="spellStart"/>
      <w:r w:rsidR="000D7A41" w:rsidRPr="00BD775F">
        <w:rPr>
          <w:i/>
          <w:iCs/>
          <w:sz w:val="20"/>
        </w:rPr>
        <w:t>Koupatantze</w:t>
      </w:r>
      <w:proofErr w:type="spellEnd"/>
      <w:r w:rsidR="000D7A41" w:rsidRPr="00BD775F">
        <w:rPr>
          <w:i/>
          <w:iCs/>
          <w:sz w:val="20"/>
        </w:rPr>
        <w:t xml:space="preserve">, </w:t>
      </w:r>
      <w:r w:rsidR="000D7A41" w:rsidRPr="00BD775F">
        <w:rPr>
          <w:sz w:val="20"/>
        </w:rPr>
        <w:t>C-22/08 and C-23/08, ECLI:EU:C:2009:344, para 52.</w:t>
      </w:r>
    </w:p>
  </w:footnote>
  <w:footnote w:id="16">
    <w:p w14:paraId="18EF57CB" w14:textId="0E504B2D" w:rsidR="005013A1" w:rsidRPr="00BD775F" w:rsidRDefault="005013A1" w:rsidP="00BD775F">
      <w:pPr>
        <w:pStyle w:val="FootnoteText"/>
        <w:jc w:val="both"/>
        <w:rPr>
          <w:sz w:val="20"/>
        </w:rPr>
      </w:pPr>
      <w:r w:rsidRPr="00BD775F">
        <w:rPr>
          <w:rStyle w:val="FootnoteReference"/>
          <w:sz w:val="20"/>
        </w:rPr>
        <w:footnoteRef/>
      </w:r>
      <w:r w:rsidR="008375D2" w:rsidRPr="00BD775F">
        <w:rPr>
          <w:sz w:val="20"/>
        </w:rPr>
        <w:t xml:space="preserve"> Council Directive 2003/109/EC of 25 November 2003 concerning the status of third-country nationals who are long-term residents [2003] OJ L 16/ 44;</w:t>
      </w:r>
      <w:r w:rsidR="007F4FC9" w:rsidRPr="00BD775F">
        <w:rPr>
          <w:sz w:val="20"/>
        </w:rPr>
        <w:t xml:space="preserv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 [2011] OJ L 337/9;</w:t>
      </w:r>
      <w:r w:rsidR="000971A9" w:rsidRPr="00BD775F">
        <w:rPr>
          <w:sz w:val="20"/>
        </w:rPr>
        <w:t xml:space="preserve"> Directive (EU) 2024/1233 of the European Parliament and of the Council of 24 April 2024 on a single application procedure for a single permit for third-country nationals to reside and work in the territory of a Member State and on a common set of rights for third-country workers legally residing in a Member State (recast) [2024] OJ L, 2024/1233.</w:t>
      </w:r>
      <w:r w:rsidRPr="00BD775F">
        <w:rPr>
          <w:sz w:val="20"/>
        </w:rPr>
        <w:t xml:space="preserve"> </w:t>
      </w:r>
      <w:r w:rsidR="00B90500" w:rsidRPr="00BD775F">
        <w:rPr>
          <w:sz w:val="20"/>
        </w:rPr>
        <w:t xml:space="preserve">In the case of the Single Permit Directive the case law </w:t>
      </w:r>
      <w:r w:rsidR="000D4D36" w:rsidRPr="00BD775F">
        <w:rPr>
          <w:sz w:val="20"/>
        </w:rPr>
        <w:t xml:space="preserve">analysed interprets provisions of Directive 2011/98/EU of the European Parliament and of the Council of 13 December </w:t>
      </w:r>
      <w:r w:rsidR="000D4D36" w:rsidRPr="000D4D36">
        <w:rPr>
          <w:sz w:val="20"/>
        </w:rPr>
        <w:t>2011 on a single application procedure for a single permit for third-country nationals</w:t>
      </w:r>
      <w:r w:rsidR="000D4D36" w:rsidRPr="00BD775F">
        <w:rPr>
          <w:sz w:val="20"/>
        </w:rPr>
        <w:t xml:space="preserve"> </w:t>
      </w:r>
      <w:r w:rsidR="000D4D36" w:rsidRPr="000D4D36">
        <w:rPr>
          <w:sz w:val="20"/>
        </w:rPr>
        <w:t>to reside and work in the territory of a Member State and on a common set of rights</w:t>
      </w:r>
      <w:r w:rsidR="000D4D36" w:rsidRPr="00BD775F">
        <w:rPr>
          <w:sz w:val="20"/>
        </w:rPr>
        <w:t xml:space="preserve"> </w:t>
      </w:r>
      <w:r w:rsidR="000D4D36" w:rsidRPr="00BD775F">
        <w:rPr>
          <w:sz w:val="20"/>
          <w:lang w:val="en-US"/>
        </w:rPr>
        <w:t>for third-country workers legally residing in a Member State [2011] OJ L 343/1</w:t>
      </w:r>
      <w:r w:rsidR="000971A9" w:rsidRPr="00BD775F">
        <w:rPr>
          <w:sz w:val="20"/>
          <w:lang w:val="en-US"/>
        </w:rPr>
        <w:t>.</w:t>
      </w:r>
    </w:p>
  </w:footnote>
  <w:footnote w:id="17">
    <w:p w14:paraId="1DC4F807" w14:textId="73E7593D" w:rsidR="001F7F77" w:rsidRPr="00BD775F" w:rsidRDefault="001F7F77" w:rsidP="00BD775F">
      <w:pPr>
        <w:pStyle w:val="FootnoteText"/>
        <w:jc w:val="both"/>
        <w:rPr>
          <w:sz w:val="20"/>
          <w:lang w:val="en-US"/>
        </w:rPr>
      </w:pPr>
      <w:r w:rsidRPr="00BD775F">
        <w:rPr>
          <w:rStyle w:val="FootnoteReference"/>
          <w:sz w:val="20"/>
        </w:rPr>
        <w:footnoteRef/>
      </w:r>
      <w:r w:rsidRPr="00BD775F">
        <w:rPr>
          <w:sz w:val="20"/>
        </w:rPr>
        <w:t xml:space="preserve"> </w:t>
      </w:r>
      <w:r w:rsidR="007A147D" w:rsidRPr="00BD775F">
        <w:rPr>
          <w:sz w:val="20"/>
        </w:rPr>
        <w:t xml:space="preserve">Regulation (EC) No 883/2004 on the coordination of social security systems in the EU </w:t>
      </w:r>
      <w:r w:rsidR="007A147D" w:rsidRPr="00BD775F">
        <w:rPr>
          <w:sz w:val="20"/>
          <w:lang w:val="en-US"/>
        </w:rPr>
        <w:t>[2004] OJ L 166/1.</w:t>
      </w:r>
    </w:p>
  </w:footnote>
  <w:footnote w:id="18">
    <w:p w14:paraId="7D1CE904" w14:textId="3F9A8842" w:rsidR="00A02F66" w:rsidRPr="00405F2B" w:rsidRDefault="00A02F66" w:rsidP="00BD775F">
      <w:pPr>
        <w:pStyle w:val="FootnoteText"/>
        <w:jc w:val="both"/>
        <w:rPr>
          <w:sz w:val="20"/>
          <w:lang w:val="en-US"/>
        </w:rPr>
      </w:pPr>
      <w:r w:rsidRPr="00BD775F">
        <w:rPr>
          <w:rStyle w:val="FootnoteReference"/>
          <w:sz w:val="20"/>
        </w:rPr>
        <w:footnoteRef/>
      </w:r>
      <w:r w:rsidRPr="00405F2B">
        <w:rPr>
          <w:sz w:val="20"/>
          <w:lang w:val="en-US"/>
        </w:rPr>
        <w:t xml:space="preserve"> </w:t>
      </w:r>
      <w:r w:rsidRPr="00BD775F">
        <w:rPr>
          <w:sz w:val="20"/>
        </w:rPr>
        <w:fldChar w:fldCharType="begin"/>
      </w:r>
      <w:r w:rsidR="0075388E" w:rsidRPr="00DF2804">
        <w:rPr>
          <w:sz w:val="20"/>
          <w:lang w:val="en-US"/>
        </w:rPr>
        <w:instrText xml:space="preserve"> ADDIN ZOTERO_ITEM CSL_CITATION {"citationID":"Nw6JiIEw","properties":{"formattedCitation":"Baquero Cruz (n 6); Dora Kostakopoulou, \\uc0\\u8216{}The Evolution of European Union Citizenship\\uc0\\u8217{} (2008) 7 European Political Science 285; Cf Yasemin Nuho\\uc0\\u287{}lu Soysal, {\\i{}Limits of Citizenship: Migrants and Postnational Membership in Europe} (University of Chicago 1994).","plainCitation":"Baquero Cruz (n 6); Dora Kostakopoulou, ‘The Evolution of European Union Citizenship’ (2008) 7 European Political Science 285; Cf Yasemin Nuhoğlu Soysal, Limits of Citizenship: Migrants and Postnational Membership in Europe (University of Chicago 1994).","noteIndex":17},"citationItems":[{"id":1201,"uris":["http://zotero.org/users/6209047/items/7YDXRHCP"],"itemData":{"id":1201,"type":"chapter","abstract":"This chapter looks at Union citizenship, the obvious choice when looking for a substantive area in which to test the state of health of the law of integration. The chapter analyses how the citizenship case law of the Court of Justice has tried to find a reasonable balance between solidarity and the territorial character of the welfare systems of the Member States, how that balance seems to have been modified with the judgment in the Dano case, as a result of the contemporary pressures on integration, and the reasons behind that decision.","container-title":"What's Left of the Law of Integration?","ISBN":"978-0-19-883061-0","language":"eng","note":"DOI: 10.1093/oso/9780198830610.003.0005","publisher":"Oxford University Press","title":"Partial Eclipse of Union Citizenship: From Grzelczyk to Dano","title-short":"Partial Eclipse of Union Citizenship","author":[{"family":"Baquero Cruz","given":"Julio"}],"issued":{"date-parts":[["2018"]]}}},{"id":392,"uris":["http://zotero.org/users/6209047/items/ILXTMYAA"],"itemData":{"id":392,"type":"article-journal","abstract":"In the 1990s most scholars saw European citizenship as a purely decorative and symbolic institution which added little new to the ‘pre-Maastricht’ regime of free movement rights. In addition, many felt the need to defend the primacy of national citizenship by highlighting the derivative nature and weak content of European citizenship. Accordingly, its transformative potential remained at the margins of the debate. Despite such assessments, European Union citizenship has matured as an institution, owing to a number of important interventions by the European Court of Justice and legislative initiatives, such as the Citizenship Directive (Dir 2004/38).","container-title":"European Political Science","DOI":"10.1057/eps.2008.24","ISSN":"1682-0983","issue":"3","journalAbbreviation":"Eur Polit Sci","language":"en","page":"285-295","source":"Springer Link","title":"The Evolution of European Union Citizenship","volume":"7","author":[{"family":"Kostakopoulou","given":"Dora"}],"issued":{"date-parts":[["2008",8,1]]}}},{"id":1820,"uris":["http://zotero.org/users/6209047/items/5HPX9XTV"],"itemData":{"id":1820,"type":"book","call-number":"JN94.A92 S69 1994","event-place":"Chicago","ISBN":"978-0-226-76841-0","number-of-pages":"244","publisher":"University of Chicago","publisher-place":"Chicago","source":"Library of Congress ISBN","title":"Limits of citizenship: migrants and postnational membership in Europe","title-short":"Limits of citizenship","author":[{"family":"Soysal","given":"Yasemin Nuhoğlu"}],"issued":{"date-parts":[["1994"]]}},"label":"page","prefix":"Cf"}],"schema":"https://github.com/citation-style-language/schema/raw/master/csl-citation.json"} </w:instrText>
      </w:r>
      <w:r w:rsidRPr="00BD775F">
        <w:rPr>
          <w:sz w:val="20"/>
        </w:rPr>
        <w:fldChar w:fldCharType="separate"/>
      </w:r>
      <w:r w:rsidR="0075388E" w:rsidRPr="00405F2B">
        <w:rPr>
          <w:sz w:val="20"/>
          <w:lang w:val="en-US"/>
        </w:rPr>
        <w:t xml:space="preserve">Baquero Cruz (n 6); Dora Kostakopoulou, ‘The Evolution of European Union Citizenship’ (2008) 7 European Political Science 285; Cf Yasemin Nuhoğlu Soysal, </w:t>
      </w:r>
      <w:r w:rsidR="0075388E" w:rsidRPr="00405F2B">
        <w:rPr>
          <w:i/>
          <w:iCs/>
          <w:sz w:val="20"/>
          <w:lang w:val="en-US"/>
        </w:rPr>
        <w:t>Limits of Citizenship: Migrants and Postnational Membership in Europe</w:t>
      </w:r>
      <w:r w:rsidR="0075388E" w:rsidRPr="00405F2B">
        <w:rPr>
          <w:sz w:val="20"/>
          <w:lang w:val="en-US"/>
        </w:rPr>
        <w:t xml:space="preserve"> (University of Chicago 1994).</w:t>
      </w:r>
      <w:r w:rsidRPr="00BD775F">
        <w:rPr>
          <w:sz w:val="20"/>
        </w:rPr>
        <w:fldChar w:fldCharType="end"/>
      </w:r>
    </w:p>
  </w:footnote>
  <w:footnote w:id="19">
    <w:p w14:paraId="1B7CE958" w14:textId="0D8B0774" w:rsidR="00B4209F" w:rsidRPr="00BD775F" w:rsidRDefault="00B4209F"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Pr="00BD775F">
        <w:rPr>
          <w:sz w:val="20"/>
        </w:rPr>
        <w:instrText xml:space="preserve"> ADDIN ZOTERO_ITEM CSL_CITATION {"citationID":"pDFK4LmO","properties":{"formattedCitation":"Niamh Nic Shuibhne, \\uc0\\u8216{}What I Tell You Three Times Is True: Lawful Residence and Equal Treatment after Dano\\uc0\\u8217{} (2016) 23 Maastricht Journal of European and Comparative Law 908; Daniel Thym, \\uc0\\u8216{}When Union Citizens Turn into Illegal Migrants: The Dano Case\\uc0\\u8217{} (2015) 40 European Law Review 249; Catherine Barnard, \\uc0\\u8216{}The Day the Clock Stopped: EU Citizenship and the Single Market\\uc0\\u8217{} in Panos Koutrakos and Jukka Snell (eds), {\\i{}Research Handbook on the Law of the EU\\uc0\\u8217{}s Internal Market} (Edward Elgar Publishing 2017).","plainCitation":"Niamh Nic Shuibhne, ‘What I Tell You Three Times Is True: Lawful Residence and Equal Treatment after Dano’ (2016) 23 Maastricht Journal of European and Comparative Law 908; Daniel Thym, ‘When Union Citizens Turn into Illegal Migrants: The Dano Case’ (2015) 40 European Law Review 249; Catherine Barnard, ‘The Day the Clock Stopped: EU Citizenship and the Single Market’ in Panos Koutrakos and Jukka Snell (eds), Research Handbook on the Law of the EU’s Internal Market (Edward Elgar Publishing 2017).","noteIndex":18},"citationItems":[{"id":396,"uris":["http://zotero.org/users/6209047/items/XQHJQDET"],"itemData":{"id":396,"type":"article-journal","container-title":"Maastricht Journal of European and Comparative Law","ISSN":"1023-263X","issue":"6","language":"English","note":"publisher: SAGE Publications Ltd","page":"908-936","source":"www.research.ed.ac.uk","title":"What I tell you three times is true: lawful residence and equal treatment after Dano","title-short":"What I tell you three times is true","volume":"23","author":[{"family":"Nic Shuibhne","given":"Niamh"}],"issued":{"date-parts":[["2016",12,21]]}}},{"id":1831,"uris":["http://zotero.org/users/6209047/items/2UGT69H6"],"itemData":{"id":1831,"type":"article-journal","container-title":"European Law Review","ISSN":"03075400","issue":"2","page":"249-262","source":"EBSCOHost","title":"When Union Citizens Turn into Illegal Migrants: The Dano Case","title-short":"When Union Citizens Turn into Illegal Migrants","volume":"40","author":[{"family":"Thym","given":"Daniel"}],"issued":{"date-parts":[["2015",4,1]]}}},{"id":55,"uris":["http://zotero.org/users/6209047/items/6A8Z6ASK"],"itemData":{"id":55,"type":"chapter","abstract":"\"The day the clock stopped: EU citizenship and the single market\" published on 27 Jan 2017 by Edward Elgar Publishing.","collection-title":"Research Handbooks in European Law","container-title":"Research Handbook on the Law of the EU’s Internal Market","ISBN":"978-1-78347-810-1","language":"en_US","note":"publisher: Edward Elgar Publishing\nsection: Research Handbook on the Law of the EU’s Internal Market","publisher":"Edward Elgar Publishing","title":"The day the clock stopped: EU citizenship and the single market","title-short":"The day the clock stopped","author":[{"family":"Barnard","given":"Catherine"}],"editor":[{"family":"Koutrakos","given":"Panos"},{"family":"Snell","given":"Jukka"}],"accessed":{"date-parts":[["2021",4,1]]},"issued":{"date-parts":[["2017",1,27]]}}}],"schema":"https://github.com/citation-style-language/schema/raw/master/csl-citation.json"} </w:instrText>
      </w:r>
      <w:r w:rsidRPr="00BD775F">
        <w:rPr>
          <w:sz w:val="20"/>
        </w:rPr>
        <w:fldChar w:fldCharType="separate"/>
      </w:r>
      <w:r w:rsidRPr="00BD775F">
        <w:rPr>
          <w:sz w:val="20"/>
        </w:rPr>
        <w:t xml:space="preserve">Niamh Nic Shuibhne, ‘What I Tell You Three Times Is True: Lawful Residence and Equal Treatment after Dano’ (2016) 23 Maastricht Journal of European and Comparative Law 908; Daniel Thym, ‘When Union Citizens Turn into Illegal Migrants: The Dano Case’ (2015) 40 European Law Review 249; Catherine Barnard, ‘The Day the Clock Stopped: EU Citizenship and the Single Market’ in Panos Koutrakos and Jukka Snell (eds), </w:t>
      </w:r>
      <w:r w:rsidRPr="00BD775F">
        <w:rPr>
          <w:i/>
          <w:iCs/>
          <w:sz w:val="20"/>
        </w:rPr>
        <w:t>Research Handbook on the Law of the EU’s Internal Market</w:t>
      </w:r>
      <w:r w:rsidRPr="00BD775F">
        <w:rPr>
          <w:sz w:val="20"/>
        </w:rPr>
        <w:t xml:space="preserve"> (Edward Elgar Publishing 2017).</w:t>
      </w:r>
      <w:r w:rsidRPr="00BD775F">
        <w:rPr>
          <w:sz w:val="20"/>
        </w:rPr>
        <w:fldChar w:fldCharType="end"/>
      </w:r>
    </w:p>
  </w:footnote>
  <w:footnote w:id="20">
    <w:p w14:paraId="1CEDD6B5" w14:textId="0475902C" w:rsidR="00B4209F" w:rsidRPr="00BD775F" w:rsidRDefault="00B4209F"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E03DAA" w:rsidRPr="00BD775F">
        <w:rPr>
          <w:sz w:val="20"/>
        </w:rPr>
        <w:instrText xml:space="preserve"> ADDIN ZOTERO_ITEM CSL_CITATION {"citationID":"lujZuYkg","properties":{"formattedCitation":"Iglesias S\\uc0\\u225{}nchez (n 7); Sara Iglesias S\\uc0\\u225{}nchez, \\uc0\\u8216{}Nationality: The Missing Link between Citizenship of the European Union and European Migration Policy\\uc0\\u8217{} in Elspeth Guild, Cristina Gort\\uc0\\u225{}zar Rotaeche and Dora Kostakopoulou (eds), {\\i{}The Reconceptualization of European Union Citizenship} (Brill Nijhoff 2014).","plainCitation":"Iglesias Sánchez (n 7); Sara Iglesias Sánchez, ‘Nationality: The Missing Link between Citizenship of the European Union and European Migration Policy’ in Elspeth Guild, Cristina Gortázar Rotaeche and Dora Kostakopoulou (eds), The Reconceptualization of European Union Citizenship (Brill Nijhoff 2014).","noteIndex":19},"citationItems":[{"id":17,"uris":["http://zotero.org/users/6209047/items/TAPB9BNG"],"itemData":{"id":17,"type":"chapter","archive_location":"Juridiska fakultetens bibliotek","collection-title":"Modern studies in European law","container-title":"Questioning EU citizenship : judges and the limits of free movement and solidarity in the EU","ISBN":"978-1-5099-1468-5","page":"243-267","publisher":"Hart Publishing","source":"EBSCOhost","title":"The Constitutional Status of Foreigners and European Union Citizens: Loopholes and Interactions in the Scope of Application of Fundamental Rights","editor":[{"family":"Thym","given":"Daniel"}],"author":[{"family":"Iglesias Sánchez","given":"Sara"}],"issued":{"date-parts":[["2017"]]}}},{"id":15,"uris":["http://zotero.org/users/6209047/items/VLKBN8HA"],"itemData":{"id":15,"type":"chapter","abstract":"\"The Reconceptualization of European Union Citizenship\" published on 09 Jan 2014 by Brill | Nijhoff.","container-title":"The Reconceptualization of European Union Citizenship","ISBN":"978-90-04-25152-6","language":"en","page":"65-88","publisher":"Brill Nijhoff","source":"brill.com","title":"Nationality: The Missing Link between Citizenship of the European Union and European Migration Policy","editor":[{"family":"Guild","given":"Elspeth"},{"family":"Rotaeche","given":"Cristina Gortázar"},{"family":"Kostakopoulou","given":"Dora"}],"author":[{"family":"Iglesias Sánchez","given":"Sara"}],"accessed":{"date-parts":[["2022",11,11]]},"issued":{"date-parts":[["2014"]]}}}],"schema":"https://github.com/citation-style-language/schema/raw/master/csl-citation.json"} </w:instrText>
      </w:r>
      <w:r w:rsidRPr="00BD775F">
        <w:rPr>
          <w:sz w:val="20"/>
        </w:rPr>
        <w:fldChar w:fldCharType="separate"/>
      </w:r>
      <w:r w:rsidR="00E03DAA" w:rsidRPr="00BD775F">
        <w:rPr>
          <w:sz w:val="20"/>
        </w:rPr>
        <w:t xml:space="preserve">Iglesias Sánchez (n 7); Sara Iglesias Sánchez, ‘Nationality: The Missing Link between Citizenship of the European Union and European Migration Policy’ in Elspeth Guild, Cristina Gortázar Rotaeche and Dora Kostakopoulou (eds), </w:t>
      </w:r>
      <w:r w:rsidR="00E03DAA" w:rsidRPr="00BD775F">
        <w:rPr>
          <w:i/>
          <w:iCs/>
          <w:sz w:val="20"/>
        </w:rPr>
        <w:t>The Reconceptualization of European Union Citizenship</w:t>
      </w:r>
      <w:r w:rsidR="00E03DAA" w:rsidRPr="00BD775F">
        <w:rPr>
          <w:sz w:val="20"/>
        </w:rPr>
        <w:t xml:space="preserve"> (Brill Nijhoff 2014).</w:t>
      </w:r>
      <w:r w:rsidRPr="00BD775F">
        <w:rPr>
          <w:sz w:val="20"/>
        </w:rPr>
        <w:fldChar w:fldCharType="end"/>
      </w:r>
    </w:p>
  </w:footnote>
  <w:footnote w:id="21">
    <w:p w14:paraId="5D105E84" w14:textId="0720CF14" w:rsidR="00B03C22" w:rsidRPr="00BF37EF" w:rsidRDefault="00B03C22">
      <w:pPr>
        <w:pStyle w:val="FootnoteText"/>
        <w:rPr>
          <w:lang w:val="sv-SE"/>
        </w:rPr>
      </w:pPr>
      <w:r>
        <w:rPr>
          <w:rStyle w:val="FootnoteReference"/>
        </w:rPr>
        <w:footnoteRef/>
      </w:r>
      <w:r>
        <w:t xml:space="preserve"> </w:t>
      </w:r>
      <w:r>
        <w:fldChar w:fldCharType="begin"/>
      </w:r>
      <w:r w:rsidR="00365AE0">
        <w:instrText xml:space="preserve"> ADDIN ZOTERO_ITEM CSL_CITATION {"citationID":"ytblN8CZ","properties":{"formattedCitation":"Alezini Loxa, \\uc0\\u8216{}EU Law, Migration and Racial Capitalism Encounters at the Neoliberal EU (b)Order\\uc0\\u8217{} (2024) 4 Retf\\uc0\\u230{}rd. Nordisk Juridisk Tidsskrift 11, 23.","plainCitation":"Alezini Loxa, ‘EU Law, Migration and Racial Capitalism Encounters at the Neoliberal EU (b)Order’ (2024) 4 Retfærd. Nordisk Juridisk Tidsskrift 11, 23.","noteIndex":20},"citationItems":[{"id":9042,"uris":["http://zotero.org/users/6209047/items/QYSUY3DP"],"itemData":{"id":9042,"type":"article-journal","container-title":"Retfærd. Nordisk Juridisk Tidsskrift","issue":"4","page":"11-36","title":"EU Law, Migration and Racial Capitalism Encounters at the neoliberal EU (b)order","volume":"4","author":[{"family":"Loxa","given":"Alezini"}],"issued":{"date-parts":[["2024"]]}},"locator":"23","label":"page"}],"schema":"https://github.com/citation-style-language/schema/raw/master/csl-citation.json"} </w:instrText>
      </w:r>
      <w:r>
        <w:fldChar w:fldCharType="separate"/>
      </w:r>
      <w:r w:rsidR="00365AE0" w:rsidRPr="00365AE0">
        <w:t>Alezini Loxa, ‘EU Law, Migration and Racial Capitalism Encounters at the Neoliberal EU (b)</w:t>
      </w:r>
      <w:r w:rsidR="00365AE0">
        <w:t>o</w:t>
      </w:r>
      <w:r w:rsidR="00365AE0" w:rsidRPr="00365AE0">
        <w:t xml:space="preserve">rder’ (2024) 4 Retfærd. </w:t>
      </w:r>
      <w:r w:rsidR="00365AE0" w:rsidRPr="00BF37EF">
        <w:rPr>
          <w:lang w:val="sv-SE"/>
        </w:rPr>
        <w:t>Nordisk Juridisk Tidsskrift 11, 23.</w:t>
      </w:r>
      <w:r>
        <w:fldChar w:fldCharType="end"/>
      </w:r>
    </w:p>
  </w:footnote>
  <w:footnote w:id="22">
    <w:p w14:paraId="0B0C7F48" w14:textId="66BD71BE" w:rsidR="00E03DAA" w:rsidRPr="00BF37EF" w:rsidRDefault="00E03DAA" w:rsidP="00BD775F">
      <w:pPr>
        <w:pStyle w:val="FootnoteText"/>
        <w:jc w:val="both"/>
        <w:rPr>
          <w:sz w:val="20"/>
          <w:lang w:val="sv-SE"/>
        </w:rPr>
      </w:pPr>
      <w:r w:rsidRPr="00BD775F">
        <w:rPr>
          <w:rStyle w:val="FootnoteReference"/>
          <w:sz w:val="20"/>
        </w:rPr>
        <w:footnoteRef/>
      </w:r>
      <w:r w:rsidRPr="00BF37EF">
        <w:rPr>
          <w:sz w:val="20"/>
          <w:lang w:val="sv-SE"/>
        </w:rPr>
        <w:t xml:space="preserve"> </w:t>
      </w:r>
      <w:r w:rsidRPr="00BD775F">
        <w:rPr>
          <w:sz w:val="20"/>
        </w:rPr>
        <w:fldChar w:fldCharType="begin"/>
      </w:r>
      <w:r w:rsidR="00276FC5" w:rsidRPr="00BF37EF">
        <w:rPr>
          <w:sz w:val="20"/>
          <w:lang w:val="sv-SE"/>
        </w:rPr>
        <w:instrText xml:space="preserve"> ADDIN ZOTERO_ITEM CSL_CITATION {"citationID":"utls5HDj","properties":{"formattedCitation":"Lydia Morris, {\\i{}Managing Migration: Civic Stratification and Migrants\\uc0\\u8217{} Rights} (1. publ, Routledge 2002); Cf Erin Aeran Chung, \\uc0\\u8216{}Creating Hierarchies of Noncitizens: Race, Gender, and Visa Categories in South Korea\\uc0\\u8217{} (2020) 46 Journal of Ethnic and Migration Studies 2497.","plainCitation":"Lydia Morris, Managing Migration: Civic Stratification and Migrants’ Rights (1. publ, Routledge 2002); Cf Erin Aeran Chung, ‘Creating Hierarchies of Noncitizens: Race, Gender, and Visa Categories in South Korea’ (2020) 46 Journal of Ethnic and Migration Studies 2497.","noteIndex":21},"citationItems":[{"id":7846,"uris":["http://zotero.org/users/6209047/items/6RGMJ24T"],"itemData":{"id":7846,"type":"book","abstract":"A cluster of contradictions: the politics of migration in the European Union Chapter; rights and controls in the management of migration: the case of Germany; the ambiguous terrain of rights: Italy's emergent immigration regime; the shifting contours of rights: Britain's asylum and immigration regime; stratified rights and the management of migration: national distinctiveness in Europe; gender, race and the emdodiment of rights; managing contradiction: civic stratification and migrants in Europe","edition":"1. publ","event-place":"London","ISBN":"978-0-415-16707-9","language":"eng","number-of-pages":"178","publisher":"Routledge","publisher-place":"London","source":"K10plus ISBN","title":"Managing migration: civic stratification and migrants' rights","title-short":"Managing migration","author":[{"family":"Morris","given":"Lydia"}],"issued":{"date-parts":[["2002"]]}}},{"id":7905,"uris":["http://zotero.org/users/6209047/items/TV86M4JF"],"itemData":{"id":7905,"type":"article-journal","abstract":"Building on Charles Tilly's theory of categorical inequality, this article examines how the proliferation of visa categories created to accommodate labour shortages in South Korea has led to the development of noncitizen hierarchies. Although contemporary immigration policies in liberal democracies do not explicitly exclude particular categories of people based on race and gender, they continue to apply discriminatory measures that reinforce social inequalities. In countries where noncitizens range from migrant labourers to native-born foreign residents, visa categories are critical determinants of a migrant's residency status, eligibility for state-sponsored rights, geographic mobility, and prospects for citizenship acquisition. This article analyzes three levels of interaction between de facto and de jure categorical differentiation: (1) the extension of racial, gendered, and class-based meaning to specific visa categories (or, how the de facto informs the de jure); (2) the institutionalisation of categorical inequality (or, how the de jure hardens the de facto); and (3) the structural effects (or, how the de facto and de jure shape patterns of incorporation). By examining the process by which seemingly race and gender-neutral categories and policies assume meaning and convey power, we are better equipped to explore emergent forms of citizenship and non-citizenship, racial politics, and social hierarchies.","container-title":"Journal of Ethnic and Migration Studies","DOI":"10.1080/1369183X.2018.1561061","ISSN":"1369-183X","issue":"12","note":"publisher: Routledge\n_eprint: https://doi.org/10.1080/1369183X.2018.1561061","page":"2497–2514","source":"Taylor and Francis+NEJM","title":"Creating hierarchies of noncitizens: race, gender, and visa categories in South Korea","title-short":"Creating hierarchies of noncitizens","volume":"46","author":[{"family":"Chung","given":"Erin Aeran"}],"issued":{"date-parts":[["2020",9,9]]}},"label":"page","prefix":"Cf"}],"schema":"https://github.com/citation-style-language/schema/raw/master/csl-citation.json"} </w:instrText>
      </w:r>
      <w:r w:rsidRPr="00BD775F">
        <w:rPr>
          <w:sz w:val="20"/>
        </w:rPr>
        <w:fldChar w:fldCharType="separate"/>
      </w:r>
      <w:r w:rsidR="00241C1C" w:rsidRPr="00BF37EF">
        <w:rPr>
          <w:sz w:val="20"/>
          <w:lang w:val="sv-SE"/>
        </w:rPr>
        <w:t xml:space="preserve">Lydia Morris, </w:t>
      </w:r>
      <w:r w:rsidR="00241C1C" w:rsidRPr="00BF37EF">
        <w:rPr>
          <w:i/>
          <w:iCs/>
          <w:sz w:val="20"/>
          <w:lang w:val="sv-SE"/>
        </w:rPr>
        <w:t>Managing Migration: Civic Stratification and Migrants’ Rights</w:t>
      </w:r>
      <w:r w:rsidR="00241C1C" w:rsidRPr="00BF37EF">
        <w:rPr>
          <w:sz w:val="20"/>
          <w:lang w:val="sv-SE"/>
        </w:rPr>
        <w:t xml:space="preserve"> (1. publ, Routledge 2002); Cf Erin Aeran Chung, ‘Creating Hierarchies of Noncitizens: Race, Gender, and Visa Categories in South Korea’ (2020) 46 Journal of Ethnic and Migration Studies 2497.</w:t>
      </w:r>
      <w:r w:rsidRPr="00BD775F">
        <w:rPr>
          <w:sz w:val="20"/>
        </w:rPr>
        <w:fldChar w:fldCharType="end"/>
      </w:r>
    </w:p>
  </w:footnote>
  <w:footnote w:id="23">
    <w:p w14:paraId="7A797F7A" w14:textId="6AF0CA41" w:rsidR="00241C1C" w:rsidRPr="00BD775F" w:rsidRDefault="00241C1C"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276FC5">
        <w:rPr>
          <w:sz w:val="20"/>
        </w:rPr>
        <w:instrText xml:space="preserve"> ADDIN ZOTERO_ITEM CSL_CITATION {"citationID":"9hNpnsYt","properties":{"formattedCitation":"See for example Synn\\uc0\\u248{}ve Bendixsen and Lena N\\uc0\\u228{}re, \\uc0\\u8216{}Welfare State Bordering as a Form of Mobility and Migration Control\\uc0\\u8217{} (2024) 50 Journal of Ethnic and Migration Studies 2689; Christian Joppke, \\uc0\\u8216{}Neoliberal Nationalism and Immigration Policy\\uc0\\u8217{} (2024) 50 Journal of Ethnic and Migration Studies 1657; Yascha Mounk, {\\i{}The Age of Responsibility: Luck, Choice, and the Welfare State} (Harvard University Press 2017).","plainCitation":"See for example Synnøve Bendixsen and Lena Näre, ‘Welfare State Bordering as a Form of Mobility and Migration Control’ (2024) 50 Journal of Ethnic and Migration Studies 2689; Christian Joppke, ‘Neoliberal Nationalism and Immigration Policy’ (2024) 50 Journal of Ethnic and Migration Studies 1657; Yascha Mounk, The Age of Responsibility: Luck, Choice, and the Welfare State (Harvard University Press 2017).","noteIndex":22},"citationItems":[{"id":7888,"uris":["http://zotero.org/users/6209047/items/5X9IAN3G"],"itemData":{"id":7888,"type":"article-journal","abstract":"This article introduces this special issue of the Journal of Ethnic and Migration Studies. In it, we present and discuss the concept of welfare state bordering. The notion of welfare state bordering that we develop refers to state-authorised practices of managing access to social rights based on residence, migrancy, and/or citizenship in a given socio-political order. These practices are in most cases implemented by national and local governments and institutions, but welfare state bordering can be implemented by various actors to whom the state has granted the power to manage access to rights, services and residence. We situate the notion of welfare state bordering in the scholarship on borders and bordering practices. We offer an overview of the four welfare state contexts discussed in this issue: the United Kingdom, Germany, Finland and Norway. We examine the ways in which various forms of welfare state bordering practices in these countries generate different configurations of exclusion and inclusion for both noncitizens and marginalised citizens on various inter-related levels of governance.","container-title":"Journal of Ethnic and Migration Studies","DOI":"10.1080/1369183X.2023.2298540","ISSN":"1369-183X","issue":"11","note":"publisher: Routledge\n_eprint: https://doi.org/10.1080/1369183X.2023.2298540","page":"2689–2706","source":"Taylor and Francis+NEJM","title":"Welfare state bordering as a form of mobility and migration control","volume":"50","author":[{"family":"Bendixsen","given":"Synnøve"},{"family":"Näre","given":"Lena"}],"issued":{"date-parts":[["2024",7,2]]}},"label":"page","prefix":"See for example"},{"id":7870,"uris":["http://zotero.org/users/6209047/items/RLR5TMXB"],"itemData":{"id":7870,"type":"article-journal","abstract":"Contemporary nationalism in the West tends to be understood in ethnic terms and associated with a bottom-up reaction to disliked effects of globalization, in particular migration. But there is also a top-down nationalism that is inherent in states` boundary-policing and – constituting membership policies. This paper draws the contours of a state-level neoliberal nationalism. Its imprint can be found in social policy, citizenship policy, and – the focus of this paper – immigration policy, in particular for the highly-skilled. Neoliberal nationalism combines diversity and meritocracy, and thus a modicum of cultural and economic liberalism. The prefix ‘neo’ flags the refashioning of political community from solidarity-based to contract-based, conditional on individual contribution and strict reciprocity.","container-title":"Journal of Ethnic and Migration Studies","DOI":"10.1080/1369183X.2024.2315349","ISSN":"1369-183X","issue":"7","note":"publisher: Routledge\n_eprint: https://doi.org/10.1080/1369183X.2024.2315349","page":"1657–1676","source":"Taylor and Francis+NEJM","title":"Neoliberal nationalism and immigration policy","volume":"50","author":[{"family":"Joppke","given":"Christian"}],"issued":{"date-parts":[["2024",4,20]]}}},{"id":7860,"uris":["http://zotero.org/users/6209047/items/DAMM388J"],"itemData":{"id":7860,"type":"book","event-place":"Cambridge, Massachusetts London, England","ISBN":"978-0-674-23767-4","language":"eng","number-of-pages":"280","publisher":"Harvard University Press","publisher-place":"Cambridge, Massachusetts London, England","source":"K10plus ISBN","title":"The age of responsibility: luck, choice, and the welfare state","title-short":"The age of responsibility","author":[{"family":"Mounk","given":"Yascha"}],"issued":{"date-parts":[["2017"]]}}}],"schema":"https://github.com/citation-style-language/schema/raw/master/csl-citation.json"} </w:instrText>
      </w:r>
      <w:r w:rsidRPr="00BD775F">
        <w:rPr>
          <w:sz w:val="20"/>
        </w:rPr>
        <w:fldChar w:fldCharType="separate"/>
      </w:r>
      <w:r w:rsidR="00191976" w:rsidRPr="00BD775F">
        <w:rPr>
          <w:sz w:val="20"/>
        </w:rPr>
        <w:t xml:space="preserve">See for example Synnøve Bendixsen and Lena Näre, ‘Welfare State Bordering as a Form of Mobility and Migration Control’ (2024) 50 Journal of Ethnic and Migration Studies 2689; Christian Joppke, ‘Neoliberal Nationalism and Immigration Policy’ (2024) 50 Journal of Ethnic and Migration Studies 1657; Yascha Mounk, </w:t>
      </w:r>
      <w:r w:rsidR="00191976" w:rsidRPr="00BD775F">
        <w:rPr>
          <w:i/>
          <w:iCs/>
          <w:sz w:val="20"/>
        </w:rPr>
        <w:t>The Age of Responsibility: Luck, Choice, and the Welfare State</w:t>
      </w:r>
      <w:r w:rsidR="00191976" w:rsidRPr="00BD775F">
        <w:rPr>
          <w:sz w:val="20"/>
        </w:rPr>
        <w:t xml:space="preserve"> (Harvard University Press 2017).</w:t>
      </w:r>
      <w:r w:rsidRPr="00BD775F">
        <w:rPr>
          <w:sz w:val="20"/>
        </w:rPr>
        <w:fldChar w:fldCharType="end"/>
      </w:r>
    </w:p>
  </w:footnote>
  <w:footnote w:id="24">
    <w:p w14:paraId="62473A4E" w14:textId="7E2F5EF8" w:rsidR="00512185" w:rsidRPr="00BD775F" w:rsidRDefault="00512185" w:rsidP="00BD775F">
      <w:pPr>
        <w:pStyle w:val="FootnoteText"/>
        <w:jc w:val="both"/>
        <w:rPr>
          <w:sz w:val="20"/>
          <w:lang w:val="en-US"/>
        </w:rPr>
      </w:pPr>
      <w:r w:rsidRPr="00BD775F">
        <w:rPr>
          <w:rStyle w:val="FootnoteReference"/>
          <w:sz w:val="20"/>
        </w:rPr>
        <w:footnoteRef/>
      </w:r>
      <w:r w:rsidRPr="00BC374C">
        <w:rPr>
          <w:sz w:val="20"/>
          <w:lang w:val="fr-FR"/>
        </w:rPr>
        <w:t xml:space="preserve"> </w:t>
      </w:r>
      <w:r w:rsidRPr="00BD775F">
        <w:rPr>
          <w:sz w:val="20"/>
        </w:rPr>
        <w:fldChar w:fldCharType="begin"/>
      </w:r>
      <w:r w:rsidR="00276FC5">
        <w:rPr>
          <w:sz w:val="20"/>
          <w:lang w:val="fr-FR"/>
        </w:rPr>
        <w:instrText xml:space="preserve"> ADDIN ZOTERO_ITEM CSL_CITATION {"citationID":"0NLvfKqS","properties":{"formattedCitation":"Cf Siba Harb and Pierre-\\uc0\\u201{}tienne Vandamme, \\uc0\\u8216{}An Egalitarian Fortress? Global Distributive Justice and the EU\\uc0\\u8217{} (2023) 45 Journal of European Integration 577; Turkuler Isiksel, {\\i{}Europe\\uc0\\u8217{}s Functional Constitution: A Theory of Constitutionalism Beyond the State} (Oxford University Press 2016) 95\\uc0\\u8211{}124.","plainCitation":"Cf Siba Harb and Pierre-Étienne Vandamme, ‘An Egalitarian Fortress? Global Distributive Justice and the EU’ (2023) 45 Journal of European Integration 577; Turkuler Isiksel, Europe’s Functional Constitution: A Theory of Constitutionalism Beyond the State (Oxford University Press 2016) 95–124.","noteIndex":23},"citationItems":[{"id":41,"uris":["http://zotero.org/users/6209047/items/CPIJ8EAE"],"itemData":{"id":41,"type":"article-journal","abstract":"This article offers an original political theory perspective on debates about EU integration and EU justice by discussing possible tensions with the demands of global justice. In particular, it asks whether global egalitarians can consistently argue for further European integration and for an egalitarian EU while maintaining that the scope of egalitarian justice should be global. After highlighting several tensions between EU equality and EU integration on the one hand, and global justice, on the other hand, it explores strategies available to global egalitarians to defend the focus on the EU. It concludes that global egalitarians can only have instrumental reasons to value the EU, and not any EU, nor merely a just EU; only the most instrumental to the realization of global justice, which can lead to different conclusions on EU integration or EU justice from the standardly assumed ones.","container-title":"Journal of European Integration","DOI":"10.1080/07036337.2022.2102616","ISSN":"0703-6337","issue":"4","note":"publisher: Routledge\n_eprint: https://doi.org/10.1080/07036337.2022.2102616","page":"577-592","source":"Taylor and Francis+NEJM","title":"An egalitarian fortress? Global distributive justice and the EU","title-short":"An egalitarian fortress?","volume":"45","author":[{"family":"Harb","given":"Siba"},{"family":"Vandamme","given":"Pierre-Étienne"}],"issued":{"date-parts":[["2023",5,19]]}},"label":"page","prefix":"Cf"},{"id":380,"uris":["http://zotero.org/users/6209047/items/JI6BGMIU"],"itemData":{"id":380,"type":"book","ISBN":"978-0-19-875907-2","publisher":"Oxford University Press","title":"Europe's Functional Constitution: A Theory of Constitutionalism Beyond the State","title-short":"Europe's Functional Constitution","author":[{"family":"Isiksel","given":"Turkuler"}],"issued":{"date-parts":[["2016"]]}},"locator":"95-124","label":"page"}],"schema":"https://github.com/citation-style-language/schema/raw/master/csl-citation.json"} </w:instrText>
      </w:r>
      <w:r w:rsidRPr="00BD775F">
        <w:rPr>
          <w:sz w:val="20"/>
        </w:rPr>
        <w:fldChar w:fldCharType="separate"/>
      </w:r>
      <w:r w:rsidR="005952E8" w:rsidRPr="00BC374C">
        <w:rPr>
          <w:sz w:val="20"/>
          <w:lang w:val="fr-FR"/>
        </w:rPr>
        <w:t xml:space="preserve">Cf Siba Harb and Pierre-Étienne Vandamme, ‘An Egalitarian Fortress? </w:t>
      </w:r>
      <w:r w:rsidR="005952E8" w:rsidRPr="00BD775F">
        <w:rPr>
          <w:sz w:val="20"/>
        </w:rPr>
        <w:t xml:space="preserve">Global Distributive Justice and the EU’ (2023) 45 Journal of European Integration 577; Turkuler Isiksel, </w:t>
      </w:r>
      <w:r w:rsidR="005952E8" w:rsidRPr="00BD775F">
        <w:rPr>
          <w:i/>
          <w:iCs/>
          <w:sz w:val="20"/>
        </w:rPr>
        <w:t>Europe’s Functional Constitution: A Theory of Constitutionalism Beyond the State</w:t>
      </w:r>
      <w:r w:rsidR="005952E8" w:rsidRPr="00BD775F">
        <w:rPr>
          <w:sz w:val="20"/>
        </w:rPr>
        <w:t xml:space="preserve"> (Oxford University Press 2016) 95–124.</w:t>
      </w:r>
      <w:r w:rsidRPr="00BD775F">
        <w:rPr>
          <w:sz w:val="20"/>
        </w:rPr>
        <w:fldChar w:fldCharType="end"/>
      </w:r>
    </w:p>
  </w:footnote>
  <w:footnote w:id="25">
    <w:p w14:paraId="05CFD9B5" w14:textId="6669C8EE" w:rsidR="005952E8" w:rsidRPr="00BD775F" w:rsidRDefault="005952E8"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276FC5">
        <w:rPr>
          <w:sz w:val="20"/>
        </w:rPr>
        <w:instrText xml:space="preserve"> ADDIN ZOTERO_ITEM CSL_CITATION {"citationID":"If5Eub2L","properties":{"formattedCitation":"Fritz W Scharpf, \\uc0\\u8216{}The Asymmetry of European Integration, or Why the EU Cannot Be a \\uc0\\u8220{}Social Market Economy\\uc0\\u8221{}\\uc0\\u8217{} (2010) 8 Socio-Economic Review 211; Tamara Hervey and Jeff Kenner (eds), \\uc0\\u8216{}Economic and Social Rights in the EU Legal Order: The Mirage of Indivisibility\\uc0\\u8217{}, {\\i{}Economic and Social Rights under the EU Charter of Fundamental Rights\\uc0\\u8212{}A Legal Perspective} (Hart Publishing 2003); Diamond Ashiagbor, \\uc0\\u8216{}On the \\uc0\\u8220{}Slow Constitutionalisation\\uc0\\u8221{} of Social Europe\\uc0\\u8217{} in Monica Claes and Ellen Vos (eds), {\\i{}Making Sense of European Union Law} (Hart Publishing 2022); Joanna Ryszka, \\uc0\\u8216{}Protection of Social Rights as a Permament Challenge for the European Union\\uc0\\u8217{} (2021) 46 Review of European and Comparative Law 109.","plainCitation":"Fritz W Scharpf, ‘The Asymmetry of European Integration, or Why the EU Cannot Be a “Social Market Economy”’ (2010) 8 Socio-Economic Review 211; Tamara Hervey and Jeff Kenner (eds), ‘Economic and Social Rights in the EU Legal Order: The Mirage of Indivisibility’, Economic and Social Rights under the EU Charter of Fundamental Rights—A Legal Perspective (Hart Publishing 2003); Diamond Ashiagbor, ‘On the “Slow Constitutionalisation” of Social Europe’ in Monica Claes and Ellen Vos (eds), Making Sense of European Union Law (Hart Publishing 2022); Joanna Ryszka, ‘Protection of Social Rights as a Permament Challenge for the European Union’ (2021) 46 Review of European and Comparative Law 109.","noteIndex":24},"citationItems":[{"id":1629,"uris":["http://zotero.org/users/6209047/items/CVBLA42U"],"itemData":{"id":1629,"type":"article-journal","abstract":"Judge-made law has played a crucial role in the process of European integration. In the vertical dimension, it has greatly reduced the range of autonomous policy choices in the member states, and it has helped to expand the reach of European competences. At the same time, however, ‘integration through law’ does have a liberalizing and deregulatory impact on the socio-economic regimes of European Union member states. This effect is generally compatible with the status quo in liberal market economies, but it tends to undermine the institutions and policy legacies of Continental and Scandinavian social market economies. Given the high consensus requirements of European legislation, this structural asymmetry cannot be corrected through political action at the European level.","container-title":"Socio-Economic Review","DOI":"10.1093/ser/mwp031","ISSN":"1475-1461","issue":"2","journalAbbreviation":"Socio-Economic Review","page":"211-250","source":"Silverchair","title":"The asymmetry of European integration, or why the EU cannot be a ‘social market economy’","volume":"8","author":[{"family":"Scharpf","given":"Fritz W."}],"issued":{"date-parts":[["2010"]]}}},{"id":1163,"uris":["http://zotero.org/users/6209047/items/EXM949JU"],"itemData":{"id":1163,"type":"chapter","container-title":"Economic and Social Rights under the EU Charter of Fundamental Rights—A Legal Perspective","note":"DOI: 10.5040/9781472562838","page":"1-26","publisher":"Hart Publishing","source":"DOI.org (Crossref)","title":"Economic and Social Rights in the EU Legal Order: The Mirage of Indivisibility","editor":[{"family":"Hervey","given":"Tamara"},{"family":"Kenner","given":"Jeff"}],"accessed":{"date-parts":[["2021",9,8]]},"issued":{"date-parts":[["2003"]]}}},{"id":1846,"uris":["http://zotero.org/users/6209047/items/TTRGL23C"],"itemData":{"id":1846,"type":"chapter","container-title":"Making Sense of European Union Law","ISBN":"978-1-5099-5969-3","note":"DOI: 10.5040/9781509959723","publisher":"Hart Publishing","source":"DOI.org (Crossref)","title":"On the ‘Slow Constitutionalisation’ of Social Europe","editor":[{"family":"Claes","given":"Monica"},{"family":"Vos","given":"Ellen"}],"author":[{"family":"Ashiagbor","given":"Diamond"}],"accessed":{"date-parts":[["2023",4,14]]},"issued":{"date-parts":[["2022"]]}}},{"id":1706,"uris":["http://zotero.org/users/6209047/items/ZPG45GUC"],"itemData":{"id":1706,"type":"article-journal","abstract":"Social rights protection in the European Union has undergone significant development. Currently their protection is regulated by relevant treaty provisions and the Charter of Fundamental Rights (Charter), both of a primary law nature, as well as by the non-binding European Pillar of Social Rights (Pillar). The aim of the paper is the assessment of the social rights protection in the EU, and whether all social rights provided in the CFR have their counterparts in the EPSR, hence whether and in what way the EPSR assists the actual exercise of social rights provided by the CFR. Comparing the content of the above-mentioned legal instruments makes it possible to answer the question whether all social rights provided in the Charter have their counterparts in the Pillar. This can help determine whether the latter affects the implementation of the former. If the answer is in the affirmative, it can further allow for determining in what way the principles of the Pillar assist in the actual exercise of social rights provided by the Charter. This is very important taking into account the need for an ongoing response to unforeseen threats, like for example COVID-19. The social aspects of EU integration thus are and will remain a subject of interest in the nearest future.","container-title":"Review of European and Comparative Law","DOI":"10.31743/recl.11955","ISSN":"2545-384X","issue":"3","note":"publisher: The John Paul II Catholic University of Lublin","page":"109-143","source":"EBSCOhost","title":"Protection of Social Rights as a Permament Challenge for the European Union","volume":"46","author":[{"literal":"Joanna Ryszka"}],"issued":{"date-parts":[["2021",8,1]]}}}],"schema":"https://github.com/citation-style-language/schema/raw/master/csl-citation.json"} </w:instrText>
      </w:r>
      <w:r w:rsidRPr="00BD775F">
        <w:rPr>
          <w:sz w:val="20"/>
        </w:rPr>
        <w:fldChar w:fldCharType="separate"/>
      </w:r>
      <w:r w:rsidR="008A5190" w:rsidRPr="00BD775F">
        <w:rPr>
          <w:sz w:val="20"/>
        </w:rPr>
        <w:t xml:space="preserve">Fritz W Scharpf, ‘The Asymmetry of European Integration, or Why the EU Cannot Be a “Social Market Economy”’ (2010) 8 Socio-Economic Review 211; Tamara Hervey and Jeff Kenner (eds), ‘Economic and Social Rights in the EU Legal Order: The Mirage of Indivisibility’, </w:t>
      </w:r>
      <w:r w:rsidR="008A5190" w:rsidRPr="00BD775F">
        <w:rPr>
          <w:i/>
          <w:iCs/>
          <w:sz w:val="20"/>
        </w:rPr>
        <w:t>Economic and Social Rights under the EU Charter of Fundamental Rights—A Legal Perspective</w:t>
      </w:r>
      <w:r w:rsidR="008A5190" w:rsidRPr="00BD775F">
        <w:rPr>
          <w:sz w:val="20"/>
        </w:rPr>
        <w:t xml:space="preserve"> (Hart Publishing 2003); Diamond Ashiagbor, ‘On the “Slow Constitutionalisation” of Social Europe’ in Monica Claes and Ellen Vos (eds), </w:t>
      </w:r>
      <w:r w:rsidR="008A5190" w:rsidRPr="00BD775F">
        <w:rPr>
          <w:i/>
          <w:iCs/>
          <w:sz w:val="20"/>
        </w:rPr>
        <w:t>Making Sense of European Union Law</w:t>
      </w:r>
      <w:r w:rsidR="008A5190" w:rsidRPr="00BD775F">
        <w:rPr>
          <w:sz w:val="20"/>
        </w:rPr>
        <w:t xml:space="preserve"> (Hart Publishing 2022); Joanna Ryszka, ‘Protection of Social Rights as a Permament Challenge for the European Union’ (2021) 46 Review of European and Comparative Law 109.</w:t>
      </w:r>
      <w:r w:rsidRPr="00BD775F">
        <w:rPr>
          <w:sz w:val="20"/>
        </w:rPr>
        <w:fldChar w:fldCharType="end"/>
      </w:r>
    </w:p>
  </w:footnote>
  <w:footnote w:id="26">
    <w:p w14:paraId="5994D902" w14:textId="23A5640C" w:rsidR="008A5190" w:rsidRPr="00BD775F" w:rsidRDefault="008A5190"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276FC5">
        <w:rPr>
          <w:sz w:val="20"/>
        </w:rPr>
        <w:instrText xml:space="preserve"> ADDIN ZOTERO_ITEM CSL_CITATION {"citationID":"x8q7kUPT","properties":{"formattedCitation":"Bruno de Witte, Elise Muir and Mark Dawson (eds), {\\i{}Judicial Activism at the European Court of Justice} (Edward Elgar Publishing 2013); Elise Muir, \\uc0\\u8216{}The Transformative Function of EU Equality Law\\uc0\\u8217{} (2013) 21 European Review of Private Law; Joseph Weiler, \\uc0\\u8216{}Deciphering the Political and Legal DNA of European Integration, An Exploratory Essay\\uc0\\u8217{} in Julie Dickson and Pavlos Eleftheriadis, {\\i{}Philosophical Foundations of European Union Law} (Oxford University Press 2012).","plainCitation":"Bruno de Witte, Elise Muir and Mark Dawson (eds), Judicial Activism at the European Court of Justice (Edward Elgar Publishing 2013); Elise Muir, ‘The Transformative Function of EU Equality Law’ (2013) 21 European Review of Private Law; Joseph Weiler, ‘Deciphering the Political and Legal DNA of European Integration, An Exploratory Essay’ in Julie Dickson and Pavlos Eleftheriadis, Philosophical Foundations of European Union Law (Oxford University Press 2012).","noteIndex":25},"citationItems":[{"id":79,"uris":["http://zotero.org/users/6209047/items/N6TAI2CM"],"itemData":{"id":79,"type":"book","abstract":"‘This well-constructed, and well-written, collection fills a gap in the scholarship. It offers a rounded and plausible picture of the Court’s role in Europe, engaging with the complexity of the law without losing sight of the bigger political picture. Well-contextualised, critical, but nuanced, discussions of the role of rights, economics, science, and institutions, and of the important particularities of EU adjudication, will make this volume unmissable for those interested in the political role of the Court of Justice of the EU.’\n– Gareth Davies, VU University of Amsterdam, The Netherlands","language":"en","publisher":"Edward Elgar Publishing","title":"Judicial Activism at the European Court of Justice","editor":[{"family":"Witte","given":"Bruno","non-dropping-particle":"de"},{"family":"Muir","given":"Elise"},{"family":"Dawson","given":"Mark"}],"accessed":{"date-parts":[["2023",1,31]]},"issued":{"date-parts":[["2013"]]}}},{"id":1849,"uris":["http://zotero.org/users/6209047/items/6CDJNWT9"],"itemData":{"id":1849,"type":"article-journal","abstract":"&lt;p&gt; &lt;b&gt;Abstract:&lt;/b&gt; Although EU equality law was initially designed to constrain public authorities in the context of the creation of a new legal order, it has progressively gained a second prominent function as a policy regulating inter-personal relationships. This article critically retraces the process through which EU equality law has evolved into a tool intended to impact on a vast array of societal practices - thus performing a transformative function. This process results from a complex interplay between the EU's political institutions and the judiciary, and is also marked by the strong involvement of the EU's Court of Justice. As a consequence, the transformative function of EU equality law has not been fully processed by EU political institutions. In this article it is argued that several of the dilemmas and tensions surrounding the parameters of EU equality law today may be related to the lack of a clear conceptual distinction between its public and private functions. This is illustrated for example in the &lt;i&gt;Laval&lt;/i&gt; case, with the difficulty for trade unions to use the public law derogations to the prohibition of nationality discrimination, and through the debate on the need to modernize remedies for the enforcement of EU equality law.&lt;/p&gt; &lt;p&gt; &lt;b&gt;R&amp;#233;sum&amp;#233;:&lt;/b&gt; Bien que le principe d'&amp;#233;galit&amp;#233; en droit europ&amp;#233;en f&amp;#251;t initialement con&amp;#231;u pour freiner les autorit&amp;#233;s publiques dans le contexte de la cr&amp;#233;ation d'un nouvel ordre juridique, il a progressivement acquis une seconde fonction importante en tant que syst&amp;#232;me de r&amp;#233;gulation des relations inter-personnelles. Cet article retrace de mani&amp;#232;re critique le processus &amp;#224; travers lequel l'&amp;#233;galit&amp;#233; en droit europ&amp;#233;en a &amp;#233;volu&amp;#233; vers un instrument servant &amp;#224; exercer une influence sur un vaste domaine de pratiques soci&amp;#233;tales - et ainsi, r&amp;#233;alisant une fonction de transformation. Ce processus r&amp;#233;sulte d'interf&amp;#233;rences complexes entre les institutions politiques de l'UE et les instances judiciaires, et est aussi marqu&amp;#233; par une grande participation de la Cour de Justice de l'UE. Par cons&amp;#233;quent, la fonction transformative du principe d'&amp;#233;galit&amp;#233; en droit europ&amp;#233;en n'a pas &amp;#233;t&amp;#233; tout &amp;#224; fait r&amp;#233;alis&amp;#233;e par les institutions politiques de l'UE. Il est d&amp;#233;montr&amp;#233; dans cet article que plusieurs des dilemmes et tensions entourant actuellement les param&amp;#232;tres du droit europ&amp;#233;en &amp;#224; l'&amp;#233;galit&amp;#233; pourraient avoir un rapport avec le manque de distinction conceptuelle claire entre ses fonctions publiques et priv&amp;#233;es. Ceci est illustr&amp;#233; par exemple dans l'affaire &lt;i&gt;Laval&lt;/i&gt;, avec la difficult&amp;#233; pour les syndicats d'utiliser les d&amp;#233;rogations de droit public pour l'interdiction de discrimination bas&amp;#233;e sur la nationalit&amp;#233;, et &amp;#224; travers le d&amp;#233;bat sur le besoin de moderniser les rem&amp;#232;des pour permettre la mise en oeuvre du principe d'&amp;#233;galit&amp;#233; en droit europ&amp;#233;en.&lt;/p&gt;","container-title":"European Review of Private Law","ISSN":"0928-9801","issue":"5/6","language":"en","source":"kluwerlawonline.com","title":"The Transformative Function of EU Equality Law","volume":"21","author":[{"family":"Muir","given":"Elise"}],"accessed":{"date-parts":[["2023",4,14]]},"issued":{"date-parts":[["2013",11,1]]}}},{"id":367,"uris":["http://zotero.org/users/6209047/items/IBXA6UU3"],"itemData":{"id":367,"type":"chapter","container-title":"Philosophical Foundations of European Union Law","ISBN":"978-0-19-958877-0","language":"en","note":"DOI: 10.1093/acprof:oso/9780199588770.001.0001\nDOI: 10.1093/acprof:oso/9780199588770.001.0001","page":"137-158","publisher":"Oxford University Press","source":"DOI.org (Crossref)","title":"Deciphering the Political and Legal DNA of European Integration, An Exploratory Essay","container-author":[{"family":"Dickson","given":"Julie"},{"family":"Eleftheriadis","given":"Pavlos"}],"author":[{"family":"Weiler","given":"Joseph"}],"issued":{"date-parts":[["2012",10,11]]}}}],"schema":"https://github.com/citation-style-language/schema/raw/master/csl-citation.json"} </w:instrText>
      </w:r>
      <w:r w:rsidRPr="00BD775F">
        <w:rPr>
          <w:sz w:val="20"/>
        </w:rPr>
        <w:fldChar w:fldCharType="separate"/>
      </w:r>
      <w:r w:rsidR="00276FC5" w:rsidRPr="00276FC5">
        <w:rPr>
          <w:sz w:val="20"/>
        </w:rPr>
        <w:t xml:space="preserve">Bruno de Witte, Elise Muir and Mark Dawson (eds), </w:t>
      </w:r>
      <w:r w:rsidR="00276FC5" w:rsidRPr="00276FC5">
        <w:rPr>
          <w:i/>
          <w:iCs/>
          <w:sz w:val="20"/>
        </w:rPr>
        <w:t>Judicial Activism at the European Court of Justice</w:t>
      </w:r>
      <w:r w:rsidR="00276FC5" w:rsidRPr="00276FC5">
        <w:rPr>
          <w:sz w:val="20"/>
        </w:rPr>
        <w:t xml:space="preserve"> (Edward Elgar Publishing 2013); Elise Muir, ‘The Transformative Function of EU Equality Law’ (2013) 21 European Review of Private Law; Joseph Weiler, ‘Deciphering the Political and Legal DNA of European Integration, An Exploratory Essay’ in Julie Dickson and Pavlos Eleftheriadis, </w:t>
      </w:r>
      <w:r w:rsidR="00276FC5" w:rsidRPr="00276FC5">
        <w:rPr>
          <w:i/>
          <w:iCs/>
          <w:sz w:val="20"/>
        </w:rPr>
        <w:t>Philosophical Foundations of European Union Law</w:t>
      </w:r>
      <w:r w:rsidR="00276FC5" w:rsidRPr="00276FC5">
        <w:rPr>
          <w:sz w:val="20"/>
        </w:rPr>
        <w:t xml:space="preserve"> (Oxford University Press 2012).</w:t>
      </w:r>
      <w:r w:rsidRPr="00BD775F">
        <w:rPr>
          <w:sz w:val="20"/>
        </w:rPr>
        <w:fldChar w:fldCharType="end"/>
      </w:r>
    </w:p>
  </w:footnote>
  <w:footnote w:id="27">
    <w:p w14:paraId="477EC091" w14:textId="51A1803F" w:rsidR="00FA6612" w:rsidRPr="00BD775F" w:rsidRDefault="00FA6612"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276FC5">
        <w:rPr>
          <w:sz w:val="20"/>
        </w:rPr>
        <w:instrText xml:space="preserve"> ADDIN ZOTERO_ITEM CSL_CITATION {"citationID":"sJZKw25t","properties":{"formattedCitation":"Cf Mark Dawson, \\uc0\\u8216{}The Political Face of Judicial Activism: Europe\\uc0\\u8217{} s Law-Politics Imbalance\\uc0\\u8217{} in Bruno de Witte, Elise Muir and Mark Dawson (eds), {\\i{}Judicial Activism at the European Court of Justice} (Edward Elgar Publishing 2013).","plainCitation":"Cf Mark Dawson, ‘The Political Face of Judicial Activism: Europe’ s Law-Politics Imbalance’ in Bruno de Witte, Elise Muir and Mark Dawson (eds), Judicial Activism at the European Court of Justice (Edward Elgar Publishing 2013).","noteIndex":26},"citationItems":[{"id":78,"uris":["http://zotero.org/users/6209047/items/BLZYY95X"],"itemData":{"id":78,"type":"chapter","container-title":"Judicial Activism at the European Court of Justice","language":"en","publisher":"Edward Elgar Publishing","title":"The political face of judicial activism: Europe’ s law-politics imbalance","editor":[{"family":"Witte","given":"Bruno","non-dropping-particle":"de"},{"family":"Muir","given":"Elise"},{"family":"Dawson","given":"Mark"}],"author":[{"family":"Dawson","given":"Mark"}],"accessed":{"date-parts":[["2023",1,31]]},"issued":{"date-parts":[["2013"]]}},"label":"page","prefix":"Cf"}],"schema":"https://github.com/citation-style-language/schema/raw/master/csl-citation.json"} </w:instrText>
      </w:r>
      <w:r w:rsidRPr="00BD775F">
        <w:rPr>
          <w:sz w:val="20"/>
        </w:rPr>
        <w:fldChar w:fldCharType="separate"/>
      </w:r>
      <w:r w:rsidRPr="00BD775F">
        <w:rPr>
          <w:sz w:val="20"/>
        </w:rPr>
        <w:t xml:space="preserve">Cf Mark Dawson, ‘The Political Face of Judicial Activism: Europe’ s Law-Politics Imbalance’ in Bruno de Witte, Elise Muir and Mark Dawson (eds), </w:t>
      </w:r>
      <w:r w:rsidRPr="00BD775F">
        <w:rPr>
          <w:i/>
          <w:iCs/>
          <w:sz w:val="20"/>
        </w:rPr>
        <w:t>Judicial Activism at the European Court of Justice</w:t>
      </w:r>
      <w:r w:rsidRPr="00BD775F">
        <w:rPr>
          <w:sz w:val="20"/>
        </w:rPr>
        <w:t xml:space="preserve"> (Edward Elgar Publishing 2013).</w:t>
      </w:r>
      <w:r w:rsidRPr="00BD775F">
        <w:rPr>
          <w:sz w:val="20"/>
        </w:rPr>
        <w:fldChar w:fldCharType="end"/>
      </w:r>
    </w:p>
  </w:footnote>
  <w:footnote w:id="28">
    <w:p w14:paraId="61E94E52" w14:textId="3472906C" w:rsidR="0068303A" w:rsidRPr="00BD775F" w:rsidRDefault="0068303A" w:rsidP="00BD775F">
      <w:pPr>
        <w:pStyle w:val="FootnoteText"/>
        <w:jc w:val="both"/>
        <w:rPr>
          <w:sz w:val="20"/>
          <w:lang w:val="en-US"/>
        </w:rPr>
      </w:pPr>
      <w:r w:rsidRPr="00BD775F">
        <w:rPr>
          <w:rStyle w:val="FootnoteReference"/>
          <w:sz w:val="20"/>
        </w:rPr>
        <w:footnoteRef/>
      </w:r>
      <w:r w:rsidRPr="00BD775F">
        <w:rPr>
          <w:sz w:val="20"/>
        </w:rPr>
        <w:t xml:space="preserve"> </w:t>
      </w:r>
      <w:r w:rsidRPr="00BD775F">
        <w:rPr>
          <w:sz w:val="20"/>
        </w:rPr>
        <w:fldChar w:fldCharType="begin"/>
      </w:r>
      <w:r w:rsidR="00276FC5">
        <w:rPr>
          <w:sz w:val="20"/>
        </w:rPr>
        <w:instrText xml:space="preserve"> ADDIN ZOTERO_ITEM CSL_CITATION {"citationID":"jwbT4RWo","properties":{"formattedCitation":"See Michael A Wilkinson, \\uc0\\u8216{}Politicising Europe\\uc0\\u8217{}s Justice Deficit: Some Preliminaries\\uc0\\u8217{} in Dimitry Kochenov, Andrew T Williams and Gr\\uc0\\u225{}inne de B\\uc0\\u250{}rca (eds), {\\i{}Europe\\uc0\\u8217{}s Justice Deficit?} (Hart Publishing 2015) 112.","plainCitation":"See Michael A Wilkinson, ‘Politicising Europe’s Justice Deficit: Some Preliminaries’ in Dimitry Kochenov, Andrew T Williams and Gráinne de Búrca (eds), Europe’s Justice Deficit? (Hart Publishing 2015) 112.","noteIndex":27},"citationItems":[{"id":89,"uris":["http://zotero.org/users/6209047/items/3JYB2D7G"],"itemData":{"id":89,"type":"chapter","container-title":"Europe’s Justice Deficit?","ISBN":"978-1-4742-0119-3","note":"DOI: 10.5040/9781474201193","page":"111-136","publisher":"Hart Publishing","source":"DOI.org (Crossref)","title":"Politicising Europe’s Justice Deficit: Some Preliminaries","editor":[{"family":"Kochenov","given":"Dimitry"},{"family":"Williams","given":"Andrew T."},{"family":"Búrca","given":"Gráinne","non-dropping-particle":"de"}],"author":[{"family":"Wilkinson","given":"Michael A."}],"accessed":{"date-parts":[["2023",4,10]]},"issued":{"date-parts":[["2015"]]}},"locator":"112","label":"page","prefix":"See"}],"schema":"https://github.com/citation-style-language/schema/raw/master/csl-citation.json"} </w:instrText>
      </w:r>
      <w:r w:rsidRPr="00BD775F">
        <w:rPr>
          <w:sz w:val="20"/>
        </w:rPr>
        <w:fldChar w:fldCharType="separate"/>
      </w:r>
      <w:r w:rsidR="0087500B" w:rsidRPr="00BD775F">
        <w:rPr>
          <w:sz w:val="20"/>
        </w:rPr>
        <w:t xml:space="preserve">See Michael A Wilkinson, ‘Politicising Europe’s Justice Deficit: Some Preliminaries’ in Dimitry Kochenov, Andrew T Williams and Gráinne de Búrca (eds), </w:t>
      </w:r>
      <w:r w:rsidR="0087500B" w:rsidRPr="00BD775F">
        <w:rPr>
          <w:i/>
          <w:iCs/>
          <w:sz w:val="20"/>
        </w:rPr>
        <w:t>Europe’s Justice Deficit?</w:t>
      </w:r>
      <w:r w:rsidR="0087500B" w:rsidRPr="00BD775F">
        <w:rPr>
          <w:sz w:val="20"/>
        </w:rPr>
        <w:t xml:space="preserve"> (Hart Publishing 2015) 112.</w:t>
      </w:r>
      <w:r w:rsidRPr="00BD775F">
        <w:rPr>
          <w:sz w:val="2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150A" w14:textId="4F8921A6" w:rsidR="00900E23" w:rsidRPr="00900E23" w:rsidRDefault="00094556">
    <w:pPr>
      <w:pStyle w:val="Header"/>
      <w:rPr>
        <w:rFonts w:ascii="Times New Roman" w:hAnsi="Times New Roman" w:cs="Times New Roman"/>
        <w:sz w:val="20"/>
        <w:szCs w:val="20"/>
        <w:lang w:val="en-GB"/>
      </w:rPr>
    </w:pPr>
    <w:r>
      <w:rPr>
        <w:rFonts w:ascii="Times New Roman" w:hAnsi="Times New Roman" w:cs="Times New Roman"/>
        <w:sz w:val="20"/>
        <w:szCs w:val="20"/>
        <w:lang w:val="en-GB"/>
      </w:rPr>
      <w:t xml:space="preserve">Editorial to the </w:t>
    </w:r>
    <w:r w:rsidR="00900E23" w:rsidRPr="00900E23">
      <w:rPr>
        <w:rFonts w:ascii="Times New Roman" w:hAnsi="Times New Roman" w:cs="Times New Roman"/>
        <w:sz w:val="20"/>
        <w:szCs w:val="20"/>
        <w:lang w:val="en-GB"/>
      </w:rPr>
      <w:t xml:space="preserve">Special Issue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762C9"/>
    <w:multiLevelType w:val="hybridMultilevel"/>
    <w:tmpl w:val="262EF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6269C9"/>
    <w:multiLevelType w:val="multilevel"/>
    <w:tmpl w:val="1654F4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4DD05DC1"/>
    <w:multiLevelType w:val="hybridMultilevel"/>
    <w:tmpl w:val="B5E234C0"/>
    <w:lvl w:ilvl="0" w:tplc="F6D2965A">
      <w:start w:val="1"/>
      <w:numFmt w:val="decimal"/>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BDD2A5B"/>
    <w:multiLevelType w:val="hybridMultilevel"/>
    <w:tmpl w:val="3EE2D9D0"/>
    <w:lvl w:ilvl="0" w:tplc="D2049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172061">
    <w:abstractNumId w:val="0"/>
  </w:num>
  <w:num w:numId="2" w16cid:durableId="1849829459">
    <w:abstractNumId w:val="1"/>
  </w:num>
  <w:num w:numId="3" w16cid:durableId="1775248896">
    <w:abstractNumId w:val="2"/>
  </w:num>
  <w:num w:numId="4" w16cid:durableId="771701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6A"/>
    <w:rsid w:val="00004D1E"/>
    <w:rsid w:val="000238B3"/>
    <w:rsid w:val="000252FB"/>
    <w:rsid w:val="00026B5A"/>
    <w:rsid w:val="00040C84"/>
    <w:rsid w:val="000446DD"/>
    <w:rsid w:val="00051221"/>
    <w:rsid w:val="000653B7"/>
    <w:rsid w:val="00070D45"/>
    <w:rsid w:val="00070FC0"/>
    <w:rsid w:val="0007381A"/>
    <w:rsid w:val="00094556"/>
    <w:rsid w:val="000971A9"/>
    <w:rsid w:val="000A1CB7"/>
    <w:rsid w:val="000A2165"/>
    <w:rsid w:val="000B0393"/>
    <w:rsid w:val="000C7F91"/>
    <w:rsid w:val="000D131B"/>
    <w:rsid w:val="000D27EE"/>
    <w:rsid w:val="000D4D36"/>
    <w:rsid w:val="000D5732"/>
    <w:rsid w:val="000D7A41"/>
    <w:rsid w:val="000E2D72"/>
    <w:rsid w:val="000E4D62"/>
    <w:rsid w:val="000E66E5"/>
    <w:rsid w:val="000F29A2"/>
    <w:rsid w:val="000F52B3"/>
    <w:rsid w:val="000F5C31"/>
    <w:rsid w:val="00101640"/>
    <w:rsid w:val="00107EAF"/>
    <w:rsid w:val="0012500E"/>
    <w:rsid w:val="001264F9"/>
    <w:rsid w:val="001416FA"/>
    <w:rsid w:val="00145EB9"/>
    <w:rsid w:val="00152ED6"/>
    <w:rsid w:val="001538C2"/>
    <w:rsid w:val="00162C54"/>
    <w:rsid w:val="0017695E"/>
    <w:rsid w:val="001773CF"/>
    <w:rsid w:val="00177DE3"/>
    <w:rsid w:val="0018569D"/>
    <w:rsid w:val="00185A4A"/>
    <w:rsid w:val="00187E4A"/>
    <w:rsid w:val="00191976"/>
    <w:rsid w:val="00193779"/>
    <w:rsid w:val="001B2F14"/>
    <w:rsid w:val="001B3FFB"/>
    <w:rsid w:val="001C1F08"/>
    <w:rsid w:val="001C4DE9"/>
    <w:rsid w:val="001D1F03"/>
    <w:rsid w:val="001D7359"/>
    <w:rsid w:val="001E4CCB"/>
    <w:rsid w:val="001F07F6"/>
    <w:rsid w:val="001F2849"/>
    <w:rsid w:val="001F37AD"/>
    <w:rsid w:val="001F7F77"/>
    <w:rsid w:val="00200617"/>
    <w:rsid w:val="00201D03"/>
    <w:rsid w:val="00207205"/>
    <w:rsid w:val="00211253"/>
    <w:rsid w:val="00212C8F"/>
    <w:rsid w:val="002226BB"/>
    <w:rsid w:val="00233594"/>
    <w:rsid w:val="00241C1C"/>
    <w:rsid w:val="00245750"/>
    <w:rsid w:val="00260B79"/>
    <w:rsid w:val="002622D4"/>
    <w:rsid w:val="00267BC3"/>
    <w:rsid w:val="00274186"/>
    <w:rsid w:val="00276FC5"/>
    <w:rsid w:val="00281093"/>
    <w:rsid w:val="0029789E"/>
    <w:rsid w:val="002A351E"/>
    <w:rsid w:val="002A4BC2"/>
    <w:rsid w:val="002A5EE8"/>
    <w:rsid w:val="002B3BBA"/>
    <w:rsid w:val="002B7FE8"/>
    <w:rsid w:val="002C3507"/>
    <w:rsid w:val="002C4EF2"/>
    <w:rsid w:val="002D6683"/>
    <w:rsid w:val="002E0EB4"/>
    <w:rsid w:val="00313DD7"/>
    <w:rsid w:val="00315C73"/>
    <w:rsid w:val="00317DF4"/>
    <w:rsid w:val="003222E7"/>
    <w:rsid w:val="00333D01"/>
    <w:rsid w:val="003369D8"/>
    <w:rsid w:val="00350CA7"/>
    <w:rsid w:val="00352C1C"/>
    <w:rsid w:val="00357162"/>
    <w:rsid w:val="003613E2"/>
    <w:rsid w:val="00365AE0"/>
    <w:rsid w:val="003664FC"/>
    <w:rsid w:val="00371032"/>
    <w:rsid w:val="00374B9A"/>
    <w:rsid w:val="003765AD"/>
    <w:rsid w:val="00377B3E"/>
    <w:rsid w:val="003800CA"/>
    <w:rsid w:val="0038607A"/>
    <w:rsid w:val="00393EF0"/>
    <w:rsid w:val="003A38A3"/>
    <w:rsid w:val="003B0F57"/>
    <w:rsid w:val="003B6B8A"/>
    <w:rsid w:val="003B6D65"/>
    <w:rsid w:val="003C3365"/>
    <w:rsid w:val="003C5153"/>
    <w:rsid w:val="003C665B"/>
    <w:rsid w:val="00400C13"/>
    <w:rsid w:val="00404F0A"/>
    <w:rsid w:val="00405F2B"/>
    <w:rsid w:val="00413D30"/>
    <w:rsid w:val="00425792"/>
    <w:rsid w:val="004364E1"/>
    <w:rsid w:val="00437BCA"/>
    <w:rsid w:val="0044438C"/>
    <w:rsid w:val="004559EF"/>
    <w:rsid w:val="0046072B"/>
    <w:rsid w:val="00467E6E"/>
    <w:rsid w:val="004838A2"/>
    <w:rsid w:val="004840B7"/>
    <w:rsid w:val="00490078"/>
    <w:rsid w:val="004955E3"/>
    <w:rsid w:val="00495E17"/>
    <w:rsid w:val="004A049A"/>
    <w:rsid w:val="004A04DF"/>
    <w:rsid w:val="004B267B"/>
    <w:rsid w:val="004B405F"/>
    <w:rsid w:val="004B4B8B"/>
    <w:rsid w:val="004B6963"/>
    <w:rsid w:val="004B698A"/>
    <w:rsid w:val="004C36CF"/>
    <w:rsid w:val="004C46F8"/>
    <w:rsid w:val="004D3FAC"/>
    <w:rsid w:val="004F0D8F"/>
    <w:rsid w:val="004F4B38"/>
    <w:rsid w:val="004F7E42"/>
    <w:rsid w:val="005013A1"/>
    <w:rsid w:val="005040F0"/>
    <w:rsid w:val="0050497B"/>
    <w:rsid w:val="00512185"/>
    <w:rsid w:val="00514F39"/>
    <w:rsid w:val="00517068"/>
    <w:rsid w:val="00543588"/>
    <w:rsid w:val="0055577B"/>
    <w:rsid w:val="00563748"/>
    <w:rsid w:val="005639BA"/>
    <w:rsid w:val="005727A3"/>
    <w:rsid w:val="00584E7A"/>
    <w:rsid w:val="00585941"/>
    <w:rsid w:val="005869AB"/>
    <w:rsid w:val="005913B8"/>
    <w:rsid w:val="005952E8"/>
    <w:rsid w:val="005B3A6E"/>
    <w:rsid w:val="005C5C7E"/>
    <w:rsid w:val="005D5EDC"/>
    <w:rsid w:val="005D660B"/>
    <w:rsid w:val="005E0066"/>
    <w:rsid w:val="005E0BB6"/>
    <w:rsid w:val="005E32F8"/>
    <w:rsid w:val="005E52C1"/>
    <w:rsid w:val="006038A0"/>
    <w:rsid w:val="00622777"/>
    <w:rsid w:val="00625093"/>
    <w:rsid w:val="00630ACE"/>
    <w:rsid w:val="00644176"/>
    <w:rsid w:val="00644281"/>
    <w:rsid w:val="006557E3"/>
    <w:rsid w:val="00660141"/>
    <w:rsid w:val="00666110"/>
    <w:rsid w:val="006673DD"/>
    <w:rsid w:val="00667B1A"/>
    <w:rsid w:val="00673609"/>
    <w:rsid w:val="006740FC"/>
    <w:rsid w:val="0067565F"/>
    <w:rsid w:val="00680CF8"/>
    <w:rsid w:val="0068303A"/>
    <w:rsid w:val="00683AE9"/>
    <w:rsid w:val="006863F0"/>
    <w:rsid w:val="00690051"/>
    <w:rsid w:val="006901C6"/>
    <w:rsid w:val="00696BD1"/>
    <w:rsid w:val="006974B5"/>
    <w:rsid w:val="006A0A5B"/>
    <w:rsid w:val="006A0E4A"/>
    <w:rsid w:val="006A25B2"/>
    <w:rsid w:val="006D26A8"/>
    <w:rsid w:val="007019A6"/>
    <w:rsid w:val="007070A9"/>
    <w:rsid w:val="00712664"/>
    <w:rsid w:val="00712CBC"/>
    <w:rsid w:val="0071364A"/>
    <w:rsid w:val="00725576"/>
    <w:rsid w:val="0073692B"/>
    <w:rsid w:val="0074776E"/>
    <w:rsid w:val="0075388E"/>
    <w:rsid w:val="00770912"/>
    <w:rsid w:val="00773AF8"/>
    <w:rsid w:val="00773EC5"/>
    <w:rsid w:val="00776B04"/>
    <w:rsid w:val="00780D5C"/>
    <w:rsid w:val="00783A00"/>
    <w:rsid w:val="0079129A"/>
    <w:rsid w:val="00793345"/>
    <w:rsid w:val="00794609"/>
    <w:rsid w:val="007A147D"/>
    <w:rsid w:val="007A3E61"/>
    <w:rsid w:val="007A49D1"/>
    <w:rsid w:val="007B75BE"/>
    <w:rsid w:val="007C0422"/>
    <w:rsid w:val="007E7364"/>
    <w:rsid w:val="007E7C80"/>
    <w:rsid w:val="007F1794"/>
    <w:rsid w:val="007F4FC9"/>
    <w:rsid w:val="00804F83"/>
    <w:rsid w:val="00826AD8"/>
    <w:rsid w:val="00836708"/>
    <w:rsid w:val="00836B9B"/>
    <w:rsid w:val="008375D2"/>
    <w:rsid w:val="00840D58"/>
    <w:rsid w:val="00843711"/>
    <w:rsid w:val="0085406A"/>
    <w:rsid w:val="00854DB8"/>
    <w:rsid w:val="0086186D"/>
    <w:rsid w:val="00862603"/>
    <w:rsid w:val="00862F56"/>
    <w:rsid w:val="008731D2"/>
    <w:rsid w:val="0087500B"/>
    <w:rsid w:val="00876571"/>
    <w:rsid w:val="00880D19"/>
    <w:rsid w:val="00880DA9"/>
    <w:rsid w:val="00884FE4"/>
    <w:rsid w:val="008A5190"/>
    <w:rsid w:val="008A6D3A"/>
    <w:rsid w:val="008B412A"/>
    <w:rsid w:val="008E30C3"/>
    <w:rsid w:val="008F5A71"/>
    <w:rsid w:val="00900E23"/>
    <w:rsid w:val="00901399"/>
    <w:rsid w:val="00904513"/>
    <w:rsid w:val="00932B3C"/>
    <w:rsid w:val="00942609"/>
    <w:rsid w:val="009511E2"/>
    <w:rsid w:val="0095136F"/>
    <w:rsid w:val="00954380"/>
    <w:rsid w:val="009679F7"/>
    <w:rsid w:val="00971706"/>
    <w:rsid w:val="00973101"/>
    <w:rsid w:val="00980C11"/>
    <w:rsid w:val="00986F5E"/>
    <w:rsid w:val="009A0519"/>
    <w:rsid w:val="009A3474"/>
    <w:rsid w:val="009A7059"/>
    <w:rsid w:val="009B1E3A"/>
    <w:rsid w:val="009C6E7F"/>
    <w:rsid w:val="009D1269"/>
    <w:rsid w:val="009D3033"/>
    <w:rsid w:val="009D5432"/>
    <w:rsid w:val="009E3614"/>
    <w:rsid w:val="009E58EE"/>
    <w:rsid w:val="009F7452"/>
    <w:rsid w:val="00A02F66"/>
    <w:rsid w:val="00A16C7B"/>
    <w:rsid w:val="00A20576"/>
    <w:rsid w:val="00A274B5"/>
    <w:rsid w:val="00A34FCE"/>
    <w:rsid w:val="00A65CC6"/>
    <w:rsid w:val="00A714DB"/>
    <w:rsid w:val="00A71DC0"/>
    <w:rsid w:val="00A778DA"/>
    <w:rsid w:val="00A968EA"/>
    <w:rsid w:val="00AA025F"/>
    <w:rsid w:val="00AB05F3"/>
    <w:rsid w:val="00AB1C8E"/>
    <w:rsid w:val="00B03C22"/>
    <w:rsid w:val="00B13D56"/>
    <w:rsid w:val="00B145C0"/>
    <w:rsid w:val="00B4209F"/>
    <w:rsid w:val="00B461EA"/>
    <w:rsid w:val="00B47EFB"/>
    <w:rsid w:val="00B60BF4"/>
    <w:rsid w:val="00B61354"/>
    <w:rsid w:val="00B67329"/>
    <w:rsid w:val="00B84790"/>
    <w:rsid w:val="00B862AD"/>
    <w:rsid w:val="00B8732C"/>
    <w:rsid w:val="00B90500"/>
    <w:rsid w:val="00B9090C"/>
    <w:rsid w:val="00B913ED"/>
    <w:rsid w:val="00B932E2"/>
    <w:rsid w:val="00B94990"/>
    <w:rsid w:val="00BA5789"/>
    <w:rsid w:val="00BC374C"/>
    <w:rsid w:val="00BC5165"/>
    <w:rsid w:val="00BD1213"/>
    <w:rsid w:val="00BD6AE6"/>
    <w:rsid w:val="00BD775F"/>
    <w:rsid w:val="00BE6F40"/>
    <w:rsid w:val="00BE7969"/>
    <w:rsid w:val="00BF37EF"/>
    <w:rsid w:val="00C169CF"/>
    <w:rsid w:val="00C17799"/>
    <w:rsid w:val="00C17C35"/>
    <w:rsid w:val="00C21076"/>
    <w:rsid w:val="00C22123"/>
    <w:rsid w:val="00C42168"/>
    <w:rsid w:val="00C44DE2"/>
    <w:rsid w:val="00C47AFF"/>
    <w:rsid w:val="00C515A1"/>
    <w:rsid w:val="00C55676"/>
    <w:rsid w:val="00C567F4"/>
    <w:rsid w:val="00C70209"/>
    <w:rsid w:val="00C8031B"/>
    <w:rsid w:val="00C82195"/>
    <w:rsid w:val="00CC6606"/>
    <w:rsid w:val="00CD30C4"/>
    <w:rsid w:val="00CE42DC"/>
    <w:rsid w:val="00CF4932"/>
    <w:rsid w:val="00D15911"/>
    <w:rsid w:val="00D22A2B"/>
    <w:rsid w:val="00D25825"/>
    <w:rsid w:val="00D308B2"/>
    <w:rsid w:val="00D35FA6"/>
    <w:rsid w:val="00D455E2"/>
    <w:rsid w:val="00D517C9"/>
    <w:rsid w:val="00D5327A"/>
    <w:rsid w:val="00D6188F"/>
    <w:rsid w:val="00D70C84"/>
    <w:rsid w:val="00D76DBF"/>
    <w:rsid w:val="00D84D3C"/>
    <w:rsid w:val="00D84FCC"/>
    <w:rsid w:val="00D8799D"/>
    <w:rsid w:val="00D87B0F"/>
    <w:rsid w:val="00DA07D4"/>
    <w:rsid w:val="00DB0914"/>
    <w:rsid w:val="00DB66A0"/>
    <w:rsid w:val="00DC19B6"/>
    <w:rsid w:val="00DC4D9C"/>
    <w:rsid w:val="00DD0F5B"/>
    <w:rsid w:val="00DD665A"/>
    <w:rsid w:val="00DD77C2"/>
    <w:rsid w:val="00DE2481"/>
    <w:rsid w:val="00DF2804"/>
    <w:rsid w:val="00DF2F2E"/>
    <w:rsid w:val="00DF7B52"/>
    <w:rsid w:val="00E03DAA"/>
    <w:rsid w:val="00E110C1"/>
    <w:rsid w:val="00E14863"/>
    <w:rsid w:val="00E17FD9"/>
    <w:rsid w:val="00E21190"/>
    <w:rsid w:val="00E356A9"/>
    <w:rsid w:val="00E4337A"/>
    <w:rsid w:val="00E519D0"/>
    <w:rsid w:val="00E60FFD"/>
    <w:rsid w:val="00E64313"/>
    <w:rsid w:val="00E76B02"/>
    <w:rsid w:val="00E84F0E"/>
    <w:rsid w:val="00E956BF"/>
    <w:rsid w:val="00EA7EBA"/>
    <w:rsid w:val="00EB7E27"/>
    <w:rsid w:val="00EC3867"/>
    <w:rsid w:val="00EE4599"/>
    <w:rsid w:val="00EE6545"/>
    <w:rsid w:val="00EE6DCB"/>
    <w:rsid w:val="00EF4665"/>
    <w:rsid w:val="00EF483A"/>
    <w:rsid w:val="00EF5EA4"/>
    <w:rsid w:val="00F167DC"/>
    <w:rsid w:val="00F23A35"/>
    <w:rsid w:val="00F23E5F"/>
    <w:rsid w:val="00F552BF"/>
    <w:rsid w:val="00F7308C"/>
    <w:rsid w:val="00F74B61"/>
    <w:rsid w:val="00F91454"/>
    <w:rsid w:val="00F93725"/>
    <w:rsid w:val="00FA6612"/>
    <w:rsid w:val="00FC345E"/>
    <w:rsid w:val="00FC3517"/>
    <w:rsid w:val="00FD3594"/>
    <w:rsid w:val="00FD35F1"/>
    <w:rsid w:val="00FE4F68"/>
    <w:rsid w:val="00FE564E"/>
    <w:rsid w:val="00FF256B"/>
    <w:rsid w:val="00FF3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9C3A"/>
  <w15:chartTrackingRefBased/>
  <w15:docId w15:val="{4532621D-EA7C-4893-91F0-83293049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9A2"/>
  </w:style>
  <w:style w:type="paragraph" w:styleId="Heading1">
    <w:name w:val="heading 1"/>
    <w:basedOn w:val="Normal"/>
    <w:next w:val="Normal"/>
    <w:link w:val="Heading1Char"/>
    <w:uiPriority w:val="9"/>
    <w:qFormat/>
    <w:rsid w:val="00854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4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54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06A"/>
    <w:rPr>
      <w:rFonts w:eastAsiaTheme="majorEastAsia" w:cstheme="majorBidi"/>
      <w:color w:val="272727" w:themeColor="text1" w:themeTint="D8"/>
    </w:rPr>
  </w:style>
  <w:style w:type="paragraph" w:styleId="Title">
    <w:name w:val="Title"/>
    <w:basedOn w:val="Normal"/>
    <w:next w:val="Normal"/>
    <w:link w:val="TitleChar"/>
    <w:uiPriority w:val="10"/>
    <w:qFormat/>
    <w:rsid w:val="00854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06A"/>
    <w:pPr>
      <w:spacing w:before="160"/>
      <w:jc w:val="center"/>
    </w:pPr>
    <w:rPr>
      <w:i/>
      <w:iCs/>
      <w:color w:val="404040" w:themeColor="text1" w:themeTint="BF"/>
    </w:rPr>
  </w:style>
  <w:style w:type="character" w:customStyle="1" w:styleId="QuoteChar">
    <w:name w:val="Quote Char"/>
    <w:basedOn w:val="DefaultParagraphFont"/>
    <w:link w:val="Quote"/>
    <w:uiPriority w:val="29"/>
    <w:rsid w:val="0085406A"/>
    <w:rPr>
      <w:i/>
      <w:iCs/>
      <w:color w:val="404040" w:themeColor="text1" w:themeTint="BF"/>
    </w:rPr>
  </w:style>
  <w:style w:type="paragraph" w:styleId="ListParagraph">
    <w:name w:val="List Paragraph"/>
    <w:basedOn w:val="Normal"/>
    <w:uiPriority w:val="34"/>
    <w:qFormat/>
    <w:rsid w:val="0085406A"/>
    <w:pPr>
      <w:ind w:left="720"/>
      <w:contextualSpacing/>
    </w:pPr>
  </w:style>
  <w:style w:type="character" w:styleId="IntenseEmphasis">
    <w:name w:val="Intense Emphasis"/>
    <w:basedOn w:val="DefaultParagraphFont"/>
    <w:uiPriority w:val="21"/>
    <w:qFormat/>
    <w:rsid w:val="0085406A"/>
    <w:rPr>
      <w:i/>
      <w:iCs/>
      <w:color w:val="0F4761" w:themeColor="accent1" w:themeShade="BF"/>
    </w:rPr>
  </w:style>
  <w:style w:type="paragraph" w:styleId="IntenseQuote">
    <w:name w:val="Intense Quote"/>
    <w:basedOn w:val="Normal"/>
    <w:next w:val="Normal"/>
    <w:link w:val="IntenseQuoteChar"/>
    <w:uiPriority w:val="30"/>
    <w:qFormat/>
    <w:rsid w:val="00854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06A"/>
    <w:rPr>
      <w:i/>
      <w:iCs/>
      <w:color w:val="0F4761" w:themeColor="accent1" w:themeShade="BF"/>
    </w:rPr>
  </w:style>
  <w:style w:type="character" w:styleId="IntenseReference">
    <w:name w:val="Intense Reference"/>
    <w:basedOn w:val="DefaultParagraphFont"/>
    <w:uiPriority w:val="32"/>
    <w:qFormat/>
    <w:rsid w:val="0085406A"/>
    <w:rPr>
      <w:b/>
      <w:bCs/>
      <w:smallCaps/>
      <w:color w:val="0F4761" w:themeColor="accent1" w:themeShade="BF"/>
      <w:spacing w:val="5"/>
    </w:rPr>
  </w:style>
  <w:style w:type="paragraph" w:customStyle="1" w:styleId="bodytext">
    <w:name w:val="bodytext"/>
    <w:link w:val="bodytextChar"/>
    <w:qFormat/>
    <w:rsid w:val="009D3033"/>
    <w:pPr>
      <w:spacing w:after="120" w:line="240" w:lineRule="auto"/>
      <w:jc w:val="both"/>
    </w:pPr>
    <w:rPr>
      <w:rFonts w:ascii="Times New Roman" w:eastAsia="Times New Roman" w:hAnsi="Times New Roman" w:cs="Times New Roman"/>
      <w:kern w:val="0"/>
      <w:szCs w:val="24"/>
      <w:lang w:val="en-GB" w:eastAsia="sv-SE"/>
      <w14:ligatures w14:val="none"/>
    </w:rPr>
  </w:style>
  <w:style w:type="character" w:customStyle="1" w:styleId="bodytextChar">
    <w:name w:val="bodytext Char"/>
    <w:link w:val="bodytext"/>
    <w:rsid w:val="009D3033"/>
    <w:rPr>
      <w:rFonts w:ascii="Times New Roman" w:eastAsia="Times New Roman" w:hAnsi="Times New Roman" w:cs="Times New Roman"/>
      <w:kern w:val="0"/>
      <w:szCs w:val="24"/>
      <w:lang w:val="en-GB" w:eastAsia="sv-SE"/>
      <w14:ligatures w14:val="none"/>
    </w:rPr>
  </w:style>
  <w:style w:type="paragraph" w:styleId="FootnoteText">
    <w:name w:val="footnote text"/>
    <w:aliases w:val="fotnotetext,Footnote Text Char1,Footnote Text Char1 Char,Footnote Text Char Char Char,Fußnote,Schriftart: 9 pt,Schriftart: 8 pt,Fußnotentext Char,Fußnote Char,Schriftart: 9 pt Char,Schriftart: 10 pt Char,Schriftart: 8 pt Char"/>
    <w:basedOn w:val="bodytext"/>
    <w:link w:val="FootnoteTextChar"/>
    <w:uiPriority w:val="99"/>
    <w:qFormat/>
    <w:rsid w:val="009D3033"/>
    <w:pPr>
      <w:spacing w:line="200" w:lineRule="exact"/>
      <w:ind w:left="255" w:hanging="255"/>
      <w:jc w:val="left"/>
    </w:pPr>
    <w:rPr>
      <w:sz w:val="18"/>
      <w:szCs w:val="20"/>
    </w:rPr>
  </w:style>
  <w:style w:type="character" w:customStyle="1" w:styleId="FootnoteTextChar">
    <w:name w:val="Footnote Text Char"/>
    <w:aliases w:val="fotnotetext Char,Footnote Text Char1 Char1,Footnote Text Char1 Char Char,Footnote Text Char Char Char Char,Fußnote Char1,Schriftart: 9 pt Char1,Schriftart: 8 pt Char1,Fußnotentext Char Char,Fußnote Char Char,Schriftart: 9 pt Char Char"/>
    <w:basedOn w:val="DefaultParagraphFont"/>
    <w:link w:val="FootnoteText"/>
    <w:uiPriority w:val="99"/>
    <w:rsid w:val="009D3033"/>
    <w:rPr>
      <w:rFonts w:ascii="Times New Roman" w:eastAsia="Times New Roman" w:hAnsi="Times New Roman" w:cs="Times New Roman"/>
      <w:kern w:val="0"/>
      <w:sz w:val="18"/>
      <w:szCs w:val="20"/>
      <w:lang w:val="en-GB" w:eastAsia="sv-SE"/>
      <w14:ligatures w14:val="none"/>
    </w:rPr>
  </w:style>
  <w:style w:type="character" w:styleId="FootnoteReference">
    <w:name w:val="footnote reference"/>
    <w:aliases w:val="Footnote Reference in text,Footnote symbol,Footnote Reference Number,Char1,Ref,de nota al pie,Footnote reference number,Times 10 Point,Exposant 3 Point,EN Footnote Reference,note TESI,SUPERS,Nota,Footnote number,EN Footnote text,E..."/>
    <w:link w:val="FootnotesymbolCarZchn"/>
    <w:uiPriority w:val="99"/>
    <w:qFormat/>
    <w:rsid w:val="009D303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3033"/>
    <w:pPr>
      <w:spacing w:before="60" w:after="120" w:line="240" w:lineRule="exact"/>
      <w:ind w:left="357" w:hanging="357"/>
      <w:jc w:val="both"/>
    </w:pPr>
    <w:rPr>
      <w:vertAlign w:val="superscript"/>
    </w:rPr>
  </w:style>
  <w:style w:type="character" w:styleId="BookTitle">
    <w:name w:val="Book Title"/>
    <w:basedOn w:val="DefaultParagraphFont"/>
    <w:uiPriority w:val="33"/>
    <w:qFormat/>
    <w:rsid w:val="009D3033"/>
    <w:rPr>
      <w:b/>
      <w:bCs/>
      <w:i/>
      <w:iCs/>
      <w:spacing w:val="5"/>
    </w:rPr>
  </w:style>
  <w:style w:type="character" w:styleId="Emphasis">
    <w:name w:val="Emphasis"/>
    <w:uiPriority w:val="20"/>
    <w:qFormat/>
    <w:rsid w:val="002A351E"/>
    <w:rPr>
      <w:rFonts w:cs="Times New Roman"/>
      <w:i/>
    </w:rPr>
  </w:style>
  <w:style w:type="paragraph" w:styleId="NormalWeb">
    <w:name w:val="Normal (Web)"/>
    <w:basedOn w:val="Normal"/>
    <w:uiPriority w:val="99"/>
    <w:unhideWhenUsed/>
    <w:rsid w:val="002A351E"/>
    <w:pPr>
      <w:spacing w:before="100" w:beforeAutospacing="1" w:after="100" w:afterAutospacing="1" w:line="240" w:lineRule="auto"/>
    </w:pPr>
    <w:rPr>
      <w:rFonts w:ascii="Times New Roman" w:eastAsia="Calibri" w:hAnsi="Times New Roman" w:cs="Times New Roman"/>
      <w:kern w:val="0"/>
      <w:sz w:val="24"/>
      <w:szCs w:val="24"/>
      <w:lang w:val="en-US" w:eastAsia="en-GB"/>
      <w14:ligatures w14:val="none"/>
    </w:rPr>
  </w:style>
  <w:style w:type="paragraph" w:styleId="Revision">
    <w:name w:val="Revision"/>
    <w:hidden/>
    <w:uiPriority w:val="99"/>
    <w:semiHidden/>
    <w:rsid w:val="00177DE3"/>
    <w:pPr>
      <w:spacing w:after="0" w:line="240" w:lineRule="auto"/>
    </w:pPr>
  </w:style>
  <w:style w:type="character" w:styleId="CommentReference">
    <w:name w:val="annotation reference"/>
    <w:basedOn w:val="DefaultParagraphFont"/>
    <w:uiPriority w:val="99"/>
    <w:semiHidden/>
    <w:unhideWhenUsed/>
    <w:rsid w:val="0071364A"/>
    <w:rPr>
      <w:sz w:val="16"/>
      <w:szCs w:val="16"/>
    </w:rPr>
  </w:style>
  <w:style w:type="paragraph" w:styleId="CommentText">
    <w:name w:val="annotation text"/>
    <w:basedOn w:val="Normal"/>
    <w:link w:val="CommentTextChar"/>
    <w:uiPriority w:val="99"/>
    <w:unhideWhenUsed/>
    <w:rsid w:val="0071364A"/>
    <w:pPr>
      <w:spacing w:line="240" w:lineRule="auto"/>
    </w:pPr>
    <w:rPr>
      <w:sz w:val="20"/>
      <w:szCs w:val="20"/>
    </w:rPr>
  </w:style>
  <w:style w:type="character" w:customStyle="1" w:styleId="CommentTextChar">
    <w:name w:val="Comment Text Char"/>
    <w:basedOn w:val="DefaultParagraphFont"/>
    <w:link w:val="CommentText"/>
    <w:uiPriority w:val="99"/>
    <w:rsid w:val="0071364A"/>
    <w:rPr>
      <w:sz w:val="20"/>
      <w:szCs w:val="20"/>
    </w:rPr>
  </w:style>
  <w:style w:type="paragraph" w:styleId="CommentSubject">
    <w:name w:val="annotation subject"/>
    <w:basedOn w:val="CommentText"/>
    <w:next w:val="CommentText"/>
    <w:link w:val="CommentSubjectChar"/>
    <w:uiPriority w:val="99"/>
    <w:semiHidden/>
    <w:unhideWhenUsed/>
    <w:rsid w:val="0071364A"/>
    <w:rPr>
      <w:b/>
      <w:bCs/>
    </w:rPr>
  </w:style>
  <w:style w:type="character" w:customStyle="1" w:styleId="CommentSubjectChar">
    <w:name w:val="Comment Subject Char"/>
    <w:basedOn w:val="CommentTextChar"/>
    <w:link w:val="CommentSubject"/>
    <w:uiPriority w:val="99"/>
    <w:semiHidden/>
    <w:rsid w:val="0071364A"/>
    <w:rPr>
      <w:b/>
      <w:bCs/>
      <w:sz w:val="20"/>
      <w:szCs w:val="20"/>
    </w:rPr>
  </w:style>
  <w:style w:type="character" w:styleId="Hyperlink">
    <w:name w:val="Hyperlink"/>
    <w:basedOn w:val="DefaultParagraphFont"/>
    <w:uiPriority w:val="99"/>
    <w:unhideWhenUsed/>
    <w:rsid w:val="00E14863"/>
    <w:rPr>
      <w:color w:val="467886" w:themeColor="hyperlink"/>
      <w:u w:val="single"/>
    </w:rPr>
  </w:style>
  <w:style w:type="character" w:styleId="UnresolvedMention">
    <w:name w:val="Unresolved Mention"/>
    <w:basedOn w:val="DefaultParagraphFont"/>
    <w:uiPriority w:val="99"/>
    <w:semiHidden/>
    <w:unhideWhenUsed/>
    <w:rsid w:val="00E14863"/>
    <w:rPr>
      <w:color w:val="605E5C"/>
      <w:shd w:val="clear" w:color="auto" w:fill="E1DFDD"/>
    </w:rPr>
  </w:style>
  <w:style w:type="paragraph" w:styleId="Header">
    <w:name w:val="header"/>
    <w:basedOn w:val="Normal"/>
    <w:link w:val="HeaderChar"/>
    <w:uiPriority w:val="99"/>
    <w:unhideWhenUsed/>
    <w:rsid w:val="00CE4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42DC"/>
  </w:style>
  <w:style w:type="paragraph" w:styleId="Footer">
    <w:name w:val="footer"/>
    <w:basedOn w:val="Normal"/>
    <w:link w:val="FooterChar"/>
    <w:uiPriority w:val="99"/>
    <w:unhideWhenUsed/>
    <w:rsid w:val="00CE4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42DC"/>
  </w:style>
  <w:style w:type="character" w:customStyle="1" w:styleId="citation">
    <w:name w:val="citation"/>
    <w:basedOn w:val="DefaultParagraphFont"/>
    <w:rsid w:val="00D455E2"/>
  </w:style>
  <w:style w:type="character" w:styleId="FollowedHyperlink">
    <w:name w:val="FollowedHyperlink"/>
    <w:basedOn w:val="DefaultParagraphFont"/>
    <w:uiPriority w:val="99"/>
    <w:semiHidden/>
    <w:unhideWhenUsed/>
    <w:rsid w:val="005B3A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400">
      <w:bodyDiv w:val="1"/>
      <w:marLeft w:val="0"/>
      <w:marRight w:val="0"/>
      <w:marTop w:val="0"/>
      <w:marBottom w:val="0"/>
      <w:divBdr>
        <w:top w:val="none" w:sz="0" w:space="0" w:color="auto"/>
        <w:left w:val="none" w:sz="0" w:space="0" w:color="auto"/>
        <w:bottom w:val="none" w:sz="0" w:space="0" w:color="auto"/>
        <w:right w:val="none" w:sz="0" w:space="0" w:color="auto"/>
      </w:divBdr>
    </w:div>
    <w:div w:id="233247454">
      <w:bodyDiv w:val="1"/>
      <w:marLeft w:val="0"/>
      <w:marRight w:val="0"/>
      <w:marTop w:val="0"/>
      <w:marBottom w:val="0"/>
      <w:divBdr>
        <w:top w:val="none" w:sz="0" w:space="0" w:color="auto"/>
        <w:left w:val="none" w:sz="0" w:space="0" w:color="auto"/>
        <w:bottom w:val="none" w:sz="0" w:space="0" w:color="auto"/>
        <w:right w:val="none" w:sz="0" w:space="0" w:color="auto"/>
      </w:divBdr>
    </w:div>
    <w:div w:id="483591748">
      <w:bodyDiv w:val="1"/>
      <w:marLeft w:val="0"/>
      <w:marRight w:val="0"/>
      <w:marTop w:val="0"/>
      <w:marBottom w:val="0"/>
      <w:divBdr>
        <w:top w:val="none" w:sz="0" w:space="0" w:color="auto"/>
        <w:left w:val="none" w:sz="0" w:space="0" w:color="auto"/>
        <w:bottom w:val="none" w:sz="0" w:space="0" w:color="auto"/>
        <w:right w:val="none" w:sz="0" w:space="0" w:color="auto"/>
      </w:divBdr>
    </w:div>
    <w:div w:id="529802267">
      <w:bodyDiv w:val="1"/>
      <w:marLeft w:val="0"/>
      <w:marRight w:val="0"/>
      <w:marTop w:val="0"/>
      <w:marBottom w:val="0"/>
      <w:divBdr>
        <w:top w:val="none" w:sz="0" w:space="0" w:color="auto"/>
        <w:left w:val="none" w:sz="0" w:space="0" w:color="auto"/>
        <w:bottom w:val="none" w:sz="0" w:space="0" w:color="auto"/>
        <w:right w:val="none" w:sz="0" w:space="0" w:color="auto"/>
      </w:divBdr>
    </w:div>
    <w:div w:id="642319717">
      <w:bodyDiv w:val="1"/>
      <w:marLeft w:val="0"/>
      <w:marRight w:val="0"/>
      <w:marTop w:val="0"/>
      <w:marBottom w:val="0"/>
      <w:divBdr>
        <w:top w:val="none" w:sz="0" w:space="0" w:color="auto"/>
        <w:left w:val="none" w:sz="0" w:space="0" w:color="auto"/>
        <w:bottom w:val="none" w:sz="0" w:space="0" w:color="auto"/>
        <w:right w:val="none" w:sz="0" w:space="0" w:color="auto"/>
      </w:divBdr>
    </w:div>
    <w:div w:id="649596573">
      <w:bodyDiv w:val="1"/>
      <w:marLeft w:val="0"/>
      <w:marRight w:val="0"/>
      <w:marTop w:val="0"/>
      <w:marBottom w:val="0"/>
      <w:divBdr>
        <w:top w:val="none" w:sz="0" w:space="0" w:color="auto"/>
        <w:left w:val="none" w:sz="0" w:space="0" w:color="auto"/>
        <w:bottom w:val="none" w:sz="0" w:space="0" w:color="auto"/>
        <w:right w:val="none" w:sz="0" w:space="0" w:color="auto"/>
      </w:divBdr>
    </w:div>
    <w:div w:id="656808677">
      <w:bodyDiv w:val="1"/>
      <w:marLeft w:val="0"/>
      <w:marRight w:val="0"/>
      <w:marTop w:val="0"/>
      <w:marBottom w:val="0"/>
      <w:divBdr>
        <w:top w:val="none" w:sz="0" w:space="0" w:color="auto"/>
        <w:left w:val="none" w:sz="0" w:space="0" w:color="auto"/>
        <w:bottom w:val="none" w:sz="0" w:space="0" w:color="auto"/>
        <w:right w:val="none" w:sz="0" w:space="0" w:color="auto"/>
      </w:divBdr>
      <w:divsChild>
        <w:div w:id="996112303">
          <w:marLeft w:val="0"/>
          <w:marRight w:val="0"/>
          <w:marTop w:val="0"/>
          <w:marBottom w:val="0"/>
          <w:divBdr>
            <w:top w:val="none" w:sz="0" w:space="0" w:color="auto"/>
            <w:left w:val="none" w:sz="0" w:space="0" w:color="auto"/>
            <w:bottom w:val="none" w:sz="0" w:space="0" w:color="auto"/>
            <w:right w:val="none" w:sz="0" w:space="0" w:color="auto"/>
          </w:divBdr>
        </w:div>
      </w:divsChild>
    </w:div>
    <w:div w:id="686450275">
      <w:bodyDiv w:val="1"/>
      <w:marLeft w:val="0"/>
      <w:marRight w:val="0"/>
      <w:marTop w:val="0"/>
      <w:marBottom w:val="0"/>
      <w:divBdr>
        <w:top w:val="none" w:sz="0" w:space="0" w:color="auto"/>
        <w:left w:val="none" w:sz="0" w:space="0" w:color="auto"/>
        <w:bottom w:val="none" w:sz="0" w:space="0" w:color="auto"/>
        <w:right w:val="none" w:sz="0" w:space="0" w:color="auto"/>
      </w:divBdr>
    </w:div>
    <w:div w:id="875696672">
      <w:bodyDiv w:val="1"/>
      <w:marLeft w:val="0"/>
      <w:marRight w:val="0"/>
      <w:marTop w:val="0"/>
      <w:marBottom w:val="0"/>
      <w:divBdr>
        <w:top w:val="none" w:sz="0" w:space="0" w:color="auto"/>
        <w:left w:val="none" w:sz="0" w:space="0" w:color="auto"/>
        <w:bottom w:val="none" w:sz="0" w:space="0" w:color="auto"/>
        <w:right w:val="none" w:sz="0" w:space="0" w:color="auto"/>
      </w:divBdr>
    </w:div>
    <w:div w:id="1481268569">
      <w:bodyDiv w:val="1"/>
      <w:marLeft w:val="0"/>
      <w:marRight w:val="0"/>
      <w:marTop w:val="0"/>
      <w:marBottom w:val="0"/>
      <w:divBdr>
        <w:top w:val="none" w:sz="0" w:space="0" w:color="auto"/>
        <w:left w:val="none" w:sz="0" w:space="0" w:color="auto"/>
        <w:bottom w:val="none" w:sz="0" w:space="0" w:color="auto"/>
        <w:right w:val="none" w:sz="0" w:space="0" w:color="auto"/>
      </w:divBdr>
    </w:div>
    <w:div w:id="21315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research.lu.se/en/persons/vladislava-stoyanova/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research.lu.se/en/persons/serde-atalay/publications/" TargetMode="External"/><Relationship Id="rId4" Type="http://schemas.openxmlformats.org/officeDocument/2006/relationships/settings" Target="settings.xml"/><Relationship Id="rId9" Type="http://schemas.openxmlformats.org/officeDocument/2006/relationships/hyperlink" Target="https://portal.research.lu.se/en/persons/alezini-loxa/pub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35EC5-D46F-43EF-86F5-586B66C7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4623</Words>
  <Characters>24508</Characters>
  <Application>Microsoft Office Word</Application>
  <DocSecurity>0</DocSecurity>
  <Lines>204</Lines>
  <Paragraphs>58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Lunds universitet</Company>
  <LinksUpToDate>false</LinksUpToDate>
  <CharactersWithSpaces>29073</CharactersWithSpaces>
  <SharedDoc>false</SharedDoc>
  <HLinks>
    <vt:vector size="18" baseType="variant">
      <vt:variant>
        <vt:i4>2752637</vt:i4>
      </vt:variant>
      <vt:variant>
        <vt:i4>6</vt:i4>
      </vt:variant>
      <vt:variant>
        <vt:i4>0</vt:i4>
      </vt:variant>
      <vt:variant>
        <vt:i4>5</vt:i4>
      </vt:variant>
      <vt:variant>
        <vt:lpwstr>https://portal.research.lu.se/en/persons/serde-atalay/publications/</vt:lpwstr>
      </vt:variant>
      <vt:variant>
        <vt:lpwstr/>
      </vt:variant>
      <vt:variant>
        <vt:i4>4128875</vt:i4>
      </vt:variant>
      <vt:variant>
        <vt:i4>3</vt:i4>
      </vt:variant>
      <vt:variant>
        <vt:i4>0</vt:i4>
      </vt:variant>
      <vt:variant>
        <vt:i4>5</vt:i4>
      </vt:variant>
      <vt:variant>
        <vt:lpwstr>https://portal.research.lu.se/en/persons/alezini-loxa/publications/</vt:lpwstr>
      </vt:variant>
      <vt:variant>
        <vt:lpwstr/>
      </vt:variant>
      <vt:variant>
        <vt:i4>7536696</vt:i4>
      </vt:variant>
      <vt:variant>
        <vt:i4>0</vt:i4>
      </vt:variant>
      <vt:variant>
        <vt:i4>0</vt:i4>
      </vt:variant>
      <vt:variant>
        <vt:i4>5</vt:i4>
      </vt:variant>
      <vt:variant>
        <vt:lpwstr>https://portal.research.lu.se/en/persons/vladislava-stoyanova/publications/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Alezini Loxa</dc:creator>
  <cp:keywords/>
  <dc:description/>
  <cp:lastModifiedBy>Vladislava Stoyanova</cp:lastModifiedBy>
  <cp:revision>3</cp:revision>
  <dcterms:created xsi:type="dcterms:W3CDTF">2025-03-08T13:32:00Z</dcterms:created>
  <dcterms:modified xsi:type="dcterms:W3CDTF">2025-03-27T10:53:00Z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id="ydqOiea8"/&gt;&lt;style id="http://www.zotero.org/styles/oscola" hasBibliography="1" bibliographyStyleHasBeenSet="0"/&gt;&lt;prefs&gt;&lt;pref name="fieldType" value="Field"/&gt;&lt;pref name="noteType" value="1"/&gt;&lt;/pre</vt:lpwstr>
  </property>
  <property fmtid="{D5CDD505-2E9C-101B-9397-08002B2CF9AE}" pid="3" name="ZOTERO_PREF_2">
    <vt:lpwstr>fs&gt;&lt;/data&gt;</vt:lpwstr>
  </property>
</Properties>
</file>