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91F9" w14:textId="5A800EC5" w:rsidR="004176BF" w:rsidRPr="005F44F9" w:rsidRDefault="008D44CB" w:rsidP="00BE3CB2">
      <w:pPr>
        <w:pStyle w:val="ChapTitle"/>
        <w:rPr>
          <w:rFonts w:ascii="Times New Roman" w:eastAsia="Calibri" w:hAnsi="Times New Roman"/>
          <w:b/>
          <w:sz w:val="28"/>
          <w:szCs w:val="28"/>
        </w:rPr>
      </w:pPr>
      <w:bookmarkStart w:id="0" w:name="_Toc470022106"/>
      <w:r w:rsidRPr="005F44F9">
        <w:rPr>
          <w:rFonts w:ascii="Times New Roman" w:eastAsia="Calibri" w:hAnsi="Times New Roman"/>
          <w:b/>
          <w:sz w:val="28"/>
          <w:szCs w:val="28"/>
        </w:rPr>
        <w:t>The Legal Basis for EU Criminal Law Legislation—A</w:t>
      </w:r>
      <w:r w:rsidR="006E1142" w:rsidRPr="005F44F9">
        <w:rPr>
          <w:rFonts w:ascii="Times New Roman" w:eastAsia="Calibri" w:hAnsi="Times New Roman"/>
          <w:b/>
          <w:sz w:val="28"/>
          <w:szCs w:val="28"/>
        </w:rPr>
        <w:t xml:space="preserve"> Question of Federalism</w:t>
      </w:r>
      <w:r w:rsidRPr="005F44F9">
        <w:rPr>
          <w:rFonts w:ascii="Times New Roman" w:eastAsia="Calibri" w:hAnsi="Times New Roman"/>
          <w:b/>
          <w:sz w:val="28"/>
          <w:szCs w:val="28"/>
        </w:rPr>
        <w:t>?</w:t>
      </w:r>
      <w:bookmarkStart w:id="1" w:name="_Toc470022107"/>
      <w:bookmarkEnd w:id="0"/>
    </w:p>
    <w:p w14:paraId="06937B7C" w14:textId="3DF2C7F2" w:rsidR="005F44F9" w:rsidRDefault="008D2FFB" w:rsidP="008D2FFB">
      <w:pPr>
        <w:pStyle w:val="ChapTitle"/>
        <w:jc w:val="left"/>
        <w:rPr>
          <w:rFonts w:ascii="Times New Roman" w:eastAsia="Calibri" w:hAnsi="Times New Roman"/>
          <w:b/>
          <w:sz w:val="22"/>
          <w:szCs w:val="22"/>
        </w:rPr>
      </w:pPr>
      <w:r w:rsidRPr="008D2FFB">
        <w:rPr>
          <w:rFonts w:ascii="Times New Roman" w:eastAsia="Calibri" w:hAnsi="Times New Roman"/>
          <w:b/>
          <w:sz w:val="22"/>
          <w:szCs w:val="22"/>
        </w:rPr>
        <w:t>Jacob Öberg</w:t>
      </w:r>
      <w:r>
        <w:rPr>
          <w:rStyle w:val="Slutnotsreferens"/>
          <w:rFonts w:ascii="Times New Roman" w:eastAsia="Calibri" w:hAnsi="Times New Roman"/>
          <w:b/>
          <w:sz w:val="22"/>
          <w:szCs w:val="22"/>
        </w:rPr>
        <w:endnoteReference w:id="1"/>
      </w:r>
    </w:p>
    <w:p w14:paraId="25ED5D24" w14:textId="77777777" w:rsidR="005F44F9" w:rsidRDefault="005F44F9" w:rsidP="008D2FFB">
      <w:pPr>
        <w:pStyle w:val="ChapTitle"/>
        <w:jc w:val="left"/>
        <w:rPr>
          <w:rFonts w:ascii="Times New Roman" w:eastAsia="Calibri" w:hAnsi="Times New Roman"/>
          <w:b/>
          <w:sz w:val="22"/>
          <w:szCs w:val="22"/>
        </w:rPr>
      </w:pPr>
    </w:p>
    <w:p w14:paraId="2A3D73AC" w14:textId="2907A66C" w:rsidR="009A2233" w:rsidRPr="009A2233" w:rsidRDefault="009A2233" w:rsidP="005F44F9">
      <w:pPr>
        <w:spacing w:line="276" w:lineRule="auto"/>
        <w:rPr>
          <w:sz w:val="22"/>
          <w:szCs w:val="22"/>
        </w:rPr>
      </w:pPr>
      <w:r w:rsidRPr="009A2233">
        <w:rPr>
          <w:i/>
          <w:sz w:val="22"/>
          <w:szCs w:val="22"/>
        </w:rPr>
        <w:t xml:space="preserve">Article 83(2) TFEU, introduced by the Treaty of Lisbon, confers a power on the EU to harmonize Member States’ legislation to define criminal offences and criminal sanctions. Nonetheless, uncertainty persists as to whether this provision exhaustively determines the EU’s power to adopt criminal law to enforce its policies. </w:t>
      </w:r>
      <w:r w:rsidRPr="009A2233">
        <w:rPr>
          <w:rFonts w:eastAsia="Calibri"/>
          <w:i/>
          <w:sz w:val="22"/>
          <w:szCs w:val="22"/>
          <w:lang w:eastAsia="sv-SE"/>
        </w:rPr>
        <w:t>The article</w:t>
      </w:r>
      <w:r w:rsidRPr="009A2233">
        <w:rPr>
          <w:rFonts w:eastAsia="Calibri"/>
          <w:i/>
          <w:sz w:val="22"/>
          <w:szCs w:val="22"/>
        </w:rPr>
        <w:t xml:space="preserve"> outlines the core case for viewing Article 83(2) TFEU as a </w:t>
      </w:r>
      <w:proofErr w:type="spellStart"/>
      <w:r w:rsidRPr="009A2233">
        <w:rPr>
          <w:rFonts w:eastAsia="Calibri"/>
          <w:i/>
          <w:sz w:val="22"/>
          <w:szCs w:val="22"/>
        </w:rPr>
        <w:t>lex</w:t>
      </w:r>
      <w:proofErr w:type="spellEnd"/>
      <w:r w:rsidRPr="009A2233">
        <w:rPr>
          <w:rFonts w:eastAsia="Calibri"/>
          <w:i/>
          <w:sz w:val="22"/>
          <w:szCs w:val="22"/>
        </w:rPr>
        <w:t xml:space="preserve"> </w:t>
      </w:r>
      <w:proofErr w:type="spellStart"/>
      <w:r w:rsidRPr="009A2233">
        <w:rPr>
          <w:rFonts w:eastAsia="Calibri"/>
          <w:i/>
          <w:sz w:val="22"/>
          <w:szCs w:val="22"/>
        </w:rPr>
        <w:t>specialis</w:t>
      </w:r>
      <w:proofErr w:type="spellEnd"/>
      <w:r w:rsidRPr="009A2233">
        <w:rPr>
          <w:rFonts w:eastAsia="Calibri"/>
          <w:i/>
          <w:sz w:val="22"/>
          <w:szCs w:val="22"/>
        </w:rPr>
        <w:t xml:space="preserve">. It is argued that the post-Lisbon constitutional design alongside principled and teleological considerations provide persuasive arguments to prefer a Member-State centred approach for criminal law competence. This is particularly the case </w:t>
      </w:r>
      <w:proofErr w:type="gramStart"/>
      <w:r w:rsidRPr="009A2233">
        <w:rPr>
          <w:rFonts w:eastAsia="Calibri"/>
          <w:i/>
          <w:sz w:val="22"/>
          <w:szCs w:val="22"/>
        </w:rPr>
        <w:t>with regard to</w:t>
      </w:r>
      <w:proofErr w:type="gramEnd"/>
      <w:r w:rsidRPr="009A2233">
        <w:rPr>
          <w:rFonts w:eastAsia="Calibri"/>
          <w:i/>
          <w:sz w:val="22"/>
          <w:szCs w:val="22"/>
        </w:rPr>
        <w:t xml:space="preserve"> the adoption of harmonisation measures</w:t>
      </w:r>
      <w:r w:rsidRPr="009A2233">
        <w:rPr>
          <w:rFonts w:eastAsia="Calibri"/>
          <w:sz w:val="22"/>
          <w:szCs w:val="22"/>
        </w:rPr>
        <w:t>.</w:t>
      </w:r>
    </w:p>
    <w:p w14:paraId="6796B6ED" w14:textId="74A1A148" w:rsidR="008D44CB" w:rsidRPr="003676AB" w:rsidRDefault="0003320D" w:rsidP="00CF4F6C">
      <w:pPr>
        <w:pStyle w:val="Rubrik1"/>
        <w:ind w:left="1300" w:hanging="1300"/>
        <w:jc w:val="both"/>
        <w:rPr>
          <w:rFonts w:eastAsia="Calibri"/>
          <w:b/>
          <w:sz w:val="22"/>
          <w:szCs w:val="22"/>
          <w:lang w:eastAsia="sv-SE"/>
        </w:rPr>
      </w:pPr>
      <w:r w:rsidRPr="003676AB">
        <w:rPr>
          <w:rFonts w:eastAsia="Calibri"/>
          <w:b/>
          <w:sz w:val="22"/>
          <w:szCs w:val="22"/>
          <w:lang w:eastAsia="sv-SE"/>
        </w:rPr>
        <w:t>Introduction</w:t>
      </w:r>
      <w:bookmarkEnd w:id="1"/>
      <w:r w:rsidR="00651E49" w:rsidRPr="003676AB">
        <w:rPr>
          <w:rFonts w:eastAsia="Calibri"/>
          <w:b/>
          <w:sz w:val="22"/>
          <w:szCs w:val="22"/>
          <w:lang w:eastAsia="sv-SE"/>
        </w:rPr>
        <w:t xml:space="preserve"> </w:t>
      </w:r>
      <w:r w:rsidR="006E1142" w:rsidRPr="003676AB">
        <w:rPr>
          <w:rFonts w:eastAsia="Calibri"/>
          <w:b/>
          <w:sz w:val="22"/>
          <w:szCs w:val="22"/>
          <w:lang w:eastAsia="sv-SE"/>
        </w:rPr>
        <w:t>- Legal basis</w:t>
      </w:r>
      <w:r w:rsidR="00482656" w:rsidRPr="003676AB">
        <w:rPr>
          <w:rFonts w:eastAsia="Calibri"/>
          <w:b/>
          <w:sz w:val="22"/>
          <w:szCs w:val="22"/>
          <w:lang w:eastAsia="sv-SE"/>
        </w:rPr>
        <w:t xml:space="preserve"> for criminal sanctions</w:t>
      </w:r>
      <w:r w:rsidR="006E1142" w:rsidRPr="003676AB">
        <w:rPr>
          <w:rFonts w:eastAsia="Calibri"/>
          <w:b/>
          <w:sz w:val="22"/>
          <w:szCs w:val="22"/>
          <w:lang w:eastAsia="sv-SE"/>
        </w:rPr>
        <w:t xml:space="preserve"> as a choice of federalism</w:t>
      </w:r>
    </w:p>
    <w:p w14:paraId="1BF48827" w14:textId="278CE8A7" w:rsidR="007A4A18" w:rsidRPr="003676AB" w:rsidRDefault="00482656" w:rsidP="00482656">
      <w:pPr>
        <w:autoSpaceDE w:val="0"/>
        <w:autoSpaceDN w:val="0"/>
        <w:adjustRightInd w:val="0"/>
        <w:spacing w:after="0"/>
        <w:rPr>
          <w:sz w:val="22"/>
          <w:szCs w:val="22"/>
          <w:lang w:eastAsia="sv-SE"/>
        </w:rPr>
      </w:pPr>
      <w:r w:rsidRPr="003676AB">
        <w:rPr>
          <w:sz w:val="22"/>
          <w:szCs w:val="22"/>
        </w:rPr>
        <w:t xml:space="preserve">Questions of legal basis in EU law may be viewed by </w:t>
      </w:r>
      <w:r w:rsidR="000137CD" w:rsidRPr="003676AB">
        <w:rPr>
          <w:sz w:val="22"/>
          <w:szCs w:val="22"/>
        </w:rPr>
        <w:t xml:space="preserve">some </w:t>
      </w:r>
      <w:r w:rsidRPr="003676AB">
        <w:rPr>
          <w:sz w:val="22"/>
          <w:szCs w:val="22"/>
        </w:rPr>
        <w:t xml:space="preserve">as technical issues </w:t>
      </w:r>
      <w:r w:rsidR="000137CD" w:rsidRPr="003676AB">
        <w:rPr>
          <w:sz w:val="22"/>
          <w:szCs w:val="22"/>
        </w:rPr>
        <w:t>of interest only to lawyers, and specialist EU lawyers at that</w:t>
      </w:r>
      <w:r w:rsidRPr="003676AB">
        <w:rPr>
          <w:sz w:val="22"/>
          <w:szCs w:val="22"/>
        </w:rPr>
        <w:t>.</w:t>
      </w:r>
      <w:r w:rsidR="00EF3637" w:rsidRPr="003676AB">
        <w:rPr>
          <w:rStyle w:val="Fotnotsreferens"/>
          <w:sz w:val="22"/>
          <w:szCs w:val="22"/>
        </w:rPr>
        <w:footnoteReference w:id="1"/>
      </w:r>
      <w:r w:rsidRPr="003676AB">
        <w:rPr>
          <w:sz w:val="22"/>
          <w:szCs w:val="22"/>
        </w:rPr>
        <w:t xml:space="preserve"> There is </w:t>
      </w:r>
      <w:r w:rsidR="00CF3198" w:rsidRPr="003676AB">
        <w:rPr>
          <w:sz w:val="22"/>
          <w:szCs w:val="22"/>
        </w:rPr>
        <w:t xml:space="preserve">some </w:t>
      </w:r>
      <w:r w:rsidRPr="003676AB">
        <w:rPr>
          <w:sz w:val="22"/>
          <w:szCs w:val="22"/>
        </w:rPr>
        <w:t xml:space="preserve">truth in this. </w:t>
      </w:r>
      <w:r w:rsidR="00CF3198" w:rsidRPr="003676AB">
        <w:rPr>
          <w:sz w:val="22"/>
          <w:szCs w:val="22"/>
        </w:rPr>
        <w:t>A capacity for q</w:t>
      </w:r>
      <w:r w:rsidRPr="003676AB">
        <w:rPr>
          <w:sz w:val="22"/>
          <w:szCs w:val="22"/>
        </w:rPr>
        <w:t xml:space="preserve">uite sophisticated legal analysis is required to </w:t>
      </w:r>
      <w:r w:rsidR="000137CD" w:rsidRPr="003676AB">
        <w:rPr>
          <w:sz w:val="22"/>
          <w:szCs w:val="22"/>
        </w:rPr>
        <w:t xml:space="preserve">fully </w:t>
      </w:r>
      <w:r w:rsidRPr="003676AB">
        <w:rPr>
          <w:sz w:val="22"/>
          <w:szCs w:val="22"/>
        </w:rPr>
        <w:t xml:space="preserve">appreciate the competences of the Union and determine the balance of powers between </w:t>
      </w:r>
      <w:r w:rsidR="00CF3198" w:rsidRPr="003676AB">
        <w:rPr>
          <w:sz w:val="22"/>
          <w:szCs w:val="22"/>
        </w:rPr>
        <w:t xml:space="preserve">it and </w:t>
      </w:r>
      <w:r w:rsidRPr="003676AB">
        <w:rPr>
          <w:sz w:val="22"/>
          <w:szCs w:val="22"/>
        </w:rPr>
        <w:t>the Member States</w:t>
      </w:r>
      <w:r w:rsidR="00CF3198" w:rsidRPr="003676AB">
        <w:rPr>
          <w:sz w:val="22"/>
          <w:szCs w:val="22"/>
        </w:rPr>
        <w:t xml:space="preserve"> in any specific field</w:t>
      </w:r>
      <w:r w:rsidRPr="003676AB">
        <w:rPr>
          <w:sz w:val="22"/>
          <w:szCs w:val="22"/>
        </w:rPr>
        <w:t>. It is also</w:t>
      </w:r>
      <w:r w:rsidR="000C45D4" w:rsidRPr="003676AB">
        <w:rPr>
          <w:sz w:val="22"/>
          <w:szCs w:val="22"/>
        </w:rPr>
        <w:t xml:space="preserve"> apparent that </w:t>
      </w:r>
      <w:r w:rsidR="000137CD" w:rsidRPr="003676AB">
        <w:rPr>
          <w:sz w:val="22"/>
          <w:szCs w:val="22"/>
        </w:rPr>
        <w:t xml:space="preserve">serious boundary problems </w:t>
      </w:r>
      <w:r w:rsidR="00860E9A" w:rsidRPr="003676AB">
        <w:rPr>
          <w:sz w:val="22"/>
          <w:szCs w:val="22"/>
        </w:rPr>
        <w:t xml:space="preserve">exist </w:t>
      </w:r>
      <w:r w:rsidR="000137CD" w:rsidRPr="003676AB">
        <w:rPr>
          <w:sz w:val="22"/>
          <w:szCs w:val="22"/>
        </w:rPr>
        <w:t>between different competences</w:t>
      </w:r>
      <w:r w:rsidR="000137CD" w:rsidRPr="003676AB">
        <w:rPr>
          <w:rFonts w:eastAsia="Calibri"/>
          <w:sz w:val="22"/>
          <w:szCs w:val="22"/>
          <w:vertAlign w:val="superscript"/>
        </w:rPr>
        <w:footnoteReference w:id="2"/>
      </w:r>
      <w:r w:rsidR="000C45D4" w:rsidRPr="003676AB">
        <w:rPr>
          <w:sz w:val="22"/>
          <w:szCs w:val="22"/>
        </w:rPr>
        <w:t xml:space="preserve"> even after </w:t>
      </w:r>
      <w:r w:rsidR="000137CD" w:rsidRPr="003676AB">
        <w:rPr>
          <w:sz w:val="22"/>
          <w:szCs w:val="22"/>
        </w:rPr>
        <w:t>reforms introduced in</w:t>
      </w:r>
      <w:r w:rsidR="000C45D4" w:rsidRPr="003676AB">
        <w:rPr>
          <w:sz w:val="22"/>
          <w:szCs w:val="22"/>
        </w:rPr>
        <w:t xml:space="preserve"> the Lisbon Treaty</w:t>
      </w:r>
      <w:r w:rsidR="000137CD" w:rsidRPr="003676AB">
        <w:rPr>
          <w:sz w:val="22"/>
          <w:szCs w:val="22"/>
        </w:rPr>
        <w:t xml:space="preserve"> to </w:t>
      </w:r>
      <w:r w:rsidR="00860E9A" w:rsidRPr="003676AB">
        <w:rPr>
          <w:sz w:val="22"/>
          <w:szCs w:val="22"/>
        </w:rPr>
        <w:t xml:space="preserve">categorise and rationalise the </w:t>
      </w:r>
      <w:r w:rsidR="000137CD" w:rsidRPr="003676AB">
        <w:rPr>
          <w:sz w:val="22"/>
          <w:szCs w:val="22"/>
        </w:rPr>
        <w:t>allocation of powers between the Union and its Member States.</w:t>
      </w:r>
      <w:r w:rsidR="000661FA" w:rsidRPr="003676AB">
        <w:rPr>
          <w:rStyle w:val="Fotnotsreferens"/>
          <w:rFonts w:eastAsia="Calibri"/>
          <w:sz w:val="22"/>
          <w:szCs w:val="22"/>
        </w:rPr>
        <w:footnoteReference w:id="3"/>
      </w:r>
      <w:r w:rsidR="00F9449C" w:rsidRPr="003676AB">
        <w:rPr>
          <w:sz w:val="22"/>
          <w:szCs w:val="22"/>
          <w:lang w:eastAsia="sv-SE"/>
        </w:rPr>
        <w:t xml:space="preserve"> One of the key problems</w:t>
      </w:r>
      <w:r w:rsidR="00E6123E" w:rsidRPr="003676AB">
        <w:rPr>
          <w:sz w:val="22"/>
          <w:szCs w:val="22"/>
          <w:lang w:eastAsia="sv-SE"/>
        </w:rPr>
        <w:t xml:space="preserve"> after Lisbon</w:t>
      </w:r>
      <w:r w:rsidR="00F9449C" w:rsidRPr="003676AB">
        <w:rPr>
          <w:sz w:val="22"/>
          <w:szCs w:val="22"/>
          <w:lang w:eastAsia="sv-SE"/>
        </w:rPr>
        <w:t xml:space="preserve"> is how to distinguish between more general and cross-cutting legal basis </w:t>
      </w:r>
      <w:r w:rsidR="000137CD" w:rsidRPr="003676AB">
        <w:rPr>
          <w:sz w:val="22"/>
          <w:szCs w:val="22"/>
          <w:lang w:eastAsia="sv-SE"/>
        </w:rPr>
        <w:t xml:space="preserve">on the one hand </w:t>
      </w:r>
      <w:r w:rsidR="00F9449C" w:rsidRPr="003676AB">
        <w:rPr>
          <w:sz w:val="22"/>
          <w:szCs w:val="22"/>
          <w:lang w:eastAsia="sv-SE"/>
        </w:rPr>
        <w:t>and more specific competences</w:t>
      </w:r>
      <w:r w:rsidR="000137CD" w:rsidRPr="003676AB">
        <w:rPr>
          <w:sz w:val="22"/>
          <w:szCs w:val="22"/>
          <w:lang w:eastAsia="sv-SE"/>
        </w:rPr>
        <w:t xml:space="preserve"> on the other and to determine the</w:t>
      </w:r>
      <w:r w:rsidR="00860E9A" w:rsidRPr="003676AB">
        <w:rPr>
          <w:sz w:val="22"/>
          <w:szCs w:val="22"/>
          <w:lang w:eastAsia="sv-SE"/>
        </w:rPr>
        <w:t>ir</w:t>
      </w:r>
      <w:r w:rsidR="000137CD" w:rsidRPr="003676AB">
        <w:rPr>
          <w:sz w:val="22"/>
          <w:szCs w:val="22"/>
          <w:lang w:eastAsia="sv-SE"/>
        </w:rPr>
        <w:t xml:space="preserve"> </w:t>
      </w:r>
      <w:r w:rsidR="00860E9A" w:rsidRPr="003676AB">
        <w:rPr>
          <w:sz w:val="22"/>
          <w:szCs w:val="22"/>
          <w:lang w:eastAsia="sv-SE"/>
        </w:rPr>
        <w:t xml:space="preserve">respective </w:t>
      </w:r>
      <w:r w:rsidR="000137CD" w:rsidRPr="003676AB">
        <w:rPr>
          <w:sz w:val="22"/>
          <w:szCs w:val="22"/>
          <w:lang w:eastAsia="sv-SE"/>
        </w:rPr>
        <w:t>appropriate scope of application</w:t>
      </w:r>
      <w:r w:rsidR="00E6123E" w:rsidRPr="003676AB">
        <w:rPr>
          <w:sz w:val="22"/>
          <w:szCs w:val="22"/>
          <w:lang w:eastAsia="sv-SE"/>
        </w:rPr>
        <w:t xml:space="preserve">. </w:t>
      </w:r>
      <w:proofErr w:type="gramStart"/>
      <w:r w:rsidR="000137CD" w:rsidRPr="003676AB">
        <w:rPr>
          <w:sz w:val="22"/>
          <w:szCs w:val="22"/>
          <w:lang w:eastAsia="sv-SE"/>
        </w:rPr>
        <w:t>In particular, t</w:t>
      </w:r>
      <w:r w:rsidR="00FB39A9" w:rsidRPr="003676AB">
        <w:rPr>
          <w:sz w:val="22"/>
          <w:szCs w:val="22"/>
          <w:lang w:eastAsia="sv-SE"/>
        </w:rPr>
        <w:t>here</w:t>
      </w:r>
      <w:proofErr w:type="gramEnd"/>
      <w:r w:rsidR="00FB39A9" w:rsidRPr="003676AB">
        <w:rPr>
          <w:sz w:val="22"/>
          <w:szCs w:val="22"/>
          <w:lang w:eastAsia="sv-SE"/>
        </w:rPr>
        <w:t xml:space="preserve"> are endless boundary problems between the </w:t>
      </w:r>
      <w:r w:rsidR="000137CD" w:rsidRPr="003676AB">
        <w:rPr>
          <w:sz w:val="22"/>
          <w:szCs w:val="22"/>
          <w:lang w:eastAsia="sv-SE"/>
        </w:rPr>
        <w:t xml:space="preserve">general </w:t>
      </w:r>
      <w:r w:rsidR="00FB39A9" w:rsidRPr="003676AB">
        <w:rPr>
          <w:sz w:val="22"/>
          <w:szCs w:val="22"/>
          <w:lang w:eastAsia="sv-SE"/>
        </w:rPr>
        <w:t>provision</w:t>
      </w:r>
      <w:r w:rsidR="00CF3198" w:rsidRPr="003676AB">
        <w:rPr>
          <w:sz w:val="22"/>
          <w:szCs w:val="22"/>
          <w:lang w:eastAsia="sv-SE"/>
        </w:rPr>
        <w:t xml:space="preserve"> </w:t>
      </w:r>
      <w:r w:rsidR="000137CD" w:rsidRPr="003676AB">
        <w:rPr>
          <w:sz w:val="22"/>
          <w:szCs w:val="22"/>
          <w:lang w:eastAsia="sv-SE"/>
        </w:rPr>
        <w:t>for the regulation of the internal market, namely</w:t>
      </w:r>
      <w:r w:rsidR="00FB39A9" w:rsidRPr="003676AB">
        <w:rPr>
          <w:sz w:val="22"/>
          <w:szCs w:val="22"/>
          <w:lang w:eastAsia="sv-SE"/>
        </w:rPr>
        <w:t xml:space="preserve"> </w:t>
      </w:r>
      <w:r w:rsidR="0078443A" w:rsidRPr="003676AB">
        <w:rPr>
          <w:sz w:val="22"/>
          <w:szCs w:val="22"/>
          <w:lang w:eastAsia="sv-SE"/>
        </w:rPr>
        <w:t>art. 114 of the</w:t>
      </w:r>
      <w:r w:rsidR="00FB39A9" w:rsidRPr="003676AB">
        <w:rPr>
          <w:sz w:val="22"/>
          <w:szCs w:val="22"/>
          <w:lang w:eastAsia="sv-SE"/>
        </w:rPr>
        <w:t xml:space="preserve"> </w:t>
      </w:r>
      <w:r w:rsidR="0078443A" w:rsidRPr="003676AB">
        <w:rPr>
          <w:sz w:val="22"/>
          <w:szCs w:val="22"/>
          <w:lang w:eastAsia="sv-SE"/>
        </w:rPr>
        <w:t>Treaty on the Functioning of the European Union (TFEU)</w:t>
      </w:r>
      <w:r w:rsidR="000137CD" w:rsidRPr="003676AB">
        <w:rPr>
          <w:sz w:val="22"/>
          <w:szCs w:val="22"/>
          <w:lang w:eastAsia="sv-SE"/>
        </w:rPr>
        <w:t xml:space="preserve">, </w:t>
      </w:r>
      <w:r w:rsidR="00FB39A9" w:rsidRPr="003676AB">
        <w:rPr>
          <w:sz w:val="22"/>
          <w:szCs w:val="22"/>
          <w:lang w:eastAsia="sv-SE"/>
        </w:rPr>
        <w:t xml:space="preserve">and more </w:t>
      </w:r>
      <w:r w:rsidR="00CF3198" w:rsidRPr="003676AB">
        <w:rPr>
          <w:sz w:val="22"/>
          <w:szCs w:val="22"/>
          <w:lang w:eastAsia="sv-SE"/>
        </w:rPr>
        <w:t xml:space="preserve">specific </w:t>
      </w:r>
      <w:r w:rsidR="00FB39A9" w:rsidRPr="003676AB">
        <w:rPr>
          <w:sz w:val="22"/>
          <w:szCs w:val="22"/>
          <w:lang w:eastAsia="sv-SE"/>
        </w:rPr>
        <w:t>provisions</w:t>
      </w:r>
      <w:r w:rsidR="00CF3198" w:rsidRPr="003676AB">
        <w:rPr>
          <w:sz w:val="22"/>
          <w:szCs w:val="22"/>
          <w:lang w:eastAsia="sv-SE"/>
        </w:rPr>
        <w:t xml:space="preserve"> covering </w:t>
      </w:r>
      <w:r w:rsidR="00FB39A9" w:rsidRPr="003676AB">
        <w:rPr>
          <w:sz w:val="22"/>
          <w:szCs w:val="22"/>
          <w:lang w:eastAsia="sv-SE"/>
        </w:rPr>
        <w:t xml:space="preserve">policies that may affect the internal market. </w:t>
      </w:r>
      <w:r w:rsidR="00933561" w:rsidRPr="003676AB">
        <w:rPr>
          <w:sz w:val="22"/>
          <w:szCs w:val="22"/>
          <w:lang w:eastAsia="sv-SE"/>
        </w:rPr>
        <w:t xml:space="preserve">A case in point is the potential conflicts between provisions </w:t>
      </w:r>
      <w:proofErr w:type="gramStart"/>
      <w:r w:rsidR="00933561" w:rsidRPr="003676AB">
        <w:rPr>
          <w:sz w:val="22"/>
          <w:szCs w:val="22"/>
          <w:lang w:eastAsia="sv-SE"/>
        </w:rPr>
        <w:t>in the Area of</w:t>
      </w:r>
      <w:proofErr w:type="gramEnd"/>
      <w:r w:rsidR="00933561" w:rsidRPr="003676AB">
        <w:rPr>
          <w:sz w:val="22"/>
          <w:szCs w:val="22"/>
          <w:lang w:eastAsia="sv-SE"/>
        </w:rPr>
        <w:t xml:space="preserve"> Freedom, Security and Justice</w:t>
      </w:r>
      <w:r w:rsidR="000558ED" w:rsidRPr="003676AB">
        <w:rPr>
          <w:sz w:val="22"/>
          <w:szCs w:val="22"/>
          <w:lang w:eastAsia="sv-SE"/>
        </w:rPr>
        <w:t xml:space="preserve"> (AFSJ)</w:t>
      </w:r>
      <w:r w:rsidR="00933561" w:rsidRPr="003676AB">
        <w:rPr>
          <w:sz w:val="22"/>
          <w:szCs w:val="22"/>
          <w:lang w:eastAsia="sv-SE"/>
        </w:rPr>
        <w:t xml:space="preserve"> and </w:t>
      </w:r>
      <w:r w:rsidR="0078443A" w:rsidRPr="003676AB">
        <w:rPr>
          <w:sz w:val="22"/>
          <w:szCs w:val="22"/>
          <w:lang w:eastAsia="sv-SE"/>
        </w:rPr>
        <w:t>art.</w:t>
      </w:r>
      <w:r w:rsidR="00933561" w:rsidRPr="003676AB">
        <w:rPr>
          <w:sz w:val="22"/>
          <w:szCs w:val="22"/>
          <w:lang w:eastAsia="sv-SE"/>
        </w:rPr>
        <w:t xml:space="preserve"> 114 TFEU. </w:t>
      </w:r>
      <w:proofErr w:type="gramStart"/>
      <w:r w:rsidR="00933561" w:rsidRPr="003676AB">
        <w:rPr>
          <w:sz w:val="22"/>
          <w:szCs w:val="22"/>
          <w:lang w:eastAsia="sv-SE"/>
        </w:rPr>
        <w:t xml:space="preserve">It is </w:t>
      </w:r>
      <w:r w:rsidR="000137CD" w:rsidRPr="003676AB">
        <w:rPr>
          <w:sz w:val="22"/>
          <w:szCs w:val="22"/>
          <w:lang w:eastAsia="sv-SE"/>
        </w:rPr>
        <w:t xml:space="preserve">clear </w:t>
      </w:r>
      <w:r w:rsidR="00933561" w:rsidRPr="003676AB">
        <w:rPr>
          <w:sz w:val="22"/>
          <w:szCs w:val="22"/>
          <w:lang w:eastAsia="sv-SE"/>
        </w:rPr>
        <w:t>that many</w:t>
      </w:r>
      <w:proofErr w:type="gramEnd"/>
      <w:r w:rsidR="00933561" w:rsidRPr="003676AB">
        <w:rPr>
          <w:sz w:val="22"/>
          <w:szCs w:val="22"/>
          <w:lang w:eastAsia="sv-SE"/>
        </w:rPr>
        <w:t xml:space="preserve"> measures pursuing criminal law </w:t>
      </w:r>
      <w:r w:rsidR="00933561" w:rsidRPr="003676AB">
        <w:rPr>
          <w:sz w:val="22"/>
          <w:szCs w:val="22"/>
          <w:lang w:eastAsia="sv-SE"/>
        </w:rPr>
        <w:lastRenderedPageBreak/>
        <w:t>harmonization or judicial cooperation may have an impact on the internal market project.</w:t>
      </w:r>
      <w:r w:rsidR="004B2D14" w:rsidRPr="003676AB">
        <w:rPr>
          <w:rStyle w:val="Fotnotsreferens"/>
          <w:sz w:val="22"/>
          <w:szCs w:val="22"/>
          <w:lang w:eastAsia="sv-SE"/>
        </w:rPr>
        <w:footnoteReference w:id="4"/>
      </w:r>
      <w:r w:rsidR="004B322E" w:rsidRPr="003676AB">
        <w:rPr>
          <w:sz w:val="22"/>
          <w:szCs w:val="22"/>
          <w:lang w:eastAsia="sv-SE"/>
        </w:rPr>
        <w:t xml:space="preserve"> </w:t>
      </w:r>
      <w:r w:rsidR="000137CD" w:rsidRPr="003676AB">
        <w:rPr>
          <w:sz w:val="22"/>
          <w:szCs w:val="22"/>
          <w:lang w:eastAsia="sv-SE"/>
        </w:rPr>
        <w:t xml:space="preserve">In order to </w:t>
      </w:r>
      <w:r w:rsidR="00495621" w:rsidRPr="003676AB">
        <w:rPr>
          <w:sz w:val="22"/>
          <w:szCs w:val="22"/>
          <w:lang w:eastAsia="sv-SE"/>
        </w:rPr>
        <w:t>distinguish b</w:t>
      </w:r>
      <w:r w:rsidR="000137CD" w:rsidRPr="003676AB">
        <w:rPr>
          <w:sz w:val="22"/>
          <w:szCs w:val="22"/>
          <w:lang w:eastAsia="sv-SE"/>
        </w:rPr>
        <w:t>etween different EU competences,</w:t>
      </w:r>
      <w:r w:rsidR="00495621" w:rsidRPr="003676AB">
        <w:rPr>
          <w:sz w:val="22"/>
          <w:szCs w:val="22"/>
          <w:lang w:eastAsia="sv-SE"/>
        </w:rPr>
        <w:t xml:space="preserve"> it is</w:t>
      </w:r>
      <w:r w:rsidR="003224FB" w:rsidRPr="003676AB">
        <w:rPr>
          <w:sz w:val="22"/>
          <w:szCs w:val="22"/>
          <w:lang w:eastAsia="sv-SE"/>
        </w:rPr>
        <w:t xml:space="preserve"> </w:t>
      </w:r>
      <w:r w:rsidR="00495621" w:rsidRPr="003676AB">
        <w:rPr>
          <w:sz w:val="22"/>
          <w:szCs w:val="22"/>
          <w:lang w:eastAsia="sv-SE"/>
        </w:rPr>
        <w:t xml:space="preserve">necessary to </w:t>
      </w:r>
      <w:r w:rsidR="000137CD" w:rsidRPr="003676AB">
        <w:rPr>
          <w:sz w:val="22"/>
          <w:szCs w:val="22"/>
          <w:lang w:eastAsia="sv-SE"/>
        </w:rPr>
        <w:t xml:space="preserve">clearly </w:t>
      </w:r>
      <w:r w:rsidR="00495621" w:rsidRPr="003676AB">
        <w:rPr>
          <w:sz w:val="22"/>
          <w:szCs w:val="22"/>
          <w:lang w:eastAsia="sv-SE"/>
        </w:rPr>
        <w:t xml:space="preserve">define which EU policies and objectives can be pursued under a </w:t>
      </w:r>
      <w:r w:rsidR="000137CD" w:rsidRPr="003676AB">
        <w:rPr>
          <w:sz w:val="22"/>
          <w:szCs w:val="22"/>
          <w:lang w:eastAsia="sv-SE"/>
        </w:rPr>
        <w:t xml:space="preserve">which </w:t>
      </w:r>
      <w:r w:rsidR="00495621" w:rsidRPr="003676AB">
        <w:rPr>
          <w:sz w:val="22"/>
          <w:szCs w:val="22"/>
          <w:lang w:eastAsia="sv-SE"/>
        </w:rPr>
        <w:t xml:space="preserve">provision. This is </w:t>
      </w:r>
      <w:r w:rsidR="00A41B47" w:rsidRPr="003676AB">
        <w:rPr>
          <w:sz w:val="22"/>
          <w:szCs w:val="22"/>
          <w:lang w:eastAsia="sv-SE"/>
        </w:rPr>
        <w:t>an arduous task</w:t>
      </w:r>
      <w:r w:rsidR="000137CD" w:rsidRPr="003676AB">
        <w:rPr>
          <w:sz w:val="22"/>
          <w:szCs w:val="22"/>
          <w:lang w:eastAsia="sv-SE"/>
        </w:rPr>
        <w:t xml:space="preserve"> and is made even more </w:t>
      </w:r>
      <w:r w:rsidR="00495621" w:rsidRPr="003676AB">
        <w:rPr>
          <w:sz w:val="22"/>
          <w:szCs w:val="22"/>
          <w:lang w:eastAsia="sv-SE"/>
        </w:rPr>
        <w:t xml:space="preserve">difficult when </w:t>
      </w:r>
      <w:r w:rsidR="003224FB" w:rsidRPr="003676AB">
        <w:rPr>
          <w:sz w:val="22"/>
          <w:szCs w:val="22"/>
          <w:lang w:eastAsia="sv-SE"/>
        </w:rPr>
        <w:t>a certain provision, such as</w:t>
      </w:r>
      <w:r w:rsidR="00495621" w:rsidRPr="003676AB">
        <w:rPr>
          <w:sz w:val="22"/>
          <w:szCs w:val="22"/>
          <w:lang w:eastAsia="sv-SE"/>
        </w:rPr>
        <w:t xml:space="preserve"> </w:t>
      </w:r>
      <w:r w:rsidR="0078443A" w:rsidRPr="003676AB">
        <w:rPr>
          <w:sz w:val="22"/>
          <w:szCs w:val="22"/>
          <w:lang w:eastAsia="sv-SE"/>
        </w:rPr>
        <w:t>art.</w:t>
      </w:r>
      <w:r w:rsidR="00495621" w:rsidRPr="003676AB">
        <w:rPr>
          <w:sz w:val="22"/>
          <w:szCs w:val="22"/>
          <w:lang w:eastAsia="sv-SE"/>
        </w:rPr>
        <w:t xml:space="preserve"> 114 TFEU, is capable of being used to pursue </w:t>
      </w:r>
      <w:r w:rsidR="00461C72" w:rsidRPr="003676AB">
        <w:rPr>
          <w:sz w:val="22"/>
          <w:szCs w:val="22"/>
          <w:lang w:eastAsia="sv-SE"/>
        </w:rPr>
        <w:t xml:space="preserve">multiple </w:t>
      </w:r>
      <w:r w:rsidR="00495621" w:rsidRPr="003676AB">
        <w:rPr>
          <w:sz w:val="22"/>
          <w:szCs w:val="22"/>
          <w:lang w:eastAsia="sv-SE"/>
        </w:rPr>
        <w:t xml:space="preserve">EU policies and objectives </w:t>
      </w:r>
      <w:r w:rsidR="000137CD" w:rsidRPr="003676AB">
        <w:rPr>
          <w:sz w:val="22"/>
          <w:szCs w:val="22"/>
          <w:lang w:eastAsia="sv-SE"/>
        </w:rPr>
        <w:t>at the same time</w:t>
      </w:r>
      <w:r w:rsidR="00254479" w:rsidRPr="003676AB">
        <w:rPr>
          <w:sz w:val="22"/>
          <w:szCs w:val="22"/>
          <w:lang w:eastAsia="sv-SE"/>
        </w:rPr>
        <w:t xml:space="preserve">. </w:t>
      </w:r>
      <w:r w:rsidR="00AB5DBA" w:rsidRPr="003676AB">
        <w:rPr>
          <w:sz w:val="22"/>
          <w:szCs w:val="22"/>
          <w:lang w:eastAsia="sv-SE"/>
        </w:rPr>
        <w:t xml:space="preserve">It may also be the case that certain provisions, such as </w:t>
      </w:r>
      <w:r w:rsidR="0078443A" w:rsidRPr="003676AB">
        <w:rPr>
          <w:sz w:val="22"/>
          <w:szCs w:val="22"/>
          <w:lang w:eastAsia="sv-SE"/>
        </w:rPr>
        <w:t>art.</w:t>
      </w:r>
      <w:r w:rsidR="00AB5DBA" w:rsidRPr="003676AB">
        <w:rPr>
          <w:sz w:val="22"/>
          <w:szCs w:val="22"/>
          <w:lang w:eastAsia="sv-SE"/>
        </w:rPr>
        <w:t xml:space="preserve"> 83(2) TFEU, provide the </w:t>
      </w:r>
      <w:r w:rsidR="00543F9A" w:rsidRPr="003676AB">
        <w:rPr>
          <w:sz w:val="22"/>
          <w:szCs w:val="22"/>
          <w:lang w:eastAsia="sv-SE"/>
        </w:rPr>
        <w:t xml:space="preserve">necessary </w:t>
      </w:r>
      <w:r w:rsidR="00AB5DBA" w:rsidRPr="003676AB">
        <w:rPr>
          <w:sz w:val="22"/>
          <w:szCs w:val="22"/>
          <w:lang w:eastAsia="sv-SE"/>
        </w:rPr>
        <w:t xml:space="preserve">tools to </w:t>
      </w:r>
      <w:r w:rsidR="00543F9A" w:rsidRPr="003676AB">
        <w:rPr>
          <w:sz w:val="22"/>
          <w:szCs w:val="22"/>
          <w:lang w:eastAsia="sv-SE"/>
        </w:rPr>
        <w:t xml:space="preserve">enforce a </w:t>
      </w:r>
      <w:proofErr w:type="gramStart"/>
      <w:r w:rsidR="00543F9A" w:rsidRPr="003676AB">
        <w:rPr>
          <w:sz w:val="22"/>
          <w:szCs w:val="22"/>
          <w:lang w:eastAsia="sv-SE"/>
        </w:rPr>
        <w:t xml:space="preserve">particular </w:t>
      </w:r>
      <w:r w:rsidR="00AB5DBA" w:rsidRPr="003676AB">
        <w:rPr>
          <w:sz w:val="22"/>
          <w:szCs w:val="22"/>
          <w:lang w:eastAsia="sv-SE"/>
        </w:rPr>
        <w:t>policy</w:t>
      </w:r>
      <w:proofErr w:type="gramEnd"/>
      <w:r w:rsidR="00AB5DBA" w:rsidRPr="003676AB">
        <w:rPr>
          <w:sz w:val="22"/>
          <w:szCs w:val="22"/>
          <w:lang w:eastAsia="sv-SE"/>
        </w:rPr>
        <w:t>, e.g. the fight against EU fraud, whil</w:t>
      </w:r>
      <w:r w:rsidR="007E0544" w:rsidRPr="003676AB">
        <w:rPr>
          <w:sz w:val="22"/>
          <w:szCs w:val="22"/>
          <w:lang w:eastAsia="sv-SE"/>
        </w:rPr>
        <w:t>e</w:t>
      </w:r>
      <w:r w:rsidR="00AB5DBA" w:rsidRPr="003676AB">
        <w:rPr>
          <w:sz w:val="22"/>
          <w:szCs w:val="22"/>
          <w:lang w:eastAsia="sv-SE"/>
        </w:rPr>
        <w:t xml:space="preserve"> a legal basis </w:t>
      </w:r>
      <w:r w:rsidR="00461C72" w:rsidRPr="003676AB">
        <w:rPr>
          <w:sz w:val="22"/>
          <w:szCs w:val="22"/>
          <w:lang w:eastAsia="sv-SE"/>
        </w:rPr>
        <w:t xml:space="preserve">exists </w:t>
      </w:r>
      <w:r w:rsidR="00AB5DBA" w:rsidRPr="003676AB">
        <w:rPr>
          <w:sz w:val="22"/>
          <w:szCs w:val="22"/>
          <w:lang w:eastAsia="sv-SE"/>
        </w:rPr>
        <w:t xml:space="preserve">elsewhere in the Treaties </w:t>
      </w:r>
      <w:r w:rsidR="00543F9A" w:rsidRPr="003676AB">
        <w:rPr>
          <w:sz w:val="22"/>
          <w:szCs w:val="22"/>
          <w:lang w:eastAsia="sv-SE"/>
        </w:rPr>
        <w:t>covering that policy-</w:t>
      </w:r>
      <w:r w:rsidR="00AB5DBA" w:rsidRPr="003676AB">
        <w:rPr>
          <w:sz w:val="22"/>
          <w:szCs w:val="22"/>
          <w:lang w:eastAsia="sv-SE"/>
        </w:rPr>
        <w:t>field</w:t>
      </w:r>
      <w:r w:rsidR="00543F9A" w:rsidRPr="003676AB">
        <w:rPr>
          <w:sz w:val="22"/>
          <w:szCs w:val="22"/>
          <w:lang w:eastAsia="sv-SE"/>
        </w:rPr>
        <w:t xml:space="preserve"> in a more general sense</w:t>
      </w:r>
      <w:r w:rsidR="00AB5DBA" w:rsidRPr="003676AB">
        <w:rPr>
          <w:sz w:val="22"/>
          <w:szCs w:val="22"/>
          <w:lang w:eastAsia="sv-SE"/>
        </w:rPr>
        <w:t xml:space="preserve">, e.g. </w:t>
      </w:r>
      <w:r w:rsidR="00EF3526" w:rsidRPr="003676AB">
        <w:rPr>
          <w:sz w:val="22"/>
          <w:szCs w:val="22"/>
          <w:lang w:eastAsia="sv-SE"/>
        </w:rPr>
        <w:t>art.</w:t>
      </w:r>
      <w:r w:rsidR="00AB5DBA" w:rsidRPr="003676AB">
        <w:rPr>
          <w:sz w:val="22"/>
          <w:szCs w:val="22"/>
          <w:lang w:eastAsia="sv-SE"/>
        </w:rPr>
        <w:t xml:space="preserve"> 325 TFEU.</w:t>
      </w:r>
      <w:r w:rsidR="003224FB" w:rsidRPr="003676AB">
        <w:rPr>
          <w:rStyle w:val="Fotnotsreferens"/>
          <w:sz w:val="22"/>
          <w:szCs w:val="22"/>
          <w:lang w:eastAsia="sv-SE"/>
        </w:rPr>
        <w:footnoteReference w:id="5"/>
      </w:r>
      <w:r w:rsidR="00AB5DBA" w:rsidRPr="003676AB">
        <w:rPr>
          <w:sz w:val="22"/>
          <w:szCs w:val="22"/>
          <w:lang w:eastAsia="sv-SE"/>
        </w:rPr>
        <w:t xml:space="preserve"> </w:t>
      </w:r>
      <w:r w:rsidR="00A26B13" w:rsidRPr="003676AB">
        <w:rPr>
          <w:sz w:val="22"/>
          <w:szCs w:val="22"/>
          <w:lang w:eastAsia="sv-SE"/>
        </w:rPr>
        <w:t xml:space="preserve">This </w:t>
      </w:r>
      <w:r w:rsidR="00454FA7" w:rsidRPr="003676AB">
        <w:rPr>
          <w:sz w:val="22"/>
          <w:szCs w:val="22"/>
          <w:lang w:eastAsia="sv-SE"/>
        </w:rPr>
        <w:t xml:space="preserve">result is </w:t>
      </w:r>
      <w:r w:rsidR="00543F9A" w:rsidRPr="003676AB">
        <w:rPr>
          <w:sz w:val="22"/>
          <w:szCs w:val="22"/>
          <w:lang w:eastAsia="sv-SE"/>
        </w:rPr>
        <w:t xml:space="preserve">an unavoidable </w:t>
      </w:r>
      <w:r w:rsidR="00454FA7" w:rsidRPr="003676AB">
        <w:rPr>
          <w:sz w:val="22"/>
          <w:szCs w:val="22"/>
          <w:lang w:eastAsia="sv-SE"/>
        </w:rPr>
        <w:t xml:space="preserve">potential for </w:t>
      </w:r>
      <w:r w:rsidR="00A26B13" w:rsidRPr="003676AB">
        <w:rPr>
          <w:sz w:val="22"/>
          <w:szCs w:val="22"/>
          <w:lang w:eastAsia="sv-SE"/>
        </w:rPr>
        <w:t>conflicts between competing legal bases.</w:t>
      </w:r>
      <w:r w:rsidR="00F24440" w:rsidRPr="003676AB">
        <w:rPr>
          <w:sz w:val="22"/>
          <w:szCs w:val="22"/>
          <w:lang w:eastAsia="sv-SE"/>
        </w:rPr>
        <w:t xml:space="preserve"> </w:t>
      </w:r>
    </w:p>
    <w:p w14:paraId="0F1802C8" w14:textId="6BB2FEE9" w:rsidR="007A4A18" w:rsidRPr="003676AB" w:rsidRDefault="007A4A18" w:rsidP="00B603CB">
      <w:pPr>
        <w:autoSpaceDE w:val="0"/>
        <w:autoSpaceDN w:val="0"/>
        <w:adjustRightInd w:val="0"/>
        <w:spacing w:after="0"/>
        <w:rPr>
          <w:sz w:val="22"/>
          <w:szCs w:val="22"/>
          <w:lang w:eastAsia="sv-SE"/>
        </w:rPr>
      </w:pPr>
      <w:r w:rsidRPr="003676AB">
        <w:rPr>
          <w:sz w:val="22"/>
          <w:szCs w:val="22"/>
          <w:lang w:eastAsia="sv-SE"/>
        </w:rPr>
        <w:t>One of these</w:t>
      </w:r>
      <w:r w:rsidR="00B603CB" w:rsidRPr="003676AB">
        <w:rPr>
          <w:sz w:val="22"/>
          <w:szCs w:val="22"/>
          <w:lang w:eastAsia="sv-SE"/>
        </w:rPr>
        <w:t xml:space="preserve"> emerging</w:t>
      </w:r>
      <w:r w:rsidR="00360343" w:rsidRPr="003676AB">
        <w:rPr>
          <w:sz w:val="22"/>
          <w:szCs w:val="22"/>
          <w:lang w:eastAsia="sv-SE"/>
        </w:rPr>
        <w:t xml:space="preserve"> legal basis controversies concerns</w:t>
      </w:r>
      <w:r w:rsidRPr="003676AB">
        <w:rPr>
          <w:sz w:val="22"/>
          <w:szCs w:val="22"/>
          <w:lang w:eastAsia="sv-SE"/>
        </w:rPr>
        <w:t xml:space="preserve"> the</w:t>
      </w:r>
      <w:r w:rsidR="00176F28" w:rsidRPr="003676AB">
        <w:rPr>
          <w:sz w:val="22"/>
          <w:szCs w:val="22"/>
          <w:lang w:eastAsia="sv-SE"/>
        </w:rPr>
        <w:t xml:space="preserve"> choice of legal basis for criminalization measures</w:t>
      </w:r>
      <w:r w:rsidR="00454FA7" w:rsidRPr="003676AB">
        <w:rPr>
          <w:sz w:val="22"/>
          <w:szCs w:val="22"/>
          <w:lang w:eastAsia="sv-SE"/>
        </w:rPr>
        <w:t>.</w:t>
      </w:r>
      <w:r w:rsidR="00EF3637" w:rsidRPr="003676AB">
        <w:rPr>
          <w:rStyle w:val="Fotnotsreferens"/>
          <w:sz w:val="22"/>
          <w:szCs w:val="22"/>
          <w:lang w:eastAsia="sv-SE"/>
        </w:rPr>
        <w:footnoteReference w:id="6"/>
      </w:r>
      <w:r w:rsidR="00454FA7" w:rsidRPr="003676AB">
        <w:rPr>
          <w:sz w:val="22"/>
          <w:szCs w:val="22"/>
          <w:lang w:eastAsia="sv-SE"/>
        </w:rPr>
        <w:t xml:space="preserve"> </w:t>
      </w:r>
      <w:r w:rsidR="00FD251E" w:rsidRPr="003676AB">
        <w:rPr>
          <w:sz w:val="22"/>
          <w:szCs w:val="22"/>
          <w:lang w:eastAsia="sv-SE"/>
        </w:rPr>
        <w:t>The debate</w:t>
      </w:r>
      <w:r w:rsidR="00176F28" w:rsidRPr="003676AB">
        <w:rPr>
          <w:sz w:val="22"/>
          <w:szCs w:val="22"/>
          <w:lang w:eastAsia="sv-SE"/>
        </w:rPr>
        <w:t xml:space="preserve"> concerns whether</w:t>
      </w:r>
      <w:r w:rsidR="003224FB" w:rsidRPr="003676AB">
        <w:rPr>
          <w:sz w:val="22"/>
          <w:szCs w:val="22"/>
          <w:lang w:eastAsia="sv-SE"/>
        </w:rPr>
        <w:t xml:space="preserve"> the</w:t>
      </w:r>
      <w:r w:rsidR="00FD251E" w:rsidRPr="003676AB">
        <w:rPr>
          <w:sz w:val="22"/>
          <w:szCs w:val="22"/>
          <w:lang w:eastAsia="sv-SE"/>
        </w:rPr>
        <w:t xml:space="preserve"> </w:t>
      </w:r>
      <w:r w:rsidRPr="003676AB">
        <w:rPr>
          <w:sz w:val="22"/>
          <w:szCs w:val="22"/>
          <w:lang w:eastAsia="sv-SE"/>
        </w:rPr>
        <w:t xml:space="preserve">provision </w:t>
      </w:r>
      <w:r w:rsidR="00454FA7" w:rsidRPr="003676AB">
        <w:rPr>
          <w:sz w:val="22"/>
          <w:szCs w:val="22"/>
          <w:lang w:eastAsia="sv-SE"/>
        </w:rPr>
        <w:t xml:space="preserve">introduced in the Lisbon Treaty allowing for </w:t>
      </w:r>
      <w:r w:rsidRPr="003676AB">
        <w:rPr>
          <w:sz w:val="22"/>
          <w:szCs w:val="22"/>
          <w:lang w:eastAsia="sv-SE"/>
        </w:rPr>
        <w:t>criminal law harmonization</w:t>
      </w:r>
      <w:r w:rsidR="00454FA7" w:rsidRPr="003676AB">
        <w:rPr>
          <w:sz w:val="22"/>
          <w:szCs w:val="22"/>
          <w:lang w:eastAsia="sv-SE"/>
        </w:rPr>
        <w:t xml:space="preserve"> </w:t>
      </w:r>
      <w:r w:rsidR="00EF3526" w:rsidRPr="003676AB">
        <w:rPr>
          <w:sz w:val="22"/>
          <w:szCs w:val="22"/>
          <w:lang w:eastAsia="sv-SE"/>
        </w:rPr>
        <w:t>–</w:t>
      </w:r>
      <w:r w:rsidRPr="003676AB">
        <w:rPr>
          <w:sz w:val="22"/>
          <w:szCs w:val="22"/>
          <w:lang w:eastAsia="sv-SE"/>
        </w:rPr>
        <w:t xml:space="preserve"> </w:t>
      </w:r>
      <w:r w:rsidR="00EF3526" w:rsidRPr="003676AB">
        <w:rPr>
          <w:sz w:val="22"/>
          <w:szCs w:val="22"/>
          <w:lang w:eastAsia="sv-SE"/>
        </w:rPr>
        <w:t>art.</w:t>
      </w:r>
      <w:r w:rsidRPr="003676AB">
        <w:rPr>
          <w:sz w:val="22"/>
          <w:szCs w:val="22"/>
          <w:lang w:eastAsia="sv-SE"/>
        </w:rPr>
        <w:t xml:space="preserve"> 83(2) TFEU</w:t>
      </w:r>
      <w:r w:rsidR="00454FA7" w:rsidRPr="003676AB">
        <w:rPr>
          <w:sz w:val="22"/>
          <w:szCs w:val="22"/>
          <w:lang w:eastAsia="sv-SE"/>
        </w:rPr>
        <w:t xml:space="preserve"> - </w:t>
      </w:r>
      <w:r w:rsidR="00176F28" w:rsidRPr="003676AB">
        <w:rPr>
          <w:sz w:val="22"/>
          <w:szCs w:val="22"/>
          <w:lang w:eastAsia="sv-SE"/>
        </w:rPr>
        <w:t xml:space="preserve">is the exclusive legal basis for criminalisation measures or whether </w:t>
      </w:r>
      <w:r w:rsidRPr="003676AB">
        <w:rPr>
          <w:sz w:val="22"/>
          <w:szCs w:val="22"/>
          <w:lang w:eastAsia="sv-SE"/>
        </w:rPr>
        <w:t>other legal bases of the Treaties</w:t>
      </w:r>
      <w:r w:rsidR="00B603CB" w:rsidRPr="003676AB">
        <w:rPr>
          <w:sz w:val="22"/>
          <w:szCs w:val="22"/>
          <w:lang w:eastAsia="sv-SE"/>
        </w:rPr>
        <w:t xml:space="preserve">, such as </w:t>
      </w:r>
      <w:r w:rsidR="00EF3526" w:rsidRPr="003676AB">
        <w:rPr>
          <w:sz w:val="22"/>
          <w:szCs w:val="22"/>
          <w:lang w:eastAsia="sv-SE"/>
        </w:rPr>
        <w:t>art.</w:t>
      </w:r>
      <w:r w:rsidR="00B603CB" w:rsidRPr="003676AB">
        <w:rPr>
          <w:sz w:val="22"/>
          <w:szCs w:val="22"/>
          <w:lang w:eastAsia="sv-SE"/>
        </w:rPr>
        <w:t xml:space="preserve"> 114 TFEU and </w:t>
      </w:r>
      <w:r w:rsidR="00EF3526" w:rsidRPr="003676AB">
        <w:rPr>
          <w:sz w:val="22"/>
          <w:szCs w:val="22"/>
          <w:lang w:eastAsia="sv-SE"/>
        </w:rPr>
        <w:t>art.</w:t>
      </w:r>
      <w:r w:rsidR="00B603CB" w:rsidRPr="003676AB">
        <w:rPr>
          <w:sz w:val="22"/>
          <w:szCs w:val="22"/>
          <w:lang w:eastAsia="sv-SE"/>
        </w:rPr>
        <w:t xml:space="preserve"> 325 TFEU</w:t>
      </w:r>
      <w:r w:rsidR="00FD251E" w:rsidRPr="003676AB">
        <w:rPr>
          <w:sz w:val="22"/>
          <w:szCs w:val="22"/>
          <w:lang w:eastAsia="sv-SE"/>
        </w:rPr>
        <w:t>,</w:t>
      </w:r>
      <w:r w:rsidRPr="003676AB">
        <w:rPr>
          <w:sz w:val="22"/>
          <w:szCs w:val="22"/>
          <w:lang w:eastAsia="sv-SE"/>
        </w:rPr>
        <w:t xml:space="preserve"> </w:t>
      </w:r>
      <w:r w:rsidR="00543F9A" w:rsidRPr="003676AB">
        <w:rPr>
          <w:sz w:val="22"/>
          <w:szCs w:val="22"/>
          <w:lang w:eastAsia="sv-SE"/>
        </w:rPr>
        <w:t xml:space="preserve">are also capable of </w:t>
      </w:r>
      <w:r w:rsidR="007E0544" w:rsidRPr="003676AB">
        <w:rPr>
          <w:sz w:val="22"/>
          <w:szCs w:val="22"/>
          <w:lang w:eastAsia="sv-SE"/>
        </w:rPr>
        <w:t xml:space="preserve">being used to adopt </w:t>
      </w:r>
      <w:r w:rsidR="00543F9A" w:rsidRPr="003676AB">
        <w:rPr>
          <w:sz w:val="22"/>
          <w:szCs w:val="22"/>
          <w:lang w:eastAsia="sv-SE"/>
        </w:rPr>
        <w:t>measures harmonising criminal law</w:t>
      </w:r>
      <w:r w:rsidRPr="003676AB">
        <w:rPr>
          <w:sz w:val="22"/>
          <w:szCs w:val="22"/>
          <w:lang w:eastAsia="sv-SE"/>
        </w:rPr>
        <w:t xml:space="preserve">. </w:t>
      </w:r>
      <w:r w:rsidR="00B603CB" w:rsidRPr="003676AB">
        <w:rPr>
          <w:sz w:val="22"/>
          <w:szCs w:val="22"/>
          <w:lang w:eastAsia="sv-SE"/>
        </w:rPr>
        <w:t xml:space="preserve">There are two opposing views on this issue. </w:t>
      </w:r>
      <w:r w:rsidRPr="003676AB">
        <w:rPr>
          <w:rFonts w:eastAsia="Calibri"/>
          <w:sz w:val="22"/>
          <w:szCs w:val="22"/>
        </w:rPr>
        <w:t>Member States</w:t>
      </w:r>
      <w:r w:rsidRPr="003676AB">
        <w:rPr>
          <w:rStyle w:val="Fotnotsreferens"/>
          <w:rFonts w:eastAsia="Calibri"/>
          <w:sz w:val="22"/>
          <w:szCs w:val="22"/>
          <w:lang w:eastAsia="sv-SE"/>
        </w:rPr>
        <w:footnoteReference w:id="7"/>
      </w:r>
      <w:r w:rsidRPr="003676AB">
        <w:rPr>
          <w:rFonts w:eastAsia="Calibri"/>
          <w:sz w:val="22"/>
          <w:szCs w:val="22"/>
        </w:rPr>
        <w:t xml:space="preserve"> and certain scholars</w:t>
      </w:r>
      <w:r w:rsidRPr="003676AB">
        <w:rPr>
          <w:rStyle w:val="Fotnotsreferens"/>
          <w:rFonts w:eastAsia="Calibri"/>
          <w:sz w:val="22"/>
          <w:szCs w:val="22"/>
        </w:rPr>
        <w:footnoteReference w:id="8"/>
      </w:r>
      <w:r w:rsidRPr="003676AB">
        <w:rPr>
          <w:rFonts w:eastAsia="Calibri"/>
          <w:sz w:val="22"/>
          <w:szCs w:val="22"/>
        </w:rPr>
        <w:t xml:space="preserve"> argue that the new </w:t>
      </w:r>
      <w:r w:rsidR="00EF3526" w:rsidRPr="003676AB">
        <w:rPr>
          <w:rFonts w:eastAsia="Calibri"/>
          <w:sz w:val="22"/>
          <w:szCs w:val="22"/>
        </w:rPr>
        <w:t>art.</w:t>
      </w:r>
      <w:r w:rsidRPr="003676AB">
        <w:rPr>
          <w:rFonts w:eastAsia="Calibri"/>
          <w:sz w:val="22"/>
          <w:szCs w:val="22"/>
        </w:rPr>
        <w:t xml:space="preserve"> 83(2) TFEU is the exclusive legal basis for criminalization measures. The premise of this argument is that the ‘</w:t>
      </w:r>
      <w:proofErr w:type="spellStart"/>
      <w:r w:rsidRPr="003676AB">
        <w:rPr>
          <w:rFonts w:eastAsia="Calibri"/>
          <w:sz w:val="22"/>
          <w:szCs w:val="22"/>
        </w:rPr>
        <w:t>Communitarization</w:t>
      </w:r>
      <w:proofErr w:type="spellEnd"/>
      <w:r w:rsidRPr="003676AB">
        <w:rPr>
          <w:rFonts w:eastAsia="Calibri"/>
          <w:sz w:val="22"/>
          <w:szCs w:val="22"/>
        </w:rPr>
        <w:t xml:space="preserve">’ of the third pillar and the intention </w:t>
      </w:r>
      <w:r w:rsidR="00454FA7" w:rsidRPr="003676AB">
        <w:rPr>
          <w:rFonts w:eastAsia="Calibri"/>
          <w:sz w:val="22"/>
          <w:szCs w:val="22"/>
        </w:rPr>
        <w:t xml:space="preserve">of </w:t>
      </w:r>
      <w:r w:rsidR="005E1D31" w:rsidRPr="003676AB">
        <w:rPr>
          <w:rFonts w:eastAsia="Calibri"/>
          <w:sz w:val="22"/>
          <w:szCs w:val="22"/>
        </w:rPr>
        <w:t xml:space="preserve">the </w:t>
      </w:r>
      <w:r w:rsidRPr="003676AB">
        <w:rPr>
          <w:rFonts w:eastAsia="Calibri"/>
          <w:sz w:val="22"/>
          <w:szCs w:val="22"/>
        </w:rPr>
        <w:t>drafters</w:t>
      </w:r>
      <w:r w:rsidR="005E1D31" w:rsidRPr="003676AB">
        <w:rPr>
          <w:rFonts w:eastAsia="Calibri"/>
          <w:sz w:val="22"/>
          <w:szCs w:val="22"/>
        </w:rPr>
        <w:t xml:space="preserve"> of the </w:t>
      </w:r>
      <w:r w:rsidR="00EF3526" w:rsidRPr="003676AB">
        <w:rPr>
          <w:rFonts w:eastAsia="Calibri"/>
          <w:sz w:val="22"/>
          <w:szCs w:val="22"/>
        </w:rPr>
        <w:t>T</w:t>
      </w:r>
      <w:r w:rsidR="005E1D31" w:rsidRPr="003676AB">
        <w:rPr>
          <w:rFonts w:eastAsia="Calibri"/>
          <w:sz w:val="22"/>
          <w:szCs w:val="22"/>
        </w:rPr>
        <w:t>reaties</w:t>
      </w:r>
      <w:r w:rsidRPr="003676AB">
        <w:rPr>
          <w:rFonts w:eastAsia="Calibri"/>
          <w:sz w:val="22"/>
          <w:szCs w:val="22"/>
        </w:rPr>
        <w:t xml:space="preserve">, suggest that this provision would </w:t>
      </w:r>
      <w:r w:rsidR="00543F9A" w:rsidRPr="003676AB">
        <w:rPr>
          <w:rFonts w:eastAsia="Calibri"/>
          <w:sz w:val="22"/>
          <w:szCs w:val="22"/>
        </w:rPr>
        <w:t>codify</w:t>
      </w:r>
      <w:r w:rsidRPr="003676AB">
        <w:rPr>
          <w:rFonts w:eastAsia="Calibri"/>
          <w:sz w:val="22"/>
          <w:szCs w:val="22"/>
        </w:rPr>
        <w:t xml:space="preserve"> and replace the European Community criminal law competence recognized </w:t>
      </w:r>
      <w:r w:rsidR="005E1D31" w:rsidRPr="003676AB">
        <w:rPr>
          <w:rFonts w:eastAsia="Calibri"/>
          <w:sz w:val="22"/>
          <w:szCs w:val="22"/>
        </w:rPr>
        <w:t xml:space="preserve">by </w:t>
      </w:r>
      <w:r w:rsidRPr="003676AB">
        <w:rPr>
          <w:rFonts w:eastAsia="Calibri"/>
          <w:sz w:val="22"/>
          <w:szCs w:val="22"/>
        </w:rPr>
        <w:t>the Court of Justice’s pre-Lisbon case law</w:t>
      </w:r>
      <w:r w:rsidR="005E1D31" w:rsidRPr="003676AB">
        <w:rPr>
          <w:rFonts w:eastAsia="Calibri"/>
          <w:sz w:val="22"/>
          <w:szCs w:val="22"/>
        </w:rPr>
        <w:t>.</w:t>
      </w:r>
      <w:r w:rsidR="00FD251E" w:rsidRPr="003676AB">
        <w:rPr>
          <w:rStyle w:val="Fotnotsreferens"/>
          <w:rFonts w:eastAsia="Calibri"/>
          <w:sz w:val="22"/>
          <w:szCs w:val="22"/>
        </w:rPr>
        <w:footnoteReference w:id="9"/>
      </w:r>
      <w:r w:rsidRPr="003676AB">
        <w:rPr>
          <w:rFonts w:eastAsia="Calibri"/>
          <w:sz w:val="22"/>
          <w:szCs w:val="22"/>
        </w:rPr>
        <w:t xml:space="preserve"> It is, however, the view of the Commission and some other commentators</w:t>
      </w:r>
      <w:r w:rsidR="00543F9A" w:rsidRPr="003676AB">
        <w:rPr>
          <w:rFonts w:eastAsia="Calibri"/>
          <w:sz w:val="22"/>
          <w:szCs w:val="22"/>
        </w:rPr>
        <w:t xml:space="preserve"> that</w:t>
      </w:r>
      <w:r w:rsidRPr="003676AB">
        <w:rPr>
          <w:rFonts w:eastAsia="Calibri"/>
          <w:sz w:val="22"/>
          <w:szCs w:val="22"/>
        </w:rPr>
        <w:t xml:space="preserve"> an implicit general criminal law competence</w:t>
      </w:r>
      <w:r w:rsidR="00543F9A" w:rsidRPr="003676AB">
        <w:rPr>
          <w:rFonts w:eastAsia="Calibri"/>
          <w:sz w:val="22"/>
          <w:szCs w:val="22"/>
        </w:rPr>
        <w:t>, along the lines suggested by the Court of Justice’s pre-Lisbon case law, continues to exist</w:t>
      </w:r>
      <w:r w:rsidR="007E0544" w:rsidRPr="003676AB">
        <w:rPr>
          <w:rFonts w:eastAsia="Calibri"/>
          <w:sz w:val="22"/>
          <w:szCs w:val="22"/>
        </w:rPr>
        <w:t>,</w:t>
      </w:r>
      <w:r w:rsidR="00543F9A" w:rsidRPr="003676AB">
        <w:rPr>
          <w:rFonts w:eastAsia="Calibri"/>
          <w:sz w:val="22"/>
          <w:szCs w:val="22"/>
        </w:rPr>
        <w:t xml:space="preserve"> in addition to that found in </w:t>
      </w:r>
      <w:r w:rsidR="00EF3526" w:rsidRPr="003676AB">
        <w:rPr>
          <w:rFonts w:eastAsia="Calibri"/>
          <w:sz w:val="22"/>
          <w:szCs w:val="22"/>
        </w:rPr>
        <w:t>art.</w:t>
      </w:r>
      <w:r w:rsidR="00543F9A" w:rsidRPr="003676AB">
        <w:rPr>
          <w:rFonts w:eastAsia="Calibri"/>
          <w:sz w:val="22"/>
          <w:szCs w:val="22"/>
        </w:rPr>
        <w:t xml:space="preserve"> 83(2) TFEU</w:t>
      </w:r>
      <w:r w:rsidRPr="003676AB">
        <w:rPr>
          <w:rFonts w:eastAsia="Calibri"/>
          <w:sz w:val="22"/>
          <w:szCs w:val="22"/>
        </w:rPr>
        <w:t>.</w:t>
      </w:r>
      <w:r w:rsidRPr="003676AB">
        <w:rPr>
          <w:rFonts w:eastAsia="Calibri"/>
          <w:sz w:val="22"/>
          <w:szCs w:val="22"/>
          <w:vertAlign w:val="superscript"/>
        </w:rPr>
        <w:footnoteReference w:id="10"/>
      </w:r>
      <w:r w:rsidRPr="003676AB">
        <w:rPr>
          <w:rFonts w:eastAsia="Calibri"/>
          <w:sz w:val="22"/>
          <w:szCs w:val="22"/>
        </w:rPr>
        <w:t xml:space="preserve"> This competence</w:t>
      </w:r>
      <w:r w:rsidRPr="003676AB">
        <w:rPr>
          <w:rFonts w:eastAsia="Calibri"/>
          <w:i/>
          <w:sz w:val="22"/>
          <w:szCs w:val="22"/>
        </w:rPr>
        <w:t xml:space="preserve"> </w:t>
      </w:r>
      <w:r w:rsidRPr="003676AB">
        <w:rPr>
          <w:rFonts w:eastAsia="Calibri"/>
          <w:sz w:val="22"/>
          <w:szCs w:val="22"/>
        </w:rPr>
        <w:t xml:space="preserve">could thus </w:t>
      </w:r>
      <w:r w:rsidRPr="003676AB">
        <w:rPr>
          <w:rFonts w:eastAsia="Calibri"/>
          <w:sz w:val="22"/>
          <w:szCs w:val="22"/>
        </w:rPr>
        <w:lastRenderedPageBreak/>
        <w:t>be exercised under m</w:t>
      </w:r>
      <w:r w:rsidR="00FD251E" w:rsidRPr="003676AB">
        <w:rPr>
          <w:rFonts w:eastAsia="Calibri"/>
          <w:sz w:val="22"/>
          <w:szCs w:val="22"/>
        </w:rPr>
        <w:t>ost legal bases of the Treaties</w:t>
      </w:r>
      <w:r w:rsidRPr="003676AB">
        <w:rPr>
          <w:rFonts w:eastAsia="Calibri"/>
          <w:sz w:val="22"/>
          <w:szCs w:val="22"/>
        </w:rPr>
        <w:t>, e</w:t>
      </w:r>
      <w:r w:rsidR="00EF3526" w:rsidRPr="003676AB">
        <w:rPr>
          <w:rFonts w:eastAsia="Calibri"/>
          <w:sz w:val="22"/>
          <w:szCs w:val="22"/>
        </w:rPr>
        <w:t>.g.</w:t>
      </w:r>
      <w:r w:rsidRPr="003676AB">
        <w:rPr>
          <w:rFonts w:eastAsia="Calibri"/>
          <w:sz w:val="22"/>
          <w:szCs w:val="22"/>
        </w:rPr>
        <w:t xml:space="preserve"> </w:t>
      </w:r>
      <w:r w:rsidR="00DC085E" w:rsidRPr="003676AB">
        <w:rPr>
          <w:rFonts w:eastAsia="Calibri"/>
          <w:sz w:val="22"/>
          <w:szCs w:val="22"/>
        </w:rPr>
        <w:t>art.</w:t>
      </w:r>
      <w:r w:rsidRPr="003676AB">
        <w:rPr>
          <w:rFonts w:eastAsia="Calibri"/>
          <w:sz w:val="22"/>
          <w:szCs w:val="22"/>
        </w:rPr>
        <w:t>192 TFEU (environmental policy)</w:t>
      </w:r>
      <w:r w:rsidR="005E1D31" w:rsidRPr="003676AB">
        <w:rPr>
          <w:rFonts w:eastAsia="Calibri"/>
          <w:sz w:val="22"/>
          <w:szCs w:val="22"/>
        </w:rPr>
        <w:t>,</w:t>
      </w:r>
      <w:r w:rsidRPr="003676AB">
        <w:rPr>
          <w:rStyle w:val="Fotnotsreferens"/>
          <w:rFonts w:eastAsia="Calibri"/>
          <w:sz w:val="22"/>
          <w:szCs w:val="22"/>
        </w:rPr>
        <w:footnoteReference w:id="11"/>
      </w:r>
      <w:r w:rsidRPr="003676AB">
        <w:rPr>
          <w:rFonts w:eastAsia="Calibri"/>
          <w:sz w:val="22"/>
          <w:szCs w:val="22"/>
        </w:rPr>
        <w:t xml:space="preserve">  </w:t>
      </w:r>
      <w:r w:rsidR="00F34F9F" w:rsidRPr="003676AB">
        <w:rPr>
          <w:rFonts w:eastAsia="Calibri"/>
          <w:sz w:val="22"/>
          <w:szCs w:val="22"/>
        </w:rPr>
        <w:t>art.</w:t>
      </w:r>
      <w:r w:rsidRPr="003676AB">
        <w:rPr>
          <w:rFonts w:eastAsia="Calibri"/>
          <w:sz w:val="22"/>
          <w:szCs w:val="22"/>
        </w:rPr>
        <w:t xml:space="preserve"> 325 TFEU (fraud)</w:t>
      </w:r>
      <w:r w:rsidRPr="003676AB">
        <w:rPr>
          <w:rStyle w:val="Fotnotsreferens"/>
          <w:rFonts w:eastAsia="Calibri"/>
          <w:sz w:val="22"/>
          <w:szCs w:val="22"/>
        </w:rPr>
        <w:footnoteReference w:id="12"/>
      </w:r>
      <w:r w:rsidR="00FD251E" w:rsidRPr="003676AB">
        <w:rPr>
          <w:rFonts w:eastAsia="Calibri"/>
          <w:sz w:val="22"/>
          <w:szCs w:val="22"/>
        </w:rPr>
        <w:t xml:space="preserve"> or</w:t>
      </w:r>
      <w:r w:rsidRPr="003676AB">
        <w:rPr>
          <w:rFonts w:eastAsia="Calibri"/>
          <w:sz w:val="22"/>
          <w:szCs w:val="22"/>
        </w:rPr>
        <w:t xml:space="preserve"> </w:t>
      </w:r>
      <w:r w:rsidR="00F34F9F" w:rsidRPr="003676AB">
        <w:rPr>
          <w:rFonts w:eastAsia="Calibri"/>
          <w:sz w:val="22"/>
          <w:szCs w:val="22"/>
        </w:rPr>
        <w:t>art.</w:t>
      </w:r>
      <w:r w:rsidRPr="003676AB">
        <w:rPr>
          <w:rFonts w:eastAsia="Calibri"/>
          <w:sz w:val="22"/>
          <w:szCs w:val="22"/>
        </w:rPr>
        <w:t xml:space="preserve"> 114</w:t>
      </w:r>
      <w:r w:rsidR="00FD251E" w:rsidRPr="003676AB">
        <w:rPr>
          <w:rFonts w:eastAsia="Calibri"/>
          <w:sz w:val="22"/>
          <w:szCs w:val="22"/>
        </w:rPr>
        <w:t xml:space="preserve"> (internal market)</w:t>
      </w:r>
      <w:r w:rsidRPr="003676AB">
        <w:rPr>
          <w:rFonts w:eastAsia="Calibri"/>
          <w:sz w:val="22"/>
          <w:szCs w:val="22"/>
        </w:rPr>
        <w:t>.</w:t>
      </w:r>
      <w:r w:rsidRPr="003676AB">
        <w:rPr>
          <w:rFonts w:eastAsia="Calibri"/>
          <w:sz w:val="22"/>
          <w:szCs w:val="22"/>
          <w:vertAlign w:val="superscript"/>
        </w:rPr>
        <w:footnoteReference w:id="13"/>
      </w:r>
      <w:r w:rsidRPr="003676AB">
        <w:rPr>
          <w:rFonts w:eastAsia="Calibri"/>
          <w:sz w:val="22"/>
          <w:szCs w:val="22"/>
        </w:rPr>
        <w:t xml:space="preserve"> </w:t>
      </w:r>
    </w:p>
    <w:p w14:paraId="272F787E" w14:textId="79EDCE9A" w:rsidR="00FB0468" w:rsidRPr="003676AB" w:rsidRDefault="00B603CB" w:rsidP="00376DF5">
      <w:pPr>
        <w:tabs>
          <w:tab w:val="left" w:pos="0"/>
        </w:tabs>
        <w:rPr>
          <w:rFonts w:eastAsia="Calibri"/>
          <w:sz w:val="22"/>
          <w:szCs w:val="22"/>
          <w:lang w:eastAsia="sv-SE"/>
        </w:rPr>
      </w:pPr>
      <w:r w:rsidRPr="003676AB">
        <w:rPr>
          <w:rFonts w:eastAsia="Calibri"/>
          <w:sz w:val="22"/>
          <w:szCs w:val="22"/>
          <w:lang w:eastAsia="sv-SE"/>
        </w:rPr>
        <w:t xml:space="preserve">This </w:t>
      </w:r>
      <w:r w:rsidR="007E0544" w:rsidRPr="003676AB">
        <w:rPr>
          <w:rFonts w:eastAsia="Calibri"/>
          <w:sz w:val="22"/>
          <w:szCs w:val="22"/>
          <w:lang w:eastAsia="sv-SE"/>
        </w:rPr>
        <w:t xml:space="preserve">article </w:t>
      </w:r>
      <w:r w:rsidRPr="003676AB">
        <w:rPr>
          <w:rFonts w:eastAsia="Calibri"/>
          <w:sz w:val="22"/>
          <w:szCs w:val="22"/>
          <w:lang w:eastAsia="sv-SE"/>
        </w:rPr>
        <w:t>intends to contribute to this debate by examining how the choice</w:t>
      </w:r>
      <w:r w:rsidR="00BE3CB2" w:rsidRPr="003676AB">
        <w:rPr>
          <w:rFonts w:eastAsia="Calibri"/>
          <w:sz w:val="22"/>
          <w:szCs w:val="22"/>
          <w:lang w:eastAsia="sv-SE"/>
        </w:rPr>
        <w:t xml:space="preserve"> for criminalisation measures</w:t>
      </w:r>
      <w:r w:rsidRPr="003676AB">
        <w:rPr>
          <w:rFonts w:eastAsia="Calibri"/>
          <w:sz w:val="22"/>
          <w:szCs w:val="22"/>
          <w:lang w:eastAsia="sv-SE"/>
        </w:rPr>
        <w:t xml:space="preserve"> should be made between different legal bases in the Treaties. </w:t>
      </w:r>
      <w:r w:rsidR="00873FC0" w:rsidRPr="003676AB">
        <w:rPr>
          <w:rFonts w:eastAsia="Calibri"/>
          <w:sz w:val="22"/>
          <w:szCs w:val="22"/>
          <w:lang w:eastAsia="sv-SE"/>
        </w:rPr>
        <w:t xml:space="preserve">It </w:t>
      </w:r>
      <w:r w:rsidRPr="003676AB">
        <w:rPr>
          <w:rFonts w:eastAsia="Calibri"/>
          <w:sz w:val="22"/>
          <w:szCs w:val="22"/>
          <w:lang w:eastAsia="sv-SE"/>
        </w:rPr>
        <w:t xml:space="preserve">argues for </w:t>
      </w:r>
      <w:r w:rsidR="003E1A31" w:rsidRPr="003676AB">
        <w:rPr>
          <w:rFonts w:eastAsia="Calibri"/>
          <w:sz w:val="22"/>
          <w:szCs w:val="22"/>
          <w:lang w:eastAsia="sv-SE"/>
        </w:rPr>
        <w:t>an alternative to the two views mentioned above</w:t>
      </w:r>
      <w:r w:rsidR="007E0544" w:rsidRPr="003676AB">
        <w:rPr>
          <w:rFonts w:eastAsia="Calibri"/>
          <w:sz w:val="22"/>
          <w:szCs w:val="22"/>
          <w:lang w:eastAsia="sv-SE"/>
        </w:rPr>
        <w:t xml:space="preserve"> and</w:t>
      </w:r>
      <w:r w:rsidRPr="003676AB">
        <w:rPr>
          <w:rFonts w:eastAsia="Calibri"/>
          <w:sz w:val="22"/>
          <w:szCs w:val="22"/>
          <w:lang w:eastAsia="sv-SE"/>
        </w:rPr>
        <w:t xml:space="preserve"> </w:t>
      </w:r>
      <w:r w:rsidR="00873FC0" w:rsidRPr="003676AB">
        <w:rPr>
          <w:rFonts w:eastAsia="Calibri"/>
          <w:sz w:val="22"/>
          <w:szCs w:val="22"/>
          <w:lang w:eastAsia="sv-SE"/>
        </w:rPr>
        <w:t>suggests</w:t>
      </w:r>
      <w:r w:rsidR="003E1A31" w:rsidRPr="003676AB">
        <w:rPr>
          <w:rFonts w:eastAsia="Calibri"/>
          <w:sz w:val="22"/>
          <w:szCs w:val="22"/>
          <w:lang w:eastAsia="sv-SE"/>
        </w:rPr>
        <w:t xml:space="preserve"> that </w:t>
      </w:r>
      <w:r w:rsidR="008D4882" w:rsidRPr="003676AB">
        <w:rPr>
          <w:rFonts w:eastAsia="Calibri"/>
          <w:sz w:val="22"/>
          <w:szCs w:val="22"/>
          <w:lang w:eastAsia="sv-SE"/>
        </w:rPr>
        <w:t>legal basis conflicts must be conceptualised and resolved as que</w:t>
      </w:r>
      <w:r w:rsidR="00C9344F" w:rsidRPr="003676AB">
        <w:rPr>
          <w:rFonts w:eastAsia="Calibri"/>
          <w:sz w:val="22"/>
          <w:szCs w:val="22"/>
          <w:lang w:eastAsia="sv-SE"/>
        </w:rPr>
        <w:t xml:space="preserve">stions of federalism, </w:t>
      </w:r>
      <w:r w:rsidR="008D4882" w:rsidRPr="003676AB">
        <w:rPr>
          <w:rFonts w:eastAsia="Calibri"/>
          <w:sz w:val="22"/>
          <w:szCs w:val="22"/>
          <w:lang w:eastAsia="sv-SE"/>
        </w:rPr>
        <w:t>i.e. there must be an appropriate balance</w:t>
      </w:r>
      <w:r w:rsidR="00C9344F" w:rsidRPr="003676AB">
        <w:rPr>
          <w:rFonts w:eastAsia="Calibri"/>
          <w:sz w:val="22"/>
          <w:szCs w:val="22"/>
          <w:lang w:eastAsia="sv-SE"/>
        </w:rPr>
        <w:t xml:space="preserve"> of powers between </w:t>
      </w:r>
      <w:r w:rsidR="008D4882" w:rsidRPr="003676AB">
        <w:rPr>
          <w:rFonts w:eastAsia="Calibri"/>
          <w:sz w:val="22"/>
          <w:szCs w:val="22"/>
          <w:lang w:eastAsia="sv-SE"/>
        </w:rPr>
        <w:t>the Union</w:t>
      </w:r>
      <w:r w:rsidR="00C9344F" w:rsidRPr="003676AB">
        <w:rPr>
          <w:rFonts w:eastAsia="Calibri"/>
          <w:sz w:val="22"/>
          <w:szCs w:val="22"/>
          <w:lang w:eastAsia="sv-SE"/>
        </w:rPr>
        <w:t xml:space="preserve"> (the central government) and the Member States (its component entities)</w:t>
      </w:r>
      <w:r w:rsidR="008A57B8" w:rsidRPr="003676AB">
        <w:rPr>
          <w:rFonts w:eastAsia="Calibri"/>
          <w:sz w:val="22"/>
          <w:szCs w:val="22"/>
          <w:lang w:eastAsia="sv-SE"/>
        </w:rPr>
        <w:t xml:space="preserve"> in the field of criminal law</w:t>
      </w:r>
      <w:r w:rsidR="00BE3CB2" w:rsidRPr="003676AB">
        <w:rPr>
          <w:rFonts w:eastAsia="Calibri"/>
          <w:sz w:val="22"/>
          <w:szCs w:val="22"/>
          <w:lang w:eastAsia="sv-SE"/>
        </w:rPr>
        <w:t>.</w:t>
      </w:r>
      <w:r w:rsidR="00BE3CB2" w:rsidRPr="003676AB">
        <w:rPr>
          <w:rFonts w:eastAsia="Calibri"/>
          <w:sz w:val="22"/>
          <w:szCs w:val="22"/>
          <w:vertAlign w:val="superscript"/>
          <w:lang w:eastAsia="sv-SE"/>
        </w:rPr>
        <w:footnoteReference w:id="14"/>
      </w:r>
      <w:r w:rsidR="008D4882" w:rsidRPr="003676AB">
        <w:rPr>
          <w:rFonts w:eastAsia="Calibri"/>
          <w:sz w:val="22"/>
          <w:szCs w:val="22"/>
          <w:lang w:eastAsia="sv-SE"/>
        </w:rPr>
        <w:t xml:space="preserve"> </w:t>
      </w:r>
      <w:r w:rsidR="00075400" w:rsidRPr="003676AB">
        <w:rPr>
          <w:rFonts w:eastAsia="Calibri"/>
          <w:sz w:val="22"/>
          <w:szCs w:val="22"/>
          <w:lang w:eastAsia="sv-SE"/>
        </w:rPr>
        <w:t>This view recognises the pivotal role of the Court of Justice</w:t>
      </w:r>
      <w:r w:rsidR="00655CD3" w:rsidRPr="003676AB">
        <w:rPr>
          <w:rFonts w:eastAsia="Calibri"/>
          <w:sz w:val="22"/>
          <w:szCs w:val="22"/>
          <w:lang w:eastAsia="sv-SE"/>
        </w:rPr>
        <w:t xml:space="preserve"> in the Union legal order (as a system of a federal nature)</w:t>
      </w:r>
      <w:r w:rsidR="00075400" w:rsidRPr="003676AB">
        <w:rPr>
          <w:rFonts w:eastAsia="Calibri"/>
          <w:sz w:val="22"/>
          <w:szCs w:val="22"/>
          <w:lang w:eastAsia="sv-SE"/>
        </w:rPr>
        <w:t xml:space="preserve"> in shaping</w:t>
      </w:r>
      <w:r w:rsidR="00E4490E" w:rsidRPr="003676AB">
        <w:rPr>
          <w:rFonts w:eastAsia="Calibri"/>
          <w:sz w:val="22"/>
          <w:szCs w:val="22"/>
        </w:rPr>
        <w:t xml:space="preserve"> the</w:t>
      </w:r>
      <w:r w:rsidR="00C9344F" w:rsidRPr="003676AB">
        <w:rPr>
          <w:rFonts w:eastAsia="Calibri"/>
          <w:sz w:val="22"/>
          <w:szCs w:val="22"/>
        </w:rPr>
        <w:t xml:space="preserve"> constitutional order of competences</w:t>
      </w:r>
      <w:r w:rsidR="00E4490E" w:rsidRPr="003676AB">
        <w:rPr>
          <w:rFonts w:eastAsia="Calibri"/>
          <w:sz w:val="22"/>
          <w:szCs w:val="22"/>
        </w:rPr>
        <w:t>.</w:t>
      </w:r>
      <w:r w:rsidR="00E4490E" w:rsidRPr="003676AB">
        <w:rPr>
          <w:rFonts w:eastAsia="Calibri"/>
          <w:sz w:val="22"/>
          <w:szCs w:val="22"/>
          <w:vertAlign w:val="superscript"/>
        </w:rPr>
        <w:footnoteReference w:id="15"/>
      </w:r>
      <w:r w:rsidR="00376DF5" w:rsidRPr="003676AB">
        <w:rPr>
          <w:sz w:val="22"/>
          <w:szCs w:val="22"/>
          <w:vertAlign w:val="superscript"/>
          <w:lang w:eastAsia="sv-SE"/>
        </w:rPr>
        <w:t xml:space="preserve"> </w:t>
      </w:r>
      <w:r w:rsidR="00E4490E" w:rsidRPr="003676AB">
        <w:rPr>
          <w:rFonts w:eastAsia="Calibri"/>
          <w:sz w:val="22"/>
          <w:szCs w:val="22"/>
        </w:rPr>
        <w:t>In legal basis</w:t>
      </w:r>
      <w:r w:rsidR="00655CD3" w:rsidRPr="003676AB">
        <w:rPr>
          <w:rFonts w:eastAsia="Calibri"/>
          <w:sz w:val="22"/>
          <w:szCs w:val="22"/>
        </w:rPr>
        <w:t xml:space="preserve"> disputes</w:t>
      </w:r>
      <w:r w:rsidR="00E4490E" w:rsidRPr="003676AB">
        <w:rPr>
          <w:rFonts w:eastAsia="Calibri"/>
          <w:sz w:val="22"/>
          <w:szCs w:val="22"/>
        </w:rPr>
        <w:t>, the Court’s choice is often</w:t>
      </w:r>
      <w:r w:rsidR="005762EF" w:rsidRPr="003676AB">
        <w:rPr>
          <w:rFonts w:eastAsia="Calibri"/>
          <w:sz w:val="22"/>
          <w:szCs w:val="22"/>
        </w:rPr>
        <w:t xml:space="preserve"> (but not always)</w:t>
      </w:r>
      <w:r w:rsidR="00E4490E" w:rsidRPr="003676AB">
        <w:rPr>
          <w:rFonts w:eastAsia="Calibri"/>
          <w:sz w:val="22"/>
          <w:szCs w:val="22"/>
        </w:rPr>
        <w:t xml:space="preserve"> </w:t>
      </w:r>
      <w:r w:rsidR="005762EF" w:rsidRPr="003676AB">
        <w:rPr>
          <w:rFonts w:eastAsia="Calibri"/>
          <w:sz w:val="22"/>
          <w:szCs w:val="22"/>
        </w:rPr>
        <w:t>between a more general and integration-friendly</w:t>
      </w:r>
      <w:r w:rsidR="00E4490E" w:rsidRPr="003676AB">
        <w:rPr>
          <w:rFonts w:eastAsia="Calibri"/>
          <w:sz w:val="22"/>
          <w:szCs w:val="22"/>
        </w:rPr>
        <w:t xml:space="preserve"> competence</w:t>
      </w:r>
      <w:r w:rsidR="005762EF" w:rsidRPr="003676AB">
        <w:rPr>
          <w:rFonts w:eastAsia="Calibri"/>
          <w:sz w:val="22"/>
          <w:szCs w:val="22"/>
        </w:rPr>
        <w:t xml:space="preserve">, such as </w:t>
      </w:r>
      <w:r w:rsidR="00873FC0" w:rsidRPr="003676AB">
        <w:rPr>
          <w:rFonts w:eastAsia="Calibri"/>
          <w:sz w:val="22"/>
          <w:szCs w:val="22"/>
        </w:rPr>
        <w:t>art.</w:t>
      </w:r>
      <w:r w:rsidR="005762EF" w:rsidRPr="003676AB">
        <w:rPr>
          <w:rFonts w:eastAsia="Calibri"/>
          <w:sz w:val="22"/>
          <w:szCs w:val="22"/>
        </w:rPr>
        <w:t xml:space="preserve"> 114 TFEU (where the Council acts by qualified majority),</w:t>
      </w:r>
      <w:r w:rsidR="00E4490E" w:rsidRPr="003676AB">
        <w:rPr>
          <w:rFonts w:eastAsia="Calibri"/>
          <w:sz w:val="22"/>
          <w:szCs w:val="22"/>
        </w:rPr>
        <w:t xml:space="preserve"> and a</w:t>
      </w:r>
      <w:r w:rsidR="005762EF" w:rsidRPr="003676AB">
        <w:rPr>
          <w:rFonts w:eastAsia="Calibri"/>
          <w:sz w:val="22"/>
          <w:szCs w:val="22"/>
        </w:rPr>
        <w:t xml:space="preserve"> more narrow</w:t>
      </w:r>
      <w:r w:rsidR="003E1A31" w:rsidRPr="003676AB">
        <w:rPr>
          <w:rFonts w:eastAsia="Calibri"/>
          <w:sz w:val="22"/>
          <w:szCs w:val="22"/>
        </w:rPr>
        <w:t>,</w:t>
      </w:r>
      <w:r w:rsidR="005762EF" w:rsidRPr="003676AB">
        <w:rPr>
          <w:rFonts w:eastAsia="Calibri"/>
          <w:sz w:val="22"/>
          <w:szCs w:val="22"/>
        </w:rPr>
        <w:t xml:space="preserve"> Member-State </w:t>
      </w:r>
      <w:r w:rsidR="003E1A31" w:rsidRPr="003676AB">
        <w:rPr>
          <w:rFonts w:eastAsia="Calibri"/>
          <w:sz w:val="22"/>
          <w:szCs w:val="22"/>
        </w:rPr>
        <w:t xml:space="preserve">friendly </w:t>
      </w:r>
      <w:r w:rsidR="005762EF" w:rsidRPr="003676AB">
        <w:rPr>
          <w:rFonts w:eastAsia="Calibri"/>
          <w:sz w:val="22"/>
          <w:szCs w:val="22"/>
        </w:rPr>
        <w:t>competence s</w:t>
      </w:r>
      <w:r w:rsidR="00A96601" w:rsidRPr="003676AB">
        <w:rPr>
          <w:rFonts w:eastAsia="Calibri"/>
          <w:sz w:val="22"/>
          <w:szCs w:val="22"/>
        </w:rPr>
        <w:t xml:space="preserve">uch as </w:t>
      </w:r>
      <w:r w:rsidR="00873FC0" w:rsidRPr="003676AB">
        <w:rPr>
          <w:rFonts w:eastAsia="Calibri"/>
          <w:sz w:val="22"/>
          <w:szCs w:val="22"/>
        </w:rPr>
        <w:t>art.</w:t>
      </w:r>
      <w:r w:rsidR="00A96601" w:rsidRPr="003676AB">
        <w:rPr>
          <w:rFonts w:eastAsia="Calibri"/>
          <w:sz w:val="22"/>
          <w:szCs w:val="22"/>
        </w:rPr>
        <w:t xml:space="preserve"> 83(2) TFEU (</w:t>
      </w:r>
      <w:r w:rsidR="003E1A31" w:rsidRPr="003676AB">
        <w:rPr>
          <w:rFonts w:eastAsia="Calibri"/>
          <w:sz w:val="22"/>
          <w:szCs w:val="22"/>
        </w:rPr>
        <w:t xml:space="preserve">where there exists safeguards for the interests of </w:t>
      </w:r>
      <w:r w:rsidR="00A96601" w:rsidRPr="003676AB">
        <w:rPr>
          <w:rFonts w:eastAsia="Calibri"/>
          <w:sz w:val="22"/>
          <w:szCs w:val="22"/>
        </w:rPr>
        <w:t>Member State</w:t>
      </w:r>
      <w:r w:rsidR="003E1A31" w:rsidRPr="003676AB">
        <w:rPr>
          <w:rFonts w:eastAsia="Calibri"/>
          <w:sz w:val="22"/>
          <w:szCs w:val="22"/>
        </w:rPr>
        <w:t>s</w:t>
      </w:r>
      <w:r w:rsidR="005762EF" w:rsidRPr="003676AB">
        <w:rPr>
          <w:rFonts w:eastAsia="Calibri"/>
          <w:sz w:val="22"/>
          <w:szCs w:val="22"/>
        </w:rPr>
        <w:t xml:space="preserve">). If the </w:t>
      </w:r>
      <w:r w:rsidR="00D871DE" w:rsidRPr="003676AB">
        <w:rPr>
          <w:rFonts w:eastAsia="Calibri"/>
          <w:sz w:val="22"/>
          <w:szCs w:val="22"/>
        </w:rPr>
        <w:t>Court interprets the</w:t>
      </w:r>
      <w:r w:rsidR="005762EF" w:rsidRPr="003676AB">
        <w:rPr>
          <w:rFonts w:eastAsia="Calibri"/>
          <w:sz w:val="22"/>
          <w:szCs w:val="22"/>
        </w:rPr>
        <w:t xml:space="preserve"> integration-friendly competences</w:t>
      </w:r>
      <w:r w:rsidR="00D871DE" w:rsidRPr="003676AB">
        <w:rPr>
          <w:rFonts w:eastAsia="Calibri"/>
          <w:sz w:val="22"/>
          <w:szCs w:val="22"/>
        </w:rPr>
        <w:t xml:space="preserve"> in legal basis disputes expansively</w:t>
      </w:r>
      <w:r w:rsidR="005762EF" w:rsidRPr="003676AB">
        <w:rPr>
          <w:rFonts w:eastAsia="Calibri"/>
          <w:sz w:val="22"/>
          <w:szCs w:val="22"/>
        </w:rPr>
        <w:t xml:space="preserve"> this tends </w:t>
      </w:r>
      <w:r w:rsidR="00E4490E" w:rsidRPr="003676AB">
        <w:rPr>
          <w:rFonts w:eastAsia="Calibri"/>
          <w:sz w:val="22"/>
          <w:szCs w:val="22"/>
        </w:rPr>
        <w:t>to favour the central legislator</w:t>
      </w:r>
      <w:r w:rsidR="005762EF" w:rsidRPr="003676AB">
        <w:rPr>
          <w:rFonts w:eastAsia="Calibri"/>
          <w:sz w:val="22"/>
          <w:szCs w:val="22"/>
        </w:rPr>
        <w:t xml:space="preserve"> vis-á-vis the states</w:t>
      </w:r>
      <w:r w:rsidR="00E4490E" w:rsidRPr="003676AB">
        <w:rPr>
          <w:rFonts w:eastAsia="Calibri"/>
          <w:sz w:val="22"/>
          <w:szCs w:val="22"/>
        </w:rPr>
        <w:t>.</w:t>
      </w:r>
      <w:r w:rsidR="00D871DE" w:rsidRPr="003676AB">
        <w:rPr>
          <w:rFonts w:eastAsia="Calibri"/>
          <w:sz w:val="22"/>
          <w:szCs w:val="22"/>
        </w:rPr>
        <w:t xml:space="preserve"> A</w:t>
      </w:r>
      <w:r w:rsidR="00FE6CE8" w:rsidRPr="003676AB">
        <w:rPr>
          <w:rFonts w:eastAsia="Calibri"/>
          <w:sz w:val="22"/>
          <w:szCs w:val="22"/>
        </w:rPr>
        <w:t xml:space="preserve"> </w:t>
      </w:r>
      <w:r w:rsidR="00D871DE" w:rsidRPr="003676AB">
        <w:rPr>
          <w:rFonts w:eastAsia="Calibri"/>
          <w:sz w:val="22"/>
          <w:szCs w:val="22"/>
        </w:rPr>
        <w:t xml:space="preserve">preference </w:t>
      </w:r>
      <w:r w:rsidR="00007F7B" w:rsidRPr="003676AB">
        <w:rPr>
          <w:rFonts w:eastAsia="Calibri"/>
          <w:sz w:val="22"/>
          <w:szCs w:val="22"/>
        </w:rPr>
        <w:t xml:space="preserve">by the Court for </w:t>
      </w:r>
      <w:r w:rsidR="00D871DE" w:rsidRPr="003676AB">
        <w:rPr>
          <w:rFonts w:eastAsia="Calibri"/>
          <w:sz w:val="22"/>
          <w:szCs w:val="22"/>
        </w:rPr>
        <w:t>legislative competences requiring unanimity in the Council (or similar limits)</w:t>
      </w:r>
      <w:r w:rsidR="00FE6CE8" w:rsidRPr="003676AB">
        <w:rPr>
          <w:rFonts w:eastAsia="Calibri"/>
          <w:sz w:val="22"/>
          <w:szCs w:val="22"/>
        </w:rPr>
        <w:t xml:space="preserve"> in legal basis disputes</w:t>
      </w:r>
      <w:r w:rsidR="00D871DE" w:rsidRPr="003676AB">
        <w:rPr>
          <w:rFonts w:eastAsia="Calibri"/>
          <w:sz w:val="22"/>
          <w:szCs w:val="22"/>
        </w:rPr>
        <w:t xml:space="preserve"> is conversely sensitive </w:t>
      </w:r>
      <w:r w:rsidR="00521F26" w:rsidRPr="003676AB">
        <w:rPr>
          <w:rFonts w:eastAsia="Calibri"/>
          <w:sz w:val="22"/>
          <w:szCs w:val="22"/>
        </w:rPr>
        <w:t>to</w:t>
      </w:r>
      <w:r w:rsidR="00D871DE" w:rsidRPr="003676AB">
        <w:rPr>
          <w:rFonts w:eastAsia="Calibri"/>
          <w:sz w:val="22"/>
          <w:szCs w:val="22"/>
        </w:rPr>
        <w:t xml:space="preserve"> Member State rights.</w:t>
      </w:r>
      <w:r w:rsidR="00E4490E" w:rsidRPr="003676AB">
        <w:rPr>
          <w:rFonts w:eastAsia="Calibri"/>
          <w:sz w:val="22"/>
          <w:szCs w:val="22"/>
          <w:vertAlign w:val="superscript"/>
        </w:rPr>
        <w:footnoteReference w:id="16"/>
      </w:r>
      <w:r w:rsidR="00FB0468" w:rsidRPr="003676AB">
        <w:rPr>
          <w:sz w:val="22"/>
          <w:szCs w:val="22"/>
          <w:lang w:eastAsia="sv-SE"/>
        </w:rPr>
        <w:t xml:space="preserve"> </w:t>
      </w:r>
    </w:p>
    <w:p w14:paraId="632E3856" w14:textId="154A27F1" w:rsidR="00C37698" w:rsidRPr="003676AB" w:rsidRDefault="00FB0468" w:rsidP="00FB0468">
      <w:pPr>
        <w:rPr>
          <w:rFonts w:eastAsia="Calibri"/>
          <w:sz w:val="22"/>
          <w:szCs w:val="22"/>
        </w:rPr>
      </w:pPr>
      <w:r w:rsidRPr="003676AB">
        <w:rPr>
          <w:sz w:val="22"/>
          <w:szCs w:val="22"/>
          <w:lang w:eastAsia="sv-SE"/>
        </w:rPr>
        <w:t>Whil</w:t>
      </w:r>
      <w:r w:rsidR="00521F26" w:rsidRPr="003676AB">
        <w:rPr>
          <w:sz w:val="22"/>
          <w:szCs w:val="22"/>
          <w:lang w:eastAsia="sv-SE"/>
        </w:rPr>
        <w:t>e</w:t>
      </w:r>
      <w:r w:rsidRPr="003676AB">
        <w:rPr>
          <w:sz w:val="22"/>
          <w:szCs w:val="22"/>
          <w:lang w:eastAsia="sv-SE"/>
        </w:rPr>
        <w:t xml:space="preserve"> the federal dimension of legal basis disputes is perhaps not present in all fields, it is underlined in the field of EU criminal law</w:t>
      </w:r>
      <w:r w:rsidRPr="003676AB">
        <w:rPr>
          <w:color w:val="000000"/>
          <w:sz w:val="22"/>
          <w:szCs w:val="22"/>
        </w:rPr>
        <w:t xml:space="preserve"> </w:t>
      </w:r>
      <w:r w:rsidR="00751F31" w:rsidRPr="003676AB">
        <w:rPr>
          <w:color w:val="000000"/>
          <w:sz w:val="22"/>
          <w:szCs w:val="22"/>
        </w:rPr>
        <w:t xml:space="preserve">in light of </w:t>
      </w:r>
      <w:r w:rsidRPr="003676AB">
        <w:rPr>
          <w:color w:val="000000"/>
          <w:sz w:val="22"/>
          <w:szCs w:val="22"/>
        </w:rPr>
        <w:t xml:space="preserve">the </w:t>
      </w:r>
      <w:r w:rsidR="00751F31" w:rsidRPr="003676AB">
        <w:rPr>
          <w:color w:val="000000"/>
          <w:sz w:val="22"/>
          <w:szCs w:val="22"/>
        </w:rPr>
        <w:t xml:space="preserve">post-Lisbon </w:t>
      </w:r>
      <w:r w:rsidRPr="003676AB">
        <w:rPr>
          <w:color w:val="000000"/>
          <w:sz w:val="22"/>
          <w:szCs w:val="22"/>
        </w:rPr>
        <w:t>constitutional landscape.</w:t>
      </w:r>
      <w:r w:rsidRPr="003676AB">
        <w:rPr>
          <w:rFonts w:eastAsia="Calibri"/>
          <w:color w:val="000000"/>
          <w:sz w:val="22"/>
          <w:szCs w:val="22"/>
          <w:vertAlign w:val="superscript"/>
          <w:lang w:eastAsia="sv-SE"/>
        </w:rPr>
        <w:footnoteReference w:id="17"/>
      </w:r>
      <w:r w:rsidRPr="003676AB">
        <w:rPr>
          <w:rFonts w:eastAsia="Calibri"/>
          <w:color w:val="000000"/>
          <w:sz w:val="22"/>
          <w:szCs w:val="22"/>
          <w:lang w:eastAsia="sv-SE"/>
        </w:rPr>
        <w:t xml:space="preserve"> Member States are particularly concerned that </w:t>
      </w:r>
      <w:r w:rsidR="00751F31" w:rsidRPr="003676AB">
        <w:rPr>
          <w:rFonts w:eastAsia="Calibri"/>
          <w:color w:val="000000"/>
          <w:sz w:val="22"/>
          <w:szCs w:val="22"/>
          <w:lang w:eastAsia="sv-SE"/>
        </w:rPr>
        <w:t xml:space="preserve">the </w:t>
      </w:r>
      <w:r w:rsidRPr="003676AB">
        <w:rPr>
          <w:rFonts w:eastAsia="Calibri"/>
          <w:color w:val="000000"/>
          <w:sz w:val="22"/>
          <w:szCs w:val="22"/>
          <w:lang w:eastAsia="sv-SE"/>
        </w:rPr>
        <w:t xml:space="preserve">safeguards </w:t>
      </w:r>
      <w:r w:rsidR="00751F31" w:rsidRPr="003676AB">
        <w:rPr>
          <w:rFonts w:eastAsia="Calibri"/>
          <w:color w:val="000000"/>
          <w:sz w:val="22"/>
          <w:szCs w:val="22"/>
          <w:lang w:eastAsia="sv-SE"/>
        </w:rPr>
        <w:t xml:space="preserve">regarding national competences contained in </w:t>
      </w:r>
      <w:r w:rsidRPr="003676AB">
        <w:rPr>
          <w:rFonts w:eastAsia="Calibri"/>
          <w:color w:val="000000"/>
          <w:sz w:val="22"/>
          <w:szCs w:val="22"/>
          <w:lang w:eastAsia="sv-SE"/>
        </w:rPr>
        <w:t xml:space="preserve">Title V of the </w:t>
      </w:r>
      <w:r w:rsidR="00C9344F" w:rsidRPr="003676AB">
        <w:rPr>
          <w:rFonts w:eastAsia="Calibri"/>
          <w:color w:val="000000"/>
          <w:sz w:val="22"/>
          <w:szCs w:val="22"/>
          <w:lang w:eastAsia="sv-SE"/>
        </w:rPr>
        <w:t>AFSJ</w:t>
      </w:r>
      <w:r w:rsidRPr="003676AB">
        <w:rPr>
          <w:color w:val="000000"/>
          <w:sz w:val="22"/>
          <w:szCs w:val="22"/>
        </w:rPr>
        <w:t xml:space="preserve"> </w:t>
      </w:r>
      <w:r w:rsidR="00751F31" w:rsidRPr="003676AB">
        <w:rPr>
          <w:rFonts w:eastAsia="Calibri"/>
          <w:color w:val="000000"/>
          <w:sz w:val="22"/>
          <w:szCs w:val="22"/>
        </w:rPr>
        <w:t xml:space="preserve">will </w:t>
      </w:r>
      <w:r w:rsidR="00521F26" w:rsidRPr="003676AB">
        <w:rPr>
          <w:rFonts w:eastAsia="Calibri"/>
          <w:color w:val="000000"/>
          <w:sz w:val="22"/>
          <w:szCs w:val="22"/>
        </w:rPr>
        <w:t xml:space="preserve">be circumvented </w:t>
      </w:r>
      <w:r w:rsidRPr="003676AB">
        <w:rPr>
          <w:rFonts w:eastAsia="Calibri"/>
          <w:color w:val="000000"/>
          <w:sz w:val="22"/>
          <w:szCs w:val="22"/>
        </w:rPr>
        <w:t xml:space="preserve">if </w:t>
      </w:r>
      <w:r w:rsidR="00751F31" w:rsidRPr="003676AB">
        <w:rPr>
          <w:rFonts w:eastAsia="Calibri"/>
          <w:color w:val="000000"/>
          <w:sz w:val="22"/>
          <w:szCs w:val="22"/>
        </w:rPr>
        <w:t xml:space="preserve">a </w:t>
      </w:r>
      <w:r w:rsidRPr="003676AB">
        <w:rPr>
          <w:rFonts w:eastAsia="Calibri"/>
          <w:color w:val="000000"/>
          <w:sz w:val="22"/>
          <w:szCs w:val="22"/>
        </w:rPr>
        <w:t xml:space="preserve">legal basis </w:t>
      </w:r>
      <w:r w:rsidR="00BE3CB2" w:rsidRPr="003676AB">
        <w:rPr>
          <w:rFonts w:eastAsia="Calibri"/>
          <w:color w:val="000000"/>
          <w:sz w:val="22"/>
          <w:szCs w:val="22"/>
        </w:rPr>
        <w:t>(</w:t>
      </w:r>
      <w:r w:rsidRPr="003676AB">
        <w:rPr>
          <w:rFonts w:eastAsia="Calibri"/>
          <w:color w:val="000000"/>
          <w:sz w:val="22"/>
          <w:szCs w:val="22"/>
        </w:rPr>
        <w:t xml:space="preserve">such as </w:t>
      </w:r>
      <w:r w:rsidR="00873FC0" w:rsidRPr="003676AB">
        <w:rPr>
          <w:rFonts w:eastAsia="Calibri"/>
          <w:color w:val="000000"/>
          <w:sz w:val="22"/>
          <w:szCs w:val="22"/>
        </w:rPr>
        <w:t>art.</w:t>
      </w:r>
      <w:r w:rsidRPr="003676AB">
        <w:rPr>
          <w:rFonts w:eastAsia="Calibri"/>
          <w:color w:val="000000"/>
          <w:sz w:val="22"/>
          <w:szCs w:val="22"/>
        </w:rPr>
        <w:t xml:space="preserve">114 or </w:t>
      </w:r>
      <w:r w:rsidR="00873FC0" w:rsidRPr="003676AB">
        <w:rPr>
          <w:rFonts w:eastAsia="Calibri"/>
          <w:color w:val="000000"/>
          <w:sz w:val="22"/>
          <w:szCs w:val="22"/>
        </w:rPr>
        <w:t>art.</w:t>
      </w:r>
      <w:r w:rsidRPr="003676AB">
        <w:rPr>
          <w:rFonts w:eastAsia="Calibri"/>
          <w:color w:val="000000"/>
          <w:sz w:val="22"/>
          <w:szCs w:val="22"/>
        </w:rPr>
        <w:t xml:space="preserve"> 325 TFEU</w:t>
      </w:r>
      <w:r w:rsidR="00BE3CB2" w:rsidRPr="003676AB">
        <w:rPr>
          <w:rFonts w:eastAsia="Calibri"/>
          <w:color w:val="000000"/>
          <w:sz w:val="22"/>
          <w:szCs w:val="22"/>
        </w:rPr>
        <w:t>)</w:t>
      </w:r>
      <w:r w:rsidRPr="003676AB">
        <w:rPr>
          <w:rFonts w:eastAsia="Calibri"/>
          <w:color w:val="000000"/>
          <w:sz w:val="22"/>
          <w:szCs w:val="22"/>
        </w:rPr>
        <w:t xml:space="preserve"> </w:t>
      </w:r>
      <w:r w:rsidR="00751F31" w:rsidRPr="003676AB">
        <w:rPr>
          <w:rFonts w:eastAsia="Calibri"/>
          <w:color w:val="000000"/>
          <w:sz w:val="22"/>
          <w:szCs w:val="22"/>
        </w:rPr>
        <w:t xml:space="preserve">other </w:t>
      </w:r>
      <w:r w:rsidRPr="003676AB">
        <w:rPr>
          <w:rFonts w:eastAsia="Calibri"/>
          <w:color w:val="000000"/>
          <w:sz w:val="22"/>
          <w:szCs w:val="22"/>
        </w:rPr>
        <w:t xml:space="preserve">than </w:t>
      </w:r>
      <w:r w:rsidR="00873FC0" w:rsidRPr="003676AB">
        <w:rPr>
          <w:rFonts w:eastAsia="Calibri"/>
          <w:color w:val="000000"/>
          <w:sz w:val="22"/>
          <w:szCs w:val="22"/>
        </w:rPr>
        <w:t>art.</w:t>
      </w:r>
      <w:r w:rsidR="00C9344F" w:rsidRPr="003676AB">
        <w:rPr>
          <w:rFonts w:eastAsia="Calibri"/>
          <w:color w:val="000000"/>
          <w:sz w:val="22"/>
          <w:szCs w:val="22"/>
        </w:rPr>
        <w:t xml:space="preserve"> 83(2) TFEU is employed for the adoption of criminal law measures.</w:t>
      </w:r>
      <w:r w:rsidR="00C9344F" w:rsidRPr="003676AB">
        <w:rPr>
          <w:color w:val="000000"/>
          <w:sz w:val="22"/>
          <w:szCs w:val="22"/>
        </w:rPr>
        <w:t xml:space="preserve"> </w:t>
      </w:r>
      <w:r w:rsidR="00C9344F" w:rsidRPr="003676AB">
        <w:rPr>
          <w:rFonts w:eastAsia="Calibri"/>
          <w:color w:val="000000"/>
          <w:sz w:val="22"/>
          <w:szCs w:val="22"/>
        </w:rPr>
        <w:t>Art</w:t>
      </w:r>
      <w:r w:rsidR="00873FC0" w:rsidRPr="003676AB">
        <w:rPr>
          <w:rFonts w:eastAsia="Calibri"/>
          <w:color w:val="000000"/>
          <w:sz w:val="22"/>
          <w:szCs w:val="22"/>
        </w:rPr>
        <w:t>.</w:t>
      </w:r>
      <w:r w:rsidR="00C9344F" w:rsidRPr="003676AB">
        <w:rPr>
          <w:rFonts w:eastAsia="Calibri"/>
          <w:color w:val="000000"/>
          <w:sz w:val="22"/>
          <w:szCs w:val="22"/>
        </w:rPr>
        <w:t xml:space="preserve"> 83(2) TFEU </w:t>
      </w:r>
      <w:r w:rsidR="0099686F" w:rsidRPr="003676AB">
        <w:rPr>
          <w:rFonts w:eastAsia="Calibri"/>
          <w:color w:val="000000"/>
          <w:sz w:val="22"/>
          <w:szCs w:val="22"/>
        </w:rPr>
        <w:t xml:space="preserve">allows a </w:t>
      </w:r>
      <w:r w:rsidR="00C9344F" w:rsidRPr="003676AB">
        <w:rPr>
          <w:rFonts w:eastAsia="Calibri"/>
          <w:color w:val="000000"/>
          <w:sz w:val="22"/>
          <w:szCs w:val="22"/>
        </w:rPr>
        <w:t xml:space="preserve">Member State to </w:t>
      </w:r>
      <w:r w:rsidR="00751F31" w:rsidRPr="003676AB">
        <w:rPr>
          <w:rFonts w:eastAsia="Calibri"/>
          <w:color w:val="000000"/>
          <w:sz w:val="22"/>
          <w:szCs w:val="22"/>
        </w:rPr>
        <w:lastRenderedPageBreak/>
        <w:t xml:space="preserve">trigger </w:t>
      </w:r>
      <w:r w:rsidR="00C9344F" w:rsidRPr="003676AB">
        <w:rPr>
          <w:rFonts w:eastAsia="Calibri"/>
          <w:color w:val="000000"/>
          <w:sz w:val="22"/>
          <w:szCs w:val="22"/>
        </w:rPr>
        <w:t xml:space="preserve">an emergency brake </w:t>
      </w:r>
      <w:r w:rsidR="0099686F" w:rsidRPr="003676AB">
        <w:rPr>
          <w:rFonts w:eastAsia="Calibri"/>
          <w:color w:val="000000"/>
          <w:sz w:val="22"/>
          <w:szCs w:val="22"/>
        </w:rPr>
        <w:t xml:space="preserve">on the legislative process when </w:t>
      </w:r>
      <w:r w:rsidRPr="003676AB">
        <w:rPr>
          <w:rFonts w:eastAsia="Calibri"/>
          <w:color w:val="000000"/>
          <w:sz w:val="22"/>
          <w:szCs w:val="22"/>
        </w:rPr>
        <w:t xml:space="preserve">a proposed measure </w:t>
      </w:r>
      <w:r w:rsidR="0099686F" w:rsidRPr="003676AB">
        <w:rPr>
          <w:rFonts w:eastAsia="Calibri"/>
          <w:color w:val="000000"/>
          <w:sz w:val="22"/>
          <w:szCs w:val="22"/>
        </w:rPr>
        <w:t xml:space="preserve">is deemed to </w:t>
      </w:r>
      <w:r w:rsidRPr="003676AB">
        <w:rPr>
          <w:rFonts w:eastAsia="Calibri"/>
          <w:color w:val="000000"/>
          <w:sz w:val="22"/>
          <w:szCs w:val="22"/>
        </w:rPr>
        <w:t>affect the fundamental aspects of that Member States’ criminal justice system.</w:t>
      </w:r>
      <w:r w:rsidRPr="003676AB">
        <w:rPr>
          <w:color w:val="000000"/>
          <w:sz w:val="22"/>
          <w:szCs w:val="22"/>
        </w:rPr>
        <w:t xml:space="preserve"> </w:t>
      </w:r>
      <w:r w:rsidR="0099686F" w:rsidRPr="003676AB">
        <w:rPr>
          <w:color w:val="000000"/>
          <w:sz w:val="22"/>
          <w:szCs w:val="22"/>
        </w:rPr>
        <w:t xml:space="preserve">Additionally, </w:t>
      </w:r>
      <w:r w:rsidR="00007F7B" w:rsidRPr="003676AB">
        <w:rPr>
          <w:color w:val="000000"/>
          <w:sz w:val="22"/>
          <w:szCs w:val="22"/>
        </w:rPr>
        <w:t xml:space="preserve">the </w:t>
      </w:r>
      <w:r w:rsidR="0099686F" w:rsidRPr="003676AB">
        <w:rPr>
          <w:color w:val="000000"/>
          <w:sz w:val="22"/>
          <w:szCs w:val="22"/>
        </w:rPr>
        <w:t>u</w:t>
      </w:r>
      <w:r w:rsidRPr="003676AB">
        <w:rPr>
          <w:rFonts w:eastAsia="Calibri"/>
          <w:color w:val="000000"/>
          <w:sz w:val="22"/>
          <w:szCs w:val="22"/>
        </w:rPr>
        <w:t xml:space="preserve">se of legal bases </w:t>
      </w:r>
      <w:r w:rsidR="00007F7B" w:rsidRPr="003676AB">
        <w:rPr>
          <w:rFonts w:eastAsia="Calibri"/>
          <w:color w:val="000000"/>
          <w:sz w:val="22"/>
          <w:szCs w:val="22"/>
        </w:rPr>
        <w:t xml:space="preserve">other than those found in </w:t>
      </w:r>
      <w:r w:rsidRPr="003676AB">
        <w:rPr>
          <w:rFonts w:eastAsia="Calibri"/>
          <w:color w:val="000000"/>
          <w:sz w:val="22"/>
          <w:szCs w:val="22"/>
        </w:rPr>
        <w:t xml:space="preserve">Title V would </w:t>
      </w:r>
      <w:r w:rsidR="00007F7B" w:rsidRPr="003676AB">
        <w:rPr>
          <w:rFonts w:eastAsia="Calibri"/>
          <w:color w:val="000000"/>
          <w:sz w:val="22"/>
          <w:szCs w:val="22"/>
        </w:rPr>
        <w:t xml:space="preserve">prevent </w:t>
      </w:r>
      <w:r w:rsidR="0099686F" w:rsidRPr="003676AB">
        <w:rPr>
          <w:rFonts w:eastAsia="Calibri"/>
          <w:color w:val="000000"/>
          <w:sz w:val="22"/>
          <w:szCs w:val="22"/>
        </w:rPr>
        <w:t xml:space="preserve">the </w:t>
      </w:r>
      <w:r w:rsidR="00007F7B" w:rsidRPr="003676AB">
        <w:rPr>
          <w:rFonts w:eastAsia="Calibri"/>
          <w:color w:val="000000"/>
          <w:sz w:val="22"/>
          <w:szCs w:val="22"/>
        </w:rPr>
        <w:t xml:space="preserve">use of opt-outs on the part of the </w:t>
      </w:r>
      <w:r w:rsidRPr="003676AB">
        <w:rPr>
          <w:rFonts w:eastAsia="Calibri"/>
          <w:color w:val="000000"/>
          <w:sz w:val="22"/>
          <w:szCs w:val="22"/>
        </w:rPr>
        <w:t>UK, Denmark and Ireland</w:t>
      </w:r>
      <w:r w:rsidR="00007F7B" w:rsidRPr="003676AB">
        <w:rPr>
          <w:rFonts w:eastAsia="Calibri"/>
          <w:color w:val="000000"/>
          <w:sz w:val="22"/>
          <w:szCs w:val="22"/>
        </w:rPr>
        <w:t xml:space="preserve"> which would otherwise apply to AFSJ measures</w:t>
      </w:r>
      <w:r w:rsidRPr="003676AB">
        <w:rPr>
          <w:rFonts w:eastAsia="Calibri"/>
          <w:color w:val="000000"/>
          <w:sz w:val="22"/>
          <w:szCs w:val="22"/>
        </w:rPr>
        <w:t>. Finally, if criminal law legislation can be adopted under</w:t>
      </w:r>
      <w:r w:rsidR="00BE3CB2" w:rsidRPr="003676AB">
        <w:rPr>
          <w:rFonts w:eastAsia="Calibri"/>
          <w:color w:val="000000"/>
          <w:sz w:val="22"/>
          <w:szCs w:val="22"/>
        </w:rPr>
        <w:t xml:space="preserve"> for example</w:t>
      </w:r>
      <w:r w:rsidRPr="003676AB">
        <w:rPr>
          <w:rFonts w:eastAsia="Calibri"/>
          <w:color w:val="000000"/>
          <w:sz w:val="22"/>
          <w:szCs w:val="22"/>
        </w:rPr>
        <w:t xml:space="preserve"> </w:t>
      </w:r>
      <w:r w:rsidR="00886A20" w:rsidRPr="003676AB">
        <w:rPr>
          <w:rFonts w:eastAsia="Calibri"/>
          <w:color w:val="000000"/>
          <w:sz w:val="22"/>
          <w:szCs w:val="22"/>
        </w:rPr>
        <w:t>art.</w:t>
      </w:r>
      <w:r w:rsidRPr="003676AB">
        <w:rPr>
          <w:rFonts w:eastAsia="Calibri"/>
          <w:color w:val="000000"/>
          <w:sz w:val="22"/>
          <w:szCs w:val="22"/>
        </w:rPr>
        <w:t xml:space="preserve"> 114</w:t>
      </w:r>
      <w:r w:rsidR="00093FC9" w:rsidRPr="003676AB">
        <w:rPr>
          <w:rFonts w:eastAsia="Calibri"/>
          <w:color w:val="000000"/>
          <w:sz w:val="22"/>
          <w:szCs w:val="22"/>
        </w:rPr>
        <w:t xml:space="preserve"> or </w:t>
      </w:r>
      <w:r w:rsidR="00886A20" w:rsidRPr="003676AB">
        <w:rPr>
          <w:rFonts w:eastAsia="Calibri"/>
          <w:color w:val="000000"/>
          <w:sz w:val="22"/>
          <w:szCs w:val="22"/>
        </w:rPr>
        <w:t>art.</w:t>
      </w:r>
      <w:r w:rsidR="00093FC9" w:rsidRPr="003676AB">
        <w:rPr>
          <w:rFonts w:eastAsia="Calibri"/>
          <w:color w:val="000000"/>
          <w:sz w:val="22"/>
          <w:szCs w:val="22"/>
        </w:rPr>
        <w:t xml:space="preserve"> 325</w:t>
      </w:r>
      <w:r w:rsidRPr="003676AB">
        <w:rPr>
          <w:rFonts w:eastAsia="Calibri"/>
          <w:color w:val="000000"/>
          <w:sz w:val="22"/>
          <w:szCs w:val="22"/>
        </w:rPr>
        <w:t xml:space="preserve"> TFEU future acts may </w:t>
      </w:r>
      <w:r w:rsidR="00007F7B" w:rsidRPr="003676AB">
        <w:rPr>
          <w:rFonts w:eastAsia="Calibri"/>
          <w:color w:val="000000"/>
          <w:sz w:val="22"/>
          <w:szCs w:val="22"/>
        </w:rPr>
        <w:t xml:space="preserve">take </w:t>
      </w:r>
      <w:r w:rsidRPr="003676AB">
        <w:rPr>
          <w:rFonts w:eastAsia="Calibri"/>
          <w:color w:val="000000"/>
          <w:sz w:val="22"/>
          <w:szCs w:val="22"/>
        </w:rPr>
        <w:t>the form of directly applicable regulations.</w:t>
      </w:r>
      <w:r w:rsidRPr="003676AB">
        <w:rPr>
          <w:rFonts w:eastAsia="Calibri"/>
          <w:color w:val="000000"/>
          <w:sz w:val="22"/>
          <w:szCs w:val="22"/>
          <w:vertAlign w:val="superscript"/>
        </w:rPr>
        <w:footnoteReference w:id="18"/>
      </w:r>
      <w:r w:rsidRPr="003676AB">
        <w:rPr>
          <w:rFonts w:ascii="Sabon RomanOsF" w:hAnsi="Sabon RomanOsF" w:cs="Sabon RomanOsF"/>
          <w:color w:val="000000"/>
          <w:sz w:val="22"/>
          <w:szCs w:val="22"/>
          <w:vertAlign w:val="superscript"/>
        </w:rPr>
        <w:t xml:space="preserve"> </w:t>
      </w:r>
    </w:p>
    <w:p w14:paraId="07EE3555" w14:textId="02655D72" w:rsidR="00FE6CE8" w:rsidRPr="003676AB" w:rsidRDefault="0003320D" w:rsidP="00045182">
      <w:pPr>
        <w:tabs>
          <w:tab w:val="left" w:pos="0"/>
        </w:tabs>
        <w:rPr>
          <w:rFonts w:eastAsia="Calibri"/>
          <w:sz w:val="22"/>
          <w:szCs w:val="22"/>
        </w:rPr>
      </w:pPr>
      <w:r w:rsidRPr="003676AB">
        <w:rPr>
          <w:rFonts w:eastAsia="Calibri"/>
          <w:sz w:val="22"/>
          <w:szCs w:val="22"/>
        </w:rPr>
        <w:t>Again</w:t>
      </w:r>
      <w:r w:rsidR="00E66541" w:rsidRPr="003676AB">
        <w:rPr>
          <w:rFonts w:eastAsia="Calibri"/>
          <w:sz w:val="22"/>
          <w:szCs w:val="22"/>
        </w:rPr>
        <w:t>st this background, this article</w:t>
      </w:r>
      <w:r w:rsidRPr="003676AB">
        <w:rPr>
          <w:rFonts w:eastAsia="Calibri"/>
          <w:sz w:val="22"/>
          <w:szCs w:val="22"/>
        </w:rPr>
        <w:t xml:space="preserve"> explores the question of </w:t>
      </w:r>
      <w:r w:rsidR="00007F7B" w:rsidRPr="003676AB">
        <w:rPr>
          <w:rFonts w:eastAsia="Calibri"/>
          <w:sz w:val="22"/>
          <w:szCs w:val="22"/>
        </w:rPr>
        <w:t xml:space="preserve">the choice of </w:t>
      </w:r>
      <w:r w:rsidRPr="003676AB">
        <w:rPr>
          <w:rFonts w:eastAsia="Calibri"/>
          <w:sz w:val="22"/>
          <w:szCs w:val="22"/>
        </w:rPr>
        <w:t>legal basis for criminal</w:t>
      </w:r>
      <w:r w:rsidR="00854D87" w:rsidRPr="003676AB">
        <w:rPr>
          <w:rFonts w:eastAsia="Calibri"/>
          <w:sz w:val="22"/>
          <w:szCs w:val="22"/>
        </w:rPr>
        <w:t>isa</w:t>
      </w:r>
      <w:r w:rsidRPr="003676AB">
        <w:rPr>
          <w:rFonts w:eastAsia="Calibri"/>
          <w:sz w:val="22"/>
          <w:szCs w:val="22"/>
        </w:rPr>
        <w:t>tion measures</w:t>
      </w:r>
      <w:r w:rsidRPr="003676AB">
        <w:rPr>
          <w:rFonts w:eastAsia="Calibri"/>
          <w:sz w:val="22"/>
          <w:szCs w:val="22"/>
          <w:lang w:eastAsia="sv-SE"/>
        </w:rPr>
        <w:t xml:space="preserve">. The </w:t>
      </w:r>
      <w:r w:rsidR="00CF35C5" w:rsidRPr="003676AB">
        <w:rPr>
          <w:rFonts w:eastAsia="Calibri"/>
          <w:sz w:val="22"/>
          <w:szCs w:val="22"/>
          <w:lang w:eastAsia="sv-SE"/>
        </w:rPr>
        <w:t>first</w:t>
      </w:r>
      <w:r w:rsidR="00093FC9" w:rsidRPr="003676AB">
        <w:rPr>
          <w:rFonts w:eastAsia="Calibri"/>
          <w:sz w:val="22"/>
          <w:szCs w:val="22"/>
          <w:lang w:eastAsia="sv-SE"/>
        </w:rPr>
        <w:t xml:space="preserve"> section</w:t>
      </w:r>
      <w:r w:rsidR="00D84FB5" w:rsidRPr="003676AB">
        <w:rPr>
          <w:rFonts w:eastAsia="Calibri"/>
          <w:sz w:val="22"/>
          <w:szCs w:val="22"/>
          <w:lang w:eastAsia="sv-SE"/>
        </w:rPr>
        <w:t xml:space="preserve"> of</w:t>
      </w:r>
      <w:r w:rsidR="00C61AB7" w:rsidRPr="003676AB">
        <w:rPr>
          <w:rFonts w:eastAsia="Calibri"/>
          <w:sz w:val="22"/>
          <w:szCs w:val="22"/>
          <w:lang w:eastAsia="sv-SE"/>
        </w:rPr>
        <w:t xml:space="preserve"> </w:t>
      </w:r>
      <w:r w:rsidR="00E66541" w:rsidRPr="003676AB">
        <w:rPr>
          <w:rFonts w:eastAsia="Calibri"/>
          <w:sz w:val="22"/>
          <w:szCs w:val="22"/>
          <w:lang w:eastAsia="sv-SE"/>
        </w:rPr>
        <w:t>the article</w:t>
      </w:r>
      <w:r w:rsidRPr="003676AB">
        <w:rPr>
          <w:rFonts w:eastAsia="Calibri"/>
          <w:sz w:val="22"/>
          <w:szCs w:val="22"/>
        </w:rPr>
        <w:t xml:space="preserve"> considers the</w:t>
      </w:r>
      <w:r w:rsidR="0043242E" w:rsidRPr="003676AB">
        <w:rPr>
          <w:rFonts w:eastAsia="Calibri"/>
          <w:sz w:val="22"/>
          <w:szCs w:val="22"/>
        </w:rPr>
        <w:t xml:space="preserve"> core case for viewing </w:t>
      </w:r>
      <w:r w:rsidR="00886A20" w:rsidRPr="003676AB">
        <w:rPr>
          <w:rFonts w:eastAsia="Calibri"/>
          <w:sz w:val="22"/>
          <w:szCs w:val="22"/>
        </w:rPr>
        <w:t>art.</w:t>
      </w:r>
      <w:r w:rsidR="0043242E" w:rsidRPr="003676AB">
        <w:rPr>
          <w:rFonts w:eastAsia="Calibri"/>
          <w:sz w:val="22"/>
          <w:szCs w:val="22"/>
        </w:rPr>
        <w:t xml:space="preserve"> 83(2) TFEU as a </w:t>
      </w:r>
      <w:proofErr w:type="spellStart"/>
      <w:r w:rsidR="0043242E" w:rsidRPr="003676AB">
        <w:rPr>
          <w:rFonts w:eastAsia="Calibri"/>
          <w:i/>
          <w:sz w:val="22"/>
          <w:szCs w:val="22"/>
        </w:rPr>
        <w:t>lex</w:t>
      </w:r>
      <w:proofErr w:type="spellEnd"/>
      <w:r w:rsidR="0043242E" w:rsidRPr="003676AB">
        <w:rPr>
          <w:rFonts w:eastAsia="Calibri"/>
          <w:i/>
          <w:sz w:val="22"/>
          <w:szCs w:val="22"/>
        </w:rPr>
        <w:t xml:space="preserve"> </w:t>
      </w:r>
      <w:proofErr w:type="spellStart"/>
      <w:r w:rsidR="0043242E" w:rsidRPr="003676AB">
        <w:rPr>
          <w:rFonts w:eastAsia="Calibri"/>
          <w:i/>
          <w:sz w:val="22"/>
          <w:szCs w:val="22"/>
        </w:rPr>
        <w:t>specialis</w:t>
      </w:r>
      <w:proofErr w:type="spellEnd"/>
      <w:r w:rsidR="0043242E" w:rsidRPr="003676AB">
        <w:rPr>
          <w:rFonts w:eastAsia="Calibri"/>
          <w:sz w:val="22"/>
          <w:szCs w:val="22"/>
        </w:rPr>
        <w:t xml:space="preserve">. </w:t>
      </w:r>
      <w:r w:rsidR="004B47B7" w:rsidRPr="003676AB">
        <w:rPr>
          <w:rFonts w:eastAsia="Calibri"/>
          <w:sz w:val="22"/>
          <w:szCs w:val="22"/>
        </w:rPr>
        <w:t xml:space="preserve">It is argued </w:t>
      </w:r>
      <w:r w:rsidR="001E478C" w:rsidRPr="003676AB">
        <w:rPr>
          <w:rFonts w:eastAsia="Calibri"/>
          <w:sz w:val="22"/>
          <w:szCs w:val="22"/>
        </w:rPr>
        <w:t xml:space="preserve">that that the constitutional design </w:t>
      </w:r>
      <w:r w:rsidR="00007F7B" w:rsidRPr="003676AB">
        <w:rPr>
          <w:rFonts w:eastAsia="Calibri"/>
          <w:sz w:val="22"/>
          <w:szCs w:val="22"/>
        </w:rPr>
        <w:t xml:space="preserve">of the Union </w:t>
      </w:r>
      <w:r w:rsidR="001E478C" w:rsidRPr="003676AB">
        <w:rPr>
          <w:rFonts w:eastAsia="Calibri"/>
          <w:sz w:val="22"/>
          <w:szCs w:val="22"/>
        </w:rPr>
        <w:t xml:space="preserve">after Lisbon </w:t>
      </w:r>
      <w:r w:rsidR="000E3244" w:rsidRPr="003676AB">
        <w:rPr>
          <w:rFonts w:eastAsia="Calibri"/>
          <w:sz w:val="22"/>
          <w:szCs w:val="22"/>
        </w:rPr>
        <w:t xml:space="preserve">provides </w:t>
      </w:r>
      <w:r w:rsidR="00F92105" w:rsidRPr="003676AB">
        <w:rPr>
          <w:rFonts w:eastAsia="Calibri"/>
          <w:sz w:val="22"/>
          <w:szCs w:val="22"/>
        </w:rPr>
        <w:t>persuasive</w:t>
      </w:r>
      <w:r w:rsidR="001E478C" w:rsidRPr="003676AB">
        <w:rPr>
          <w:rFonts w:eastAsia="Calibri"/>
          <w:sz w:val="22"/>
          <w:szCs w:val="22"/>
        </w:rPr>
        <w:t xml:space="preserve"> arguments </w:t>
      </w:r>
      <w:r w:rsidR="000E3244" w:rsidRPr="003676AB">
        <w:rPr>
          <w:rFonts w:eastAsia="Calibri"/>
          <w:sz w:val="22"/>
          <w:szCs w:val="22"/>
        </w:rPr>
        <w:t>to prefer</w:t>
      </w:r>
      <w:r w:rsidR="001E478C" w:rsidRPr="003676AB">
        <w:rPr>
          <w:rFonts w:eastAsia="Calibri"/>
          <w:sz w:val="22"/>
          <w:szCs w:val="22"/>
        </w:rPr>
        <w:t xml:space="preserve"> </w:t>
      </w:r>
      <w:r w:rsidR="000E3244" w:rsidRPr="003676AB">
        <w:rPr>
          <w:rFonts w:eastAsia="Calibri"/>
          <w:sz w:val="22"/>
          <w:szCs w:val="22"/>
        </w:rPr>
        <w:t xml:space="preserve">a </w:t>
      </w:r>
      <w:r w:rsidR="001E478C" w:rsidRPr="003676AB">
        <w:rPr>
          <w:rFonts w:eastAsia="Calibri"/>
          <w:sz w:val="22"/>
          <w:szCs w:val="22"/>
        </w:rPr>
        <w:t xml:space="preserve">Member-State </w:t>
      </w:r>
      <w:r w:rsidR="000E3244" w:rsidRPr="003676AB">
        <w:rPr>
          <w:rFonts w:eastAsia="Calibri"/>
          <w:sz w:val="22"/>
          <w:szCs w:val="22"/>
        </w:rPr>
        <w:t>centred approach</w:t>
      </w:r>
      <w:r w:rsidR="001E478C" w:rsidRPr="003676AB">
        <w:rPr>
          <w:rFonts w:eastAsia="Calibri"/>
          <w:sz w:val="22"/>
          <w:szCs w:val="22"/>
        </w:rPr>
        <w:t xml:space="preserve"> for </w:t>
      </w:r>
      <w:r w:rsidR="00007F7B" w:rsidRPr="003676AB">
        <w:rPr>
          <w:rFonts w:eastAsia="Calibri"/>
          <w:sz w:val="22"/>
          <w:szCs w:val="22"/>
        </w:rPr>
        <w:t xml:space="preserve">determining questions of </w:t>
      </w:r>
      <w:r w:rsidR="001E478C" w:rsidRPr="003676AB">
        <w:rPr>
          <w:rFonts w:eastAsia="Calibri"/>
          <w:sz w:val="22"/>
          <w:szCs w:val="22"/>
        </w:rPr>
        <w:t xml:space="preserve">criminal law </w:t>
      </w:r>
      <w:r w:rsidR="000E3244" w:rsidRPr="003676AB">
        <w:rPr>
          <w:rFonts w:eastAsia="Calibri"/>
          <w:sz w:val="22"/>
          <w:szCs w:val="22"/>
        </w:rPr>
        <w:t xml:space="preserve">competence and </w:t>
      </w:r>
      <w:proofErr w:type="gramStart"/>
      <w:r w:rsidR="000E3244" w:rsidRPr="003676AB">
        <w:rPr>
          <w:rFonts w:eastAsia="Calibri"/>
          <w:sz w:val="22"/>
          <w:szCs w:val="22"/>
        </w:rPr>
        <w:t>in particular in</w:t>
      </w:r>
      <w:proofErr w:type="gramEnd"/>
      <w:r w:rsidR="000E3244" w:rsidRPr="003676AB">
        <w:rPr>
          <w:rFonts w:eastAsia="Calibri"/>
          <w:sz w:val="22"/>
          <w:szCs w:val="22"/>
        </w:rPr>
        <w:t xml:space="preserve"> the adoption of harmonisation or approximation measures </w:t>
      </w:r>
      <w:r w:rsidR="00007F7B" w:rsidRPr="003676AB">
        <w:rPr>
          <w:rFonts w:eastAsia="Calibri"/>
          <w:sz w:val="22"/>
          <w:szCs w:val="22"/>
        </w:rPr>
        <w:t xml:space="preserve">in the field of criminal law </w:t>
      </w:r>
      <w:r w:rsidR="001E478C" w:rsidRPr="003676AB">
        <w:rPr>
          <w:rFonts w:eastAsia="Calibri"/>
          <w:sz w:val="22"/>
          <w:szCs w:val="22"/>
        </w:rPr>
        <w:t xml:space="preserve">(thus </w:t>
      </w:r>
      <w:r w:rsidR="00007F7B" w:rsidRPr="003676AB">
        <w:rPr>
          <w:rFonts w:eastAsia="Calibri"/>
          <w:sz w:val="22"/>
          <w:szCs w:val="22"/>
        </w:rPr>
        <w:t xml:space="preserve">tilting the balance in favour of </w:t>
      </w:r>
      <w:r w:rsidR="001E478C" w:rsidRPr="003676AB">
        <w:rPr>
          <w:rFonts w:eastAsia="Calibri"/>
          <w:sz w:val="22"/>
          <w:szCs w:val="22"/>
        </w:rPr>
        <w:t xml:space="preserve">Member State control). </w:t>
      </w:r>
      <w:r w:rsidR="00093FC9" w:rsidRPr="003676AB">
        <w:rPr>
          <w:rFonts w:eastAsia="Calibri"/>
          <w:sz w:val="22"/>
          <w:szCs w:val="22"/>
        </w:rPr>
        <w:t>The second section</w:t>
      </w:r>
      <w:r w:rsidR="0043242E" w:rsidRPr="003676AB">
        <w:rPr>
          <w:rFonts w:eastAsia="Calibri"/>
          <w:sz w:val="22"/>
          <w:szCs w:val="22"/>
        </w:rPr>
        <w:t xml:space="preserve"> considers</w:t>
      </w:r>
      <w:r w:rsidR="00376DF5" w:rsidRPr="003676AB">
        <w:rPr>
          <w:rFonts w:eastAsia="Calibri"/>
          <w:sz w:val="22"/>
          <w:szCs w:val="22"/>
        </w:rPr>
        <w:t xml:space="preserve"> in detail </w:t>
      </w:r>
      <w:r w:rsidR="000E3244" w:rsidRPr="003676AB">
        <w:rPr>
          <w:rFonts w:eastAsia="Calibri"/>
          <w:sz w:val="22"/>
          <w:szCs w:val="22"/>
        </w:rPr>
        <w:t xml:space="preserve">counter-arguments </w:t>
      </w:r>
      <w:r w:rsidR="00376DF5" w:rsidRPr="003676AB">
        <w:rPr>
          <w:rFonts w:eastAsia="Calibri"/>
          <w:sz w:val="22"/>
          <w:szCs w:val="22"/>
        </w:rPr>
        <w:t xml:space="preserve">to the </w:t>
      </w:r>
      <w:r w:rsidR="000E3244" w:rsidRPr="003676AB">
        <w:rPr>
          <w:rFonts w:eastAsia="Calibri"/>
          <w:sz w:val="22"/>
          <w:szCs w:val="22"/>
        </w:rPr>
        <w:t>above position</w:t>
      </w:r>
      <w:r w:rsidR="00376DF5" w:rsidRPr="003676AB">
        <w:rPr>
          <w:rFonts w:eastAsia="Calibri"/>
          <w:sz w:val="22"/>
          <w:szCs w:val="22"/>
        </w:rPr>
        <w:t>.</w:t>
      </w:r>
      <w:r w:rsidR="001E478C" w:rsidRPr="003676AB">
        <w:rPr>
          <w:rFonts w:eastAsia="Calibri"/>
          <w:sz w:val="22"/>
          <w:szCs w:val="22"/>
          <w:lang w:eastAsia="sv-SE"/>
        </w:rPr>
        <w:t xml:space="preserve"> Although this article is sympathetic to </w:t>
      </w:r>
      <w:r w:rsidR="00FB6DB8" w:rsidRPr="003676AB">
        <w:rPr>
          <w:rFonts w:eastAsia="Calibri"/>
          <w:sz w:val="22"/>
          <w:szCs w:val="22"/>
          <w:lang w:eastAsia="sv-SE"/>
        </w:rPr>
        <w:t xml:space="preserve">those </w:t>
      </w:r>
      <w:r w:rsidR="001E478C" w:rsidRPr="003676AB">
        <w:rPr>
          <w:rFonts w:eastAsia="Calibri"/>
          <w:sz w:val="22"/>
          <w:szCs w:val="22"/>
          <w:lang w:eastAsia="sv-SE"/>
        </w:rPr>
        <w:t xml:space="preserve">arguing for the exclusivity of </w:t>
      </w:r>
      <w:r w:rsidR="00886A20" w:rsidRPr="003676AB">
        <w:rPr>
          <w:rFonts w:eastAsia="Calibri"/>
          <w:sz w:val="22"/>
          <w:szCs w:val="22"/>
          <w:lang w:eastAsia="sv-SE"/>
        </w:rPr>
        <w:t>art.</w:t>
      </w:r>
      <w:r w:rsidR="001E478C" w:rsidRPr="003676AB">
        <w:rPr>
          <w:rFonts w:eastAsia="Calibri"/>
          <w:sz w:val="22"/>
          <w:szCs w:val="22"/>
          <w:lang w:eastAsia="sv-SE"/>
        </w:rPr>
        <w:t xml:space="preserve"> 83(2) TFEU, it recognises that </w:t>
      </w:r>
      <w:r w:rsidR="0062526C" w:rsidRPr="003676AB">
        <w:rPr>
          <w:rFonts w:eastAsia="Calibri"/>
          <w:sz w:val="22"/>
          <w:szCs w:val="22"/>
          <w:lang w:eastAsia="sv-SE"/>
        </w:rPr>
        <w:t xml:space="preserve">it is not possible for </w:t>
      </w:r>
      <w:r w:rsidR="001E478C" w:rsidRPr="003676AB">
        <w:rPr>
          <w:rFonts w:eastAsia="Calibri"/>
          <w:sz w:val="22"/>
          <w:szCs w:val="22"/>
          <w:lang w:eastAsia="sv-SE"/>
        </w:rPr>
        <w:t xml:space="preserve">this provision to </w:t>
      </w:r>
      <w:r w:rsidR="0062526C" w:rsidRPr="003676AB">
        <w:rPr>
          <w:rFonts w:eastAsia="Calibri"/>
          <w:sz w:val="22"/>
          <w:szCs w:val="22"/>
          <w:lang w:eastAsia="sv-SE"/>
        </w:rPr>
        <w:t xml:space="preserve">entirely exclude </w:t>
      </w:r>
      <w:r w:rsidR="00FB6DB8" w:rsidRPr="003676AB">
        <w:rPr>
          <w:rFonts w:eastAsia="Calibri"/>
          <w:sz w:val="22"/>
          <w:szCs w:val="22"/>
          <w:lang w:eastAsia="sv-SE"/>
        </w:rPr>
        <w:t xml:space="preserve">the possibility of the </w:t>
      </w:r>
      <w:r w:rsidR="001E478C" w:rsidRPr="003676AB">
        <w:rPr>
          <w:rFonts w:eastAsia="Calibri"/>
          <w:sz w:val="22"/>
          <w:szCs w:val="22"/>
          <w:lang w:eastAsia="sv-SE"/>
        </w:rPr>
        <w:t>EU criminaliz</w:t>
      </w:r>
      <w:r w:rsidR="00FB6DB8" w:rsidRPr="003676AB">
        <w:rPr>
          <w:rFonts w:eastAsia="Calibri"/>
          <w:sz w:val="22"/>
          <w:szCs w:val="22"/>
          <w:lang w:eastAsia="sv-SE"/>
        </w:rPr>
        <w:t>ing</w:t>
      </w:r>
      <w:r w:rsidR="001E478C" w:rsidRPr="003676AB">
        <w:rPr>
          <w:rFonts w:eastAsia="Calibri"/>
          <w:sz w:val="22"/>
          <w:szCs w:val="22"/>
          <w:lang w:eastAsia="sv-SE"/>
        </w:rPr>
        <w:t xml:space="preserve"> </w:t>
      </w:r>
      <w:r w:rsidR="00FB6DB8" w:rsidRPr="003676AB">
        <w:rPr>
          <w:rFonts w:eastAsia="Calibri"/>
          <w:sz w:val="22"/>
          <w:szCs w:val="22"/>
          <w:lang w:eastAsia="sv-SE"/>
        </w:rPr>
        <w:t xml:space="preserve">behaviour </w:t>
      </w:r>
      <w:proofErr w:type="gramStart"/>
      <w:r w:rsidR="00FB6DB8" w:rsidRPr="003676AB">
        <w:rPr>
          <w:rFonts w:eastAsia="Calibri"/>
          <w:sz w:val="22"/>
          <w:szCs w:val="22"/>
          <w:lang w:eastAsia="sv-SE"/>
        </w:rPr>
        <w:t>on the basis of</w:t>
      </w:r>
      <w:proofErr w:type="gramEnd"/>
      <w:r w:rsidR="00FB6DB8" w:rsidRPr="003676AB">
        <w:rPr>
          <w:rFonts w:eastAsia="Calibri"/>
          <w:sz w:val="22"/>
          <w:szCs w:val="22"/>
          <w:lang w:eastAsia="sv-SE"/>
        </w:rPr>
        <w:t xml:space="preserve"> other Treaty provisions</w:t>
      </w:r>
      <w:r w:rsidR="001E478C" w:rsidRPr="003676AB">
        <w:rPr>
          <w:rFonts w:eastAsia="Calibri"/>
          <w:sz w:val="22"/>
          <w:szCs w:val="22"/>
        </w:rPr>
        <w:t xml:space="preserve">. </w:t>
      </w:r>
      <w:r w:rsidRPr="003676AB">
        <w:rPr>
          <w:rFonts w:eastAsia="Calibri"/>
          <w:sz w:val="22"/>
          <w:szCs w:val="22"/>
        </w:rPr>
        <w:t xml:space="preserve">In the </w:t>
      </w:r>
      <w:r w:rsidR="00093FC9" w:rsidRPr="003676AB">
        <w:rPr>
          <w:rFonts w:eastAsia="Calibri"/>
          <w:sz w:val="22"/>
          <w:szCs w:val="22"/>
        </w:rPr>
        <w:t>third section of</w:t>
      </w:r>
      <w:r w:rsidR="00CF35C5" w:rsidRPr="003676AB">
        <w:rPr>
          <w:rFonts w:eastAsia="Calibri"/>
          <w:sz w:val="22"/>
          <w:szCs w:val="22"/>
        </w:rPr>
        <w:t xml:space="preserve"> the article</w:t>
      </w:r>
      <w:r w:rsidR="001E478C" w:rsidRPr="003676AB">
        <w:rPr>
          <w:rFonts w:eastAsia="Calibri"/>
          <w:sz w:val="22"/>
          <w:szCs w:val="22"/>
        </w:rPr>
        <w:t xml:space="preserve"> the core argument is illustrated by a</w:t>
      </w:r>
      <w:r w:rsidR="00093FC9" w:rsidRPr="003676AB">
        <w:rPr>
          <w:rFonts w:eastAsia="Calibri"/>
          <w:sz w:val="22"/>
          <w:szCs w:val="22"/>
        </w:rPr>
        <w:t xml:space="preserve"> comprehensive discussion of legal basis conflicts between </w:t>
      </w:r>
      <w:r w:rsidR="00886A20" w:rsidRPr="003676AB">
        <w:rPr>
          <w:rFonts w:eastAsia="Calibri"/>
          <w:sz w:val="22"/>
          <w:szCs w:val="22"/>
        </w:rPr>
        <w:t>art.</w:t>
      </w:r>
      <w:r w:rsidR="00093FC9" w:rsidRPr="003676AB">
        <w:rPr>
          <w:rFonts w:eastAsia="Calibri"/>
          <w:sz w:val="22"/>
          <w:szCs w:val="22"/>
        </w:rPr>
        <w:t xml:space="preserve"> 83(2) TFEU and </w:t>
      </w:r>
      <w:r w:rsidR="00886A20" w:rsidRPr="003676AB">
        <w:rPr>
          <w:rFonts w:eastAsia="Calibri"/>
          <w:sz w:val="22"/>
          <w:szCs w:val="22"/>
        </w:rPr>
        <w:t>art.</w:t>
      </w:r>
      <w:r w:rsidR="00093FC9" w:rsidRPr="003676AB">
        <w:rPr>
          <w:rFonts w:eastAsia="Calibri"/>
          <w:sz w:val="22"/>
          <w:szCs w:val="22"/>
        </w:rPr>
        <w:t xml:space="preserve"> 114 and </w:t>
      </w:r>
      <w:r w:rsidR="00886A20" w:rsidRPr="003676AB">
        <w:rPr>
          <w:rFonts w:eastAsia="Calibri"/>
          <w:sz w:val="22"/>
          <w:szCs w:val="22"/>
        </w:rPr>
        <w:t xml:space="preserve">art. </w:t>
      </w:r>
      <w:r w:rsidR="00093FC9" w:rsidRPr="003676AB">
        <w:rPr>
          <w:rFonts w:eastAsia="Calibri"/>
          <w:sz w:val="22"/>
          <w:szCs w:val="22"/>
        </w:rPr>
        <w:t xml:space="preserve">325 TFEU. The first part of this section considers the scope of </w:t>
      </w:r>
      <w:r w:rsidR="00886A20" w:rsidRPr="003676AB">
        <w:rPr>
          <w:rFonts w:eastAsia="Calibri"/>
          <w:sz w:val="22"/>
          <w:szCs w:val="22"/>
        </w:rPr>
        <w:t>art.</w:t>
      </w:r>
      <w:r w:rsidR="00093FC9" w:rsidRPr="003676AB">
        <w:rPr>
          <w:rFonts w:eastAsia="Calibri"/>
          <w:sz w:val="22"/>
          <w:szCs w:val="22"/>
        </w:rPr>
        <w:t xml:space="preserve"> 114 TFEU for criminalisation measures and the relationship between this provision and </w:t>
      </w:r>
      <w:r w:rsidR="00886A20" w:rsidRPr="003676AB">
        <w:rPr>
          <w:rFonts w:eastAsia="Calibri"/>
          <w:sz w:val="22"/>
          <w:szCs w:val="22"/>
        </w:rPr>
        <w:t>art.</w:t>
      </w:r>
      <w:r w:rsidR="00093FC9" w:rsidRPr="003676AB">
        <w:rPr>
          <w:rFonts w:eastAsia="Calibri"/>
          <w:sz w:val="22"/>
          <w:szCs w:val="22"/>
        </w:rPr>
        <w:t xml:space="preserve"> 83(2) TFEU. The second part of this section examines </w:t>
      </w:r>
      <w:r w:rsidR="001E478C" w:rsidRPr="003676AB">
        <w:rPr>
          <w:rFonts w:eastAsia="Calibri"/>
          <w:sz w:val="22"/>
          <w:szCs w:val="22"/>
        </w:rPr>
        <w:t xml:space="preserve">the debate surrounding the choice of legal basis for the Directive on Fraud against the </w:t>
      </w:r>
      <w:r w:rsidR="00460F34" w:rsidRPr="003676AB">
        <w:rPr>
          <w:rFonts w:eastAsia="Calibri"/>
          <w:sz w:val="22"/>
          <w:szCs w:val="22"/>
        </w:rPr>
        <w:t>EU’s interests (‘PIF Directive</w:t>
      </w:r>
      <w:r w:rsidR="001E478C" w:rsidRPr="003676AB">
        <w:rPr>
          <w:rFonts w:eastAsia="Calibri"/>
          <w:sz w:val="22"/>
          <w:szCs w:val="22"/>
        </w:rPr>
        <w:t>’).</w:t>
      </w:r>
      <w:r w:rsidR="00460F34" w:rsidRPr="003676AB">
        <w:rPr>
          <w:rStyle w:val="Fotnotsreferens"/>
          <w:rFonts w:eastAsia="Calibri"/>
          <w:sz w:val="22"/>
          <w:szCs w:val="22"/>
        </w:rPr>
        <w:footnoteReference w:id="19"/>
      </w:r>
      <w:r w:rsidR="001E478C" w:rsidRPr="003676AB">
        <w:rPr>
          <w:rFonts w:eastAsia="Calibri"/>
          <w:sz w:val="22"/>
          <w:szCs w:val="22"/>
        </w:rPr>
        <w:t xml:space="preserve"> </w:t>
      </w:r>
      <w:r w:rsidR="00E8396D" w:rsidRPr="003676AB">
        <w:rPr>
          <w:rFonts w:eastAsia="Calibri"/>
          <w:sz w:val="22"/>
          <w:szCs w:val="22"/>
        </w:rPr>
        <w:t xml:space="preserve">In light of the controversial nature of the debate </w:t>
      </w:r>
      <w:r w:rsidR="001E478C" w:rsidRPr="003676AB">
        <w:rPr>
          <w:rFonts w:eastAsia="Calibri"/>
          <w:sz w:val="22"/>
          <w:szCs w:val="22"/>
        </w:rPr>
        <w:t xml:space="preserve">as to whether </w:t>
      </w:r>
      <w:r w:rsidR="00886A20" w:rsidRPr="003676AB">
        <w:rPr>
          <w:rFonts w:eastAsia="Calibri"/>
          <w:sz w:val="22"/>
          <w:szCs w:val="22"/>
        </w:rPr>
        <w:t>art.</w:t>
      </w:r>
      <w:r w:rsidR="001E478C" w:rsidRPr="003676AB">
        <w:rPr>
          <w:rFonts w:eastAsia="Calibri"/>
          <w:sz w:val="22"/>
          <w:szCs w:val="22"/>
        </w:rPr>
        <w:t xml:space="preserve"> 83(2) TFEU or </w:t>
      </w:r>
      <w:r w:rsidR="00886A20" w:rsidRPr="003676AB">
        <w:rPr>
          <w:rFonts w:eastAsia="Calibri"/>
          <w:sz w:val="22"/>
          <w:szCs w:val="22"/>
        </w:rPr>
        <w:t>art.</w:t>
      </w:r>
      <w:r w:rsidR="001E478C" w:rsidRPr="003676AB">
        <w:rPr>
          <w:rFonts w:eastAsia="Calibri"/>
          <w:sz w:val="22"/>
          <w:szCs w:val="22"/>
        </w:rPr>
        <w:t xml:space="preserve"> 325 TFEU should b</w:t>
      </w:r>
      <w:r w:rsidR="00FE6CE8" w:rsidRPr="003676AB">
        <w:rPr>
          <w:rFonts w:eastAsia="Calibri"/>
          <w:sz w:val="22"/>
          <w:szCs w:val="22"/>
        </w:rPr>
        <w:t>e chosen for this d</w:t>
      </w:r>
      <w:r w:rsidR="00093FC9" w:rsidRPr="003676AB">
        <w:rPr>
          <w:rFonts w:eastAsia="Calibri"/>
          <w:sz w:val="22"/>
          <w:szCs w:val="22"/>
        </w:rPr>
        <w:t>irective</w:t>
      </w:r>
      <w:r w:rsidR="00FE6CE8" w:rsidRPr="003676AB">
        <w:rPr>
          <w:rFonts w:eastAsia="Calibri"/>
          <w:sz w:val="22"/>
          <w:szCs w:val="22"/>
        </w:rPr>
        <w:t>,</w:t>
      </w:r>
      <w:r w:rsidR="001E478C" w:rsidRPr="003676AB">
        <w:rPr>
          <w:rFonts w:eastAsia="Calibri"/>
          <w:sz w:val="22"/>
          <w:szCs w:val="22"/>
        </w:rPr>
        <w:t xml:space="preserve"> this issue is considered in detail.</w:t>
      </w:r>
      <w:bookmarkStart w:id="3" w:name="_Toc470022108"/>
      <w:bookmarkStart w:id="4" w:name="_Toc421645373"/>
      <w:r w:rsidR="00CD6068" w:rsidRPr="003676AB">
        <w:rPr>
          <w:rFonts w:eastAsia="Calibri"/>
          <w:sz w:val="22"/>
          <w:szCs w:val="22"/>
        </w:rPr>
        <w:t xml:space="preserve"> The concluding section summarises the argument and offers some broader reflections on the findings </w:t>
      </w:r>
      <w:r w:rsidR="00FB6DB8" w:rsidRPr="003676AB">
        <w:rPr>
          <w:rFonts w:eastAsia="Calibri"/>
          <w:sz w:val="22"/>
          <w:szCs w:val="22"/>
        </w:rPr>
        <w:t>of</w:t>
      </w:r>
      <w:r w:rsidR="00CD6068" w:rsidRPr="003676AB">
        <w:rPr>
          <w:rFonts w:eastAsia="Calibri"/>
          <w:sz w:val="22"/>
          <w:szCs w:val="22"/>
        </w:rPr>
        <w:t xml:space="preserve"> the article.</w:t>
      </w:r>
    </w:p>
    <w:p w14:paraId="0DA4DA90" w14:textId="3943BEFF" w:rsidR="00662E79" w:rsidRPr="003676AB" w:rsidRDefault="00662E79" w:rsidP="00CF4F6C">
      <w:pPr>
        <w:pStyle w:val="Rubrik1"/>
        <w:ind w:left="1300" w:hanging="1300"/>
        <w:jc w:val="both"/>
        <w:rPr>
          <w:rFonts w:eastAsia="Calibri"/>
          <w:b/>
          <w:sz w:val="22"/>
          <w:szCs w:val="22"/>
          <w:lang w:eastAsia="sv-SE"/>
        </w:rPr>
      </w:pPr>
      <w:bookmarkStart w:id="5" w:name="_Hlk500419992"/>
      <w:r w:rsidRPr="003676AB">
        <w:rPr>
          <w:rFonts w:eastAsia="Calibri"/>
          <w:b/>
          <w:sz w:val="22"/>
          <w:szCs w:val="22"/>
          <w:lang w:eastAsia="sv-SE"/>
        </w:rPr>
        <w:t>The core of the argument: the ‘</w:t>
      </w:r>
      <w:proofErr w:type="spellStart"/>
      <w:r w:rsidRPr="003676AB">
        <w:rPr>
          <w:rFonts w:eastAsia="Calibri"/>
          <w:b/>
          <w:sz w:val="22"/>
          <w:szCs w:val="22"/>
          <w:lang w:eastAsia="sv-SE"/>
        </w:rPr>
        <w:t>lex</w:t>
      </w:r>
      <w:proofErr w:type="spellEnd"/>
      <w:r w:rsidRPr="003676AB">
        <w:rPr>
          <w:rFonts w:eastAsia="Calibri"/>
          <w:b/>
          <w:sz w:val="22"/>
          <w:szCs w:val="22"/>
          <w:lang w:eastAsia="sv-SE"/>
        </w:rPr>
        <w:t xml:space="preserve"> </w:t>
      </w:r>
      <w:proofErr w:type="spellStart"/>
      <w:r w:rsidRPr="003676AB">
        <w:rPr>
          <w:rFonts w:eastAsia="Calibri"/>
          <w:b/>
          <w:sz w:val="22"/>
          <w:szCs w:val="22"/>
          <w:lang w:eastAsia="sv-SE"/>
        </w:rPr>
        <w:t>specialis</w:t>
      </w:r>
      <w:proofErr w:type="spellEnd"/>
      <w:r w:rsidRPr="003676AB">
        <w:rPr>
          <w:rFonts w:eastAsia="Calibri"/>
          <w:b/>
          <w:sz w:val="22"/>
          <w:szCs w:val="22"/>
          <w:lang w:eastAsia="sv-SE"/>
        </w:rPr>
        <w:t xml:space="preserve">’ nature of </w:t>
      </w:r>
      <w:r w:rsidR="00886A20" w:rsidRPr="003676AB">
        <w:rPr>
          <w:rFonts w:eastAsia="Calibri"/>
          <w:b/>
          <w:sz w:val="22"/>
          <w:szCs w:val="22"/>
          <w:lang w:eastAsia="sv-SE"/>
        </w:rPr>
        <w:t>art.</w:t>
      </w:r>
      <w:r w:rsidRPr="003676AB">
        <w:rPr>
          <w:rFonts w:eastAsia="Calibri"/>
          <w:b/>
          <w:sz w:val="22"/>
          <w:szCs w:val="22"/>
          <w:lang w:eastAsia="sv-SE"/>
        </w:rPr>
        <w:t xml:space="preserve"> 83(2) TFEU</w:t>
      </w:r>
    </w:p>
    <w:bookmarkEnd w:id="5"/>
    <w:p w14:paraId="4C4F70FC" w14:textId="4CF249F3" w:rsidR="00F92105" w:rsidRPr="003676AB" w:rsidRDefault="00F92105" w:rsidP="00CF4F6C">
      <w:pPr>
        <w:ind w:left="1300" w:hanging="1300"/>
        <w:rPr>
          <w:rFonts w:eastAsia="Calibri"/>
          <w:i/>
          <w:sz w:val="22"/>
          <w:szCs w:val="22"/>
        </w:rPr>
      </w:pPr>
      <w:r w:rsidRPr="003676AB">
        <w:rPr>
          <w:rFonts w:eastAsia="Calibri"/>
          <w:i/>
          <w:sz w:val="22"/>
          <w:szCs w:val="22"/>
        </w:rPr>
        <w:t>The core argument- principled, systemic and teleological considerations</w:t>
      </w:r>
    </w:p>
    <w:p w14:paraId="19716C91" w14:textId="4B2891E7" w:rsidR="00782BA2" w:rsidRPr="003676AB" w:rsidRDefault="00A208D4" w:rsidP="00662E79">
      <w:pPr>
        <w:rPr>
          <w:rFonts w:eastAsia="Calibri"/>
          <w:sz w:val="22"/>
          <w:szCs w:val="22"/>
        </w:rPr>
      </w:pPr>
      <w:r w:rsidRPr="003676AB">
        <w:rPr>
          <w:rFonts w:eastAsia="Calibri"/>
          <w:sz w:val="22"/>
          <w:szCs w:val="22"/>
        </w:rPr>
        <w:t>Prior to Lisbon there was a long-standing constitutional debate between the Member States and the Commission on whether the Community had a</w:t>
      </w:r>
      <w:r w:rsidR="00FB6DB8" w:rsidRPr="003676AB">
        <w:rPr>
          <w:rFonts w:eastAsia="Calibri"/>
          <w:sz w:val="22"/>
          <w:szCs w:val="22"/>
        </w:rPr>
        <w:t>ny</w:t>
      </w:r>
      <w:r w:rsidRPr="003676AB">
        <w:rPr>
          <w:rFonts w:eastAsia="Calibri"/>
          <w:sz w:val="22"/>
          <w:szCs w:val="22"/>
        </w:rPr>
        <w:t xml:space="preserve"> competence to enforce its rules through criminal sanctions. The Commission </w:t>
      </w:r>
      <w:r w:rsidR="0062526C" w:rsidRPr="003676AB">
        <w:rPr>
          <w:rFonts w:eastAsia="Calibri"/>
          <w:sz w:val="22"/>
          <w:szCs w:val="22"/>
        </w:rPr>
        <w:t xml:space="preserve">argued for the existence of </w:t>
      </w:r>
      <w:r w:rsidRPr="003676AB">
        <w:rPr>
          <w:rFonts w:eastAsia="Calibri"/>
          <w:sz w:val="22"/>
          <w:szCs w:val="22"/>
        </w:rPr>
        <w:t xml:space="preserve">a Community competence </w:t>
      </w:r>
      <w:r w:rsidR="0062526C" w:rsidRPr="003676AB">
        <w:rPr>
          <w:rFonts w:eastAsia="Calibri"/>
          <w:sz w:val="22"/>
          <w:szCs w:val="22"/>
        </w:rPr>
        <w:t xml:space="preserve">in the field of criminal law </w:t>
      </w:r>
      <w:r w:rsidRPr="003676AB">
        <w:rPr>
          <w:rFonts w:eastAsia="Calibri"/>
          <w:sz w:val="22"/>
          <w:szCs w:val="22"/>
        </w:rPr>
        <w:t xml:space="preserve">on the </w:t>
      </w:r>
      <w:r w:rsidR="0062526C" w:rsidRPr="003676AB">
        <w:rPr>
          <w:rFonts w:eastAsia="Calibri"/>
          <w:sz w:val="22"/>
          <w:szCs w:val="22"/>
        </w:rPr>
        <w:t xml:space="preserve">grounds </w:t>
      </w:r>
      <w:r w:rsidRPr="003676AB">
        <w:rPr>
          <w:rFonts w:eastAsia="Calibri"/>
          <w:sz w:val="22"/>
          <w:szCs w:val="22"/>
        </w:rPr>
        <w:t xml:space="preserve">that it was </w:t>
      </w:r>
      <w:r w:rsidR="0062526C" w:rsidRPr="003676AB">
        <w:rPr>
          <w:rFonts w:eastAsia="Calibri"/>
          <w:sz w:val="22"/>
          <w:szCs w:val="22"/>
        </w:rPr>
        <w:t xml:space="preserve">necessary </w:t>
      </w:r>
      <w:r w:rsidRPr="003676AB">
        <w:rPr>
          <w:rFonts w:eastAsia="Calibri"/>
          <w:sz w:val="22"/>
          <w:szCs w:val="22"/>
        </w:rPr>
        <w:t>for the effective enforcement of EU policies.</w:t>
      </w:r>
      <w:r w:rsidRPr="003676AB">
        <w:rPr>
          <w:rFonts w:eastAsia="Calibri"/>
          <w:sz w:val="22"/>
          <w:szCs w:val="22"/>
          <w:vertAlign w:val="superscript"/>
        </w:rPr>
        <w:footnoteReference w:id="20"/>
      </w:r>
      <w:r w:rsidRPr="003676AB">
        <w:rPr>
          <w:rFonts w:eastAsia="Calibri"/>
          <w:sz w:val="22"/>
          <w:szCs w:val="22"/>
        </w:rPr>
        <w:t xml:space="preserve"> The Council </w:t>
      </w:r>
      <w:r w:rsidRPr="003676AB">
        <w:rPr>
          <w:rFonts w:eastAsia="Calibri"/>
          <w:sz w:val="22"/>
          <w:szCs w:val="22"/>
        </w:rPr>
        <w:lastRenderedPageBreak/>
        <w:t xml:space="preserve">argued on the other hand </w:t>
      </w:r>
      <w:r w:rsidR="0062526C" w:rsidRPr="003676AB">
        <w:rPr>
          <w:rFonts w:eastAsia="Calibri"/>
          <w:sz w:val="22"/>
          <w:szCs w:val="22"/>
        </w:rPr>
        <w:t xml:space="preserve">that the </w:t>
      </w:r>
      <w:r w:rsidRPr="003676AB">
        <w:rPr>
          <w:rFonts w:eastAsia="Calibri"/>
          <w:sz w:val="22"/>
          <w:szCs w:val="22"/>
        </w:rPr>
        <w:t xml:space="preserve">absence of an express conferral of competence in the Treaties together with concerns for sovereignty </w:t>
      </w:r>
      <w:r w:rsidR="0062526C" w:rsidRPr="003676AB">
        <w:rPr>
          <w:rFonts w:eastAsia="Calibri"/>
          <w:sz w:val="22"/>
          <w:szCs w:val="22"/>
        </w:rPr>
        <w:t xml:space="preserve">argued </w:t>
      </w:r>
      <w:r w:rsidRPr="003676AB">
        <w:rPr>
          <w:rFonts w:eastAsia="Calibri"/>
          <w:sz w:val="22"/>
          <w:szCs w:val="22"/>
        </w:rPr>
        <w:t>against recognising such a competence in the first pillar.</w:t>
      </w:r>
      <w:r w:rsidRPr="003676AB">
        <w:rPr>
          <w:rFonts w:eastAsia="Calibri"/>
          <w:sz w:val="22"/>
          <w:szCs w:val="22"/>
          <w:vertAlign w:val="superscript"/>
        </w:rPr>
        <w:footnoteReference w:id="21"/>
      </w:r>
      <w:r w:rsidRPr="003676AB">
        <w:rPr>
          <w:rFonts w:eastAsia="Calibri"/>
          <w:sz w:val="22"/>
          <w:szCs w:val="22"/>
          <w:vertAlign w:val="superscript"/>
        </w:rPr>
        <w:t xml:space="preserve"> </w:t>
      </w:r>
      <w:r w:rsidR="0062526C" w:rsidRPr="003676AB">
        <w:rPr>
          <w:rFonts w:eastAsia="Calibri"/>
          <w:sz w:val="22"/>
          <w:szCs w:val="22"/>
        </w:rPr>
        <w:t>Eventually t</w:t>
      </w:r>
      <w:r w:rsidRPr="003676AB">
        <w:rPr>
          <w:rFonts w:eastAsia="Calibri"/>
          <w:sz w:val="22"/>
          <w:szCs w:val="22"/>
        </w:rPr>
        <w:t xml:space="preserve">he Court of Justice of the European Union was called </w:t>
      </w:r>
      <w:r w:rsidR="0062526C" w:rsidRPr="003676AB">
        <w:rPr>
          <w:rFonts w:eastAsia="Calibri"/>
          <w:sz w:val="22"/>
          <w:szCs w:val="22"/>
        </w:rPr>
        <w:t>up</w:t>
      </w:r>
      <w:r w:rsidRPr="003676AB">
        <w:rPr>
          <w:rFonts w:eastAsia="Calibri"/>
          <w:sz w:val="22"/>
          <w:szCs w:val="22"/>
        </w:rPr>
        <w:t>on to settle the issue</w:t>
      </w:r>
      <w:r w:rsidR="0062526C" w:rsidRPr="003676AB">
        <w:rPr>
          <w:rFonts w:eastAsia="Calibri"/>
          <w:sz w:val="22"/>
          <w:szCs w:val="22"/>
        </w:rPr>
        <w:t xml:space="preserve"> in </w:t>
      </w:r>
      <w:r w:rsidR="0062526C" w:rsidRPr="003676AB">
        <w:rPr>
          <w:rFonts w:eastAsia="Calibri"/>
          <w:i/>
          <w:sz w:val="22"/>
          <w:szCs w:val="22"/>
        </w:rPr>
        <w:t>Environmental Crimes</w:t>
      </w:r>
      <w:r w:rsidR="0062526C" w:rsidRPr="003676AB">
        <w:rPr>
          <w:rFonts w:eastAsia="Calibri"/>
          <w:sz w:val="22"/>
          <w:szCs w:val="22"/>
        </w:rPr>
        <w:t>,</w:t>
      </w:r>
      <w:r w:rsidR="0062526C" w:rsidRPr="003676AB">
        <w:rPr>
          <w:rFonts w:eastAsia="Calibri"/>
          <w:sz w:val="22"/>
          <w:szCs w:val="22"/>
          <w:vertAlign w:val="superscript"/>
        </w:rPr>
        <w:footnoteReference w:id="22"/>
      </w:r>
      <w:r w:rsidR="0062526C" w:rsidRPr="003676AB">
        <w:rPr>
          <w:rFonts w:eastAsia="Calibri"/>
          <w:sz w:val="22"/>
          <w:szCs w:val="22"/>
        </w:rPr>
        <w:t xml:space="preserve"> in which t</w:t>
      </w:r>
      <w:r w:rsidRPr="003676AB">
        <w:rPr>
          <w:rFonts w:eastAsia="Calibri"/>
          <w:sz w:val="22"/>
          <w:szCs w:val="22"/>
        </w:rPr>
        <w:t xml:space="preserve">he Court accepted the Commission’s argument that the Community </w:t>
      </w:r>
      <w:r w:rsidR="00E678A1" w:rsidRPr="003676AB">
        <w:rPr>
          <w:rFonts w:eastAsia="Calibri"/>
          <w:sz w:val="22"/>
          <w:szCs w:val="22"/>
        </w:rPr>
        <w:t xml:space="preserve">did </w:t>
      </w:r>
      <w:r w:rsidR="0062526C" w:rsidRPr="003676AB">
        <w:rPr>
          <w:rFonts w:eastAsia="Calibri"/>
          <w:sz w:val="22"/>
          <w:szCs w:val="22"/>
        </w:rPr>
        <w:t xml:space="preserve">indeed </w:t>
      </w:r>
      <w:r w:rsidR="00E678A1" w:rsidRPr="003676AB">
        <w:rPr>
          <w:rFonts w:eastAsia="Calibri"/>
          <w:sz w:val="22"/>
          <w:szCs w:val="22"/>
        </w:rPr>
        <w:t xml:space="preserve">possess </w:t>
      </w:r>
      <w:r w:rsidRPr="003676AB">
        <w:rPr>
          <w:rFonts w:eastAsia="Calibri"/>
          <w:sz w:val="22"/>
          <w:szCs w:val="22"/>
        </w:rPr>
        <w:t>a competence to impose criminal sanctions if this was essential for the effective enforcement of EU environmental policy</w:t>
      </w:r>
      <w:r w:rsidR="0062526C" w:rsidRPr="003676AB">
        <w:rPr>
          <w:rFonts w:eastAsia="Calibri"/>
          <w:sz w:val="22"/>
          <w:szCs w:val="22"/>
        </w:rPr>
        <w:t xml:space="preserve">, a finding that was subsequently </w:t>
      </w:r>
      <w:r w:rsidR="00E8396D" w:rsidRPr="003676AB">
        <w:rPr>
          <w:rFonts w:eastAsia="Calibri"/>
          <w:sz w:val="22"/>
          <w:szCs w:val="22"/>
        </w:rPr>
        <w:t xml:space="preserve">reinforced </w:t>
      </w:r>
      <w:r w:rsidR="0062526C" w:rsidRPr="003676AB">
        <w:rPr>
          <w:rFonts w:eastAsia="Calibri"/>
          <w:sz w:val="22"/>
          <w:szCs w:val="22"/>
        </w:rPr>
        <w:t xml:space="preserve">in </w:t>
      </w:r>
      <w:r w:rsidR="0062526C" w:rsidRPr="003676AB">
        <w:rPr>
          <w:rFonts w:eastAsia="Calibri"/>
          <w:i/>
          <w:sz w:val="22"/>
          <w:szCs w:val="22"/>
        </w:rPr>
        <w:t>Ship-Source Pollution</w:t>
      </w:r>
      <w:r w:rsidR="0062526C" w:rsidRPr="003676AB">
        <w:rPr>
          <w:rFonts w:eastAsia="Calibri"/>
          <w:sz w:val="22"/>
          <w:szCs w:val="22"/>
        </w:rPr>
        <w:t>.</w:t>
      </w:r>
      <w:r w:rsidR="0062526C" w:rsidRPr="003676AB">
        <w:rPr>
          <w:rFonts w:eastAsia="Calibri"/>
          <w:sz w:val="22"/>
          <w:szCs w:val="22"/>
          <w:vertAlign w:val="superscript"/>
        </w:rPr>
        <w:footnoteReference w:id="23"/>
      </w:r>
      <w:r w:rsidR="0062526C" w:rsidRPr="003676AB">
        <w:rPr>
          <w:rFonts w:eastAsia="Calibri"/>
          <w:sz w:val="22"/>
          <w:szCs w:val="22"/>
        </w:rPr>
        <w:t xml:space="preserve"> </w:t>
      </w:r>
      <w:r w:rsidRPr="003676AB">
        <w:rPr>
          <w:rFonts w:eastAsia="Calibri"/>
          <w:sz w:val="22"/>
          <w:szCs w:val="22"/>
        </w:rPr>
        <w:t xml:space="preserve">The debate on the existence of a first pillar competence was brought to an end by the Lisbon Treaty, which explicitly conferred a competence on the EU to impose criminal sanctions to enforce substantive Union policies by means of </w:t>
      </w:r>
      <w:r w:rsidR="00D30CA6" w:rsidRPr="003676AB">
        <w:rPr>
          <w:rFonts w:eastAsia="Calibri"/>
          <w:sz w:val="22"/>
          <w:szCs w:val="22"/>
        </w:rPr>
        <w:t>art.</w:t>
      </w:r>
      <w:r w:rsidRPr="003676AB">
        <w:rPr>
          <w:rFonts w:eastAsia="Calibri"/>
          <w:sz w:val="22"/>
          <w:szCs w:val="22"/>
        </w:rPr>
        <w:t xml:space="preserve"> 83(2) TFEU. The provision reads as follows:</w:t>
      </w:r>
    </w:p>
    <w:p w14:paraId="1D9E56A9" w14:textId="369BFE24" w:rsidR="008779BD" w:rsidRPr="003676AB" w:rsidRDefault="008779BD" w:rsidP="00662E79">
      <w:pPr>
        <w:rPr>
          <w:rFonts w:eastAsia="Calibri"/>
          <w:sz w:val="22"/>
          <w:szCs w:val="22"/>
        </w:rPr>
      </w:pPr>
      <w:r w:rsidRPr="003676AB">
        <w:rPr>
          <w:rFonts w:eastAsia="Calibri"/>
          <w:sz w:val="22"/>
          <w:szCs w:val="22"/>
        </w:rPr>
        <w:t xml:space="preserve">‘If the approximation of criminal laws and regulations of the Member States proves essential to ensure the effective implementation of a Union policy in an area which has been subject to harmonisation measures, directives may establish minimum rules </w:t>
      </w:r>
      <w:proofErr w:type="gramStart"/>
      <w:r w:rsidRPr="003676AB">
        <w:rPr>
          <w:rFonts w:eastAsia="Calibri"/>
          <w:sz w:val="22"/>
          <w:szCs w:val="22"/>
        </w:rPr>
        <w:t>with regard to</w:t>
      </w:r>
      <w:proofErr w:type="gramEnd"/>
      <w:r w:rsidRPr="003676AB">
        <w:rPr>
          <w:rFonts w:eastAsia="Calibri"/>
          <w:sz w:val="22"/>
          <w:szCs w:val="22"/>
        </w:rPr>
        <w:t xml:space="preserve"> the definition of criminal offences and sanctions in the area concerned. Such directives shall be adopted by the same ordinary or special legislative procedure as was followed for the adoption of the harmonisation measures in question, without prejudice to Article 76.’</w:t>
      </w:r>
    </w:p>
    <w:p w14:paraId="1DD137EF" w14:textId="6AB8073F" w:rsidR="00BD14C8" w:rsidRPr="003676AB" w:rsidRDefault="008779BD" w:rsidP="00BD14C8">
      <w:pPr>
        <w:rPr>
          <w:color w:val="000000"/>
          <w:sz w:val="22"/>
          <w:szCs w:val="22"/>
          <w:vertAlign w:val="superscript"/>
        </w:rPr>
      </w:pPr>
      <w:r w:rsidRPr="003676AB">
        <w:rPr>
          <w:rFonts w:cs="EUAlbertina"/>
          <w:color w:val="000000"/>
          <w:sz w:val="22"/>
          <w:szCs w:val="22"/>
        </w:rPr>
        <w:t>This provision</w:t>
      </w:r>
      <w:r w:rsidR="009E0B3A" w:rsidRPr="003676AB">
        <w:rPr>
          <w:rFonts w:cs="EUAlbertina"/>
          <w:color w:val="000000"/>
          <w:sz w:val="22"/>
          <w:szCs w:val="22"/>
        </w:rPr>
        <w:t xml:space="preserve"> gives the Union a broa</w:t>
      </w:r>
      <w:r w:rsidR="00B559E6" w:rsidRPr="003676AB">
        <w:rPr>
          <w:rFonts w:cs="EUAlbertina"/>
          <w:color w:val="000000"/>
          <w:sz w:val="22"/>
          <w:szCs w:val="22"/>
        </w:rPr>
        <w:t>d competence to adopt criminalis</w:t>
      </w:r>
      <w:r w:rsidR="009E0B3A" w:rsidRPr="003676AB">
        <w:rPr>
          <w:rFonts w:cs="EUAlbertina"/>
          <w:color w:val="000000"/>
          <w:sz w:val="22"/>
          <w:szCs w:val="22"/>
        </w:rPr>
        <w:t>ation measures to the benefit of any Union policy, which has been subject to harmonisation measures.</w:t>
      </w:r>
      <w:r w:rsidR="00BD14C8" w:rsidRPr="003676AB">
        <w:rPr>
          <w:rFonts w:cs="EUAlbertina"/>
          <w:color w:val="000000"/>
          <w:sz w:val="22"/>
          <w:szCs w:val="22"/>
        </w:rPr>
        <w:t xml:space="preserve"> Teleo</w:t>
      </w:r>
      <w:r w:rsidR="00782BA2" w:rsidRPr="003676AB">
        <w:rPr>
          <w:rFonts w:cs="EUAlbertina"/>
          <w:color w:val="000000"/>
          <w:sz w:val="22"/>
          <w:szCs w:val="22"/>
        </w:rPr>
        <w:t>lo</w:t>
      </w:r>
      <w:r w:rsidR="00BD14C8" w:rsidRPr="003676AB">
        <w:rPr>
          <w:rFonts w:cs="EUAlbertina"/>
          <w:color w:val="000000"/>
          <w:sz w:val="22"/>
          <w:szCs w:val="22"/>
        </w:rPr>
        <w:t xml:space="preserve">gical and systemic considerations support </w:t>
      </w:r>
      <w:r w:rsidR="0062526C" w:rsidRPr="003676AB">
        <w:rPr>
          <w:rFonts w:cs="EUAlbertina"/>
          <w:color w:val="000000"/>
          <w:sz w:val="22"/>
          <w:szCs w:val="22"/>
        </w:rPr>
        <w:t xml:space="preserve">the interpretation that </w:t>
      </w:r>
      <w:r w:rsidR="00D30CA6" w:rsidRPr="003676AB">
        <w:rPr>
          <w:rFonts w:cs="EUAlbertina"/>
          <w:color w:val="000000"/>
          <w:sz w:val="22"/>
          <w:szCs w:val="22"/>
        </w:rPr>
        <w:t>art.</w:t>
      </w:r>
      <w:r w:rsidR="00BD14C8" w:rsidRPr="003676AB">
        <w:rPr>
          <w:rFonts w:cs="EUAlbertina"/>
          <w:color w:val="000000"/>
          <w:sz w:val="22"/>
          <w:szCs w:val="22"/>
        </w:rPr>
        <w:t xml:space="preserve"> 83(2) TFEU is, or was at least envisaged to be, a </w:t>
      </w:r>
      <w:proofErr w:type="spellStart"/>
      <w:r w:rsidR="00BD14C8" w:rsidRPr="003676AB">
        <w:rPr>
          <w:rFonts w:cs="EUAlbertina"/>
          <w:i/>
          <w:color w:val="000000"/>
          <w:sz w:val="22"/>
          <w:szCs w:val="22"/>
        </w:rPr>
        <w:t>lex</w:t>
      </w:r>
      <w:proofErr w:type="spellEnd"/>
      <w:r w:rsidR="00BD14C8" w:rsidRPr="003676AB">
        <w:rPr>
          <w:rFonts w:cs="EUAlbertina"/>
          <w:i/>
          <w:color w:val="000000"/>
          <w:sz w:val="22"/>
          <w:szCs w:val="22"/>
        </w:rPr>
        <w:t xml:space="preserve"> </w:t>
      </w:r>
      <w:proofErr w:type="spellStart"/>
      <w:r w:rsidR="00BD14C8" w:rsidRPr="003676AB">
        <w:rPr>
          <w:rFonts w:cs="EUAlbertina"/>
          <w:i/>
          <w:color w:val="000000"/>
          <w:sz w:val="22"/>
          <w:szCs w:val="22"/>
        </w:rPr>
        <w:t>specialis</w:t>
      </w:r>
      <w:proofErr w:type="spellEnd"/>
      <w:r w:rsidR="00BD14C8" w:rsidRPr="003676AB">
        <w:rPr>
          <w:rFonts w:cs="EUAlbertina"/>
          <w:color w:val="000000"/>
          <w:sz w:val="22"/>
          <w:szCs w:val="22"/>
        </w:rPr>
        <w:t xml:space="preserve"> for criminal law measures after Lisbon.</w:t>
      </w:r>
      <w:r w:rsidR="00B559E6" w:rsidRPr="003676AB">
        <w:rPr>
          <w:rFonts w:cs="EUAlbertina"/>
          <w:color w:val="000000"/>
          <w:sz w:val="22"/>
          <w:szCs w:val="22"/>
        </w:rPr>
        <w:t xml:space="preserve"> If one </w:t>
      </w:r>
      <w:r w:rsidR="009B2BAF" w:rsidRPr="003676AB">
        <w:rPr>
          <w:rFonts w:cs="EUAlbertina"/>
          <w:color w:val="000000"/>
          <w:sz w:val="22"/>
          <w:szCs w:val="22"/>
        </w:rPr>
        <w:t xml:space="preserve">seeks </w:t>
      </w:r>
      <w:r w:rsidR="00B559E6" w:rsidRPr="003676AB">
        <w:rPr>
          <w:rFonts w:cs="EUAlbertina"/>
          <w:color w:val="000000"/>
          <w:sz w:val="22"/>
          <w:szCs w:val="22"/>
        </w:rPr>
        <w:t>to ‘divine’</w:t>
      </w:r>
      <w:r w:rsidR="00B559E6" w:rsidRPr="003676AB">
        <w:rPr>
          <w:rStyle w:val="Fotnotsreferens"/>
          <w:rFonts w:cs="EUAlbertina"/>
          <w:color w:val="000000"/>
          <w:sz w:val="22"/>
          <w:szCs w:val="22"/>
        </w:rPr>
        <w:footnoteReference w:id="24"/>
      </w:r>
      <w:r w:rsidR="00B559E6" w:rsidRPr="003676AB">
        <w:rPr>
          <w:rFonts w:cs="EUAlbertina"/>
          <w:color w:val="000000"/>
          <w:sz w:val="22"/>
          <w:szCs w:val="22"/>
        </w:rPr>
        <w:t xml:space="preserve"> the intentions of the Treat</w:t>
      </w:r>
      <w:r w:rsidR="0062526C" w:rsidRPr="003676AB">
        <w:rPr>
          <w:rFonts w:cs="EUAlbertina"/>
          <w:color w:val="000000"/>
          <w:sz w:val="22"/>
          <w:szCs w:val="22"/>
        </w:rPr>
        <w:t>y drafters</w:t>
      </w:r>
      <w:r w:rsidR="00B559E6" w:rsidRPr="003676AB">
        <w:rPr>
          <w:rFonts w:cs="EUAlbertina"/>
          <w:color w:val="000000"/>
          <w:sz w:val="22"/>
          <w:szCs w:val="22"/>
        </w:rPr>
        <w:t xml:space="preserve">, </w:t>
      </w:r>
      <w:r w:rsidR="0062526C" w:rsidRPr="003676AB">
        <w:rPr>
          <w:rFonts w:cs="EUAlbertina"/>
          <w:color w:val="000000"/>
          <w:sz w:val="22"/>
          <w:szCs w:val="22"/>
        </w:rPr>
        <w:t xml:space="preserve">an analysis of </w:t>
      </w:r>
      <w:r w:rsidR="00B559E6" w:rsidRPr="003676AB">
        <w:rPr>
          <w:rFonts w:cs="EUAlbertina"/>
          <w:color w:val="000000"/>
          <w:sz w:val="22"/>
          <w:szCs w:val="22"/>
        </w:rPr>
        <w:t xml:space="preserve">the discussion </w:t>
      </w:r>
      <w:r w:rsidR="00BD14C8" w:rsidRPr="003676AB">
        <w:rPr>
          <w:rFonts w:cs="EUAlbertina"/>
          <w:color w:val="000000"/>
          <w:sz w:val="22"/>
          <w:szCs w:val="22"/>
        </w:rPr>
        <w:t>in the European Convention preceding the adoption of the Lisbon Treaty support</w:t>
      </w:r>
      <w:r w:rsidR="0062526C" w:rsidRPr="003676AB">
        <w:rPr>
          <w:rFonts w:cs="EUAlbertina"/>
          <w:color w:val="000000"/>
          <w:sz w:val="22"/>
          <w:szCs w:val="22"/>
        </w:rPr>
        <w:t>s</w:t>
      </w:r>
      <w:r w:rsidR="00BD14C8" w:rsidRPr="003676AB">
        <w:rPr>
          <w:rFonts w:cs="EUAlbertina"/>
          <w:color w:val="000000"/>
          <w:sz w:val="22"/>
          <w:szCs w:val="22"/>
        </w:rPr>
        <w:t xml:space="preserve"> </w:t>
      </w:r>
      <w:r w:rsidR="009B2BAF" w:rsidRPr="003676AB">
        <w:rPr>
          <w:rFonts w:cs="EUAlbertina"/>
          <w:color w:val="000000"/>
          <w:sz w:val="22"/>
          <w:szCs w:val="22"/>
        </w:rPr>
        <w:t xml:space="preserve">the view </w:t>
      </w:r>
      <w:r w:rsidR="00BD14C8" w:rsidRPr="003676AB">
        <w:rPr>
          <w:rFonts w:cs="EUAlbertina"/>
          <w:color w:val="000000"/>
          <w:sz w:val="22"/>
          <w:szCs w:val="22"/>
        </w:rPr>
        <w:t xml:space="preserve">that </w:t>
      </w:r>
      <w:r w:rsidR="00D30CA6" w:rsidRPr="003676AB">
        <w:rPr>
          <w:rFonts w:cs="EUAlbertina"/>
          <w:color w:val="000000"/>
          <w:sz w:val="22"/>
          <w:szCs w:val="22"/>
        </w:rPr>
        <w:t>art.</w:t>
      </w:r>
      <w:r w:rsidR="0062526C" w:rsidRPr="003676AB">
        <w:rPr>
          <w:rFonts w:cs="EUAlbertina"/>
          <w:color w:val="000000"/>
          <w:sz w:val="22"/>
          <w:szCs w:val="22"/>
        </w:rPr>
        <w:t xml:space="preserve"> 83(2) TFEU </w:t>
      </w:r>
      <w:r w:rsidR="00BD14C8" w:rsidRPr="003676AB">
        <w:rPr>
          <w:rFonts w:cs="EUAlbertina"/>
          <w:color w:val="000000"/>
          <w:sz w:val="22"/>
          <w:szCs w:val="22"/>
        </w:rPr>
        <w:t xml:space="preserve">was envisaged by the </w:t>
      </w:r>
      <w:r w:rsidR="009B2BAF" w:rsidRPr="003676AB">
        <w:rPr>
          <w:rFonts w:cs="EUAlbertina"/>
          <w:color w:val="000000"/>
          <w:sz w:val="22"/>
          <w:szCs w:val="22"/>
        </w:rPr>
        <w:t xml:space="preserve">authors of the </w:t>
      </w:r>
      <w:r w:rsidR="00BD14C8" w:rsidRPr="003676AB">
        <w:rPr>
          <w:rFonts w:cs="EUAlbertina"/>
          <w:color w:val="000000"/>
          <w:sz w:val="22"/>
          <w:szCs w:val="22"/>
        </w:rPr>
        <w:t>Treaty to constitute the main legal basis for the Union’s regulatory criminal policies.</w:t>
      </w:r>
      <w:r w:rsidR="00504D0B" w:rsidRPr="003676AB">
        <w:rPr>
          <w:sz w:val="22"/>
          <w:szCs w:val="22"/>
        </w:rPr>
        <w:t xml:space="preserve"> It is clear from the </w:t>
      </w:r>
      <w:r w:rsidR="00504D0B" w:rsidRPr="003676AB">
        <w:rPr>
          <w:rFonts w:eastAsia="Calibri"/>
          <w:sz w:val="22"/>
          <w:szCs w:val="22"/>
        </w:rPr>
        <w:t>drafting process of the Lisbon Treaty</w:t>
      </w:r>
      <w:r w:rsidR="00504D0B" w:rsidRPr="003676AB">
        <w:rPr>
          <w:sz w:val="22"/>
          <w:szCs w:val="22"/>
        </w:rPr>
        <w:t xml:space="preserve"> that Member States proceeded on the basis </w:t>
      </w:r>
      <w:r w:rsidR="00504D0B" w:rsidRPr="003676AB">
        <w:rPr>
          <w:rFonts w:eastAsia="Calibri"/>
          <w:sz w:val="22"/>
          <w:szCs w:val="22"/>
        </w:rPr>
        <w:t xml:space="preserve">that </w:t>
      </w:r>
      <w:r w:rsidR="0062526C" w:rsidRPr="003676AB">
        <w:rPr>
          <w:rFonts w:eastAsia="Calibri"/>
          <w:sz w:val="22"/>
          <w:szCs w:val="22"/>
        </w:rPr>
        <w:t xml:space="preserve">the </w:t>
      </w:r>
      <w:r w:rsidR="00504D0B" w:rsidRPr="003676AB">
        <w:rPr>
          <w:rFonts w:eastAsia="Calibri"/>
          <w:sz w:val="22"/>
          <w:szCs w:val="22"/>
        </w:rPr>
        <w:t xml:space="preserve">substantive EU criminal competence would </w:t>
      </w:r>
      <w:r w:rsidR="0062526C" w:rsidRPr="003676AB">
        <w:rPr>
          <w:rFonts w:eastAsia="Calibri"/>
          <w:sz w:val="22"/>
          <w:szCs w:val="22"/>
        </w:rPr>
        <w:t xml:space="preserve">lie exclusively </w:t>
      </w:r>
      <w:r w:rsidR="00504D0B" w:rsidRPr="003676AB">
        <w:rPr>
          <w:rFonts w:eastAsia="Calibri"/>
          <w:sz w:val="22"/>
          <w:szCs w:val="22"/>
        </w:rPr>
        <w:t xml:space="preserve">in </w:t>
      </w:r>
      <w:r w:rsidR="00D30CA6" w:rsidRPr="003676AB">
        <w:rPr>
          <w:rFonts w:eastAsia="Calibri"/>
          <w:sz w:val="22"/>
          <w:szCs w:val="22"/>
        </w:rPr>
        <w:t>art.</w:t>
      </w:r>
      <w:r w:rsidR="00504D0B" w:rsidRPr="003676AB">
        <w:rPr>
          <w:rFonts w:eastAsia="Calibri"/>
          <w:sz w:val="22"/>
          <w:szCs w:val="22"/>
        </w:rPr>
        <w:t xml:space="preserve"> 83 TFEU.</w:t>
      </w:r>
      <w:r w:rsidR="00504D0B" w:rsidRPr="003676AB">
        <w:rPr>
          <w:sz w:val="22"/>
          <w:szCs w:val="22"/>
        </w:rPr>
        <w:t xml:space="preserve"> </w:t>
      </w:r>
      <w:r w:rsidR="00BD14C8" w:rsidRPr="003676AB">
        <w:rPr>
          <w:rFonts w:cs="EUAlbertina"/>
          <w:color w:val="000000"/>
          <w:sz w:val="22"/>
          <w:szCs w:val="22"/>
        </w:rPr>
        <w:t xml:space="preserve">Working Group X, which was responsible for the drafting of </w:t>
      </w:r>
      <w:r w:rsidR="00F821CE" w:rsidRPr="003676AB">
        <w:rPr>
          <w:rFonts w:cs="EUAlbertina"/>
          <w:color w:val="000000"/>
          <w:sz w:val="22"/>
          <w:szCs w:val="22"/>
        </w:rPr>
        <w:t>art.</w:t>
      </w:r>
      <w:r w:rsidR="00BD14C8" w:rsidRPr="003676AB">
        <w:rPr>
          <w:rFonts w:cs="EUAlbertina"/>
          <w:color w:val="000000"/>
          <w:sz w:val="22"/>
          <w:szCs w:val="22"/>
        </w:rPr>
        <w:t xml:space="preserve"> 83(2) TFEU, proposed that a novel legal basis, i.e. an explicit conferral of competence</w:t>
      </w:r>
      <w:r w:rsidR="0074012D" w:rsidRPr="003676AB">
        <w:rPr>
          <w:rFonts w:cs="EUAlbertina"/>
          <w:color w:val="000000"/>
          <w:sz w:val="22"/>
          <w:szCs w:val="22"/>
        </w:rPr>
        <w:t>,</w:t>
      </w:r>
      <w:r w:rsidR="00BD14C8" w:rsidRPr="003676AB">
        <w:rPr>
          <w:rStyle w:val="Fotnotsreferens"/>
          <w:rFonts w:cs="EUAlbertina"/>
          <w:color w:val="000000"/>
          <w:sz w:val="22"/>
          <w:szCs w:val="22"/>
        </w:rPr>
        <w:footnoteReference w:id="25"/>
      </w:r>
      <w:r w:rsidR="00BD14C8" w:rsidRPr="003676AB">
        <w:rPr>
          <w:rFonts w:cs="EUAlbertina"/>
          <w:color w:val="000000"/>
          <w:sz w:val="22"/>
          <w:szCs w:val="22"/>
        </w:rPr>
        <w:t xml:space="preserve"> was needed to ensure the</w:t>
      </w:r>
      <w:r w:rsidR="00F821CE" w:rsidRPr="003676AB">
        <w:rPr>
          <w:rFonts w:cs="EUAlbertina"/>
          <w:color w:val="000000"/>
          <w:sz w:val="22"/>
          <w:szCs w:val="22"/>
        </w:rPr>
        <w:t xml:space="preserve"> criminal enforcement of</w:t>
      </w:r>
      <w:r w:rsidR="00BD14C8" w:rsidRPr="003676AB">
        <w:rPr>
          <w:rFonts w:cs="EUAlbertina"/>
          <w:color w:val="000000"/>
          <w:sz w:val="22"/>
          <w:szCs w:val="22"/>
        </w:rPr>
        <w:t xml:space="preserve"> existing EU </w:t>
      </w:r>
      <w:r w:rsidR="00440D5B" w:rsidRPr="003676AB">
        <w:rPr>
          <w:rFonts w:cs="EUAlbertina"/>
          <w:color w:val="000000"/>
          <w:sz w:val="22"/>
          <w:szCs w:val="22"/>
        </w:rPr>
        <w:t>policies</w:t>
      </w:r>
      <w:r w:rsidR="00BD14C8" w:rsidRPr="003676AB">
        <w:rPr>
          <w:rFonts w:cs="EUAlbertina"/>
          <w:color w:val="000000"/>
          <w:sz w:val="22"/>
          <w:szCs w:val="22"/>
        </w:rPr>
        <w:t>. The Working Group explicitly referred to the previous Treaty of European Uni</w:t>
      </w:r>
      <w:r w:rsidR="00F4567E" w:rsidRPr="003676AB">
        <w:rPr>
          <w:rFonts w:cs="EUAlbertina"/>
          <w:color w:val="000000"/>
          <w:sz w:val="22"/>
          <w:szCs w:val="22"/>
        </w:rPr>
        <w:t>on as the only clear legal basis</w:t>
      </w:r>
      <w:r w:rsidR="00BD14C8" w:rsidRPr="003676AB">
        <w:rPr>
          <w:rFonts w:cs="EUAlbertina"/>
          <w:color w:val="000000"/>
          <w:sz w:val="22"/>
          <w:szCs w:val="22"/>
        </w:rPr>
        <w:t xml:space="preserve"> for criminal law prior to </w:t>
      </w:r>
      <w:r w:rsidR="00BD14C8" w:rsidRPr="003676AB">
        <w:rPr>
          <w:rFonts w:cs="EUAlbertina"/>
          <w:color w:val="000000"/>
          <w:sz w:val="22"/>
          <w:szCs w:val="22"/>
        </w:rPr>
        <w:lastRenderedPageBreak/>
        <w:t xml:space="preserve">Lisbon. </w:t>
      </w:r>
      <w:r w:rsidR="00504D0B" w:rsidRPr="003676AB">
        <w:rPr>
          <w:rFonts w:eastAsia="Calibri"/>
          <w:sz w:val="22"/>
          <w:szCs w:val="22"/>
        </w:rPr>
        <w:t xml:space="preserve">A strong indication for this is that </w:t>
      </w:r>
      <w:r w:rsidR="009B2BAF" w:rsidRPr="003676AB">
        <w:rPr>
          <w:rFonts w:eastAsia="Calibri"/>
          <w:sz w:val="22"/>
          <w:szCs w:val="22"/>
        </w:rPr>
        <w:t xml:space="preserve">the </w:t>
      </w:r>
      <w:r w:rsidR="00504D0B" w:rsidRPr="003676AB">
        <w:rPr>
          <w:rFonts w:eastAsia="Calibri"/>
          <w:sz w:val="22"/>
          <w:szCs w:val="22"/>
        </w:rPr>
        <w:t xml:space="preserve">directive was finally chosen as the </w:t>
      </w:r>
      <w:r w:rsidR="009B2BAF" w:rsidRPr="003676AB">
        <w:rPr>
          <w:rFonts w:eastAsia="Calibri"/>
          <w:sz w:val="22"/>
          <w:szCs w:val="22"/>
        </w:rPr>
        <w:t xml:space="preserve">sole </w:t>
      </w:r>
      <w:r w:rsidR="00504D0B" w:rsidRPr="003676AB">
        <w:rPr>
          <w:rFonts w:eastAsia="Calibri"/>
          <w:sz w:val="22"/>
          <w:szCs w:val="22"/>
        </w:rPr>
        <w:t xml:space="preserve">instrument for </w:t>
      </w:r>
      <w:r w:rsidR="009B2BAF" w:rsidRPr="003676AB">
        <w:rPr>
          <w:rFonts w:eastAsia="Calibri"/>
          <w:sz w:val="22"/>
          <w:szCs w:val="22"/>
        </w:rPr>
        <w:t xml:space="preserve">the adoption of </w:t>
      </w:r>
      <w:r w:rsidR="00504D0B" w:rsidRPr="003676AB">
        <w:rPr>
          <w:rFonts w:eastAsia="Calibri"/>
          <w:sz w:val="22"/>
          <w:szCs w:val="22"/>
        </w:rPr>
        <w:t xml:space="preserve">criminalisation </w:t>
      </w:r>
      <w:r w:rsidR="009B2BAF" w:rsidRPr="003676AB">
        <w:rPr>
          <w:rFonts w:eastAsia="Calibri"/>
          <w:sz w:val="22"/>
          <w:szCs w:val="22"/>
        </w:rPr>
        <w:t xml:space="preserve">measures under </w:t>
      </w:r>
      <w:r w:rsidR="00440D5B" w:rsidRPr="003676AB">
        <w:rPr>
          <w:rFonts w:eastAsia="Calibri"/>
          <w:sz w:val="22"/>
          <w:szCs w:val="22"/>
        </w:rPr>
        <w:t>art.</w:t>
      </w:r>
      <w:r w:rsidR="00504D0B" w:rsidRPr="003676AB">
        <w:rPr>
          <w:rFonts w:eastAsia="Calibri"/>
          <w:sz w:val="22"/>
          <w:szCs w:val="22"/>
        </w:rPr>
        <w:t xml:space="preserve"> 83 TFEU</w:t>
      </w:r>
      <w:r w:rsidR="00BD14C8" w:rsidRPr="003676AB">
        <w:rPr>
          <w:rFonts w:cs="EUAlbertina"/>
          <w:color w:val="000000"/>
          <w:sz w:val="22"/>
          <w:szCs w:val="22"/>
        </w:rPr>
        <w:t>, a view which was reinforced by later discussion</w:t>
      </w:r>
      <w:r w:rsidR="00F4567E" w:rsidRPr="003676AB">
        <w:rPr>
          <w:rFonts w:cs="EUAlbertina"/>
          <w:color w:val="000000"/>
          <w:sz w:val="22"/>
          <w:szCs w:val="22"/>
        </w:rPr>
        <w:t xml:space="preserve">s </w:t>
      </w:r>
      <w:r w:rsidR="00BD14C8" w:rsidRPr="003676AB">
        <w:rPr>
          <w:rFonts w:cs="EUAlbertina"/>
          <w:color w:val="000000"/>
          <w:sz w:val="22"/>
          <w:szCs w:val="22"/>
        </w:rPr>
        <w:t xml:space="preserve">in </w:t>
      </w:r>
      <w:r w:rsidR="00F4567E" w:rsidRPr="003676AB">
        <w:rPr>
          <w:rFonts w:cs="EUAlbertina"/>
          <w:color w:val="000000"/>
          <w:sz w:val="22"/>
          <w:szCs w:val="22"/>
        </w:rPr>
        <w:t xml:space="preserve">the </w:t>
      </w:r>
      <w:r w:rsidR="00BD14C8" w:rsidRPr="003676AB">
        <w:rPr>
          <w:rFonts w:cs="EUAlbertina"/>
          <w:color w:val="000000"/>
          <w:sz w:val="22"/>
          <w:szCs w:val="22"/>
        </w:rPr>
        <w:t>Council.</w:t>
      </w:r>
      <w:r w:rsidR="00504D0B" w:rsidRPr="003676AB">
        <w:rPr>
          <w:rFonts w:eastAsia="Calibri"/>
          <w:sz w:val="22"/>
          <w:szCs w:val="22"/>
        </w:rPr>
        <w:t xml:space="preserve"> Further evidence of this proposition is that Working Group X stated that </w:t>
      </w:r>
      <w:r w:rsidR="00440D5B" w:rsidRPr="003676AB">
        <w:rPr>
          <w:rFonts w:eastAsia="Calibri"/>
          <w:sz w:val="22"/>
          <w:szCs w:val="22"/>
        </w:rPr>
        <w:t>art.</w:t>
      </w:r>
      <w:r w:rsidR="00504D0B" w:rsidRPr="003676AB">
        <w:rPr>
          <w:rFonts w:eastAsia="Calibri"/>
          <w:sz w:val="22"/>
          <w:szCs w:val="22"/>
        </w:rPr>
        <w:t xml:space="preserve"> 83(2) TFEU was intended to cover several types of criminalisation, including the protection of the Union’s financial interests by means of criminal law.</w:t>
      </w:r>
      <w:r w:rsidR="00504D0B" w:rsidRPr="003676AB">
        <w:rPr>
          <w:color w:val="000000"/>
          <w:sz w:val="22"/>
          <w:szCs w:val="22"/>
          <w:vertAlign w:val="superscript"/>
        </w:rPr>
        <w:footnoteReference w:id="26"/>
      </w:r>
    </w:p>
    <w:p w14:paraId="5E6F6371" w14:textId="0E9F31E5" w:rsidR="00662E79" w:rsidRPr="003676AB" w:rsidRDefault="00BD14C8" w:rsidP="00BD14C8">
      <w:pPr>
        <w:rPr>
          <w:rFonts w:eastAsia="Calibri"/>
          <w:sz w:val="22"/>
          <w:szCs w:val="22"/>
        </w:rPr>
      </w:pPr>
      <w:r w:rsidRPr="003676AB">
        <w:rPr>
          <w:rFonts w:cs="EUAlbertina"/>
          <w:color w:val="000000"/>
          <w:sz w:val="22"/>
          <w:szCs w:val="22"/>
        </w:rPr>
        <w:t xml:space="preserve">Systemic arguments reinforce </w:t>
      </w:r>
      <w:r w:rsidRPr="003676AB">
        <w:rPr>
          <w:rFonts w:eastAsia="Calibri"/>
          <w:sz w:val="22"/>
          <w:szCs w:val="22"/>
        </w:rPr>
        <w:t xml:space="preserve">the view that </w:t>
      </w:r>
      <w:r w:rsidR="00440D5B" w:rsidRPr="003676AB">
        <w:rPr>
          <w:rFonts w:eastAsia="Calibri"/>
          <w:sz w:val="22"/>
          <w:szCs w:val="22"/>
        </w:rPr>
        <w:t>art.</w:t>
      </w:r>
      <w:r w:rsidRPr="003676AB">
        <w:rPr>
          <w:rFonts w:eastAsia="Calibri"/>
          <w:sz w:val="22"/>
          <w:szCs w:val="22"/>
        </w:rPr>
        <w:t xml:space="preserve"> 83(2) TFEU is a </w:t>
      </w:r>
      <w:proofErr w:type="spellStart"/>
      <w:r w:rsidRPr="003676AB">
        <w:rPr>
          <w:rFonts w:eastAsia="Calibri"/>
          <w:i/>
          <w:sz w:val="22"/>
          <w:szCs w:val="22"/>
        </w:rPr>
        <w:t>lex</w:t>
      </w:r>
      <w:proofErr w:type="spellEnd"/>
      <w:r w:rsidRPr="003676AB">
        <w:rPr>
          <w:rFonts w:eastAsia="Calibri"/>
          <w:i/>
          <w:sz w:val="22"/>
          <w:szCs w:val="22"/>
        </w:rPr>
        <w:t xml:space="preserve"> </w:t>
      </w:r>
      <w:proofErr w:type="spellStart"/>
      <w:r w:rsidRPr="003676AB">
        <w:rPr>
          <w:rFonts w:eastAsia="Calibri"/>
          <w:i/>
          <w:sz w:val="22"/>
          <w:szCs w:val="22"/>
        </w:rPr>
        <w:t>specialis</w:t>
      </w:r>
      <w:proofErr w:type="spellEnd"/>
      <w:r w:rsidRPr="003676AB">
        <w:rPr>
          <w:rFonts w:eastAsia="Calibri"/>
          <w:i/>
          <w:sz w:val="22"/>
          <w:szCs w:val="22"/>
        </w:rPr>
        <w:t xml:space="preserve"> </w:t>
      </w:r>
      <w:r w:rsidRPr="003676AB">
        <w:rPr>
          <w:rFonts w:eastAsia="Calibri"/>
          <w:sz w:val="22"/>
          <w:szCs w:val="22"/>
        </w:rPr>
        <w:t>in relation to other legal bases of the Treaties</w:t>
      </w:r>
      <w:r w:rsidR="00F4567E" w:rsidRPr="003676AB">
        <w:rPr>
          <w:rFonts w:eastAsia="Calibri"/>
          <w:sz w:val="22"/>
          <w:szCs w:val="22"/>
        </w:rPr>
        <w:t>.</w:t>
      </w:r>
      <w:r w:rsidRPr="003676AB">
        <w:rPr>
          <w:rFonts w:cs="EUAlbertina"/>
          <w:color w:val="000000"/>
          <w:sz w:val="22"/>
          <w:szCs w:val="22"/>
        </w:rPr>
        <w:t xml:space="preserve"> </w:t>
      </w:r>
      <w:r w:rsidR="00B559E6" w:rsidRPr="003676AB">
        <w:rPr>
          <w:rFonts w:cs="EUAlbertina"/>
          <w:color w:val="000000"/>
          <w:sz w:val="22"/>
          <w:szCs w:val="22"/>
        </w:rPr>
        <w:t xml:space="preserve">It is arguable that </w:t>
      </w:r>
      <w:r w:rsidR="00440D5B" w:rsidRPr="003676AB">
        <w:rPr>
          <w:rFonts w:cs="EUAlbertina"/>
          <w:color w:val="000000"/>
          <w:sz w:val="22"/>
          <w:szCs w:val="22"/>
        </w:rPr>
        <w:t>art.</w:t>
      </w:r>
      <w:r w:rsidR="00AA5911" w:rsidRPr="003676AB">
        <w:rPr>
          <w:rFonts w:cs="EUAlbertina"/>
          <w:color w:val="000000"/>
          <w:sz w:val="22"/>
          <w:szCs w:val="22"/>
        </w:rPr>
        <w:t xml:space="preserve"> 83 TFEU and the new</w:t>
      </w:r>
      <w:r w:rsidR="00B559E6" w:rsidRPr="003676AB">
        <w:rPr>
          <w:rFonts w:cs="EUAlbertina"/>
          <w:color w:val="000000"/>
          <w:sz w:val="22"/>
          <w:szCs w:val="22"/>
        </w:rPr>
        <w:t xml:space="preserve"> institutional</w:t>
      </w:r>
      <w:r w:rsidR="00AA5911" w:rsidRPr="003676AB">
        <w:rPr>
          <w:rFonts w:cs="EUAlbertina"/>
          <w:color w:val="000000"/>
          <w:sz w:val="22"/>
          <w:szCs w:val="22"/>
        </w:rPr>
        <w:t xml:space="preserve"> setting in the AFSJ</w:t>
      </w:r>
      <w:r w:rsidR="00B559E6" w:rsidRPr="003676AB">
        <w:rPr>
          <w:rFonts w:cs="EUAlbertina"/>
          <w:color w:val="000000"/>
          <w:sz w:val="22"/>
          <w:szCs w:val="22"/>
        </w:rPr>
        <w:t xml:space="preserve"> with special arrangements for criminal law cooperation </w:t>
      </w:r>
      <w:r w:rsidR="00AA5911" w:rsidRPr="003676AB">
        <w:rPr>
          <w:rFonts w:cs="EUAlbertina"/>
          <w:color w:val="000000"/>
          <w:sz w:val="22"/>
          <w:szCs w:val="22"/>
        </w:rPr>
        <w:t>reflects a</w:t>
      </w:r>
      <w:r w:rsidR="00F4567E" w:rsidRPr="003676AB">
        <w:rPr>
          <w:rFonts w:cs="EUAlbertina"/>
          <w:color w:val="000000"/>
          <w:sz w:val="22"/>
          <w:szCs w:val="22"/>
        </w:rPr>
        <w:t xml:space="preserve">n intention on the part of </w:t>
      </w:r>
      <w:r w:rsidR="00AA5911" w:rsidRPr="003676AB">
        <w:rPr>
          <w:rFonts w:cs="EUAlbertina"/>
          <w:color w:val="000000"/>
          <w:sz w:val="22"/>
          <w:szCs w:val="22"/>
        </w:rPr>
        <w:t xml:space="preserve">Member States </w:t>
      </w:r>
      <w:r w:rsidR="00F4567E" w:rsidRPr="003676AB">
        <w:rPr>
          <w:rFonts w:cs="EUAlbertina"/>
          <w:color w:val="000000"/>
          <w:sz w:val="22"/>
          <w:szCs w:val="22"/>
        </w:rPr>
        <w:t xml:space="preserve">reassert </w:t>
      </w:r>
      <w:r w:rsidR="00AA5911" w:rsidRPr="003676AB">
        <w:rPr>
          <w:rFonts w:cs="EUAlbertina"/>
          <w:color w:val="000000"/>
          <w:sz w:val="22"/>
          <w:szCs w:val="22"/>
        </w:rPr>
        <w:t>control over the de</w:t>
      </w:r>
      <w:r w:rsidR="00B559E6" w:rsidRPr="003676AB">
        <w:rPr>
          <w:rFonts w:cs="EUAlbertina"/>
          <w:color w:val="000000"/>
          <w:sz w:val="22"/>
          <w:szCs w:val="22"/>
        </w:rPr>
        <w:t>velopment of criminal law. It seems</w:t>
      </w:r>
      <w:r w:rsidR="00AA5911" w:rsidRPr="003676AB">
        <w:rPr>
          <w:rFonts w:cs="EUAlbertina"/>
          <w:color w:val="000000"/>
          <w:sz w:val="22"/>
          <w:szCs w:val="22"/>
        </w:rPr>
        <w:t xml:space="preserve"> that Member States wished to reinforce </w:t>
      </w:r>
      <w:r w:rsidR="00F2386E" w:rsidRPr="003676AB">
        <w:rPr>
          <w:rFonts w:cs="EUAlbertina"/>
          <w:color w:val="000000"/>
          <w:sz w:val="22"/>
          <w:szCs w:val="22"/>
        </w:rPr>
        <w:t xml:space="preserve">a consistent </w:t>
      </w:r>
      <w:r w:rsidR="00AA5911" w:rsidRPr="003676AB">
        <w:rPr>
          <w:rFonts w:cs="EUAlbertina"/>
          <w:color w:val="000000"/>
          <w:sz w:val="22"/>
          <w:szCs w:val="22"/>
        </w:rPr>
        <w:t>message to the Commission</w:t>
      </w:r>
      <w:r w:rsidR="00B559E6" w:rsidRPr="003676AB">
        <w:rPr>
          <w:rStyle w:val="Fotnotsreferens"/>
          <w:rFonts w:cs="EUAlbertina"/>
          <w:color w:val="000000"/>
          <w:sz w:val="22"/>
          <w:szCs w:val="22"/>
        </w:rPr>
        <w:footnoteReference w:id="27"/>
      </w:r>
      <w:r w:rsidR="00AA5911" w:rsidRPr="003676AB">
        <w:rPr>
          <w:rFonts w:cs="EUAlbertina"/>
          <w:color w:val="000000"/>
          <w:sz w:val="22"/>
          <w:szCs w:val="22"/>
        </w:rPr>
        <w:t xml:space="preserve"> and</w:t>
      </w:r>
      <w:r w:rsidR="00B559E6" w:rsidRPr="003676AB">
        <w:rPr>
          <w:rFonts w:cs="EUAlbertina"/>
          <w:color w:val="000000"/>
          <w:sz w:val="22"/>
          <w:szCs w:val="22"/>
        </w:rPr>
        <w:t xml:space="preserve"> to the Court of Justice</w:t>
      </w:r>
      <w:r w:rsidR="00AA5911" w:rsidRPr="003676AB">
        <w:rPr>
          <w:rFonts w:cs="EUAlbertina"/>
          <w:color w:val="000000"/>
          <w:sz w:val="22"/>
          <w:szCs w:val="22"/>
        </w:rPr>
        <w:t xml:space="preserve"> after </w:t>
      </w:r>
      <w:r w:rsidR="00AA5911" w:rsidRPr="003676AB">
        <w:rPr>
          <w:rFonts w:cs="EUAlbertina"/>
          <w:i/>
          <w:color w:val="000000"/>
          <w:sz w:val="22"/>
          <w:szCs w:val="22"/>
        </w:rPr>
        <w:t>Environmental Crimes</w:t>
      </w:r>
      <w:r w:rsidR="00F4567E" w:rsidRPr="003676AB">
        <w:rPr>
          <w:rFonts w:cs="EUAlbertina"/>
          <w:color w:val="000000"/>
          <w:sz w:val="22"/>
          <w:szCs w:val="22"/>
        </w:rPr>
        <w:t>,</w:t>
      </w:r>
      <w:r w:rsidR="00B559E6" w:rsidRPr="003676AB">
        <w:rPr>
          <w:rStyle w:val="Fotnotsreferens"/>
          <w:rFonts w:cs="EUAlbertina"/>
          <w:color w:val="000000"/>
          <w:sz w:val="22"/>
          <w:szCs w:val="22"/>
        </w:rPr>
        <w:footnoteReference w:id="28"/>
      </w:r>
      <w:r w:rsidR="00F2386E" w:rsidRPr="003676AB">
        <w:rPr>
          <w:rFonts w:cs="EUAlbertina"/>
          <w:color w:val="000000"/>
          <w:sz w:val="22"/>
          <w:szCs w:val="22"/>
        </w:rPr>
        <w:t xml:space="preserve"> </w:t>
      </w:r>
      <w:r w:rsidR="00AA5911" w:rsidRPr="003676AB">
        <w:rPr>
          <w:rFonts w:cs="EUAlbertina"/>
          <w:color w:val="000000"/>
          <w:sz w:val="22"/>
          <w:szCs w:val="22"/>
        </w:rPr>
        <w:t xml:space="preserve">that </w:t>
      </w:r>
      <w:r w:rsidR="00F2386E" w:rsidRPr="003676AB">
        <w:rPr>
          <w:rFonts w:cs="EUAlbertina"/>
          <w:color w:val="000000"/>
          <w:sz w:val="22"/>
          <w:szCs w:val="22"/>
        </w:rPr>
        <w:t xml:space="preserve">the importance of </w:t>
      </w:r>
      <w:r w:rsidR="00AA5911" w:rsidRPr="003676AB">
        <w:rPr>
          <w:rFonts w:cs="EUAlbertina"/>
          <w:color w:val="000000"/>
          <w:sz w:val="22"/>
          <w:szCs w:val="22"/>
        </w:rPr>
        <w:t xml:space="preserve">criminal law is such that </w:t>
      </w:r>
      <w:r w:rsidR="00F2386E" w:rsidRPr="003676AB">
        <w:rPr>
          <w:rFonts w:cs="EUAlbertina"/>
          <w:color w:val="000000"/>
          <w:sz w:val="22"/>
          <w:szCs w:val="22"/>
        </w:rPr>
        <w:t xml:space="preserve">the </w:t>
      </w:r>
      <w:r w:rsidR="00AA5911" w:rsidRPr="003676AB">
        <w:rPr>
          <w:rFonts w:cs="EUAlbertina"/>
          <w:color w:val="000000"/>
          <w:sz w:val="22"/>
          <w:szCs w:val="22"/>
        </w:rPr>
        <w:t xml:space="preserve">EU should only be able to regulate those matters </w:t>
      </w:r>
      <w:r w:rsidR="00496013" w:rsidRPr="003676AB">
        <w:rPr>
          <w:rFonts w:cs="EUAlbertina"/>
          <w:color w:val="000000"/>
          <w:sz w:val="22"/>
          <w:szCs w:val="22"/>
        </w:rPr>
        <w:t xml:space="preserve">for which it is </w:t>
      </w:r>
      <w:r w:rsidR="00AA5911" w:rsidRPr="003676AB">
        <w:rPr>
          <w:rFonts w:cs="EUAlbertina"/>
          <w:color w:val="000000"/>
          <w:sz w:val="22"/>
          <w:szCs w:val="22"/>
        </w:rPr>
        <w:t>explicitly empowered.</w:t>
      </w:r>
      <w:r w:rsidR="00C15538" w:rsidRPr="003676AB">
        <w:rPr>
          <w:rFonts w:cs="EUAlbertina"/>
          <w:color w:val="000000"/>
          <w:sz w:val="22"/>
          <w:szCs w:val="22"/>
        </w:rPr>
        <w:t xml:space="preserve"> </w:t>
      </w:r>
      <w:r w:rsidR="0043242E" w:rsidRPr="003676AB">
        <w:rPr>
          <w:rFonts w:eastAsia="Calibri"/>
          <w:sz w:val="22"/>
          <w:szCs w:val="22"/>
        </w:rPr>
        <w:t>As mentioned in the introduction to this piece</w:t>
      </w:r>
      <w:r w:rsidR="00496013" w:rsidRPr="003676AB">
        <w:rPr>
          <w:rFonts w:eastAsia="Calibri"/>
          <w:sz w:val="22"/>
          <w:szCs w:val="22"/>
        </w:rPr>
        <w:t>,</w:t>
      </w:r>
      <w:r w:rsidR="00662E79" w:rsidRPr="003676AB">
        <w:rPr>
          <w:rFonts w:eastAsia="Calibri"/>
          <w:sz w:val="22"/>
          <w:szCs w:val="22"/>
        </w:rPr>
        <w:t xml:space="preserve"> cooperation </w:t>
      </w:r>
      <w:r w:rsidR="00496013" w:rsidRPr="003676AB">
        <w:rPr>
          <w:rFonts w:eastAsia="Calibri"/>
          <w:sz w:val="22"/>
          <w:szCs w:val="22"/>
        </w:rPr>
        <w:t xml:space="preserve">under this provision is conditioned by the presence of an </w:t>
      </w:r>
      <w:r w:rsidR="00662E79" w:rsidRPr="003676AB">
        <w:rPr>
          <w:rFonts w:eastAsia="Calibri"/>
          <w:sz w:val="22"/>
          <w:szCs w:val="22"/>
        </w:rPr>
        <w:t>emergency brake</w:t>
      </w:r>
      <w:r w:rsidRPr="003676AB">
        <w:rPr>
          <w:rStyle w:val="Fotnotsreferens"/>
          <w:rFonts w:eastAsia="Calibri"/>
          <w:sz w:val="22"/>
          <w:szCs w:val="22"/>
        </w:rPr>
        <w:footnoteReference w:id="29"/>
      </w:r>
      <w:r w:rsidR="00662E79" w:rsidRPr="003676AB">
        <w:rPr>
          <w:rFonts w:eastAsia="Calibri"/>
          <w:sz w:val="22"/>
          <w:szCs w:val="22"/>
        </w:rPr>
        <w:t xml:space="preserve"> and subject to opt-out arrangements </w:t>
      </w:r>
      <w:r w:rsidR="0043242E" w:rsidRPr="003676AB">
        <w:rPr>
          <w:rFonts w:eastAsia="Calibri"/>
          <w:sz w:val="22"/>
          <w:szCs w:val="22"/>
        </w:rPr>
        <w:t>for some Member States. T</w:t>
      </w:r>
      <w:r w:rsidR="00662E79" w:rsidRPr="003676AB">
        <w:rPr>
          <w:rFonts w:eastAsia="Calibri"/>
          <w:sz w:val="22"/>
          <w:szCs w:val="22"/>
        </w:rPr>
        <w:t>he cooperation</w:t>
      </w:r>
      <w:r w:rsidR="0043242E" w:rsidRPr="003676AB">
        <w:rPr>
          <w:rFonts w:eastAsia="Calibri"/>
          <w:sz w:val="22"/>
          <w:szCs w:val="22"/>
        </w:rPr>
        <w:t xml:space="preserve"> is furthermore</w:t>
      </w:r>
      <w:r w:rsidRPr="003676AB">
        <w:rPr>
          <w:rFonts w:eastAsia="Calibri"/>
          <w:sz w:val="22"/>
          <w:szCs w:val="22"/>
        </w:rPr>
        <w:t xml:space="preserve"> explicitly</w:t>
      </w:r>
      <w:r w:rsidR="00662E79" w:rsidRPr="003676AB">
        <w:rPr>
          <w:rFonts w:eastAsia="Calibri"/>
          <w:sz w:val="22"/>
          <w:szCs w:val="22"/>
        </w:rPr>
        <w:t xml:space="preserve"> limited to directives</w:t>
      </w:r>
      <w:r w:rsidR="00496013" w:rsidRPr="003676AB">
        <w:rPr>
          <w:rFonts w:eastAsia="Calibri"/>
          <w:sz w:val="22"/>
          <w:szCs w:val="22"/>
        </w:rPr>
        <w:t>.</w:t>
      </w:r>
      <w:r w:rsidRPr="003676AB">
        <w:rPr>
          <w:rStyle w:val="Fotnotsreferens"/>
          <w:rFonts w:eastAsia="Calibri"/>
          <w:sz w:val="22"/>
          <w:szCs w:val="22"/>
        </w:rPr>
        <w:footnoteReference w:id="30"/>
      </w:r>
      <w:r w:rsidR="00662E79" w:rsidRPr="003676AB">
        <w:rPr>
          <w:rFonts w:eastAsia="Calibri"/>
          <w:sz w:val="22"/>
          <w:szCs w:val="22"/>
        </w:rPr>
        <w:t xml:space="preserve"> Art</w:t>
      </w:r>
      <w:r w:rsidR="0046436F" w:rsidRPr="003676AB">
        <w:rPr>
          <w:rFonts w:eastAsia="Calibri"/>
          <w:sz w:val="22"/>
          <w:szCs w:val="22"/>
        </w:rPr>
        <w:t>.</w:t>
      </w:r>
      <w:r w:rsidR="00662E79" w:rsidRPr="003676AB">
        <w:rPr>
          <w:rFonts w:eastAsia="Calibri"/>
          <w:sz w:val="22"/>
          <w:szCs w:val="22"/>
        </w:rPr>
        <w:t xml:space="preserve"> 83(2) TFEU </w:t>
      </w:r>
      <w:r w:rsidR="00496013" w:rsidRPr="003676AB">
        <w:rPr>
          <w:rFonts w:eastAsia="Calibri"/>
          <w:sz w:val="22"/>
          <w:szCs w:val="22"/>
        </w:rPr>
        <w:t xml:space="preserve">would be </w:t>
      </w:r>
      <w:r w:rsidR="00662E79" w:rsidRPr="003676AB">
        <w:rPr>
          <w:rFonts w:eastAsia="Calibri"/>
          <w:sz w:val="22"/>
          <w:szCs w:val="22"/>
        </w:rPr>
        <w:t>superfluous if the national safeguards provided for in the Treaties could be circumvented by resorting to the Court of Justice’s pre-Lisbon case law</w:t>
      </w:r>
      <w:r w:rsidR="00662E79" w:rsidRPr="003676AB">
        <w:rPr>
          <w:rFonts w:eastAsia="Calibri"/>
          <w:sz w:val="22"/>
          <w:szCs w:val="22"/>
          <w:vertAlign w:val="superscript"/>
        </w:rPr>
        <w:footnoteReference w:id="31"/>
      </w:r>
      <w:r w:rsidR="00662E79" w:rsidRPr="003676AB">
        <w:rPr>
          <w:rFonts w:eastAsia="Calibri"/>
          <w:sz w:val="22"/>
          <w:szCs w:val="22"/>
        </w:rPr>
        <w:t xml:space="preserve"> to </w:t>
      </w:r>
      <w:r w:rsidR="00F4567E" w:rsidRPr="003676AB">
        <w:rPr>
          <w:rFonts w:eastAsia="Calibri"/>
          <w:sz w:val="22"/>
          <w:szCs w:val="22"/>
        </w:rPr>
        <w:t xml:space="preserve">derive </w:t>
      </w:r>
      <w:r w:rsidR="00496013" w:rsidRPr="003676AB">
        <w:rPr>
          <w:rFonts w:eastAsia="Calibri"/>
          <w:sz w:val="22"/>
          <w:szCs w:val="22"/>
        </w:rPr>
        <w:t xml:space="preserve">a </w:t>
      </w:r>
      <w:r w:rsidR="00662E79" w:rsidRPr="003676AB">
        <w:rPr>
          <w:rFonts w:eastAsia="Calibri"/>
          <w:sz w:val="22"/>
          <w:szCs w:val="22"/>
        </w:rPr>
        <w:t xml:space="preserve">criminal law competence </w:t>
      </w:r>
      <w:r w:rsidR="00F4567E" w:rsidRPr="003676AB">
        <w:rPr>
          <w:rFonts w:eastAsia="Calibri"/>
          <w:sz w:val="22"/>
          <w:szCs w:val="22"/>
        </w:rPr>
        <w:t xml:space="preserve">from </w:t>
      </w:r>
      <w:r w:rsidR="00662E79" w:rsidRPr="003676AB">
        <w:rPr>
          <w:rFonts w:eastAsia="Calibri"/>
          <w:sz w:val="22"/>
          <w:szCs w:val="22"/>
        </w:rPr>
        <w:t xml:space="preserve">legal bases </w:t>
      </w:r>
      <w:r w:rsidR="00F4567E" w:rsidRPr="003676AB">
        <w:rPr>
          <w:rFonts w:eastAsia="Calibri"/>
          <w:sz w:val="22"/>
          <w:szCs w:val="22"/>
        </w:rPr>
        <w:t>other than those found in Title V</w:t>
      </w:r>
      <w:r w:rsidR="00662E79" w:rsidRPr="003676AB">
        <w:rPr>
          <w:rFonts w:eastAsia="Calibri"/>
          <w:sz w:val="22"/>
          <w:szCs w:val="22"/>
        </w:rPr>
        <w:t>.</w:t>
      </w:r>
      <w:r w:rsidR="00662E79" w:rsidRPr="003676AB">
        <w:rPr>
          <w:rFonts w:eastAsia="Calibri"/>
          <w:sz w:val="22"/>
          <w:szCs w:val="22"/>
          <w:vertAlign w:val="superscript"/>
        </w:rPr>
        <w:footnoteReference w:id="32"/>
      </w:r>
      <w:r w:rsidR="00662E79" w:rsidRPr="003676AB">
        <w:rPr>
          <w:rFonts w:eastAsia="Calibri"/>
          <w:sz w:val="22"/>
          <w:szCs w:val="22"/>
          <w:vertAlign w:val="superscript"/>
        </w:rPr>
        <w:t xml:space="preserve"> </w:t>
      </w:r>
    </w:p>
    <w:p w14:paraId="3DB92187" w14:textId="1F049A46" w:rsidR="002D1D26" w:rsidRPr="003676AB" w:rsidRDefault="00D335AF" w:rsidP="00662E79">
      <w:pPr>
        <w:rPr>
          <w:rFonts w:eastAsia="Calibri"/>
          <w:color w:val="000000"/>
          <w:sz w:val="22"/>
          <w:szCs w:val="22"/>
        </w:rPr>
      </w:pPr>
      <w:r w:rsidRPr="003676AB">
        <w:rPr>
          <w:rFonts w:eastAsia="Calibri"/>
          <w:color w:val="000000"/>
          <w:sz w:val="22"/>
          <w:szCs w:val="22"/>
        </w:rPr>
        <w:t>T</w:t>
      </w:r>
      <w:r w:rsidR="009C3481" w:rsidRPr="003676AB">
        <w:rPr>
          <w:rFonts w:eastAsia="Calibri"/>
          <w:color w:val="000000"/>
          <w:sz w:val="22"/>
          <w:szCs w:val="22"/>
        </w:rPr>
        <w:t xml:space="preserve">he intention of the </w:t>
      </w:r>
      <w:r w:rsidR="00CF7C53" w:rsidRPr="003676AB">
        <w:rPr>
          <w:rFonts w:eastAsia="Calibri"/>
          <w:color w:val="000000"/>
          <w:sz w:val="22"/>
          <w:szCs w:val="22"/>
        </w:rPr>
        <w:t xml:space="preserve">drafters in relation to </w:t>
      </w:r>
      <w:r w:rsidR="009C3481" w:rsidRPr="003676AB">
        <w:rPr>
          <w:rFonts w:eastAsia="Calibri"/>
          <w:color w:val="000000"/>
          <w:sz w:val="22"/>
          <w:szCs w:val="22"/>
        </w:rPr>
        <w:t xml:space="preserve">new provision in </w:t>
      </w:r>
      <w:r w:rsidR="0046436F" w:rsidRPr="003676AB">
        <w:rPr>
          <w:rFonts w:eastAsia="Calibri"/>
          <w:color w:val="000000"/>
          <w:sz w:val="22"/>
          <w:szCs w:val="22"/>
        </w:rPr>
        <w:t>a</w:t>
      </w:r>
      <w:r w:rsidR="009C3481" w:rsidRPr="003676AB">
        <w:rPr>
          <w:rFonts w:eastAsia="Calibri"/>
          <w:color w:val="000000"/>
          <w:sz w:val="22"/>
          <w:szCs w:val="22"/>
        </w:rPr>
        <w:t>rt</w:t>
      </w:r>
      <w:r w:rsidR="0046436F" w:rsidRPr="003676AB">
        <w:rPr>
          <w:rFonts w:eastAsia="Calibri"/>
          <w:color w:val="000000"/>
          <w:sz w:val="22"/>
          <w:szCs w:val="22"/>
        </w:rPr>
        <w:t>.</w:t>
      </w:r>
      <w:r w:rsidR="009C3481" w:rsidRPr="003676AB">
        <w:rPr>
          <w:rFonts w:eastAsia="Calibri"/>
          <w:color w:val="000000"/>
          <w:sz w:val="22"/>
          <w:szCs w:val="22"/>
        </w:rPr>
        <w:t xml:space="preserve"> 83(2) TFEU</w:t>
      </w:r>
      <w:r w:rsidRPr="003676AB">
        <w:rPr>
          <w:rFonts w:eastAsia="Calibri"/>
          <w:color w:val="000000"/>
          <w:sz w:val="22"/>
          <w:szCs w:val="22"/>
        </w:rPr>
        <w:t xml:space="preserve"> is not always clear</w:t>
      </w:r>
      <w:r w:rsidR="009C3481" w:rsidRPr="003676AB">
        <w:rPr>
          <w:rFonts w:eastAsia="Calibri"/>
          <w:color w:val="000000"/>
          <w:sz w:val="22"/>
          <w:szCs w:val="22"/>
        </w:rPr>
        <w:t xml:space="preserve">. </w:t>
      </w:r>
      <w:r w:rsidRPr="003676AB">
        <w:rPr>
          <w:rFonts w:eastAsia="Calibri"/>
          <w:color w:val="000000"/>
          <w:sz w:val="22"/>
          <w:szCs w:val="22"/>
        </w:rPr>
        <w:t xml:space="preserve">From a federalist perspective, </w:t>
      </w:r>
      <w:r w:rsidR="00CF7C53" w:rsidRPr="003676AB">
        <w:rPr>
          <w:rFonts w:eastAsia="Calibri"/>
          <w:color w:val="000000"/>
          <w:sz w:val="22"/>
          <w:szCs w:val="22"/>
        </w:rPr>
        <w:t xml:space="preserve">the </w:t>
      </w:r>
      <w:r w:rsidRPr="003676AB">
        <w:rPr>
          <w:rFonts w:eastAsia="Calibri"/>
          <w:color w:val="000000"/>
          <w:sz w:val="22"/>
          <w:szCs w:val="22"/>
        </w:rPr>
        <w:t xml:space="preserve">introduction of the specific legal basis in </w:t>
      </w:r>
      <w:r w:rsidR="0046436F" w:rsidRPr="003676AB">
        <w:rPr>
          <w:rFonts w:eastAsia="Calibri"/>
          <w:color w:val="000000"/>
          <w:sz w:val="22"/>
          <w:szCs w:val="22"/>
        </w:rPr>
        <w:t>art.</w:t>
      </w:r>
      <w:r w:rsidRPr="003676AB">
        <w:rPr>
          <w:rFonts w:eastAsia="Calibri"/>
          <w:color w:val="000000"/>
          <w:sz w:val="22"/>
          <w:szCs w:val="22"/>
        </w:rPr>
        <w:t xml:space="preserve"> 83(2) TFEU and the conditions attached to its use, </w:t>
      </w:r>
      <w:r w:rsidR="00CF7C53" w:rsidRPr="003676AB">
        <w:rPr>
          <w:rFonts w:eastAsia="Calibri"/>
          <w:color w:val="000000"/>
          <w:sz w:val="22"/>
          <w:szCs w:val="22"/>
        </w:rPr>
        <w:t xml:space="preserve">would appear to </w:t>
      </w:r>
      <w:r w:rsidR="00B4713B" w:rsidRPr="003676AB">
        <w:rPr>
          <w:rFonts w:eastAsia="Calibri"/>
          <w:color w:val="000000"/>
          <w:sz w:val="22"/>
          <w:szCs w:val="22"/>
        </w:rPr>
        <w:t>reflect</w:t>
      </w:r>
      <w:r w:rsidR="009D7812" w:rsidRPr="003676AB">
        <w:rPr>
          <w:rFonts w:eastAsia="Calibri"/>
          <w:color w:val="000000"/>
          <w:sz w:val="22"/>
          <w:szCs w:val="22"/>
        </w:rPr>
        <w:t xml:space="preserve"> a </w:t>
      </w:r>
      <w:r w:rsidR="00CF7C53" w:rsidRPr="003676AB">
        <w:rPr>
          <w:rFonts w:eastAsia="Calibri"/>
          <w:color w:val="000000"/>
          <w:sz w:val="22"/>
          <w:szCs w:val="22"/>
        </w:rPr>
        <w:t xml:space="preserve">desire to shift </w:t>
      </w:r>
      <w:r w:rsidR="00F2512F" w:rsidRPr="003676AB">
        <w:rPr>
          <w:rFonts w:eastAsia="Calibri"/>
          <w:color w:val="000000"/>
          <w:sz w:val="22"/>
          <w:szCs w:val="22"/>
        </w:rPr>
        <w:t xml:space="preserve">the balance </w:t>
      </w:r>
      <w:r w:rsidR="00CF7C53" w:rsidRPr="003676AB">
        <w:rPr>
          <w:rFonts w:eastAsia="Calibri"/>
          <w:color w:val="000000"/>
          <w:sz w:val="22"/>
          <w:szCs w:val="22"/>
        </w:rPr>
        <w:t xml:space="preserve">of power </w:t>
      </w:r>
      <w:r w:rsidR="00F2512F" w:rsidRPr="003676AB">
        <w:rPr>
          <w:rFonts w:eastAsia="Calibri"/>
          <w:color w:val="000000"/>
          <w:sz w:val="22"/>
          <w:szCs w:val="22"/>
        </w:rPr>
        <w:t xml:space="preserve">between the Member States and the Union in favour of </w:t>
      </w:r>
      <w:r w:rsidR="00CF7C53" w:rsidRPr="003676AB">
        <w:rPr>
          <w:rFonts w:eastAsia="Calibri"/>
          <w:color w:val="000000"/>
          <w:sz w:val="22"/>
          <w:szCs w:val="22"/>
        </w:rPr>
        <w:t xml:space="preserve">a </w:t>
      </w:r>
      <w:r w:rsidR="00F2512F" w:rsidRPr="003676AB">
        <w:rPr>
          <w:rFonts w:eastAsia="Calibri"/>
          <w:color w:val="000000"/>
          <w:sz w:val="22"/>
          <w:szCs w:val="22"/>
        </w:rPr>
        <w:t xml:space="preserve">Member State-friendly </w:t>
      </w:r>
      <w:r w:rsidR="00CF7C53" w:rsidRPr="003676AB">
        <w:rPr>
          <w:rFonts w:eastAsia="Calibri"/>
          <w:color w:val="000000"/>
          <w:sz w:val="22"/>
          <w:szCs w:val="22"/>
        </w:rPr>
        <w:t xml:space="preserve">competence under </w:t>
      </w:r>
      <w:r w:rsidR="0046436F" w:rsidRPr="003676AB">
        <w:rPr>
          <w:rFonts w:eastAsia="Calibri"/>
          <w:color w:val="000000"/>
          <w:sz w:val="22"/>
          <w:szCs w:val="22"/>
        </w:rPr>
        <w:t>art.</w:t>
      </w:r>
      <w:r w:rsidR="00F2512F" w:rsidRPr="003676AB">
        <w:rPr>
          <w:rFonts w:eastAsia="Calibri"/>
          <w:color w:val="000000"/>
          <w:sz w:val="22"/>
          <w:szCs w:val="22"/>
        </w:rPr>
        <w:t xml:space="preserve"> 83 TFEU.</w:t>
      </w:r>
      <w:r w:rsidR="00F2512F" w:rsidRPr="003676AB">
        <w:rPr>
          <w:rFonts w:eastAsia="Calibri"/>
          <w:color w:val="000000"/>
          <w:sz w:val="22"/>
          <w:szCs w:val="22"/>
          <w:vertAlign w:val="superscript"/>
        </w:rPr>
        <w:footnoteReference w:id="33"/>
      </w:r>
      <w:r w:rsidR="00F2512F" w:rsidRPr="003676AB">
        <w:rPr>
          <w:rFonts w:eastAsia="Calibri"/>
          <w:color w:val="000000"/>
          <w:sz w:val="22"/>
          <w:szCs w:val="22"/>
        </w:rPr>
        <w:t xml:space="preserve"> </w:t>
      </w:r>
      <w:r w:rsidR="009D7812" w:rsidRPr="003676AB">
        <w:rPr>
          <w:rFonts w:eastAsia="Calibri"/>
          <w:color w:val="000000"/>
          <w:sz w:val="22"/>
          <w:szCs w:val="22"/>
        </w:rPr>
        <w:t>It suggests that Member States may have been dissatisfied with the previous interpretation given by the Court of Justice and the Commission providing for an implied criminal law competence</w:t>
      </w:r>
      <w:r w:rsidRPr="003676AB">
        <w:rPr>
          <w:rFonts w:eastAsia="Calibri"/>
          <w:color w:val="000000"/>
          <w:sz w:val="22"/>
          <w:szCs w:val="22"/>
        </w:rPr>
        <w:t>,</w:t>
      </w:r>
      <w:r w:rsidR="009D7812" w:rsidRPr="003676AB">
        <w:rPr>
          <w:rFonts w:eastAsia="Calibri"/>
          <w:color w:val="000000"/>
          <w:sz w:val="22"/>
          <w:szCs w:val="22"/>
        </w:rPr>
        <w:t xml:space="preserve"> despite the absence of an explicit conferral of competence. </w:t>
      </w:r>
      <w:r w:rsidR="00CF7C53" w:rsidRPr="003676AB">
        <w:rPr>
          <w:rFonts w:eastAsia="Calibri"/>
          <w:color w:val="000000"/>
          <w:sz w:val="22"/>
          <w:szCs w:val="22"/>
        </w:rPr>
        <w:t xml:space="preserve">Under this interpretation </w:t>
      </w:r>
      <w:r w:rsidR="009C3481" w:rsidRPr="003676AB">
        <w:rPr>
          <w:rFonts w:eastAsia="Calibri"/>
          <w:color w:val="000000"/>
          <w:sz w:val="22"/>
          <w:szCs w:val="22"/>
        </w:rPr>
        <w:t>Member States</w:t>
      </w:r>
      <w:r w:rsidR="0087597A" w:rsidRPr="003676AB">
        <w:rPr>
          <w:rFonts w:eastAsia="Calibri"/>
          <w:color w:val="000000"/>
          <w:sz w:val="22"/>
          <w:szCs w:val="22"/>
        </w:rPr>
        <w:t xml:space="preserve"> </w:t>
      </w:r>
      <w:r w:rsidR="00CF7C53" w:rsidRPr="003676AB">
        <w:rPr>
          <w:rFonts w:eastAsia="Calibri"/>
          <w:color w:val="000000"/>
          <w:sz w:val="22"/>
          <w:szCs w:val="22"/>
        </w:rPr>
        <w:t xml:space="preserve">deemed </w:t>
      </w:r>
      <w:r w:rsidR="009C3481" w:rsidRPr="003676AB">
        <w:rPr>
          <w:rFonts w:eastAsia="Calibri"/>
          <w:color w:val="000000"/>
          <w:sz w:val="22"/>
          <w:szCs w:val="22"/>
        </w:rPr>
        <w:t>it wise to repatriate some of the competences, which had been conferred to the Union</w:t>
      </w:r>
      <w:r w:rsidR="00CF7C53" w:rsidRPr="003676AB">
        <w:rPr>
          <w:rFonts w:eastAsia="Calibri"/>
          <w:color w:val="000000"/>
          <w:sz w:val="22"/>
          <w:szCs w:val="22"/>
        </w:rPr>
        <w:t xml:space="preserve"> unintentionally</w:t>
      </w:r>
      <w:r w:rsidR="009C3481" w:rsidRPr="003676AB">
        <w:rPr>
          <w:rFonts w:eastAsia="Calibri"/>
          <w:color w:val="000000"/>
          <w:sz w:val="22"/>
          <w:szCs w:val="22"/>
        </w:rPr>
        <w:t>, and insulate those competences within a more Member State-friendly institutional framework.</w:t>
      </w:r>
      <w:r w:rsidR="0001420F" w:rsidRPr="003676AB">
        <w:rPr>
          <w:rFonts w:eastAsia="Calibri"/>
          <w:color w:val="000000"/>
          <w:sz w:val="22"/>
          <w:szCs w:val="22"/>
        </w:rPr>
        <w:t xml:space="preserve"> </w:t>
      </w:r>
      <w:r w:rsidR="002D1D26" w:rsidRPr="003676AB">
        <w:rPr>
          <w:rFonts w:eastAsia="Calibri"/>
          <w:color w:val="000000"/>
          <w:sz w:val="22"/>
          <w:szCs w:val="22"/>
        </w:rPr>
        <w:t xml:space="preserve">The wording of </w:t>
      </w:r>
      <w:r w:rsidR="0046436F" w:rsidRPr="003676AB">
        <w:rPr>
          <w:rFonts w:eastAsia="Calibri"/>
          <w:color w:val="000000"/>
          <w:sz w:val="22"/>
          <w:szCs w:val="22"/>
        </w:rPr>
        <w:t>art.</w:t>
      </w:r>
      <w:r w:rsidR="002D1D26" w:rsidRPr="003676AB">
        <w:rPr>
          <w:rFonts w:eastAsia="Calibri"/>
          <w:color w:val="000000"/>
          <w:sz w:val="22"/>
          <w:szCs w:val="22"/>
        </w:rPr>
        <w:t xml:space="preserve"> 83(2) </w:t>
      </w:r>
      <w:r w:rsidR="002D1D26" w:rsidRPr="003676AB">
        <w:rPr>
          <w:rFonts w:eastAsia="Calibri"/>
          <w:color w:val="000000"/>
          <w:sz w:val="22"/>
          <w:szCs w:val="22"/>
        </w:rPr>
        <w:lastRenderedPageBreak/>
        <w:t xml:space="preserve">TFEU furthermore provides support for the </w:t>
      </w:r>
      <w:proofErr w:type="spellStart"/>
      <w:r w:rsidR="002D1D26" w:rsidRPr="003676AB">
        <w:rPr>
          <w:rFonts w:eastAsia="Calibri"/>
          <w:i/>
          <w:color w:val="000000"/>
          <w:sz w:val="22"/>
          <w:szCs w:val="22"/>
        </w:rPr>
        <w:t>lex</w:t>
      </w:r>
      <w:proofErr w:type="spellEnd"/>
      <w:r w:rsidR="002D1D26" w:rsidRPr="003676AB">
        <w:rPr>
          <w:rFonts w:eastAsia="Calibri"/>
          <w:i/>
          <w:color w:val="000000"/>
          <w:sz w:val="22"/>
          <w:szCs w:val="22"/>
        </w:rPr>
        <w:t xml:space="preserve"> </w:t>
      </w:r>
      <w:proofErr w:type="spellStart"/>
      <w:r w:rsidR="002D1D26" w:rsidRPr="003676AB">
        <w:rPr>
          <w:rFonts w:eastAsia="Calibri"/>
          <w:i/>
          <w:color w:val="000000"/>
          <w:sz w:val="22"/>
          <w:szCs w:val="22"/>
        </w:rPr>
        <w:t>specialis</w:t>
      </w:r>
      <w:proofErr w:type="spellEnd"/>
      <w:r w:rsidR="002D1D26" w:rsidRPr="003676AB">
        <w:rPr>
          <w:rFonts w:eastAsia="Calibri"/>
          <w:i/>
          <w:color w:val="000000"/>
          <w:sz w:val="22"/>
          <w:szCs w:val="22"/>
        </w:rPr>
        <w:t xml:space="preserve"> </w:t>
      </w:r>
      <w:r w:rsidR="002D1D26" w:rsidRPr="003676AB">
        <w:rPr>
          <w:rFonts w:eastAsia="Calibri"/>
          <w:color w:val="000000"/>
          <w:sz w:val="22"/>
          <w:szCs w:val="22"/>
        </w:rPr>
        <w:t>argument</w:t>
      </w:r>
      <w:r w:rsidR="0001420F" w:rsidRPr="003676AB">
        <w:rPr>
          <w:rFonts w:eastAsia="Calibri"/>
          <w:color w:val="000000"/>
          <w:sz w:val="22"/>
          <w:szCs w:val="22"/>
        </w:rPr>
        <w:t xml:space="preserve"> as this provision </w:t>
      </w:r>
      <w:r w:rsidRPr="003676AB">
        <w:rPr>
          <w:rFonts w:eastAsia="Calibri"/>
          <w:color w:val="000000"/>
          <w:sz w:val="22"/>
          <w:szCs w:val="22"/>
        </w:rPr>
        <w:t xml:space="preserve">refers </w:t>
      </w:r>
      <w:r w:rsidR="0001420F" w:rsidRPr="003676AB">
        <w:rPr>
          <w:rFonts w:eastAsia="Calibri"/>
          <w:color w:val="000000"/>
          <w:sz w:val="22"/>
          <w:szCs w:val="22"/>
        </w:rPr>
        <w:t>explicitly to ‘criminal offences</w:t>
      </w:r>
      <w:r w:rsidR="002D1D26" w:rsidRPr="003676AB">
        <w:rPr>
          <w:rFonts w:eastAsia="Calibri"/>
          <w:color w:val="000000"/>
          <w:sz w:val="22"/>
          <w:szCs w:val="22"/>
        </w:rPr>
        <w:t>’</w:t>
      </w:r>
      <w:r w:rsidR="0001420F" w:rsidRPr="003676AB">
        <w:rPr>
          <w:rFonts w:eastAsia="Calibri"/>
          <w:color w:val="000000"/>
          <w:sz w:val="22"/>
          <w:szCs w:val="22"/>
        </w:rPr>
        <w:t xml:space="preserve"> and ‘sanctions’ for the enforcement of </w:t>
      </w:r>
      <w:r w:rsidRPr="003676AB">
        <w:rPr>
          <w:rFonts w:eastAsia="Calibri"/>
          <w:color w:val="000000"/>
          <w:sz w:val="22"/>
          <w:szCs w:val="22"/>
        </w:rPr>
        <w:t>EU policies</w:t>
      </w:r>
      <w:r w:rsidR="002D1D26" w:rsidRPr="003676AB">
        <w:rPr>
          <w:rFonts w:eastAsia="Calibri"/>
          <w:color w:val="000000"/>
          <w:sz w:val="22"/>
          <w:szCs w:val="22"/>
        </w:rPr>
        <w:t>.</w:t>
      </w:r>
      <w:r w:rsidRPr="003676AB">
        <w:rPr>
          <w:rFonts w:eastAsia="Calibri"/>
          <w:color w:val="000000"/>
          <w:sz w:val="22"/>
          <w:szCs w:val="22"/>
        </w:rPr>
        <w:t xml:space="preserve"> The mention</w:t>
      </w:r>
      <w:r w:rsidR="0001420F" w:rsidRPr="003676AB">
        <w:rPr>
          <w:rFonts w:eastAsia="Calibri"/>
          <w:color w:val="000000"/>
          <w:sz w:val="22"/>
          <w:szCs w:val="22"/>
        </w:rPr>
        <w:t xml:space="preserve"> of ‘criminal’ is significant as it </w:t>
      </w:r>
      <w:r w:rsidRPr="003676AB">
        <w:rPr>
          <w:rFonts w:eastAsia="Calibri"/>
          <w:color w:val="000000"/>
          <w:sz w:val="22"/>
          <w:szCs w:val="22"/>
        </w:rPr>
        <w:t xml:space="preserve">highlights the fact that </w:t>
      </w:r>
      <w:r w:rsidR="0001420F" w:rsidRPr="003676AB">
        <w:rPr>
          <w:rFonts w:eastAsia="Calibri"/>
          <w:color w:val="000000"/>
          <w:sz w:val="22"/>
          <w:szCs w:val="22"/>
        </w:rPr>
        <w:t>this is the only explicit criminal law competence in the Treaties</w:t>
      </w:r>
      <w:r w:rsidRPr="003676AB">
        <w:rPr>
          <w:rFonts w:eastAsia="Calibri"/>
          <w:color w:val="000000"/>
          <w:sz w:val="22"/>
          <w:szCs w:val="22"/>
        </w:rPr>
        <w:t xml:space="preserve"> and </w:t>
      </w:r>
      <w:r w:rsidR="0001420F" w:rsidRPr="003676AB">
        <w:rPr>
          <w:rFonts w:eastAsia="Calibri"/>
          <w:color w:val="000000"/>
          <w:sz w:val="22"/>
          <w:szCs w:val="22"/>
        </w:rPr>
        <w:t>reinforces</w:t>
      </w:r>
      <w:r w:rsidR="00214227" w:rsidRPr="003676AB">
        <w:rPr>
          <w:rFonts w:eastAsia="Calibri"/>
          <w:color w:val="000000"/>
          <w:sz w:val="22"/>
          <w:szCs w:val="22"/>
        </w:rPr>
        <w:t xml:space="preserve"> the argument</w:t>
      </w:r>
      <w:r w:rsidR="0001420F" w:rsidRPr="003676AB">
        <w:rPr>
          <w:rFonts w:eastAsia="Calibri"/>
          <w:color w:val="000000"/>
          <w:sz w:val="22"/>
          <w:szCs w:val="22"/>
        </w:rPr>
        <w:t xml:space="preserve"> that </w:t>
      </w:r>
      <w:r w:rsidR="00301E4D" w:rsidRPr="003676AB">
        <w:rPr>
          <w:rFonts w:eastAsia="Calibri"/>
          <w:color w:val="000000"/>
          <w:sz w:val="22"/>
          <w:szCs w:val="22"/>
        </w:rPr>
        <w:t>art.</w:t>
      </w:r>
      <w:r w:rsidR="0001420F" w:rsidRPr="003676AB">
        <w:rPr>
          <w:rFonts w:eastAsia="Calibri"/>
          <w:color w:val="000000"/>
          <w:sz w:val="22"/>
          <w:szCs w:val="22"/>
        </w:rPr>
        <w:t xml:space="preserve"> 83(2) TFEU was envisaged to be the main legal basis for substantive criminal law harmonisation.</w:t>
      </w:r>
      <w:r w:rsidR="002D1D26" w:rsidRPr="003676AB">
        <w:rPr>
          <w:rStyle w:val="Fotnotsreferens"/>
          <w:rFonts w:eastAsia="Calibri"/>
          <w:color w:val="000000"/>
          <w:sz w:val="22"/>
          <w:szCs w:val="22"/>
        </w:rPr>
        <w:footnoteReference w:id="34"/>
      </w:r>
      <w:r w:rsidR="00304DDE" w:rsidRPr="003676AB">
        <w:rPr>
          <w:rFonts w:eastAsia="Calibri"/>
          <w:color w:val="000000"/>
          <w:sz w:val="22"/>
          <w:szCs w:val="22"/>
        </w:rPr>
        <w:t xml:space="preserve"> The argument so far thus suggests that the existence of </w:t>
      </w:r>
      <w:r w:rsidR="00301E4D" w:rsidRPr="003676AB">
        <w:rPr>
          <w:rFonts w:eastAsia="Calibri"/>
          <w:color w:val="000000"/>
          <w:sz w:val="22"/>
          <w:szCs w:val="22"/>
        </w:rPr>
        <w:t>art.</w:t>
      </w:r>
      <w:r w:rsidR="00304DDE" w:rsidRPr="003676AB">
        <w:rPr>
          <w:rFonts w:eastAsia="Calibri"/>
          <w:color w:val="000000"/>
          <w:sz w:val="22"/>
          <w:szCs w:val="22"/>
        </w:rPr>
        <w:t xml:space="preserve"> 83(2) TFEU</w:t>
      </w:r>
      <w:r w:rsidR="00F36355" w:rsidRPr="003676AB">
        <w:rPr>
          <w:rFonts w:eastAsia="Calibri"/>
          <w:color w:val="000000"/>
          <w:sz w:val="22"/>
          <w:szCs w:val="22"/>
        </w:rPr>
        <w:t xml:space="preserve"> was envisaged to be the main legal basis for criminalisation initiatives.</w:t>
      </w:r>
      <w:r w:rsidR="00304DDE" w:rsidRPr="003676AB">
        <w:rPr>
          <w:rFonts w:eastAsia="Calibri"/>
          <w:color w:val="000000"/>
          <w:sz w:val="22"/>
          <w:szCs w:val="22"/>
        </w:rPr>
        <w:t xml:space="preserve"> </w:t>
      </w:r>
      <w:r w:rsidR="00214227" w:rsidRPr="003676AB">
        <w:rPr>
          <w:rFonts w:eastAsia="Calibri"/>
          <w:color w:val="000000"/>
          <w:sz w:val="22"/>
          <w:szCs w:val="22"/>
        </w:rPr>
        <w:t>The use of o</w:t>
      </w:r>
      <w:r w:rsidR="00F36355" w:rsidRPr="003676AB">
        <w:rPr>
          <w:rFonts w:eastAsia="Calibri"/>
          <w:color w:val="000000"/>
          <w:sz w:val="22"/>
          <w:szCs w:val="22"/>
        </w:rPr>
        <w:t>ther legal bases conferring implicit criminal law competence (e</w:t>
      </w:r>
      <w:r w:rsidR="00301E4D" w:rsidRPr="003676AB">
        <w:rPr>
          <w:rFonts w:eastAsia="Calibri"/>
          <w:color w:val="000000"/>
          <w:sz w:val="22"/>
          <w:szCs w:val="22"/>
        </w:rPr>
        <w:t>.</w:t>
      </w:r>
      <w:r w:rsidR="00F36355" w:rsidRPr="003676AB">
        <w:rPr>
          <w:rFonts w:eastAsia="Calibri"/>
          <w:color w:val="000000"/>
          <w:sz w:val="22"/>
          <w:szCs w:val="22"/>
        </w:rPr>
        <w:t>g</w:t>
      </w:r>
      <w:r w:rsidR="00301E4D" w:rsidRPr="003676AB">
        <w:rPr>
          <w:rFonts w:eastAsia="Calibri"/>
          <w:color w:val="000000"/>
          <w:sz w:val="22"/>
          <w:szCs w:val="22"/>
        </w:rPr>
        <w:t>.</w:t>
      </w:r>
      <w:r w:rsidR="00F36355" w:rsidRPr="003676AB">
        <w:rPr>
          <w:rFonts w:eastAsia="Calibri"/>
          <w:color w:val="000000"/>
          <w:sz w:val="22"/>
          <w:szCs w:val="22"/>
        </w:rPr>
        <w:t xml:space="preserve"> </w:t>
      </w:r>
      <w:r w:rsidR="00301E4D" w:rsidRPr="003676AB">
        <w:rPr>
          <w:rFonts w:eastAsia="Calibri"/>
          <w:color w:val="000000"/>
          <w:sz w:val="22"/>
          <w:szCs w:val="22"/>
        </w:rPr>
        <w:t>arts</w:t>
      </w:r>
      <w:r w:rsidR="00F36355" w:rsidRPr="003676AB">
        <w:rPr>
          <w:rFonts w:eastAsia="Calibri"/>
          <w:color w:val="000000"/>
          <w:sz w:val="22"/>
          <w:szCs w:val="22"/>
        </w:rPr>
        <w:t xml:space="preserve"> 114,</w:t>
      </w:r>
      <w:r w:rsidR="00301E4D" w:rsidRPr="003676AB">
        <w:rPr>
          <w:rFonts w:eastAsia="Calibri"/>
          <w:color w:val="000000"/>
          <w:sz w:val="22"/>
          <w:szCs w:val="22"/>
        </w:rPr>
        <w:t xml:space="preserve"> </w:t>
      </w:r>
      <w:r w:rsidR="00F36355" w:rsidRPr="003676AB">
        <w:rPr>
          <w:rFonts w:eastAsia="Calibri"/>
          <w:color w:val="000000"/>
          <w:sz w:val="22"/>
          <w:szCs w:val="22"/>
        </w:rPr>
        <w:t xml:space="preserve">192 and 325 TFEU) pursuant to the Court of Justice’s pre-Lisbon judgments should only be possible if </w:t>
      </w:r>
      <w:r w:rsidR="00301E4D" w:rsidRPr="003676AB">
        <w:rPr>
          <w:rFonts w:eastAsia="Calibri"/>
          <w:color w:val="000000"/>
          <w:sz w:val="22"/>
          <w:szCs w:val="22"/>
        </w:rPr>
        <w:t>art.</w:t>
      </w:r>
      <w:r w:rsidR="00F36355" w:rsidRPr="003676AB">
        <w:rPr>
          <w:rFonts w:eastAsia="Calibri"/>
          <w:color w:val="000000"/>
          <w:sz w:val="22"/>
          <w:szCs w:val="22"/>
        </w:rPr>
        <w:t xml:space="preserve"> 83(2) TFEU cannot constitute the proper legal basis for the measure.</w:t>
      </w:r>
      <w:r w:rsidR="00F36355" w:rsidRPr="003676AB">
        <w:rPr>
          <w:rStyle w:val="Fotnotsreferens"/>
          <w:rFonts w:eastAsia="Calibri"/>
          <w:color w:val="000000"/>
          <w:sz w:val="22"/>
          <w:szCs w:val="22"/>
        </w:rPr>
        <w:footnoteReference w:id="35"/>
      </w:r>
    </w:p>
    <w:p w14:paraId="616672D5" w14:textId="00A9E7EF" w:rsidR="002E0BD9" w:rsidRPr="003676AB" w:rsidRDefault="005C3FD7" w:rsidP="002E0BD9">
      <w:pPr>
        <w:tabs>
          <w:tab w:val="left" w:pos="0"/>
        </w:tabs>
        <w:rPr>
          <w:rFonts w:eastAsia="Calibri"/>
          <w:sz w:val="22"/>
          <w:szCs w:val="22"/>
          <w:vertAlign w:val="superscript"/>
        </w:rPr>
      </w:pPr>
      <w:r w:rsidRPr="003676AB">
        <w:rPr>
          <w:rFonts w:eastAsia="Calibri"/>
          <w:color w:val="000000"/>
          <w:sz w:val="22"/>
          <w:szCs w:val="22"/>
        </w:rPr>
        <w:t xml:space="preserve">Furthermore, adopting a position that </w:t>
      </w:r>
      <w:r w:rsidR="002E0BD9" w:rsidRPr="003676AB">
        <w:rPr>
          <w:rFonts w:eastAsia="Calibri"/>
          <w:color w:val="000000"/>
          <w:sz w:val="22"/>
          <w:szCs w:val="22"/>
        </w:rPr>
        <w:t>art.</w:t>
      </w:r>
      <w:r w:rsidR="0038097C" w:rsidRPr="003676AB">
        <w:rPr>
          <w:rFonts w:eastAsia="Calibri"/>
          <w:color w:val="000000"/>
          <w:sz w:val="22"/>
          <w:szCs w:val="22"/>
        </w:rPr>
        <w:t xml:space="preserve"> 83(2) TFEU</w:t>
      </w:r>
      <w:r w:rsidR="00A41B47" w:rsidRPr="003676AB">
        <w:rPr>
          <w:rFonts w:eastAsia="Calibri"/>
          <w:color w:val="000000"/>
          <w:sz w:val="22"/>
          <w:szCs w:val="22"/>
        </w:rPr>
        <w:t xml:space="preserve"> </w:t>
      </w:r>
      <w:r w:rsidRPr="003676AB">
        <w:rPr>
          <w:rFonts w:eastAsia="Calibri"/>
          <w:color w:val="000000"/>
          <w:sz w:val="22"/>
          <w:szCs w:val="22"/>
        </w:rPr>
        <w:t xml:space="preserve">is to be the preferred legal basis </w:t>
      </w:r>
      <w:r w:rsidR="00A41B47" w:rsidRPr="003676AB">
        <w:rPr>
          <w:rFonts w:eastAsia="Calibri"/>
          <w:color w:val="000000"/>
          <w:sz w:val="22"/>
          <w:szCs w:val="22"/>
        </w:rPr>
        <w:t xml:space="preserve">for criminalisation measures </w:t>
      </w:r>
      <w:r w:rsidRPr="003676AB">
        <w:rPr>
          <w:rFonts w:eastAsia="Calibri"/>
          <w:color w:val="000000"/>
          <w:sz w:val="22"/>
          <w:szCs w:val="22"/>
        </w:rPr>
        <w:t xml:space="preserve">furthers </w:t>
      </w:r>
      <w:r w:rsidR="0038097C" w:rsidRPr="003676AB">
        <w:rPr>
          <w:rFonts w:eastAsia="Calibri"/>
          <w:color w:val="000000"/>
          <w:sz w:val="22"/>
          <w:szCs w:val="22"/>
        </w:rPr>
        <w:t xml:space="preserve">the legitimacy of the EU legislator’s criminal policy. The </w:t>
      </w:r>
      <w:r w:rsidRPr="003676AB">
        <w:rPr>
          <w:rFonts w:eastAsia="Calibri"/>
          <w:color w:val="000000"/>
          <w:sz w:val="22"/>
          <w:szCs w:val="22"/>
        </w:rPr>
        <w:t xml:space="preserve">overall </w:t>
      </w:r>
      <w:r w:rsidR="0038097C" w:rsidRPr="003676AB">
        <w:rPr>
          <w:rFonts w:eastAsia="Calibri"/>
          <w:color w:val="000000"/>
          <w:sz w:val="22"/>
          <w:szCs w:val="22"/>
        </w:rPr>
        <w:t xml:space="preserve">tenor of </w:t>
      </w:r>
      <w:r w:rsidR="00D84FB5" w:rsidRPr="003676AB">
        <w:rPr>
          <w:rFonts w:eastAsia="Calibri"/>
          <w:color w:val="000000"/>
          <w:sz w:val="22"/>
          <w:szCs w:val="22"/>
        </w:rPr>
        <w:t>art.</w:t>
      </w:r>
      <w:r w:rsidR="0038097C" w:rsidRPr="003676AB">
        <w:rPr>
          <w:rFonts w:eastAsia="Calibri"/>
          <w:color w:val="000000"/>
          <w:sz w:val="22"/>
          <w:szCs w:val="22"/>
        </w:rPr>
        <w:t xml:space="preserve"> 83(2) TFEU </w:t>
      </w:r>
      <w:r w:rsidRPr="003676AB">
        <w:rPr>
          <w:rFonts w:eastAsia="Calibri"/>
          <w:color w:val="000000"/>
          <w:sz w:val="22"/>
          <w:szCs w:val="22"/>
        </w:rPr>
        <w:t xml:space="preserve">reflects </w:t>
      </w:r>
      <w:r w:rsidR="0038097C" w:rsidRPr="003676AB">
        <w:rPr>
          <w:rFonts w:eastAsia="Calibri"/>
          <w:color w:val="000000"/>
          <w:sz w:val="22"/>
          <w:szCs w:val="22"/>
        </w:rPr>
        <w:t>a restrained approach to criminal law harmonisation</w:t>
      </w:r>
      <w:r w:rsidRPr="003676AB">
        <w:rPr>
          <w:rFonts w:eastAsia="Calibri"/>
          <w:color w:val="000000"/>
          <w:sz w:val="22"/>
          <w:szCs w:val="22"/>
        </w:rPr>
        <w:t>,</w:t>
      </w:r>
      <w:r w:rsidR="0038097C" w:rsidRPr="003676AB">
        <w:rPr>
          <w:rFonts w:eastAsia="Calibri"/>
          <w:color w:val="000000"/>
          <w:sz w:val="22"/>
          <w:szCs w:val="22"/>
        </w:rPr>
        <w:t xml:space="preserve"> containing power-restricting elements (such as the emergency brake and the ‘essentiality’ condition) </w:t>
      </w:r>
      <w:r w:rsidRPr="003676AB">
        <w:rPr>
          <w:rFonts w:eastAsia="Calibri"/>
          <w:color w:val="000000"/>
          <w:sz w:val="22"/>
          <w:szCs w:val="22"/>
        </w:rPr>
        <w:t xml:space="preserve">and </w:t>
      </w:r>
      <w:r w:rsidR="0038097C" w:rsidRPr="003676AB">
        <w:rPr>
          <w:rFonts w:eastAsia="Calibri"/>
          <w:color w:val="000000"/>
          <w:sz w:val="22"/>
          <w:szCs w:val="22"/>
        </w:rPr>
        <w:t>impeding excessive criminalisation</w:t>
      </w:r>
      <w:r w:rsidRPr="003676AB">
        <w:rPr>
          <w:rFonts w:eastAsia="Calibri"/>
          <w:color w:val="000000"/>
          <w:sz w:val="22"/>
          <w:szCs w:val="22"/>
        </w:rPr>
        <w:t xml:space="preserve"> on the part of the Union</w:t>
      </w:r>
      <w:r w:rsidR="0038097C" w:rsidRPr="003676AB">
        <w:rPr>
          <w:rFonts w:eastAsia="Calibri"/>
          <w:color w:val="000000"/>
          <w:sz w:val="22"/>
          <w:szCs w:val="22"/>
        </w:rPr>
        <w:t>. This approach respects the distinctive n</w:t>
      </w:r>
      <w:r w:rsidR="00214227" w:rsidRPr="003676AB">
        <w:rPr>
          <w:rFonts w:eastAsia="Calibri"/>
          <w:color w:val="000000"/>
          <w:sz w:val="22"/>
          <w:szCs w:val="22"/>
        </w:rPr>
        <w:t>ature of criminal law</w:t>
      </w:r>
      <w:r w:rsidRPr="003676AB">
        <w:rPr>
          <w:rFonts w:eastAsia="Calibri"/>
          <w:color w:val="000000"/>
          <w:sz w:val="22"/>
          <w:szCs w:val="22"/>
        </w:rPr>
        <w:t>,</w:t>
      </w:r>
      <w:r w:rsidR="00214227" w:rsidRPr="003676AB">
        <w:rPr>
          <w:rFonts w:eastAsia="Calibri"/>
          <w:color w:val="000000"/>
          <w:sz w:val="22"/>
          <w:szCs w:val="22"/>
        </w:rPr>
        <w:t xml:space="preserve"> as </w:t>
      </w:r>
      <w:r w:rsidRPr="003676AB">
        <w:rPr>
          <w:rFonts w:eastAsia="Calibri"/>
          <w:color w:val="000000"/>
          <w:sz w:val="22"/>
          <w:szCs w:val="22"/>
        </w:rPr>
        <w:t xml:space="preserve">having </w:t>
      </w:r>
      <w:r w:rsidR="00214227" w:rsidRPr="003676AB">
        <w:rPr>
          <w:rFonts w:eastAsia="Calibri"/>
          <w:color w:val="000000"/>
          <w:sz w:val="22"/>
          <w:szCs w:val="22"/>
        </w:rPr>
        <w:t xml:space="preserve">a </w:t>
      </w:r>
      <w:r w:rsidRPr="003676AB">
        <w:rPr>
          <w:rFonts w:eastAsia="Calibri"/>
          <w:color w:val="000000"/>
          <w:sz w:val="22"/>
          <w:szCs w:val="22"/>
        </w:rPr>
        <w:t xml:space="preserve">condemnatory </w:t>
      </w:r>
      <w:r w:rsidR="00214227" w:rsidRPr="003676AB">
        <w:rPr>
          <w:rFonts w:eastAsia="Calibri"/>
          <w:color w:val="000000"/>
          <w:sz w:val="22"/>
          <w:szCs w:val="22"/>
        </w:rPr>
        <w:t>function</w:t>
      </w:r>
      <w:r w:rsidR="0038097C" w:rsidRPr="003676AB">
        <w:rPr>
          <w:rFonts w:eastAsia="Calibri"/>
          <w:color w:val="000000"/>
          <w:sz w:val="22"/>
          <w:szCs w:val="22"/>
        </w:rPr>
        <w:t xml:space="preserve"> and </w:t>
      </w:r>
      <w:r w:rsidRPr="003676AB">
        <w:rPr>
          <w:rFonts w:eastAsia="Calibri"/>
          <w:color w:val="000000"/>
          <w:sz w:val="22"/>
          <w:szCs w:val="22"/>
        </w:rPr>
        <w:t>as entailing direct and significant limitations on the liberty and other rights of an individual</w:t>
      </w:r>
      <w:r w:rsidR="0038097C" w:rsidRPr="003676AB">
        <w:rPr>
          <w:rFonts w:eastAsia="Calibri"/>
          <w:color w:val="000000"/>
          <w:sz w:val="22"/>
          <w:szCs w:val="22"/>
        </w:rPr>
        <w:t xml:space="preserve">. </w:t>
      </w:r>
      <w:r w:rsidR="002E0BD9" w:rsidRPr="003676AB">
        <w:rPr>
          <w:rFonts w:eastAsia="Calibri"/>
          <w:color w:val="000000"/>
          <w:sz w:val="22"/>
          <w:szCs w:val="22"/>
        </w:rPr>
        <w:t>The</w:t>
      </w:r>
      <w:r w:rsidR="0038097C" w:rsidRPr="003676AB">
        <w:rPr>
          <w:rFonts w:eastAsia="Calibri"/>
          <w:color w:val="000000"/>
          <w:sz w:val="22"/>
          <w:szCs w:val="22"/>
        </w:rPr>
        <w:t xml:space="preserve"> close connection between criminal law and sovereignty</w:t>
      </w:r>
      <w:r w:rsidR="002E0BD9" w:rsidRPr="003676AB">
        <w:rPr>
          <w:rFonts w:eastAsia="Calibri"/>
          <w:color w:val="000000"/>
          <w:sz w:val="22"/>
          <w:szCs w:val="22"/>
        </w:rPr>
        <w:t xml:space="preserve"> particularly</w:t>
      </w:r>
      <w:r w:rsidR="0038097C" w:rsidRPr="003676AB">
        <w:rPr>
          <w:rFonts w:eastAsia="Calibri"/>
          <w:color w:val="000000"/>
          <w:sz w:val="22"/>
          <w:szCs w:val="22"/>
        </w:rPr>
        <w:t xml:space="preserve"> favours a restrictive approach when it comes to EU-interference with criminal law.</w:t>
      </w:r>
      <w:r w:rsidR="0038097C" w:rsidRPr="003676AB">
        <w:rPr>
          <w:rStyle w:val="Fotnotsreferens"/>
          <w:sz w:val="22"/>
          <w:szCs w:val="22"/>
        </w:rPr>
        <w:footnoteReference w:id="36"/>
      </w:r>
      <w:r w:rsidR="0038097C" w:rsidRPr="003676AB">
        <w:rPr>
          <w:rStyle w:val="Fotnotsreferens"/>
          <w:sz w:val="22"/>
          <w:szCs w:val="22"/>
        </w:rPr>
        <w:t xml:space="preserve"> </w:t>
      </w:r>
      <w:r w:rsidR="00A41B47" w:rsidRPr="003676AB">
        <w:rPr>
          <w:rFonts w:eastAsia="Calibri"/>
          <w:color w:val="000000"/>
          <w:sz w:val="22"/>
          <w:szCs w:val="22"/>
        </w:rPr>
        <w:t>C</w:t>
      </w:r>
      <w:r w:rsidR="0038097C" w:rsidRPr="003676AB">
        <w:rPr>
          <w:rFonts w:eastAsia="Calibri"/>
          <w:color w:val="000000"/>
          <w:sz w:val="22"/>
          <w:szCs w:val="22"/>
        </w:rPr>
        <w:t xml:space="preserve">riminal law for the enforcement of EU policies should </w:t>
      </w:r>
      <w:r w:rsidR="00A41B47" w:rsidRPr="003676AB">
        <w:rPr>
          <w:rFonts w:eastAsia="Calibri"/>
          <w:color w:val="000000"/>
          <w:sz w:val="22"/>
          <w:szCs w:val="22"/>
        </w:rPr>
        <w:t xml:space="preserve">thus </w:t>
      </w:r>
      <w:r w:rsidR="0038097C" w:rsidRPr="003676AB">
        <w:rPr>
          <w:rFonts w:eastAsia="Calibri"/>
          <w:color w:val="000000"/>
          <w:sz w:val="22"/>
          <w:szCs w:val="22"/>
        </w:rPr>
        <w:t xml:space="preserve">be used as a last resort and only exercised under </w:t>
      </w:r>
      <w:r w:rsidRPr="003676AB">
        <w:rPr>
          <w:rFonts w:eastAsia="Calibri"/>
          <w:color w:val="000000"/>
          <w:sz w:val="22"/>
          <w:szCs w:val="22"/>
        </w:rPr>
        <w:t xml:space="preserve">the </w:t>
      </w:r>
      <w:r w:rsidR="0038097C" w:rsidRPr="003676AB">
        <w:rPr>
          <w:rFonts w:eastAsia="Calibri"/>
          <w:color w:val="000000"/>
          <w:sz w:val="22"/>
          <w:szCs w:val="22"/>
        </w:rPr>
        <w:t>strict conditions</w:t>
      </w:r>
      <w:r w:rsidRPr="003676AB">
        <w:rPr>
          <w:rFonts w:eastAsia="Calibri"/>
          <w:color w:val="000000"/>
          <w:sz w:val="22"/>
          <w:szCs w:val="22"/>
        </w:rPr>
        <w:t>, such as those</w:t>
      </w:r>
      <w:r w:rsidR="0038097C" w:rsidRPr="003676AB">
        <w:rPr>
          <w:rFonts w:eastAsia="Calibri"/>
          <w:color w:val="000000"/>
          <w:sz w:val="22"/>
          <w:szCs w:val="22"/>
        </w:rPr>
        <w:t xml:space="preserve"> </w:t>
      </w:r>
      <w:r w:rsidRPr="003676AB">
        <w:rPr>
          <w:rFonts w:eastAsia="Calibri"/>
          <w:color w:val="000000"/>
          <w:sz w:val="22"/>
          <w:szCs w:val="22"/>
        </w:rPr>
        <w:t>contained</w:t>
      </w:r>
      <w:r w:rsidR="0038097C" w:rsidRPr="003676AB">
        <w:rPr>
          <w:rFonts w:eastAsia="Calibri"/>
          <w:color w:val="000000"/>
          <w:sz w:val="22"/>
          <w:szCs w:val="22"/>
        </w:rPr>
        <w:t xml:space="preserve"> </w:t>
      </w:r>
      <w:r w:rsidRPr="003676AB">
        <w:rPr>
          <w:rFonts w:eastAsia="Calibri"/>
          <w:color w:val="000000"/>
          <w:sz w:val="22"/>
          <w:szCs w:val="22"/>
        </w:rPr>
        <w:t xml:space="preserve">in </w:t>
      </w:r>
      <w:r w:rsidR="002E0BD9" w:rsidRPr="003676AB">
        <w:rPr>
          <w:rFonts w:eastAsia="Calibri"/>
          <w:color w:val="000000"/>
          <w:sz w:val="22"/>
          <w:szCs w:val="22"/>
        </w:rPr>
        <w:t>art.</w:t>
      </w:r>
      <w:r w:rsidR="0038097C" w:rsidRPr="003676AB">
        <w:rPr>
          <w:rFonts w:eastAsia="Calibri"/>
          <w:color w:val="000000"/>
          <w:sz w:val="22"/>
          <w:szCs w:val="22"/>
        </w:rPr>
        <w:t xml:space="preserve"> 83(2) TFEU</w:t>
      </w:r>
      <w:r w:rsidRPr="003676AB">
        <w:rPr>
          <w:rFonts w:eastAsia="Calibri"/>
          <w:color w:val="000000"/>
          <w:sz w:val="22"/>
          <w:szCs w:val="22"/>
        </w:rPr>
        <w:t xml:space="preserve">, thereby </w:t>
      </w:r>
      <w:r w:rsidR="0038097C" w:rsidRPr="003676AB">
        <w:rPr>
          <w:rFonts w:eastAsia="Calibri"/>
          <w:color w:val="000000"/>
          <w:sz w:val="22"/>
          <w:szCs w:val="22"/>
        </w:rPr>
        <w:t xml:space="preserve">rejecting the use of other legal bases outside Title </w:t>
      </w:r>
      <w:r w:rsidRPr="003676AB">
        <w:rPr>
          <w:sz w:val="22"/>
          <w:szCs w:val="22"/>
        </w:rPr>
        <w:t>V</w:t>
      </w:r>
      <w:r w:rsidR="0038097C" w:rsidRPr="003676AB">
        <w:rPr>
          <w:sz w:val="22"/>
          <w:szCs w:val="22"/>
        </w:rPr>
        <w:t>.</w:t>
      </w:r>
      <w:r w:rsidR="0038097C" w:rsidRPr="003676AB">
        <w:rPr>
          <w:sz w:val="22"/>
          <w:szCs w:val="22"/>
          <w:vertAlign w:val="superscript"/>
        </w:rPr>
        <w:footnoteReference w:id="37"/>
      </w:r>
      <w:r w:rsidR="0038097C" w:rsidRPr="003676AB">
        <w:rPr>
          <w:rFonts w:eastAsia="Calibri"/>
          <w:sz w:val="22"/>
          <w:szCs w:val="22"/>
          <w:vertAlign w:val="superscript"/>
        </w:rPr>
        <w:t xml:space="preserve"> </w:t>
      </w:r>
    </w:p>
    <w:p w14:paraId="0A4584F0" w14:textId="7B29BBF0" w:rsidR="00FE6CE8" w:rsidRPr="003676AB" w:rsidRDefault="00FE6CE8" w:rsidP="00CF4F6C">
      <w:pPr>
        <w:ind w:left="1300" w:hanging="1300"/>
        <w:rPr>
          <w:rFonts w:eastAsia="Calibri"/>
          <w:i/>
          <w:sz w:val="22"/>
          <w:szCs w:val="22"/>
        </w:rPr>
      </w:pPr>
      <w:r w:rsidRPr="003676AB">
        <w:rPr>
          <w:rFonts w:eastAsia="Calibri"/>
          <w:i/>
          <w:sz w:val="22"/>
          <w:szCs w:val="22"/>
        </w:rPr>
        <w:t>Constitutional realities</w:t>
      </w:r>
      <w:r w:rsidR="00504D0B" w:rsidRPr="003676AB">
        <w:rPr>
          <w:rFonts w:eastAsia="Calibri"/>
          <w:i/>
          <w:sz w:val="22"/>
          <w:szCs w:val="22"/>
        </w:rPr>
        <w:t xml:space="preserve">- the Court of Justice’s </w:t>
      </w:r>
      <w:r w:rsidR="00C91041" w:rsidRPr="003676AB">
        <w:rPr>
          <w:rFonts w:eastAsia="Calibri"/>
          <w:i/>
          <w:sz w:val="22"/>
          <w:szCs w:val="22"/>
        </w:rPr>
        <w:t>approach in legal basis disputes relating to criminal law</w:t>
      </w:r>
    </w:p>
    <w:p w14:paraId="40C5872C" w14:textId="63E00A0B" w:rsidR="00662E79" w:rsidRPr="003676AB" w:rsidRDefault="00662E79" w:rsidP="00662E79">
      <w:pPr>
        <w:rPr>
          <w:rFonts w:eastAsia="Calibri"/>
          <w:sz w:val="22"/>
          <w:szCs w:val="22"/>
        </w:rPr>
      </w:pPr>
      <w:r w:rsidRPr="003676AB">
        <w:rPr>
          <w:rFonts w:eastAsia="Calibri"/>
          <w:sz w:val="22"/>
          <w:szCs w:val="22"/>
        </w:rPr>
        <w:t>Whil</w:t>
      </w:r>
      <w:r w:rsidR="00B678AB" w:rsidRPr="003676AB">
        <w:rPr>
          <w:rFonts w:eastAsia="Calibri"/>
          <w:sz w:val="22"/>
          <w:szCs w:val="22"/>
        </w:rPr>
        <w:t>e</w:t>
      </w:r>
      <w:r w:rsidRPr="003676AB">
        <w:rPr>
          <w:rFonts w:eastAsia="Calibri"/>
          <w:sz w:val="22"/>
          <w:szCs w:val="22"/>
        </w:rPr>
        <w:t xml:space="preserve"> it is arguable that </w:t>
      </w:r>
      <w:r w:rsidR="002E0BD9" w:rsidRPr="003676AB">
        <w:rPr>
          <w:rFonts w:eastAsia="Calibri"/>
          <w:sz w:val="22"/>
          <w:szCs w:val="22"/>
        </w:rPr>
        <w:t>art.</w:t>
      </w:r>
      <w:r w:rsidRPr="003676AB">
        <w:rPr>
          <w:rFonts w:eastAsia="Calibri"/>
          <w:sz w:val="22"/>
          <w:szCs w:val="22"/>
        </w:rPr>
        <w:t xml:space="preserve"> 83(2) TFEU should be the </w:t>
      </w:r>
      <w:r w:rsidR="005C3FD7" w:rsidRPr="003676AB">
        <w:rPr>
          <w:rFonts w:eastAsia="Calibri"/>
          <w:sz w:val="22"/>
          <w:szCs w:val="22"/>
        </w:rPr>
        <w:t xml:space="preserve">legal basis of </w:t>
      </w:r>
      <w:r w:rsidRPr="003676AB">
        <w:rPr>
          <w:rFonts w:eastAsia="Calibri"/>
          <w:sz w:val="22"/>
          <w:szCs w:val="22"/>
        </w:rPr>
        <w:t xml:space="preserve">choice </w:t>
      </w:r>
      <w:r w:rsidR="005C3FD7" w:rsidRPr="003676AB">
        <w:rPr>
          <w:rFonts w:eastAsia="Calibri"/>
          <w:sz w:val="22"/>
          <w:szCs w:val="22"/>
        </w:rPr>
        <w:t xml:space="preserve">for </w:t>
      </w:r>
      <w:r w:rsidRPr="003676AB">
        <w:rPr>
          <w:rFonts w:eastAsia="Calibri"/>
          <w:sz w:val="22"/>
          <w:szCs w:val="22"/>
        </w:rPr>
        <w:t xml:space="preserve">EU criminalisation measures, there remains </w:t>
      </w:r>
      <w:r w:rsidR="005C3FD7" w:rsidRPr="003676AB">
        <w:rPr>
          <w:rFonts w:eastAsia="Calibri"/>
          <w:sz w:val="22"/>
          <w:szCs w:val="22"/>
        </w:rPr>
        <w:t xml:space="preserve">a </w:t>
      </w:r>
      <w:r w:rsidRPr="003676AB">
        <w:rPr>
          <w:rFonts w:eastAsia="Calibri"/>
          <w:sz w:val="22"/>
          <w:szCs w:val="22"/>
        </w:rPr>
        <w:t>possibility</w:t>
      </w:r>
      <w:r w:rsidR="005C3FD7" w:rsidRPr="003676AB">
        <w:rPr>
          <w:rFonts w:eastAsia="Calibri"/>
          <w:sz w:val="22"/>
          <w:szCs w:val="22"/>
        </w:rPr>
        <w:t>,</w:t>
      </w:r>
      <w:r w:rsidRPr="003676AB">
        <w:rPr>
          <w:rFonts w:eastAsia="Calibri"/>
          <w:sz w:val="22"/>
          <w:szCs w:val="22"/>
        </w:rPr>
        <w:t xml:space="preserve"> </w:t>
      </w:r>
      <w:r w:rsidR="00F36355" w:rsidRPr="003676AB">
        <w:rPr>
          <w:rFonts w:eastAsia="Calibri"/>
          <w:sz w:val="22"/>
          <w:szCs w:val="22"/>
        </w:rPr>
        <w:t xml:space="preserve">based upon the </w:t>
      </w:r>
      <w:r w:rsidRPr="003676AB">
        <w:rPr>
          <w:rFonts w:eastAsia="Calibri"/>
          <w:sz w:val="22"/>
          <w:szCs w:val="22"/>
        </w:rPr>
        <w:t>Court’s past practice</w:t>
      </w:r>
      <w:r w:rsidR="005C3FD7" w:rsidRPr="003676AB">
        <w:rPr>
          <w:rFonts w:eastAsia="Calibri"/>
          <w:sz w:val="22"/>
          <w:szCs w:val="22"/>
        </w:rPr>
        <w:t>,</w:t>
      </w:r>
      <w:r w:rsidRPr="003676AB">
        <w:rPr>
          <w:rFonts w:eastAsia="Calibri"/>
          <w:sz w:val="22"/>
          <w:szCs w:val="22"/>
        </w:rPr>
        <w:t xml:space="preserve"> </w:t>
      </w:r>
      <w:r w:rsidR="005C3FD7" w:rsidRPr="003676AB">
        <w:rPr>
          <w:rFonts w:eastAsia="Calibri"/>
          <w:sz w:val="22"/>
          <w:szCs w:val="22"/>
        </w:rPr>
        <w:t xml:space="preserve">that a general criminal law competence continues to exist elsewhere in the Treaties. Previous judgments of the Court have consistently held that the </w:t>
      </w:r>
      <w:r w:rsidR="004E0275" w:rsidRPr="003676AB">
        <w:rPr>
          <w:rFonts w:eastAsia="Calibri"/>
          <w:sz w:val="22"/>
          <w:szCs w:val="22"/>
        </w:rPr>
        <w:t xml:space="preserve">correct </w:t>
      </w:r>
      <w:r w:rsidRPr="003676AB">
        <w:rPr>
          <w:rFonts w:eastAsia="Calibri"/>
          <w:sz w:val="22"/>
          <w:szCs w:val="22"/>
        </w:rPr>
        <w:t>legal basis for EU criminali</w:t>
      </w:r>
      <w:r w:rsidR="002F338A" w:rsidRPr="003676AB">
        <w:rPr>
          <w:rFonts w:eastAsia="Calibri"/>
          <w:sz w:val="22"/>
          <w:szCs w:val="22"/>
        </w:rPr>
        <w:t>s</w:t>
      </w:r>
      <w:r w:rsidRPr="003676AB">
        <w:rPr>
          <w:rFonts w:eastAsia="Calibri"/>
          <w:sz w:val="22"/>
          <w:szCs w:val="22"/>
        </w:rPr>
        <w:t>ation measures will be determined</w:t>
      </w:r>
      <w:r w:rsidR="00F36355" w:rsidRPr="003676AB">
        <w:rPr>
          <w:rFonts w:eastAsia="Calibri"/>
          <w:sz w:val="22"/>
          <w:szCs w:val="22"/>
        </w:rPr>
        <w:t xml:space="preserve"> </w:t>
      </w:r>
      <w:r w:rsidR="00F36355" w:rsidRPr="003676AB">
        <w:rPr>
          <w:rFonts w:eastAsia="Calibri"/>
          <w:sz w:val="22"/>
          <w:szCs w:val="22"/>
        </w:rPr>
        <w:lastRenderedPageBreak/>
        <w:t xml:space="preserve">primarily </w:t>
      </w:r>
      <w:r w:rsidR="004E0275" w:rsidRPr="003676AB">
        <w:rPr>
          <w:rFonts w:eastAsia="Calibri"/>
          <w:sz w:val="22"/>
          <w:szCs w:val="22"/>
        </w:rPr>
        <w:t xml:space="preserve">by </w:t>
      </w:r>
      <w:r w:rsidR="00F36355" w:rsidRPr="003676AB">
        <w:rPr>
          <w:rFonts w:eastAsia="Calibri"/>
          <w:sz w:val="22"/>
          <w:szCs w:val="22"/>
        </w:rPr>
        <w:t xml:space="preserve">reference to the </w:t>
      </w:r>
      <w:r w:rsidR="004E0275" w:rsidRPr="003676AB">
        <w:rPr>
          <w:rFonts w:eastAsia="Calibri"/>
          <w:sz w:val="22"/>
          <w:szCs w:val="22"/>
        </w:rPr>
        <w:t xml:space="preserve">content and aim of the </w:t>
      </w:r>
      <w:r w:rsidR="00F36355" w:rsidRPr="003676AB">
        <w:rPr>
          <w:rFonts w:eastAsia="Calibri"/>
          <w:sz w:val="22"/>
          <w:szCs w:val="22"/>
        </w:rPr>
        <w:t>proposed EU legislative act</w:t>
      </w:r>
      <w:r w:rsidR="004E0275" w:rsidRPr="003676AB">
        <w:rPr>
          <w:rFonts w:eastAsia="Calibri"/>
          <w:sz w:val="22"/>
          <w:szCs w:val="22"/>
        </w:rPr>
        <w:t xml:space="preserve"> </w:t>
      </w:r>
      <w:r w:rsidRPr="003676AB">
        <w:rPr>
          <w:rFonts w:eastAsia="Calibri"/>
          <w:sz w:val="22"/>
          <w:szCs w:val="22"/>
        </w:rPr>
        <w:t>(‘the centre of gravity</w:t>
      </w:r>
      <w:r w:rsidR="00CF2DD8" w:rsidRPr="003676AB">
        <w:rPr>
          <w:rFonts w:eastAsia="Calibri"/>
          <w:sz w:val="22"/>
          <w:szCs w:val="22"/>
        </w:rPr>
        <w:t xml:space="preserve"> test’)</w:t>
      </w:r>
      <w:r w:rsidRPr="003676AB">
        <w:rPr>
          <w:rFonts w:eastAsia="Calibri"/>
          <w:sz w:val="22"/>
          <w:szCs w:val="22"/>
        </w:rPr>
        <w:t>.</w:t>
      </w:r>
      <w:r w:rsidRPr="003676AB">
        <w:rPr>
          <w:rFonts w:eastAsia="Calibri"/>
          <w:sz w:val="22"/>
          <w:szCs w:val="22"/>
          <w:vertAlign w:val="superscript"/>
        </w:rPr>
        <w:footnoteReference w:id="38"/>
      </w:r>
      <w:r w:rsidR="00304DDE" w:rsidRPr="003676AB">
        <w:rPr>
          <w:rFonts w:eastAsia="Calibri"/>
          <w:sz w:val="22"/>
          <w:szCs w:val="22"/>
        </w:rPr>
        <w:t xml:space="preserve"> It </w:t>
      </w:r>
      <w:r w:rsidR="00F03461" w:rsidRPr="003676AB">
        <w:rPr>
          <w:rFonts w:eastAsia="Calibri"/>
          <w:sz w:val="22"/>
          <w:szCs w:val="22"/>
        </w:rPr>
        <w:t>is appropri</w:t>
      </w:r>
      <w:r w:rsidR="00F36355" w:rsidRPr="003676AB">
        <w:rPr>
          <w:rFonts w:eastAsia="Calibri"/>
          <w:sz w:val="22"/>
          <w:szCs w:val="22"/>
        </w:rPr>
        <w:t>ate</w:t>
      </w:r>
      <w:r w:rsidR="00304DDE" w:rsidRPr="003676AB">
        <w:rPr>
          <w:rFonts w:eastAsia="Calibri"/>
          <w:sz w:val="22"/>
          <w:szCs w:val="22"/>
        </w:rPr>
        <w:t xml:space="preserve"> to </w:t>
      </w:r>
      <w:r w:rsidR="00F03461" w:rsidRPr="003676AB">
        <w:rPr>
          <w:rFonts w:eastAsia="Calibri"/>
          <w:sz w:val="22"/>
          <w:szCs w:val="22"/>
        </w:rPr>
        <w:t>examine</w:t>
      </w:r>
      <w:r w:rsidR="00304DDE" w:rsidRPr="003676AB">
        <w:rPr>
          <w:rFonts w:eastAsia="Calibri"/>
          <w:sz w:val="22"/>
          <w:szCs w:val="22"/>
        </w:rPr>
        <w:t xml:space="preserve"> this case law in detail.</w:t>
      </w:r>
      <w:r w:rsidRPr="003676AB">
        <w:rPr>
          <w:rFonts w:eastAsia="Calibri"/>
          <w:sz w:val="22"/>
          <w:szCs w:val="22"/>
        </w:rPr>
        <w:t xml:space="preserve"> </w:t>
      </w:r>
    </w:p>
    <w:p w14:paraId="695E2D01" w14:textId="63F0EC73" w:rsidR="00CF2DD8" w:rsidRPr="003676AB" w:rsidRDefault="004E0275" w:rsidP="00CF2DD8">
      <w:pPr>
        <w:spacing w:before="0" w:after="200"/>
        <w:rPr>
          <w:rFonts w:eastAsia="Calibri"/>
          <w:sz w:val="22"/>
          <w:szCs w:val="22"/>
        </w:rPr>
      </w:pPr>
      <w:r w:rsidRPr="003676AB">
        <w:rPr>
          <w:rFonts w:eastAsia="Calibri"/>
          <w:sz w:val="22"/>
          <w:szCs w:val="22"/>
        </w:rPr>
        <w:t>T</w:t>
      </w:r>
      <w:r w:rsidR="00F03461" w:rsidRPr="003676AB">
        <w:rPr>
          <w:rFonts w:eastAsia="Calibri"/>
          <w:sz w:val="22"/>
          <w:szCs w:val="22"/>
        </w:rPr>
        <w:t xml:space="preserve">here is one important </w:t>
      </w:r>
      <w:r w:rsidRPr="003676AB">
        <w:rPr>
          <w:rFonts w:eastAsia="Calibri"/>
          <w:sz w:val="22"/>
          <w:szCs w:val="22"/>
        </w:rPr>
        <w:t xml:space="preserve">pre-Lisbon </w:t>
      </w:r>
      <w:r w:rsidR="00F03461" w:rsidRPr="003676AB">
        <w:rPr>
          <w:rFonts w:eastAsia="Calibri"/>
          <w:sz w:val="22"/>
          <w:szCs w:val="22"/>
        </w:rPr>
        <w:t>judgment</w:t>
      </w:r>
      <w:r w:rsidR="004807BA" w:rsidRPr="003676AB">
        <w:rPr>
          <w:rFonts w:eastAsia="Calibri"/>
          <w:sz w:val="22"/>
          <w:szCs w:val="22"/>
        </w:rPr>
        <w:t xml:space="preserve">, </w:t>
      </w:r>
      <w:r w:rsidR="004807BA" w:rsidRPr="003676AB">
        <w:rPr>
          <w:rFonts w:eastAsia="Calibri"/>
          <w:i/>
          <w:sz w:val="22"/>
          <w:szCs w:val="22"/>
        </w:rPr>
        <w:t>Ireland v Parliament and Council</w:t>
      </w:r>
      <w:r w:rsidRPr="003676AB">
        <w:rPr>
          <w:rStyle w:val="Fotnotsreferens"/>
          <w:rFonts w:eastAsia="Calibri"/>
          <w:sz w:val="22"/>
          <w:szCs w:val="22"/>
        </w:rPr>
        <w:footnoteReference w:id="39"/>
      </w:r>
      <w:r w:rsidRPr="003676AB">
        <w:rPr>
          <w:rFonts w:eastAsia="Calibri"/>
          <w:sz w:val="22"/>
          <w:szCs w:val="22"/>
        </w:rPr>
        <w:t xml:space="preserve"> that needs to be </w:t>
      </w:r>
      <w:r w:rsidR="00B87605" w:rsidRPr="003676AB">
        <w:rPr>
          <w:rFonts w:eastAsia="Calibri"/>
          <w:sz w:val="22"/>
          <w:szCs w:val="22"/>
        </w:rPr>
        <w:t>considered</w:t>
      </w:r>
      <w:r w:rsidRPr="003676AB">
        <w:rPr>
          <w:rFonts w:eastAsia="Calibri"/>
          <w:sz w:val="22"/>
          <w:szCs w:val="22"/>
        </w:rPr>
        <w:t>.</w:t>
      </w:r>
      <w:r w:rsidR="00F03461" w:rsidRPr="003676AB">
        <w:rPr>
          <w:rFonts w:eastAsia="Calibri"/>
          <w:sz w:val="22"/>
          <w:szCs w:val="22"/>
        </w:rPr>
        <w:t xml:space="preserve"> Th</w:t>
      </w:r>
      <w:r w:rsidR="00841E35" w:rsidRPr="003676AB">
        <w:rPr>
          <w:rFonts w:eastAsia="Calibri"/>
          <w:sz w:val="22"/>
          <w:szCs w:val="22"/>
        </w:rPr>
        <w:t>e significance of this</w:t>
      </w:r>
      <w:r w:rsidR="00F03461" w:rsidRPr="003676AB">
        <w:rPr>
          <w:rFonts w:eastAsia="Calibri"/>
          <w:sz w:val="22"/>
          <w:szCs w:val="22"/>
        </w:rPr>
        <w:t xml:space="preserve"> judgment </w:t>
      </w:r>
      <w:r w:rsidR="00841E35" w:rsidRPr="003676AB">
        <w:rPr>
          <w:rFonts w:eastAsia="Calibri"/>
          <w:sz w:val="22"/>
          <w:szCs w:val="22"/>
        </w:rPr>
        <w:t xml:space="preserve">to the present analysis lies in the fact that </w:t>
      </w:r>
      <w:r w:rsidR="00F36355" w:rsidRPr="003676AB">
        <w:rPr>
          <w:rFonts w:eastAsia="Calibri"/>
          <w:sz w:val="22"/>
          <w:szCs w:val="22"/>
        </w:rPr>
        <w:t>it was</w:t>
      </w:r>
      <w:r w:rsidR="00CF2DD8" w:rsidRPr="003676AB">
        <w:rPr>
          <w:rFonts w:eastAsia="Calibri"/>
          <w:sz w:val="22"/>
          <w:szCs w:val="22"/>
        </w:rPr>
        <w:t xml:space="preserve"> directly concerned with a conflict be</w:t>
      </w:r>
      <w:r w:rsidR="006C7EF3" w:rsidRPr="003676AB">
        <w:rPr>
          <w:rFonts w:eastAsia="Calibri"/>
          <w:sz w:val="22"/>
          <w:szCs w:val="22"/>
        </w:rPr>
        <w:t>tween a Un</w:t>
      </w:r>
      <w:r w:rsidR="004807BA" w:rsidRPr="003676AB">
        <w:rPr>
          <w:rFonts w:eastAsia="Calibri"/>
          <w:sz w:val="22"/>
          <w:szCs w:val="22"/>
        </w:rPr>
        <w:t>ion-friendly legal basis and a</w:t>
      </w:r>
      <w:r w:rsidR="00F03461" w:rsidRPr="003676AB">
        <w:rPr>
          <w:rFonts w:eastAsia="Calibri"/>
          <w:sz w:val="22"/>
          <w:szCs w:val="22"/>
        </w:rPr>
        <w:t xml:space="preserve"> legal basis</w:t>
      </w:r>
      <w:r w:rsidR="006C7EF3" w:rsidRPr="003676AB">
        <w:rPr>
          <w:rFonts w:eastAsia="Calibri"/>
          <w:sz w:val="22"/>
          <w:szCs w:val="22"/>
        </w:rPr>
        <w:t xml:space="preserve"> in the third pillar</w:t>
      </w:r>
      <w:r w:rsidR="00CF2DD8" w:rsidRPr="003676AB">
        <w:rPr>
          <w:rFonts w:eastAsia="Calibri"/>
          <w:sz w:val="22"/>
          <w:szCs w:val="22"/>
        </w:rPr>
        <w:t>.</w:t>
      </w:r>
      <w:r w:rsidR="00CF2DD8" w:rsidRPr="003676AB">
        <w:rPr>
          <w:rFonts w:eastAsia="Calibri"/>
          <w:sz w:val="22"/>
          <w:szCs w:val="22"/>
          <w:vertAlign w:val="superscript"/>
        </w:rPr>
        <w:footnoteReference w:id="40"/>
      </w:r>
      <w:r w:rsidR="004807BA" w:rsidRPr="003676AB">
        <w:rPr>
          <w:rFonts w:eastAsia="Calibri"/>
          <w:sz w:val="22"/>
          <w:szCs w:val="22"/>
        </w:rPr>
        <w:t xml:space="preserve"> </w:t>
      </w:r>
      <w:r w:rsidR="00841E35" w:rsidRPr="003676AB">
        <w:rPr>
          <w:rFonts w:eastAsia="Calibri"/>
          <w:sz w:val="22"/>
          <w:szCs w:val="22"/>
        </w:rPr>
        <w:t xml:space="preserve">In </w:t>
      </w:r>
      <w:r w:rsidR="00841E35" w:rsidRPr="003676AB">
        <w:rPr>
          <w:rFonts w:eastAsia="Calibri"/>
          <w:i/>
          <w:sz w:val="22"/>
          <w:szCs w:val="22"/>
        </w:rPr>
        <w:t>Ireland v Parliament and Council</w:t>
      </w:r>
      <w:r w:rsidR="00841E35" w:rsidRPr="003676AB">
        <w:rPr>
          <w:rFonts w:eastAsia="Calibri"/>
          <w:sz w:val="22"/>
          <w:szCs w:val="22"/>
        </w:rPr>
        <w:t>, Ireland challenged</w:t>
      </w:r>
      <w:r w:rsidR="00CF2DD8" w:rsidRPr="003676AB">
        <w:rPr>
          <w:rFonts w:eastAsia="Calibri"/>
          <w:i/>
          <w:sz w:val="22"/>
          <w:szCs w:val="22"/>
        </w:rPr>
        <w:t xml:space="preserve"> </w:t>
      </w:r>
      <w:r w:rsidR="00CF2DD8" w:rsidRPr="003676AB">
        <w:rPr>
          <w:rFonts w:eastAsia="Calibri"/>
          <w:sz w:val="22"/>
          <w:szCs w:val="22"/>
        </w:rPr>
        <w:t>the Data Retention Directive</w:t>
      </w:r>
      <w:r w:rsidR="00CF2DD8" w:rsidRPr="003676AB">
        <w:rPr>
          <w:rFonts w:eastAsia="Calibri"/>
          <w:sz w:val="22"/>
          <w:szCs w:val="22"/>
          <w:vertAlign w:val="superscript"/>
        </w:rPr>
        <w:footnoteReference w:id="41"/>
      </w:r>
      <w:r w:rsidR="00CF2DD8" w:rsidRPr="003676AB">
        <w:rPr>
          <w:rFonts w:eastAsia="Calibri"/>
          <w:sz w:val="22"/>
          <w:szCs w:val="22"/>
        </w:rPr>
        <w:t xml:space="preserve"> on the </w:t>
      </w:r>
      <w:r w:rsidR="00841E35" w:rsidRPr="003676AB">
        <w:rPr>
          <w:rFonts w:eastAsia="Calibri"/>
          <w:sz w:val="22"/>
          <w:szCs w:val="22"/>
        </w:rPr>
        <w:t xml:space="preserve">grounds </w:t>
      </w:r>
      <w:r w:rsidR="00CF2DD8" w:rsidRPr="003676AB">
        <w:rPr>
          <w:rFonts w:eastAsia="Calibri"/>
          <w:sz w:val="22"/>
          <w:szCs w:val="22"/>
        </w:rPr>
        <w:t>that it was</w:t>
      </w:r>
      <w:r w:rsidR="00AF6871" w:rsidRPr="003676AB">
        <w:rPr>
          <w:rFonts w:eastAsia="Calibri"/>
          <w:sz w:val="22"/>
          <w:szCs w:val="22"/>
        </w:rPr>
        <w:t xml:space="preserve"> in fact a crime-fighting measure which should have been adopted</w:t>
      </w:r>
      <w:r w:rsidR="00CF2DD8" w:rsidRPr="003676AB">
        <w:rPr>
          <w:rFonts w:eastAsia="Calibri"/>
          <w:sz w:val="22"/>
          <w:szCs w:val="22"/>
        </w:rPr>
        <w:t xml:space="preserve"> on the basis of the</w:t>
      </w:r>
      <w:r w:rsidR="00D140FA" w:rsidRPr="003676AB">
        <w:rPr>
          <w:rFonts w:eastAsia="Calibri"/>
          <w:sz w:val="22"/>
          <w:szCs w:val="22"/>
        </w:rPr>
        <w:t xml:space="preserve"> </w:t>
      </w:r>
      <w:r w:rsidR="00CF2DD8" w:rsidRPr="003676AB">
        <w:rPr>
          <w:rFonts w:eastAsia="Calibri"/>
          <w:sz w:val="22"/>
          <w:szCs w:val="22"/>
        </w:rPr>
        <w:t>(pre-Lisbon) Treaty on European Union</w:t>
      </w:r>
      <w:r w:rsidR="00F03461" w:rsidRPr="003676AB">
        <w:rPr>
          <w:rStyle w:val="Fotnotsreferens"/>
          <w:rFonts w:eastAsia="Calibri"/>
          <w:sz w:val="22"/>
          <w:szCs w:val="22"/>
        </w:rPr>
        <w:footnoteReference w:id="42"/>
      </w:r>
      <w:r w:rsidR="00AF6871" w:rsidRPr="003676AB">
        <w:rPr>
          <w:rFonts w:eastAsia="Calibri"/>
          <w:sz w:val="22"/>
          <w:szCs w:val="22"/>
        </w:rPr>
        <w:t xml:space="preserve"> and not the proposed legal basis of </w:t>
      </w:r>
      <w:r w:rsidRPr="003676AB">
        <w:rPr>
          <w:rFonts w:eastAsia="Calibri"/>
          <w:sz w:val="22"/>
          <w:szCs w:val="22"/>
        </w:rPr>
        <w:t xml:space="preserve">what is now </w:t>
      </w:r>
      <w:r w:rsidR="00D84FB5" w:rsidRPr="003676AB">
        <w:rPr>
          <w:rFonts w:eastAsia="Calibri"/>
          <w:sz w:val="22"/>
          <w:szCs w:val="22"/>
        </w:rPr>
        <w:t>art.</w:t>
      </w:r>
      <w:r w:rsidR="00AF6871" w:rsidRPr="003676AB">
        <w:rPr>
          <w:rFonts w:eastAsia="Calibri"/>
          <w:sz w:val="22"/>
          <w:szCs w:val="22"/>
        </w:rPr>
        <w:t xml:space="preserve"> 114 TFEU</w:t>
      </w:r>
      <w:r w:rsidR="00CF2DD8" w:rsidRPr="003676AB">
        <w:rPr>
          <w:rFonts w:eastAsia="Calibri"/>
          <w:sz w:val="22"/>
          <w:szCs w:val="22"/>
        </w:rPr>
        <w:t>.</w:t>
      </w:r>
      <w:r w:rsidR="00AF6871" w:rsidRPr="003676AB">
        <w:rPr>
          <w:rFonts w:eastAsia="Calibri"/>
          <w:sz w:val="22"/>
          <w:szCs w:val="22"/>
        </w:rPr>
        <w:t xml:space="preserve"> T</w:t>
      </w:r>
      <w:r w:rsidR="00CF2DD8" w:rsidRPr="003676AB">
        <w:rPr>
          <w:rFonts w:eastAsia="Calibri"/>
          <w:sz w:val="22"/>
          <w:szCs w:val="22"/>
        </w:rPr>
        <w:t>he Court</w:t>
      </w:r>
      <w:r w:rsidRPr="003676AB">
        <w:rPr>
          <w:rFonts w:eastAsia="Calibri"/>
          <w:sz w:val="22"/>
          <w:szCs w:val="22"/>
        </w:rPr>
        <w:t xml:space="preserve"> </w:t>
      </w:r>
      <w:r w:rsidR="00841E35" w:rsidRPr="003676AB">
        <w:rPr>
          <w:rFonts w:eastAsia="Calibri"/>
          <w:sz w:val="22"/>
          <w:szCs w:val="22"/>
        </w:rPr>
        <w:t xml:space="preserve">found against Ireland, </w:t>
      </w:r>
      <w:r w:rsidRPr="003676AB">
        <w:rPr>
          <w:rFonts w:eastAsia="Calibri"/>
          <w:sz w:val="22"/>
          <w:szCs w:val="22"/>
        </w:rPr>
        <w:t xml:space="preserve">finding that </w:t>
      </w:r>
      <w:r w:rsidR="00AF6871" w:rsidRPr="003676AB">
        <w:rPr>
          <w:rFonts w:eastAsia="Calibri"/>
          <w:sz w:val="22"/>
          <w:szCs w:val="22"/>
        </w:rPr>
        <w:t>the directive</w:t>
      </w:r>
      <w:r w:rsidR="00CF2DD8" w:rsidRPr="003676AB">
        <w:rPr>
          <w:rFonts w:eastAsia="Calibri"/>
          <w:sz w:val="22"/>
          <w:szCs w:val="22"/>
        </w:rPr>
        <w:t xml:space="preserve"> related predominantly to the functioning of the internal market</w:t>
      </w:r>
      <w:r w:rsidR="00841E35" w:rsidRPr="003676AB">
        <w:rPr>
          <w:rFonts w:eastAsia="Calibri"/>
          <w:sz w:val="22"/>
          <w:szCs w:val="22"/>
        </w:rPr>
        <w:t xml:space="preserve"> and could be adopted </w:t>
      </w:r>
      <w:r w:rsidR="00374960" w:rsidRPr="003676AB">
        <w:rPr>
          <w:rFonts w:eastAsia="Calibri"/>
          <w:sz w:val="22"/>
          <w:szCs w:val="22"/>
        </w:rPr>
        <w:t>under</w:t>
      </w:r>
      <w:r w:rsidR="00841E35" w:rsidRPr="003676AB">
        <w:rPr>
          <w:rFonts w:eastAsia="Calibri"/>
          <w:sz w:val="22"/>
          <w:szCs w:val="22"/>
        </w:rPr>
        <w:t xml:space="preserve"> </w:t>
      </w:r>
      <w:r w:rsidR="00D84FB5" w:rsidRPr="003676AB">
        <w:rPr>
          <w:rFonts w:eastAsia="Calibri"/>
          <w:sz w:val="22"/>
          <w:szCs w:val="22"/>
        </w:rPr>
        <w:t>art.</w:t>
      </w:r>
      <w:r w:rsidR="00841E35" w:rsidRPr="003676AB">
        <w:rPr>
          <w:rFonts w:eastAsia="Calibri"/>
          <w:sz w:val="22"/>
          <w:szCs w:val="22"/>
        </w:rPr>
        <w:t xml:space="preserve"> 114 TFEU</w:t>
      </w:r>
      <w:r w:rsidR="00CF2DD8" w:rsidRPr="003676AB">
        <w:rPr>
          <w:rFonts w:eastAsia="Calibri"/>
          <w:sz w:val="22"/>
          <w:szCs w:val="22"/>
        </w:rPr>
        <w:t xml:space="preserve">. </w:t>
      </w:r>
      <w:proofErr w:type="gramStart"/>
      <w:r w:rsidR="00841E35" w:rsidRPr="003676AB">
        <w:rPr>
          <w:rFonts w:eastAsia="Calibri"/>
          <w:sz w:val="22"/>
          <w:szCs w:val="22"/>
        </w:rPr>
        <w:t>In particular it</w:t>
      </w:r>
      <w:proofErr w:type="gramEnd"/>
      <w:r w:rsidR="00841E35" w:rsidRPr="003676AB">
        <w:rPr>
          <w:rFonts w:eastAsia="Calibri"/>
          <w:sz w:val="22"/>
          <w:szCs w:val="22"/>
        </w:rPr>
        <w:t xml:space="preserve"> rejected </w:t>
      </w:r>
      <w:r w:rsidR="00F03461" w:rsidRPr="003676AB">
        <w:rPr>
          <w:rFonts w:eastAsia="Calibri"/>
          <w:sz w:val="22"/>
          <w:szCs w:val="22"/>
        </w:rPr>
        <w:t xml:space="preserve">the argument that the contested directive was </w:t>
      </w:r>
      <w:r w:rsidRPr="003676AB">
        <w:rPr>
          <w:rFonts w:eastAsia="Calibri"/>
          <w:sz w:val="22"/>
          <w:szCs w:val="22"/>
        </w:rPr>
        <w:t xml:space="preserve">mainly </w:t>
      </w:r>
      <w:r w:rsidR="00F03461" w:rsidRPr="003676AB">
        <w:rPr>
          <w:rFonts w:eastAsia="Calibri"/>
          <w:sz w:val="22"/>
          <w:szCs w:val="22"/>
        </w:rPr>
        <w:t xml:space="preserve">concerned with the prosecution and fighting of crime. </w:t>
      </w:r>
      <w:r w:rsidR="00CF2DD8" w:rsidRPr="003676AB">
        <w:rPr>
          <w:rFonts w:eastAsia="Calibri"/>
          <w:sz w:val="22"/>
          <w:szCs w:val="22"/>
        </w:rPr>
        <w:t xml:space="preserve">The provisions of the </w:t>
      </w:r>
      <w:r w:rsidR="00AF6871" w:rsidRPr="003676AB">
        <w:rPr>
          <w:rFonts w:eastAsia="Calibri"/>
          <w:sz w:val="22"/>
          <w:szCs w:val="22"/>
        </w:rPr>
        <w:t>d</w:t>
      </w:r>
      <w:r w:rsidR="00CF2DD8" w:rsidRPr="003676AB">
        <w:rPr>
          <w:rFonts w:eastAsia="Calibri"/>
          <w:sz w:val="22"/>
          <w:szCs w:val="22"/>
        </w:rPr>
        <w:t>irective were</w:t>
      </w:r>
      <w:r w:rsidRPr="003676AB">
        <w:rPr>
          <w:rFonts w:eastAsia="Calibri"/>
          <w:sz w:val="22"/>
          <w:szCs w:val="22"/>
        </w:rPr>
        <w:t>,</w:t>
      </w:r>
      <w:r w:rsidR="00F03461" w:rsidRPr="003676AB">
        <w:rPr>
          <w:rFonts w:eastAsia="Calibri"/>
          <w:sz w:val="22"/>
          <w:szCs w:val="22"/>
        </w:rPr>
        <w:t xml:space="preserve"> according to the Court</w:t>
      </w:r>
      <w:r w:rsidRPr="003676AB">
        <w:rPr>
          <w:rFonts w:eastAsia="Calibri"/>
          <w:sz w:val="22"/>
          <w:szCs w:val="22"/>
        </w:rPr>
        <w:t>,</w:t>
      </w:r>
      <w:r w:rsidR="00CF2DD8" w:rsidRPr="003676AB">
        <w:rPr>
          <w:rFonts w:eastAsia="Calibri"/>
          <w:sz w:val="22"/>
          <w:szCs w:val="22"/>
        </w:rPr>
        <w:t xml:space="preserve"> limited to the activities of service providers and did not govern access to data or </w:t>
      </w:r>
      <w:r w:rsidRPr="003676AB">
        <w:rPr>
          <w:rFonts w:eastAsia="Calibri"/>
          <w:sz w:val="22"/>
          <w:szCs w:val="22"/>
        </w:rPr>
        <w:t xml:space="preserve">its </w:t>
      </w:r>
      <w:r w:rsidR="00CF2DD8" w:rsidRPr="003676AB">
        <w:rPr>
          <w:rFonts w:eastAsia="Calibri"/>
          <w:sz w:val="22"/>
          <w:szCs w:val="22"/>
        </w:rPr>
        <w:t xml:space="preserve">use by the police or judicial authorities of the Member States. </w:t>
      </w:r>
      <w:r w:rsidR="00D17C95" w:rsidRPr="003676AB">
        <w:rPr>
          <w:rFonts w:eastAsia="Calibri"/>
          <w:sz w:val="22"/>
          <w:szCs w:val="22"/>
        </w:rPr>
        <w:t xml:space="preserve">This was </w:t>
      </w:r>
      <w:r w:rsidR="00841E35" w:rsidRPr="003676AB">
        <w:rPr>
          <w:rFonts w:eastAsia="Calibri"/>
          <w:sz w:val="22"/>
          <w:szCs w:val="22"/>
        </w:rPr>
        <w:t xml:space="preserve">demonstrated </w:t>
      </w:r>
      <w:r w:rsidR="00D17C95" w:rsidRPr="003676AB">
        <w:rPr>
          <w:rFonts w:eastAsia="Calibri"/>
          <w:sz w:val="22"/>
          <w:szCs w:val="22"/>
        </w:rPr>
        <w:t xml:space="preserve">by the fact that service providers were </w:t>
      </w:r>
      <w:r w:rsidRPr="003676AB">
        <w:rPr>
          <w:rFonts w:eastAsia="Calibri"/>
          <w:sz w:val="22"/>
          <w:szCs w:val="22"/>
        </w:rPr>
        <w:t xml:space="preserve">only </w:t>
      </w:r>
      <w:r w:rsidR="00C8284C" w:rsidRPr="003676AB">
        <w:rPr>
          <w:rFonts w:eastAsia="Calibri"/>
          <w:sz w:val="22"/>
          <w:szCs w:val="22"/>
        </w:rPr>
        <w:t xml:space="preserve">to </w:t>
      </w:r>
      <w:r w:rsidR="00D17C95" w:rsidRPr="003676AB">
        <w:rPr>
          <w:rFonts w:eastAsia="Calibri"/>
          <w:sz w:val="22"/>
          <w:szCs w:val="22"/>
        </w:rPr>
        <w:t xml:space="preserve">retain data </w:t>
      </w:r>
      <w:r w:rsidRPr="003676AB">
        <w:rPr>
          <w:rFonts w:eastAsia="Calibri"/>
          <w:sz w:val="22"/>
          <w:szCs w:val="22"/>
        </w:rPr>
        <w:t xml:space="preserve">which </w:t>
      </w:r>
      <w:r w:rsidR="00D17C95" w:rsidRPr="003676AB">
        <w:rPr>
          <w:rFonts w:eastAsia="Calibri"/>
          <w:sz w:val="22"/>
          <w:szCs w:val="22"/>
        </w:rPr>
        <w:t xml:space="preserve">was generated or processed </w:t>
      </w:r>
      <w:proofErr w:type="gramStart"/>
      <w:r w:rsidR="00D17C95" w:rsidRPr="003676AB">
        <w:rPr>
          <w:rFonts w:eastAsia="Calibri"/>
          <w:sz w:val="22"/>
          <w:szCs w:val="22"/>
        </w:rPr>
        <w:t xml:space="preserve">in the course </w:t>
      </w:r>
      <w:r w:rsidR="00F03461" w:rsidRPr="003676AB">
        <w:rPr>
          <w:rFonts w:eastAsia="Calibri"/>
          <w:sz w:val="22"/>
          <w:szCs w:val="22"/>
        </w:rPr>
        <w:t>of</w:t>
      </w:r>
      <w:proofErr w:type="gramEnd"/>
      <w:r w:rsidR="00F03461" w:rsidRPr="003676AB">
        <w:rPr>
          <w:rFonts w:eastAsia="Calibri"/>
          <w:sz w:val="22"/>
          <w:szCs w:val="22"/>
        </w:rPr>
        <w:t xml:space="preserve"> their commercial activities</w:t>
      </w:r>
      <w:r w:rsidR="00CF2DD8" w:rsidRPr="003676AB">
        <w:rPr>
          <w:rFonts w:eastAsia="Calibri"/>
          <w:sz w:val="22"/>
          <w:szCs w:val="22"/>
        </w:rPr>
        <w:t>.</w:t>
      </w:r>
      <w:r w:rsidR="00157B9A" w:rsidRPr="003676AB">
        <w:rPr>
          <w:rFonts w:eastAsia="Calibri"/>
          <w:sz w:val="22"/>
          <w:szCs w:val="22"/>
        </w:rPr>
        <w:t xml:space="preserve"> The Court also underlined that different requirements on service providers to retain data could constitute an impediment </w:t>
      </w:r>
      <w:r w:rsidR="00456486" w:rsidRPr="003676AB">
        <w:rPr>
          <w:rFonts w:eastAsia="Calibri"/>
          <w:sz w:val="22"/>
          <w:szCs w:val="22"/>
        </w:rPr>
        <w:t>to their economic activities</w:t>
      </w:r>
      <w:r w:rsidR="00841E35" w:rsidRPr="003676AB">
        <w:rPr>
          <w:rFonts w:eastAsia="Calibri"/>
          <w:sz w:val="22"/>
          <w:szCs w:val="22"/>
        </w:rPr>
        <w:t>,</w:t>
      </w:r>
      <w:r w:rsidR="00456486" w:rsidRPr="003676AB">
        <w:rPr>
          <w:rFonts w:eastAsia="Calibri"/>
          <w:sz w:val="22"/>
          <w:szCs w:val="22"/>
        </w:rPr>
        <w:t xml:space="preserve"> </w:t>
      </w:r>
      <w:r w:rsidR="00841E35" w:rsidRPr="003676AB">
        <w:rPr>
          <w:rFonts w:eastAsia="Calibri"/>
          <w:sz w:val="22"/>
          <w:szCs w:val="22"/>
        </w:rPr>
        <w:t xml:space="preserve">potentially </w:t>
      </w:r>
      <w:r w:rsidR="00157B9A" w:rsidRPr="003676AB">
        <w:rPr>
          <w:rFonts w:eastAsia="Calibri"/>
          <w:sz w:val="22"/>
          <w:szCs w:val="22"/>
        </w:rPr>
        <w:t>impact</w:t>
      </w:r>
      <w:r w:rsidR="00841E35" w:rsidRPr="003676AB">
        <w:rPr>
          <w:rFonts w:eastAsia="Calibri"/>
          <w:sz w:val="22"/>
          <w:szCs w:val="22"/>
        </w:rPr>
        <w:t>ing</w:t>
      </w:r>
      <w:r w:rsidR="00157B9A" w:rsidRPr="003676AB">
        <w:rPr>
          <w:rFonts w:eastAsia="Calibri"/>
          <w:sz w:val="22"/>
          <w:szCs w:val="22"/>
        </w:rPr>
        <w:t xml:space="preserve"> the functioning of the internal market.</w:t>
      </w:r>
      <w:r w:rsidR="00CF2DD8" w:rsidRPr="003676AB">
        <w:rPr>
          <w:rFonts w:eastAsia="Calibri"/>
          <w:sz w:val="22"/>
          <w:szCs w:val="22"/>
          <w:vertAlign w:val="superscript"/>
        </w:rPr>
        <w:footnoteReference w:id="43"/>
      </w:r>
    </w:p>
    <w:p w14:paraId="2176569A" w14:textId="7D93E324" w:rsidR="00CF2DD8" w:rsidRPr="003676AB" w:rsidRDefault="00CF2DD8" w:rsidP="00CF2DD8">
      <w:pPr>
        <w:spacing w:before="0" w:after="200"/>
        <w:rPr>
          <w:rFonts w:eastAsia="Calibri"/>
          <w:sz w:val="22"/>
          <w:szCs w:val="22"/>
        </w:rPr>
      </w:pPr>
      <w:r w:rsidRPr="003676AB">
        <w:rPr>
          <w:rFonts w:eastAsia="Calibri"/>
          <w:sz w:val="22"/>
          <w:szCs w:val="22"/>
        </w:rPr>
        <w:t xml:space="preserve">A </w:t>
      </w:r>
      <w:r w:rsidR="00C8284C" w:rsidRPr="003676AB">
        <w:rPr>
          <w:rFonts w:eastAsia="Calibri"/>
          <w:sz w:val="22"/>
          <w:szCs w:val="22"/>
        </w:rPr>
        <w:t xml:space="preserve">critical </w:t>
      </w:r>
      <w:r w:rsidRPr="003676AB">
        <w:rPr>
          <w:rFonts w:eastAsia="Calibri"/>
          <w:sz w:val="22"/>
          <w:szCs w:val="22"/>
        </w:rPr>
        <w:t xml:space="preserve">reading of the case </w:t>
      </w:r>
      <w:r w:rsidR="00C8284C" w:rsidRPr="003676AB">
        <w:rPr>
          <w:rFonts w:eastAsia="Calibri"/>
          <w:sz w:val="22"/>
          <w:szCs w:val="22"/>
        </w:rPr>
        <w:t xml:space="preserve">would question </w:t>
      </w:r>
      <w:r w:rsidRPr="003676AB">
        <w:rPr>
          <w:rFonts w:eastAsia="Calibri"/>
          <w:sz w:val="22"/>
          <w:szCs w:val="22"/>
        </w:rPr>
        <w:t xml:space="preserve">the Court’s acceptance of the argument that the measure was predominantly concerned with the internal market. It </w:t>
      </w:r>
      <w:r w:rsidR="00841E35" w:rsidRPr="003676AB">
        <w:rPr>
          <w:rFonts w:eastAsia="Calibri"/>
          <w:sz w:val="22"/>
          <w:szCs w:val="22"/>
        </w:rPr>
        <w:t xml:space="preserve">is clear </w:t>
      </w:r>
      <w:r w:rsidRPr="003676AB">
        <w:rPr>
          <w:rFonts w:eastAsia="Calibri"/>
          <w:sz w:val="22"/>
          <w:szCs w:val="22"/>
        </w:rPr>
        <w:t xml:space="preserve">from a study of the Data Retention Directive, </w:t>
      </w:r>
      <w:r w:rsidR="00841E35" w:rsidRPr="003676AB">
        <w:rPr>
          <w:rFonts w:eastAsia="Calibri"/>
          <w:sz w:val="22"/>
          <w:szCs w:val="22"/>
        </w:rPr>
        <w:t xml:space="preserve">the </w:t>
      </w:r>
      <w:r w:rsidRPr="003676AB">
        <w:rPr>
          <w:rFonts w:eastAsia="Calibri"/>
          <w:sz w:val="22"/>
          <w:szCs w:val="22"/>
        </w:rPr>
        <w:t>preamble and its history that the directive had one central purpose: the investigation, detection a</w:t>
      </w:r>
      <w:r w:rsidR="00D17C95" w:rsidRPr="003676AB">
        <w:rPr>
          <w:rFonts w:eastAsia="Calibri"/>
          <w:sz w:val="22"/>
          <w:szCs w:val="22"/>
        </w:rPr>
        <w:t>nd prosecution of serious crime</w:t>
      </w:r>
      <w:r w:rsidRPr="003676AB">
        <w:rPr>
          <w:rFonts w:eastAsia="Calibri"/>
          <w:sz w:val="22"/>
          <w:szCs w:val="22"/>
        </w:rPr>
        <w:t xml:space="preserve">. For these reasons it would have been more appropriate to adopt it </w:t>
      </w:r>
      <w:r w:rsidR="00C657FE" w:rsidRPr="003676AB">
        <w:rPr>
          <w:rFonts w:eastAsia="Calibri"/>
          <w:sz w:val="22"/>
          <w:szCs w:val="22"/>
        </w:rPr>
        <w:t>on</w:t>
      </w:r>
      <w:r w:rsidRPr="003676AB">
        <w:rPr>
          <w:rFonts w:eastAsia="Calibri"/>
          <w:sz w:val="22"/>
          <w:szCs w:val="22"/>
        </w:rPr>
        <w:t xml:space="preserve"> the </w:t>
      </w:r>
      <w:r w:rsidR="00841E35" w:rsidRPr="003676AB">
        <w:rPr>
          <w:rFonts w:eastAsia="Calibri"/>
          <w:sz w:val="22"/>
          <w:szCs w:val="22"/>
        </w:rPr>
        <w:t xml:space="preserve">basis of </w:t>
      </w:r>
      <w:r w:rsidRPr="003676AB">
        <w:rPr>
          <w:rFonts w:eastAsia="Calibri"/>
          <w:sz w:val="22"/>
          <w:szCs w:val="22"/>
        </w:rPr>
        <w:t xml:space="preserve">the </w:t>
      </w:r>
      <w:r w:rsidR="00D140FA" w:rsidRPr="003676AB">
        <w:rPr>
          <w:rFonts w:ascii="DejaVuSans" w:eastAsia="Cambria" w:hAnsi="DejaVuSans" w:cs="DejaVuSans"/>
          <w:sz w:val="22"/>
          <w:szCs w:val="22"/>
          <w:lang w:eastAsia="ar-SA"/>
        </w:rPr>
        <w:t>third pillar</w:t>
      </w:r>
      <w:r w:rsidR="00841E35" w:rsidRPr="003676AB">
        <w:rPr>
          <w:rFonts w:ascii="DejaVuSans" w:eastAsia="Cambria" w:hAnsi="DejaVuSans" w:cs="DejaVuSans"/>
          <w:sz w:val="22"/>
          <w:szCs w:val="22"/>
          <w:lang w:eastAsia="ar-SA"/>
        </w:rPr>
        <w:t xml:space="preserve"> dealing </w:t>
      </w:r>
      <w:r w:rsidR="00D140FA" w:rsidRPr="003676AB">
        <w:rPr>
          <w:rFonts w:ascii="DejaVuSans" w:eastAsia="Cambria" w:hAnsi="DejaVuSans" w:cs="DejaVuSans"/>
          <w:sz w:val="22"/>
          <w:szCs w:val="22"/>
          <w:lang w:eastAsia="ar-SA"/>
        </w:rPr>
        <w:t xml:space="preserve">with judicial cooperation in the </w:t>
      </w:r>
      <w:r w:rsidRPr="003676AB">
        <w:rPr>
          <w:rFonts w:ascii="DejaVuSans" w:eastAsia="Cambria" w:hAnsi="DejaVuSans" w:cs="DejaVuSans"/>
          <w:sz w:val="22"/>
          <w:szCs w:val="22"/>
          <w:lang w:eastAsia="ar-SA"/>
        </w:rPr>
        <w:t>Treaty on</w:t>
      </w:r>
      <w:r w:rsidRPr="003676AB">
        <w:rPr>
          <w:rFonts w:eastAsia="Calibri"/>
          <w:sz w:val="22"/>
          <w:szCs w:val="22"/>
        </w:rPr>
        <w:t xml:space="preserve"> </w:t>
      </w:r>
      <w:r w:rsidRPr="003676AB">
        <w:rPr>
          <w:rFonts w:ascii="DejaVuSans" w:eastAsia="Cambria" w:hAnsi="DejaVuSans" w:cs="DejaVuSans"/>
          <w:sz w:val="22"/>
          <w:szCs w:val="22"/>
          <w:lang w:eastAsia="ar-SA"/>
        </w:rPr>
        <w:t>European Union</w:t>
      </w:r>
      <w:r w:rsidRPr="003676AB">
        <w:rPr>
          <w:rFonts w:eastAsia="Calibri"/>
          <w:sz w:val="22"/>
          <w:szCs w:val="22"/>
        </w:rPr>
        <w:t>.</w:t>
      </w:r>
      <w:r w:rsidR="00226989" w:rsidRPr="003676AB">
        <w:rPr>
          <w:rStyle w:val="Fotnotsreferens"/>
          <w:rFonts w:eastAsia="Calibri"/>
          <w:sz w:val="22"/>
          <w:szCs w:val="22"/>
        </w:rPr>
        <w:footnoteReference w:id="44"/>
      </w:r>
      <w:r w:rsidR="00226989" w:rsidRPr="003676AB">
        <w:rPr>
          <w:rFonts w:eastAsia="Calibri"/>
          <w:sz w:val="22"/>
          <w:szCs w:val="22"/>
        </w:rPr>
        <w:t xml:space="preserve"> </w:t>
      </w:r>
      <w:r w:rsidRPr="003676AB">
        <w:rPr>
          <w:rFonts w:eastAsia="Calibri"/>
          <w:sz w:val="22"/>
          <w:szCs w:val="22"/>
        </w:rPr>
        <w:t xml:space="preserve">The market element in the Data Retention Directive was also </w:t>
      </w:r>
      <w:r w:rsidR="00841E35" w:rsidRPr="003676AB">
        <w:rPr>
          <w:rFonts w:eastAsia="Calibri"/>
          <w:sz w:val="22"/>
          <w:szCs w:val="22"/>
        </w:rPr>
        <w:t xml:space="preserve">limited, amounting to </w:t>
      </w:r>
      <w:r w:rsidRPr="003676AB">
        <w:rPr>
          <w:rFonts w:eastAsia="Calibri"/>
          <w:sz w:val="22"/>
          <w:szCs w:val="22"/>
        </w:rPr>
        <w:t xml:space="preserve">a mere </w:t>
      </w:r>
      <w:r w:rsidRPr="003676AB">
        <w:rPr>
          <w:rFonts w:eastAsia="Calibri"/>
          <w:sz w:val="22"/>
          <w:szCs w:val="22"/>
        </w:rPr>
        <w:lastRenderedPageBreak/>
        <w:t>reference to service providers</w:t>
      </w:r>
      <w:r w:rsidR="00D140FA" w:rsidRPr="003676AB">
        <w:rPr>
          <w:rFonts w:eastAsia="Calibri"/>
          <w:sz w:val="22"/>
          <w:szCs w:val="22"/>
        </w:rPr>
        <w:t xml:space="preserve"> and to future disparities</w:t>
      </w:r>
      <w:r w:rsidRPr="003676AB">
        <w:rPr>
          <w:rFonts w:eastAsia="Calibri"/>
          <w:sz w:val="22"/>
          <w:szCs w:val="22"/>
        </w:rPr>
        <w:t>.</w:t>
      </w:r>
      <w:r w:rsidRPr="003676AB">
        <w:rPr>
          <w:rFonts w:eastAsia="Calibri"/>
          <w:sz w:val="22"/>
          <w:szCs w:val="22"/>
          <w:vertAlign w:val="superscript"/>
        </w:rPr>
        <w:footnoteReference w:id="45"/>
      </w:r>
      <w:r w:rsidRPr="003676AB">
        <w:rPr>
          <w:rFonts w:eastAsia="Calibri"/>
          <w:sz w:val="22"/>
          <w:szCs w:val="22"/>
        </w:rPr>
        <w:t xml:space="preserve"> </w:t>
      </w:r>
      <w:r w:rsidR="00D140FA" w:rsidRPr="003676AB">
        <w:rPr>
          <w:rFonts w:eastAsia="Calibri"/>
          <w:sz w:val="22"/>
          <w:szCs w:val="22"/>
        </w:rPr>
        <w:t xml:space="preserve">The Court’s conclusions in </w:t>
      </w:r>
      <w:r w:rsidR="00D140FA" w:rsidRPr="003676AB">
        <w:rPr>
          <w:rFonts w:eastAsia="Calibri"/>
          <w:i/>
          <w:sz w:val="22"/>
          <w:szCs w:val="22"/>
        </w:rPr>
        <w:t>Ireland v Parliament and Council</w:t>
      </w:r>
      <w:r w:rsidR="00D140FA" w:rsidRPr="003676AB">
        <w:rPr>
          <w:rFonts w:eastAsia="Calibri"/>
          <w:sz w:val="22"/>
          <w:szCs w:val="22"/>
        </w:rPr>
        <w:t xml:space="preserve"> </w:t>
      </w:r>
      <w:r w:rsidR="00157B9A" w:rsidRPr="003676AB">
        <w:rPr>
          <w:rFonts w:eastAsia="Calibri"/>
          <w:sz w:val="22"/>
          <w:szCs w:val="22"/>
        </w:rPr>
        <w:t>are also difficult to align with</w:t>
      </w:r>
      <w:r w:rsidR="00D140FA" w:rsidRPr="003676AB">
        <w:rPr>
          <w:rFonts w:eastAsia="Calibri"/>
          <w:sz w:val="22"/>
          <w:szCs w:val="22"/>
        </w:rPr>
        <w:t xml:space="preserve"> the recent </w:t>
      </w:r>
      <w:r w:rsidR="00D140FA" w:rsidRPr="003676AB">
        <w:rPr>
          <w:rFonts w:eastAsia="Calibri"/>
          <w:i/>
          <w:sz w:val="22"/>
          <w:szCs w:val="22"/>
        </w:rPr>
        <w:t>Digital Rights</w:t>
      </w:r>
      <w:r w:rsidR="00D140FA" w:rsidRPr="003676AB">
        <w:rPr>
          <w:rFonts w:eastAsia="Calibri"/>
          <w:sz w:val="22"/>
          <w:szCs w:val="22"/>
        </w:rPr>
        <w:t xml:space="preserve"> judgment</w:t>
      </w:r>
      <w:r w:rsidR="00C8284C" w:rsidRPr="003676AB">
        <w:rPr>
          <w:rFonts w:eastAsia="Calibri"/>
          <w:sz w:val="22"/>
          <w:szCs w:val="22"/>
        </w:rPr>
        <w:t xml:space="preserve"> </w:t>
      </w:r>
      <w:r w:rsidR="00456486" w:rsidRPr="003676AB">
        <w:rPr>
          <w:rFonts w:eastAsia="Calibri"/>
          <w:sz w:val="22"/>
          <w:szCs w:val="22"/>
        </w:rPr>
        <w:t>(</w:t>
      </w:r>
      <w:r w:rsidR="00C8284C" w:rsidRPr="003676AB">
        <w:rPr>
          <w:rFonts w:eastAsia="Calibri"/>
          <w:sz w:val="22"/>
          <w:szCs w:val="22"/>
        </w:rPr>
        <w:t>concerning</w:t>
      </w:r>
      <w:r w:rsidR="00340015" w:rsidRPr="003676AB">
        <w:rPr>
          <w:rFonts w:eastAsia="Calibri"/>
          <w:sz w:val="22"/>
          <w:szCs w:val="22"/>
        </w:rPr>
        <w:t xml:space="preserve"> </w:t>
      </w:r>
      <w:r w:rsidR="00C8284C" w:rsidRPr="003676AB">
        <w:rPr>
          <w:rFonts w:eastAsia="Calibri"/>
          <w:sz w:val="22"/>
          <w:szCs w:val="22"/>
        </w:rPr>
        <w:t xml:space="preserve">the compatibility of </w:t>
      </w:r>
      <w:r w:rsidR="00340015" w:rsidRPr="003676AB">
        <w:rPr>
          <w:rFonts w:eastAsia="Calibri"/>
          <w:sz w:val="22"/>
          <w:szCs w:val="22"/>
        </w:rPr>
        <w:t xml:space="preserve">the Data Retention Directive </w:t>
      </w:r>
      <w:r w:rsidR="00C8284C" w:rsidRPr="003676AB">
        <w:rPr>
          <w:rFonts w:eastAsia="Calibri"/>
          <w:sz w:val="22"/>
          <w:szCs w:val="22"/>
        </w:rPr>
        <w:t xml:space="preserve">with </w:t>
      </w:r>
      <w:r w:rsidR="00340015" w:rsidRPr="003676AB">
        <w:rPr>
          <w:rFonts w:eastAsia="Calibri"/>
          <w:sz w:val="22"/>
          <w:szCs w:val="22"/>
        </w:rPr>
        <w:t>the Charter of Fundamental Rights</w:t>
      </w:r>
      <w:r w:rsidR="00456486" w:rsidRPr="003676AB">
        <w:rPr>
          <w:rFonts w:eastAsia="Calibri"/>
          <w:sz w:val="22"/>
          <w:szCs w:val="22"/>
        </w:rPr>
        <w:t>)</w:t>
      </w:r>
      <w:r w:rsidR="00340015" w:rsidRPr="003676AB">
        <w:rPr>
          <w:rFonts w:eastAsia="Calibri"/>
          <w:sz w:val="22"/>
          <w:szCs w:val="22"/>
        </w:rPr>
        <w:t xml:space="preserve"> </w:t>
      </w:r>
      <w:r w:rsidR="00C8284C" w:rsidRPr="003676AB">
        <w:rPr>
          <w:rFonts w:eastAsia="Calibri"/>
          <w:sz w:val="22"/>
          <w:szCs w:val="22"/>
        </w:rPr>
        <w:t xml:space="preserve">in which </w:t>
      </w:r>
      <w:r w:rsidR="00D140FA" w:rsidRPr="003676AB">
        <w:rPr>
          <w:rFonts w:eastAsia="Calibri"/>
          <w:sz w:val="22"/>
          <w:szCs w:val="22"/>
        </w:rPr>
        <w:t xml:space="preserve">the Court underlined </w:t>
      </w:r>
      <w:r w:rsidR="00841E35" w:rsidRPr="003676AB">
        <w:rPr>
          <w:rFonts w:eastAsia="Calibri"/>
          <w:sz w:val="22"/>
          <w:szCs w:val="22"/>
        </w:rPr>
        <w:t xml:space="preserve">the fact </w:t>
      </w:r>
      <w:r w:rsidR="00D140FA" w:rsidRPr="003676AB">
        <w:rPr>
          <w:rFonts w:eastAsia="Calibri"/>
          <w:sz w:val="22"/>
          <w:szCs w:val="22"/>
        </w:rPr>
        <w:t xml:space="preserve">that the </w:t>
      </w:r>
      <w:r w:rsidR="00841E35" w:rsidRPr="003676AB">
        <w:rPr>
          <w:rFonts w:eastAsia="Calibri"/>
          <w:sz w:val="22"/>
          <w:szCs w:val="22"/>
        </w:rPr>
        <w:t xml:space="preserve">main </w:t>
      </w:r>
      <w:r w:rsidR="00D140FA" w:rsidRPr="003676AB">
        <w:rPr>
          <w:rFonts w:eastAsia="Calibri"/>
          <w:sz w:val="22"/>
          <w:szCs w:val="22"/>
        </w:rPr>
        <w:t xml:space="preserve">objective of the Data Retention Directive </w:t>
      </w:r>
      <w:r w:rsidR="00456486" w:rsidRPr="003676AB">
        <w:rPr>
          <w:rFonts w:eastAsia="Calibri"/>
          <w:sz w:val="22"/>
          <w:szCs w:val="22"/>
        </w:rPr>
        <w:t>was</w:t>
      </w:r>
      <w:r w:rsidRPr="003676AB">
        <w:rPr>
          <w:rFonts w:eastAsia="Calibri"/>
          <w:sz w:val="22"/>
          <w:szCs w:val="22"/>
        </w:rPr>
        <w:t xml:space="preserve"> to ensure that data </w:t>
      </w:r>
      <w:r w:rsidR="00C8284C" w:rsidRPr="003676AB">
        <w:rPr>
          <w:rFonts w:eastAsia="Calibri"/>
          <w:sz w:val="22"/>
          <w:szCs w:val="22"/>
        </w:rPr>
        <w:t xml:space="preserve">is </w:t>
      </w:r>
      <w:r w:rsidRPr="003676AB">
        <w:rPr>
          <w:rFonts w:eastAsia="Calibri"/>
          <w:sz w:val="22"/>
          <w:szCs w:val="22"/>
        </w:rPr>
        <w:t>available for the purpose of the investigation, detection a</w:t>
      </w:r>
      <w:r w:rsidR="00722871" w:rsidRPr="003676AB">
        <w:rPr>
          <w:rFonts w:eastAsia="Calibri"/>
          <w:sz w:val="22"/>
          <w:szCs w:val="22"/>
        </w:rPr>
        <w:t>nd prosecution of serious crime</w:t>
      </w:r>
      <w:r w:rsidR="00D140FA" w:rsidRPr="003676AB">
        <w:rPr>
          <w:rFonts w:eastAsia="Calibri"/>
          <w:sz w:val="22"/>
          <w:szCs w:val="22"/>
        </w:rPr>
        <w:t xml:space="preserve"> and</w:t>
      </w:r>
      <w:r w:rsidR="00722871" w:rsidRPr="003676AB">
        <w:rPr>
          <w:rFonts w:eastAsia="Calibri"/>
          <w:sz w:val="22"/>
          <w:szCs w:val="22"/>
        </w:rPr>
        <w:t xml:space="preserve"> that</w:t>
      </w:r>
      <w:r w:rsidR="00B16C29" w:rsidRPr="003676AB">
        <w:rPr>
          <w:rFonts w:eastAsia="Calibri"/>
          <w:sz w:val="22"/>
          <w:szCs w:val="22"/>
        </w:rPr>
        <w:t xml:space="preserve"> </w:t>
      </w:r>
      <w:r w:rsidR="00722871" w:rsidRPr="003676AB">
        <w:rPr>
          <w:rFonts w:eastAsia="Calibri"/>
          <w:sz w:val="22"/>
          <w:szCs w:val="22"/>
        </w:rPr>
        <w:t xml:space="preserve">ultimately </w:t>
      </w:r>
      <w:r w:rsidR="00B16C29" w:rsidRPr="003676AB">
        <w:rPr>
          <w:rFonts w:eastAsia="Calibri"/>
          <w:sz w:val="22"/>
          <w:szCs w:val="22"/>
        </w:rPr>
        <w:t xml:space="preserve">it is </w:t>
      </w:r>
      <w:r w:rsidR="00456486" w:rsidRPr="003676AB">
        <w:rPr>
          <w:rFonts w:eastAsia="Calibri"/>
          <w:sz w:val="22"/>
          <w:szCs w:val="22"/>
        </w:rPr>
        <w:t xml:space="preserve">a measure </w:t>
      </w:r>
      <w:r w:rsidR="00722871" w:rsidRPr="003676AB">
        <w:rPr>
          <w:rFonts w:eastAsia="Calibri"/>
          <w:sz w:val="22"/>
          <w:szCs w:val="22"/>
        </w:rPr>
        <w:t>aimed at enhancing</w:t>
      </w:r>
      <w:r w:rsidR="00456486" w:rsidRPr="003676AB">
        <w:rPr>
          <w:rFonts w:eastAsia="Calibri"/>
          <w:sz w:val="22"/>
          <w:szCs w:val="22"/>
        </w:rPr>
        <w:t xml:space="preserve"> public security</w:t>
      </w:r>
      <w:r w:rsidRPr="003676AB">
        <w:rPr>
          <w:rFonts w:eastAsia="Calibri"/>
          <w:sz w:val="22"/>
          <w:szCs w:val="22"/>
          <w:lang w:eastAsia="sv-SE"/>
        </w:rPr>
        <w:t>.</w:t>
      </w:r>
      <w:r w:rsidRPr="003676AB">
        <w:rPr>
          <w:rStyle w:val="Fotnotsreferens"/>
          <w:rFonts w:ascii="Verdana" w:hAnsi="Verdana"/>
          <w:color w:val="333333"/>
          <w:sz w:val="22"/>
          <w:szCs w:val="22"/>
          <w:shd w:val="clear" w:color="auto" w:fill="FFFFFF"/>
        </w:rPr>
        <w:footnoteReference w:id="46"/>
      </w:r>
    </w:p>
    <w:p w14:paraId="12519830" w14:textId="72A8B591" w:rsidR="00EE4416" w:rsidRPr="003676AB" w:rsidRDefault="00B16C29" w:rsidP="00CF2DD8">
      <w:pPr>
        <w:spacing w:before="0" w:after="200"/>
        <w:rPr>
          <w:rFonts w:eastAsia="Calibri"/>
          <w:sz w:val="22"/>
          <w:szCs w:val="22"/>
        </w:rPr>
      </w:pPr>
      <w:r w:rsidRPr="003676AB">
        <w:rPr>
          <w:rFonts w:eastAsia="Calibri"/>
          <w:sz w:val="22"/>
          <w:szCs w:val="22"/>
        </w:rPr>
        <w:t>Returning</w:t>
      </w:r>
      <w:r w:rsidR="00EE4416" w:rsidRPr="003676AB">
        <w:rPr>
          <w:rFonts w:eastAsia="Calibri"/>
          <w:sz w:val="22"/>
          <w:szCs w:val="22"/>
        </w:rPr>
        <w:t xml:space="preserve"> to the pre-Lisbon case law, the Court of Justice’s judgments in </w:t>
      </w:r>
      <w:r w:rsidR="00EE4416" w:rsidRPr="003676AB">
        <w:rPr>
          <w:rFonts w:eastAsia="Calibri"/>
          <w:i/>
          <w:sz w:val="22"/>
          <w:szCs w:val="22"/>
        </w:rPr>
        <w:t>Environmental Crimes</w:t>
      </w:r>
      <w:r w:rsidR="00EE4416" w:rsidRPr="003676AB">
        <w:rPr>
          <w:rFonts w:eastAsia="Calibri"/>
          <w:sz w:val="22"/>
          <w:szCs w:val="22"/>
        </w:rPr>
        <w:t xml:space="preserve"> and the</w:t>
      </w:r>
      <w:r w:rsidR="00EE4416" w:rsidRPr="003676AB">
        <w:rPr>
          <w:rFonts w:eastAsia="Calibri"/>
          <w:i/>
          <w:sz w:val="22"/>
          <w:szCs w:val="22"/>
        </w:rPr>
        <w:t xml:space="preserve"> Ship Pollution</w:t>
      </w:r>
      <w:r w:rsidR="00456486" w:rsidRPr="003676AB">
        <w:rPr>
          <w:rFonts w:eastAsia="Calibri"/>
          <w:sz w:val="22"/>
          <w:szCs w:val="22"/>
        </w:rPr>
        <w:t xml:space="preserve"> </w:t>
      </w:r>
      <w:r w:rsidRPr="003676AB">
        <w:rPr>
          <w:rFonts w:eastAsia="Calibri"/>
          <w:sz w:val="22"/>
          <w:szCs w:val="22"/>
        </w:rPr>
        <w:t xml:space="preserve">highlighted </w:t>
      </w:r>
      <w:r w:rsidR="00EE4416" w:rsidRPr="003676AB">
        <w:rPr>
          <w:rFonts w:eastAsia="Calibri"/>
          <w:sz w:val="22"/>
          <w:szCs w:val="22"/>
        </w:rPr>
        <w:t xml:space="preserve">the Court’s insistence on protecting the more integration-friendly legislatives competences in the first pillar </w:t>
      </w:r>
      <w:r w:rsidR="00722871" w:rsidRPr="003676AB">
        <w:rPr>
          <w:rFonts w:eastAsia="Calibri"/>
          <w:sz w:val="22"/>
          <w:szCs w:val="22"/>
        </w:rPr>
        <w:t xml:space="preserve">where they conflicted </w:t>
      </w:r>
      <w:r w:rsidR="00EE4416" w:rsidRPr="003676AB">
        <w:rPr>
          <w:rFonts w:eastAsia="Calibri"/>
          <w:sz w:val="22"/>
          <w:szCs w:val="22"/>
        </w:rPr>
        <w:t>with legal bases in the third pillar</w:t>
      </w:r>
      <w:r w:rsidR="00DB062A" w:rsidRPr="003676AB">
        <w:rPr>
          <w:rFonts w:eastAsia="Calibri"/>
          <w:sz w:val="22"/>
          <w:szCs w:val="22"/>
        </w:rPr>
        <w:t>.</w:t>
      </w:r>
      <w:r w:rsidR="00BA2AB7" w:rsidRPr="003676AB">
        <w:rPr>
          <w:rFonts w:eastAsia="Calibri"/>
          <w:sz w:val="22"/>
          <w:szCs w:val="22"/>
        </w:rPr>
        <w:t xml:space="preserve"> In these judgments the Court held that the legal bases of </w:t>
      </w:r>
      <w:r w:rsidR="00AD69C3" w:rsidRPr="003676AB">
        <w:rPr>
          <w:rFonts w:eastAsia="Calibri"/>
          <w:sz w:val="22"/>
          <w:szCs w:val="22"/>
        </w:rPr>
        <w:t>arts</w:t>
      </w:r>
      <w:r w:rsidR="00BA2AB7" w:rsidRPr="003676AB">
        <w:rPr>
          <w:rFonts w:eastAsia="Calibri"/>
          <w:sz w:val="22"/>
          <w:szCs w:val="22"/>
        </w:rPr>
        <w:t xml:space="preserve"> 100(2) TFEU (transport policy) and 192 TFEU (environmental policy) had </w:t>
      </w:r>
      <w:r w:rsidR="00B87605" w:rsidRPr="003676AB">
        <w:rPr>
          <w:rFonts w:eastAsia="Calibri"/>
          <w:sz w:val="22"/>
          <w:szCs w:val="22"/>
        </w:rPr>
        <w:t>priority</w:t>
      </w:r>
      <w:r w:rsidR="00BA2AB7" w:rsidRPr="003676AB">
        <w:rPr>
          <w:rFonts w:eastAsia="Calibri"/>
          <w:sz w:val="22"/>
          <w:szCs w:val="22"/>
        </w:rPr>
        <w:t xml:space="preserve"> over </w:t>
      </w:r>
      <w:r w:rsidR="00722871" w:rsidRPr="003676AB">
        <w:rPr>
          <w:rFonts w:eastAsia="Calibri"/>
          <w:sz w:val="22"/>
          <w:szCs w:val="22"/>
        </w:rPr>
        <w:t xml:space="preserve">third pillar </w:t>
      </w:r>
      <w:r w:rsidR="00BA2AB7" w:rsidRPr="003676AB">
        <w:rPr>
          <w:rFonts w:eastAsia="Calibri"/>
          <w:sz w:val="22"/>
          <w:szCs w:val="22"/>
        </w:rPr>
        <w:t xml:space="preserve">provisions providing for </w:t>
      </w:r>
      <w:r w:rsidR="00B87605" w:rsidRPr="003676AB">
        <w:rPr>
          <w:rFonts w:eastAsia="Calibri"/>
          <w:sz w:val="22"/>
          <w:szCs w:val="22"/>
        </w:rPr>
        <w:t xml:space="preserve">a </w:t>
      </w:r>
      <w:r w:rsidR="00BA2AB7" w:rsidRPr="003676AB">
        <w:rPr>
          <w:rFonts w:eastAsia="Calibri"/>
          <w:sz w:val="22"/>
          <w:szCs w:val="22"/>
        </w:rPr>
        <w:t>criminal law competence.</w:t>
      </w:r>
      <w:r w:rsidR="00DB062A" w:rsidRPr="003676AB">
        <w:rPr>
          <w:rStyle w:val="Fotnotsreferens"/>
          <w:rFonts w:eastAsia="Calibri"/>
          <w:sz w:val="22"/>
          <w:szCs w:val="22"/>
        </w:rPr>
        <w:footnoteReference w:id="47"/>
      </w:r>
      <w:r w:rsidR="00DB062A" w:rsidRPr="003676AB">
        <w:rPr>
          <w:rFonts w:eastAsia="Calibri"/>
          <w:sz w:val="22"/>
          <w:szCs w:val="22"/>
        </w:rPr>
        <w:t xml:space="preserve"> </w:t>
      </w:r>
      <w:r w:rsidR="00EE4416" w:rsidRPr="003676AB">
        <w:rPr>
          <w:rFonts w:eastAsia="Calibri"/>
          <w:sz w:val="22"/>
          <w:szCs w:val="22"/>
        </w:rPr>
        <w:t>The pre-Lisbon case law on conflicts of legal basis in relation to</w:t>
      </w:r>
      <w:r w:rsidR="00456486" w:rsidRPr="003676AB">
        <w:rPr>
          <w:rFonts w:eastAsia="Calibri"/>
          <w:sz w:val="22"/>
          <w:szCs w:val="22"/>
        </w:rPr>
        <w:t xml:space="preserve"> criminal law measures must, however,</w:t>
      </w:r>
      <w:r w:rsidR="00EE4416" w:rsidRPr="003676AB">
        <w:rPr>
          <w:rFonts w:eastAsia="Calibri"/>
          <w:sz w:val="22"/>
          <w:szCs w:val="22"/>
        </w:rPr>
        <w:t xml:space="preserve"> be viewed in light of the Treaties’ strong preference for the Community pillar</w:t>
      </w:r>
      <w:r w:rsidR="00722871" w:rsidRPr="003676AB">
        <w:rPr>
          <w:rFonts w:eastAsia="Calibri"/>
          <w:sz w:val="22"/>
          <w:szCs w:val="22"/>
        </w:rPr>
        <w:t xml:space="preserve"> under the previous three-pillar structure</w:t>
      </w:r>
      <w:r w:rsidR="00EE4416" w:rsidRPr="003676AB">
        <w:rPr>
          <w:rFonts w:eastAsia="Calibri"/>
          <w:sz w:val="22"/>
          <w:szCs w:val="22"/>
        </w:rPr>
        <w:t>.</w:t>
      </w:r>
      <w:r w:rsidR="00EE4416" w:rsidRPr="003676AB">
        <w:rPr>
          <w:rStyle w:val="Fotnotsreferens"/>
          <w:rFonts w:eastAsia="Calibri"/>
          <w:sz w:val="22"/>
          <w:szCs w:val="22"/>
        </w:rPr>
        <w:footnoteReference w:id="48"/>
      </w:r>
      <w:r w:rsidR="00456486" w:rsidRPr="003676AB">
        <w:rPr>
          <w:rFonts w:eastAsia="Calibri"/>
          <w:sz w:val="22"/>
          <w:szCs w:val="22"/>
        </w:rPr>
        <w:t xml:space="preserve"> </w:t>
      </w:r>
      <w:r w:rsidR="00722871" w:rsidRPr="003676AB">
        <w:rPr>
          <w:rFonts w:eastAsia="Calibri"/>
          <w:sz w:val="22"/>
          <w:szCs w:val="22"/>
        </w:rPr>
        <w:t>Finally, t</w:t>
      </w:r>
      <w:r w:rsidR="00456486" w:rsidRPr="003676AB">
        <w:rPr>
          <w:rFonts w:eastAsia="Calibri"/>
          <w:sz w:val="22"/>
          <w:szCs w:val="22"/>
        </w:rPr>
        <w:t xml:space="preserve">he wording of </w:t>
      </w:r>
      <w:r w:rsidRPr="003676AB">
        <w:rPr>
          <w:rFonts w:eastAsia="Calibri"/>
          <w:sz w:val="22"/>
          <w:szCs w:val="22"/>
        </w:rPr>
        <w:t>ex-</w:t>
      </w:r>
      <w:r w:rsidR="00AD69C3" w:rsidRPr="003676AB">
        <w:rPr>
          <w:rFonts w:eastAsia="Calibri"/>
          <w:sz w:val="22"/>
          <w:szCs w:val="22"/>
        </w:rPr>
        <w:t>art.</w:t>
      </w:r>
      <w:r w:rsidR="00456486" w:rsidRPr="003676AB">
        <w:rPr>
          <w:rFonts w:eastAsia="Calibri"/>
          <w:sz w:val="22"/>
          <w:szCs w:val="22"/>
        </w:rPr>
        <w:t xml:space="preserve"> 47 </w:t>
      </w:r>
      <w:r w:rsidR="00BA2AB7" w:rsidRPr="003676AB">
        <w:rPr>
          <w:rFonts w:eastAsia="Calibri"/>
          <w:sz w:val="22"/>
          <w:szCs w:val="22"/>
        </w:rPr>
        <w:t>EU provided</w:t>
      </w:r>
      <w:r w:rsidR="00183CC8" w:rsidRPr="003676AB">
        <w:rPr>
          <w:rFonts w:eastAsia="Calibri"/>
          <w:sz w:val="22"/>
          <w:szCs w:val="22"/>
        </w:rPr>
        <w:t xml:space="preserve"> the Court</w:t>
      </w:r>
      <w:r w:rsidR="00BA2AB7" w:rsidRPr="003676AB">
        <w:rPr>
          <w:rFonts w:eastAsia="Calibri"/>
          <w:sz w:val="22"/>
          <w:szCs w:val="22"/>
        </w:rPr>
        <w:t xml:space="preserve"> with</w:t>
      </w:r>
      <w:r w:rsidR="00183CC8" w:rsidRPr="003676AB">
        <w:rPr>
          <w:rFonts w:eastAsia="Calibri"/>
          <w:sz w:val="22"/>
          <w:szCs w:val="22"/>
        </w:rPr>
        <w:t xml:space="preserve"> textual support </w:t>
      </w:r>
      <w:r w:rsidR="00722871" w:rsidRPr="003676AB">
        <w:rPr>
          <w:rFonts w:eastAsia="Calibri"/>
          <w:sz w:val="22"/>
          <w:szCs w:val="22"/>
        </w:rPr>
        <w:t xml:space="preserve">for its preference for </w:t>
      </w:r>
      <w:r w:rsidR="00C91041" w:rsidRPr="003676AB">
        <w:rPr>
          <w:rFonts w:eastAsia="Calibri"/>
          <w:sz w:val="22"/>
          <w:szCs w:val="22"/>
        </w:rPr>
        <w:t>Community pillar legal bases in disputes with third pillar legal bases.</w:t>
      </w:r>
      <w:r w:rsidR="00C91041" w:rsidRPr="003676AB">
        <w:rPr>
          <w:rStyle w:val="Fotnotsreferens"/>
          <w:rFonts w:eastAsia="Calibri"/>
          <w:sz w:val="22"/>
          <w:szCs w:val="22"/>
        </w:rPr>
        <w:footnoteReference w:id="49"/>
      </w:r>
      <w:r w:rsidR="00456486" w:rsidRPr="003676AB">
        <w:rPr>
          <w:rStyle w:val="Fotnotsreferens"/>
          <w:rFonts w:eastAsia="Calibri"/>
          <w:sz w:val="22"/>
          <w:szCs w:val="22"/>
        </w:rPr>
        <w:t xml:space="preserve"> </w:t>
      </w:r>
    </w:p>
    <w:p w14:paraId="1670EF21" w14:textId="0D19F9DE" w:rsidR="0001458A" w:rsidRPr="003676AB" w:rsidRDefault="00722871" w:rsidP="00BA2AB7">
      <w:pPr>
        <w:spacing w:before="0" w:after="200"/>
        <w:rPr>
          <w:rFonts w:eastAsia="Calibri"/>
          <w:sz w:val="22"/>
          <w:szCs w:val="22"/>
        </w:rPr>
      </w:pPr>
      <w:r w:rsidRPr="003676AB">
        <w:rPr>
          <w:rFonts w:eastAsia="Calibri"/>
          <w:sz w:val="22"/>
          <w:szCs w:val="22"/>
        </w:rPr>
        <w:t>However, a</w:t>
      </w:r>
      <w:r w:rsidR="00BA2AB7" w:rsidRPr="003676AB">
        <w:rPr>
          <w:rFonts w:eastAsia="Calibri"/>
          <w:sz w:val="22"/>
          <w:szCs w:val="22"/>
        </w:rPr>
        <w:t xml:space="preserve"> revi</w:t>
      </w:r>
      <w:r w:rsidRPr="003676AB">
        <w:rPr>
          <w:rFonts w:eastAsia="Calibri"/>
          <w:sz w:val="22"/>
          <w:szCs w:val="22"/>
        </w:rPr>
        <w:t>ew of the case law after Lisbon</w:t>
      </w:r>
      <w:r w:rsidR="00BA2AB7" w:rsidRPr="003676AB">
        <w:rPr>
          <w:rFonts w:eastAsia="Calibri"/>
          <w:sz w:val="22"/>
          <w:szCs w:val="22"/>
        </w:rPr>
        <w:t xml:space="preserve"> suggests that the Court</w:t>
      </w:r>
      <w:r w:rsidR="00F827D7" w:rsidRPr="003676AB">
        <w:rPr>
          <w:rFonts w:eastAsia="Calibri"/>
          <w:sz w:val="22"/>
          <w:szCs w:val="22"/>
        </w:rPr>
        <w:t xml:space="preserve">, despite the absence of </w:t>
      </w:r>
      <w:r w:rsidR="00C91041" w:rsidRPr="003676AB">
        <w:rPr>
          <w:rFonts w:eastAsia="Calibri"/>
          <w:sz w:val="22"/>
          <w:szCs w:val="22"/>
        </w:rPr>
        <w:t>a provision in the</w:t>
      </w:r>
      <w:r w:rsidR="00DB062A" w:rsidRPr="003676AB">
        <w:rPr>
          <w:rFonts w:eastAsia="Calibri"/>
          <w:sz w:val="22"/>
          <w:szCs w:val="22"/>
        </w:rPr>
        <w:t xml:space="preserve"> Treaties</w:t>
      </w:r>
      <w:r w:rsidR="00BA2AB7" w:rsidRPr="003676AB">
        <w:rPr>
          <w:rFonts w:eastAsia="Calibri"/>
          <w:sz w:val="22"/>
          <w:szCs w:val="22"/>
        </w:rPr>
        <w:t xml:space="preserve"> indicating preference for a specific decision-making framework in the TFEU</w:t>
      </w:r>
      <w:r w:rsidR="00F827D7" w:rsidRPr="003676AB">
        <w:rPr>
          <w:rFonts w:eastAsia="Calibri"/>
          <w:sz w:val="22"/>
          <w:szCs w:val="22"/>
        </w:rPr>
        <w:t>,</w:t>
      </w:r>
      <w:r w:rsidR="00BA2AB7" w:rsidRPr="003676AB">
        <w:rPr>
          <w:rFonts w:eastAsia="Calibri"/>
          <w:sz w:val="22"/>
          <w:szCs w:val="22"/>
        </w:rPr>
        <w:t xml:space="preserve"> has continued </w:t>
      </w:r>
      <w:r w:rsidR="00B16C29" w:rsidRPr="003676AB">
        <w:rPr>
          <w:rFonts w:eastAsia="Calibri"/>
          <w:sz w:val="22"/>
          <w:szCs w:val="22"/>
        </w:rPr>
        <w:t xml:space="preserve">to </w:t>
      </w:r>
      <w:r w:rsidR="00F827D7" w:rsidRPr="003676AB">
        <w:rPr>
          <w:rFonts w:eastAsia="Calibri"/>
          <w:sz w:val="22"/>
          <w:szCs w:val="22"/>
        </w:rPr>
        <w:t>prefer</w:t>
      </w:r>
      <w:r w:rsidR="00B16C29" w:rsidRPr="003676AB">
        <w:rPr>
          <w:rFonts w:eastAsia="Calibri"/>
          <w:sz w:val="22"/>
          <w:szCs w:val="22"/>
        </w:rPr>
        <w:t xml:space="preserve"> </w:t>
      </w:r>
      <w:r w:rsidR="00F827D7" w:rsidRPr="003676AB">
        <w:rPr>
          <w:rFonts w:eastAsia="Calibri"/>
          <w:sz w:val="22"/>
          <w:szCs w:val="22"/>
        </w:rPr>
        <w:t>stronger supranational competences</w:t>
      </w:r>
      <w:r w:rsidR="00BA2AB7" w:rsidRPr="003676AB">
        <w:rPr>
          <w:rFonts w:eastAsia="Calibri"/>
          <w:sz w:val="22"/>
          <w:szCs w:val="22"/>
        </w:rPr>
        <w:t xml:space="preserve"> in legal basis disputes</w:t>
      </w:r>
      <w:r w:rsidR="00F827D7" w:rsidRPr="003676AB">
        <w:rPr>
          <w:rFonts w:eastAsia="Calibri"/>
          <w:sz w:val="22"/>
          <w:szCs w:val="22"/>
        </w:rPr>
        <w:t>.</w:t>
      </w:r>
      <w:r w:rsidR="0001458A" w:rsidRPr="003676AB">
        <w:rPr>
          <w:rFonts w:eastAsia="Calibri"/>
          <w:sz w:val="22"/>
          <w:szCs w:val="22"/>
        </w:rPr>
        <w:t xml:space="preserve"> Recent judgments regarding conflicts between legal bases in the AFSJ and legal bases outside AFSJ illustrate this.</w:t>
      </w:r>
      <w:r w:rsidR="00BA2AB7" w:rsidRPr="003676AB">
        <w:rPr>
          <w:rFonts w:eastAsia="Calibri"/>
          <w:sz w:val="22"/>
          <w:szCs w:val="22"/>
        </w:rPr>
        <w:t xml:space="preserve"> The Court has applied its ‘main aim’ doctrine and consistently </w:t>
      </w:r>
      <w:r w:rsidRPr="003676AB">
        <w:rPr>
          <w:rFonts w:eastAsia="Calibri"/>
          <w:sz w:val="22"/>
          <w:szCs w:val="22"/>
        </w:rPr>
        <w:t xml:space="preserve">found </w:t>
      </w:r>
      <w:r w:rsidR="00662E79" w:rsidRPr="003676AB">
        <w:rPr>
          <w:rFonts w:eastAsia="Calibri"/>
          <w:sz w:val="22"/>
          <w:szCs w:val="22"/>
        </w:rPr>
        <w:t xml:space="preserve">that </w:t>
      </w:r>
      <w:r w:rsidR="0001458A" w:rsidRPr="003676AB">
        <w:rPr>
          <w:rFonts w:eastAsia="Calibri"/>
          <w:sz w:val="22"/>
          <w:szCs w:val="22"/>
        </w:rPr>
        <w:t>i</w:t>
      </w:r>
      <w:r w:rsidR="00662E79" w:rsidRPr="003676AB">
        <w:rPr>
          <w:rFonts w:eastAsia="Calibri"/>
          <w:sz w:val="22"/>
          <w:szCs w:val="22"/>
        </w:rPr>
        <w:t xml:space="preserve">f the predominant </w:t>
      </w:r>
      <w:r w:rsidR="003A1C3B" w:rsidRPr="003676AB">
        <w:rPr>
          <w:rFonts w:eastAsia="Calibri"/>
          <w:sz w:val="22"/>
          <w:szCs w:val="22"/>
        </w:rPr>
        <w:t xml:space="preserve">component </w:t>
      </w:r>
      <w:r w:rsidR="00662E79" w:rsidRPr="003676AB">
        <w:rPr>
          <w:rFonts w:eastAsia="Calibri"/>
          <w:sz w:val="22"/>
          <w:szCs w:val="22"/>
        </w:rPr>
        <w:t>of the measure favours a non-AFSJ legal basis</w:t>
      </w:r>
      <w:r w:rsidR="00B16C29" w:rsidRPr="003676AB">
        <w:rPr>
          <w:rFonts w:eastAsia="Calibri"/>
          <w:sz w:val="22"/>
          <w:szCs w:val="22"/>
        </w:rPr>
        <w:t>,</w:t>
      </w:r>
      <w:r w:rsidR="00662E79" w:rsidRPr="003676AB">
        <w:rPr>
          <w:rFonts w:eastAsia="Calibri"/>
          <w:sz w:val="22"/>
          <w:szCs w:val="22"/>
        </w:rPr>
        <w:t xml:space="preserve"> </w:t>
      </w:r>
      <w:r w:rsidR="00B16C29" w:rsidRPr="003676AB">
        <w:rPr>
          <w:rFonts w:eastAsia="Calibri"/>
          <w:sz w:val="22"/>
          <w:szCs w:val="22"/>
        </w:rPr>
        <w:t xml:space="preserve">this basis </w:t>
      </w:r>
      <w:r w:rsidR="00662E79" w:rsidRPr="003676AB">
        <w:rPr>
          <w:rFonts w:eastAsia="Calibri"/>
          <w:sz w:val="22"/>
          <w:szCs w:val="22"/>
        </w:rPr>
        <w:t>must be granted priority</w:t>
      </w:r>
      <w:r w:rsidR="0001458A" w:rsidRPr="003676AB">
        <w:rPr>
          <w:rFonts w:eastAsia="Calibri"/>
          <w:sz w:val="22"/>
          <w:szCs w:val="22"/>
        </w:rPr>
        <w:t xml:space="preserve"> over an AFSJ legal basis</w:t>
      </w:r>
      <w:r w:rsidR="00BA2AB7" w:rsidRPr="003676AB">
        <w:rPr>
          <w:rFonts w:eastAsia="Calibri"/>
          <w:sz w:val="22"/>
          <w:szCs w:val="22"/>
        </w:rPr>
        <w:t xml:space="preserve">. </w:t>
      </w:r>
      <w:r w:rsidR="00B16C29" w:rsidRPr="003676AB">
        <w:rPr>
          <w:rFonts w:eastAsia="Calibri"/>
          <w:sz w:val="22"/>
          <w:szCs w:val="22"/>
        </w:rPr>
        <w:t>A</w:t>
      </w:r>
      <w:r w:rsidR="003A1C3B" w:rsidRPr="003676AB">
        <w:rPr>
          <w:rFonts w:eastAsia="Calibri"/>
          <w:sz w:val="22"/>
          <w:szCs w:val="22"/>
        </w:rPr>
        <w:t>ccording to the Court</w:t>
      </w:r>
      <w:r w:rsidR="00662E79" w:rsidRPr="003676AB">
        <w:rPr>
          <w:rFonts w:eastAsia="Calibri"/>
          <w:sz w:val="22"/>
          <w:szCs w:val="22"/>
        </w:rPr>
        <w:t xml:space="preserve"> </w:t>
      </w:r>
      <w:r w:rsidR="00B16C29" w:rsidRPr="003676AB">
        <w:rPr>
          <w:rFonts w:eastAsia="Calibri"/>
          <w:sz w:val="22"/>
          <w:szCs w:val="22"/>
        </w:rPr>
        <w:t xml:space="preserve">this should apply </w:t>
      </w:r>
      <w:r w:rsidR="00662E79" w:rsidRPr="003676AB">
        <w:rPr>
          <w:rFonts w:eastAsia="Calibri"/>
          <w:sz w:val="22"/>
          <w:szCs w:val="22"/>
        </w:rPr>
        <w:t xml:space="preserve">notwithstanding </w:t>
      </w:r>
      <w:r w:rsidR="001D6F05" w:rsidRPr="003676AB">
        <w:rPr>
          <w:rFonts w:eastAsia="Calibri"/>
          <w:sz w:val="22"/>
          <w:szCs w:val="22"/>
        </w:rPr>
        <w:t xml:space="preserve">the fact </w:t>
      </w:r>
      <w:r w:rsidR="00662E79" w:rsidRPr="003676AB">
        <w:rPr>
          <w:rFonts w:eastAsia="Calibri"/>
          <w:sz w:val="22"/>
          <w:szCs w:val="22"/>
        </w:rPr>
        <w:t xml:space="preserve">that there may be ancillary elements </w:t>
      </w:r>
      <w:r w:rsidR="00662E79" w:rsidRPr="003676AB">
        <w:rPr>
          <w:rFonts w:eastAsia="Calibri"/>
          <w:sz w:val="22"/>
          <w:szCs w:val="22"/>
        </w:rPr>
        <w:lastRenderedPageBreak/>
        <w:t>relating to criminal law</w:t>
      </w:r>
      <w:r w:rsidR="00662E79" w:rsidRPr="003676AB">
        <w:rPr>
          <w:rFonts w:eastAsia="Calibri"/>
          <w:sz w:val="22"/>
          <w:szCs w:val="22"/>
          <w:vertAlign w:val="superscript"/>
        </w:rPr>
        <w:footnoteReference w:id="50"/>
      </w:r>
      <w:r w:rsidR="00662E79" w:rsidRPr="003676AB">
        <w:rPr>
          <w:rFonts w:eastAsia="Calibri"/>
          <w:sz w:val="22"/>
          <w:szCs w:val="22"/>
        </w:rPr>
        <w:t>, police cooperation</w:t>
      </w:r>
      <w:r w:rsidR="00662E79" w:rsidRPr="003676AB">
        <w:rPr>
          <w:rFonts w:eastAsia="Calibri"/>
          <w:sz w:val="22"/>
          <w:szCs w:val="22"/>
          <w:vertAlign w:val="superscript"/>
        </w:rPr>
        <w:footnoteReference w:id="51"/>
      </w:r>
      <w:r w:rsidR="0001458A" w:rsidRPr="003676AB">
        <w:rPr>
          <w:rFonts w:eastAsia="Calibri"/>
          <w:sz w:val="22"/>
          <w:szCs w:val="22"/>
        </w:rPr>
        <w:t>, migration</w:t>
      </w:r>
      <w:r w:rsidR="0001458A" w:rsidRPr="003676AB">
        <w:rPr>
          <w:rFonts w:eastAsia="Calibri"/>
          <w:sz w:val="22"/>
          <w:szCs w:val="22"/>
          <w:vertAlign w:val="superscript"/>
        </w:rPr>
        <w:footnoteReference w:id="52"/>
      </w:r>
      <w:r w:rsidR="0001458A" w:rsidRPr="003676AB">
        <w:rPr>
          <w:rFonts w:eastAsia="Calibri"/>
          <w:sz w:val="22"/>
          <w:szCs w:val="22"/>
        </w:rPr>
        <w:t xml:space="preserve"> </w:t>
      </w:r>
      <w:r w:rsidR="00662E79" w:rsidRPr="003676AB">
        <w:rPr>
          <w:rFonts w:eastAsia="Calibri"/>
          <w:sz w:val="22"/>
          <w:szCs w:val="22"/>
        </w:rPr>
        <w:t>or any other AFSJ policy.</w:t>
      </w:r>
      <w:r w:rsidR="00662E79" w:rsidRPr="003676AB">
        <w:rPr>
          <w:rFonts w:eastAsia="Calibri"/>
          <w:sz w:val="22"/>
          <w:szCs w:val="22"/>
          <w:vertAlign w:val="superscript"/>
        </w:rPr>
        <w:footnoteReference w:id="53"/>
      </w:r>
      <w:r w:rsidR="00662E79" w:rsidRPr="003676AB">
        <w:rPr>
          <w:sz w:val="22"/>
          <w:szCs w:val="22"/>
          <w:vertAlign w:val="superscript"/>
        </w:rPr>
        <w:t xml:space="preserve"> </w:t>
      </w:r>
      <w:r w:rsidR="00662E79" w:rsidRPr="003676AB">
        <w:rPr>
          <w:rFonts w:eastAsia="Calibri"/>
          <w:sz w:val="22"/>
          <w:szCs w:val="22"/>
        </w:rPr>
        <w:t>The Court has</w:t>
      </w:r>
      <w:r w:rsidR="00BA2AB7" w:rsidRPr="003676AB">
        <w:rPr>
          <w:rFonts w:eastAsia="Calibri"/>
          <w:sz w:val="22"/>
          <w:szCs w:val="22"/>
        </w:rPr>
        <w:t xml:space="preserve"> </w:t>
      </w:r>
      <w:r w:rsidRPr="003676AB">
        <w:rPr>
          <w:rFonts w:eastAsia="Calibri"/>
          <w:sz w:val="22"/>
          <w:szCs w:val="22"/>
        </w:rPr>
        <w:t xml:space="preserve">been careful to </w:t>
      </w:r>
      <w:r w:rsidR="00BA2AB7" w:rsidRPr="003676AB">
        <w:rPr>
          <w:rFonts w:eastAsia="Calibri"/>
          <w:sz w:val="22"/>
          <w:szCs w:val="22"/>
        </w:rPr>
        <w:t xml:space="preserve">underline </w:t>
      </w:r>
      <w:r w:rsidRPr="003676AB">
        <w:rPr>
          <w:rFonts w:eastAsia="Calibri"/>
          <w:sz w:val="22"/>
          <w:szCs w:val="22"/>
        </w:rPr>
        <w:t xml:space="preserve">the finding that </w:t>
      </w:r>
      <w:r w:rsidR="00662E79" w:rsidRPr="003676AB">
        <w:rPr>
          <w:rFonts w:eastAsia="Calibri"/>
          <w:sz w:val="22"/>
          <w:szCs w:val="22"/>
        </w:rPr>
        <w:t>the opt-out protocols attached to Title V</w:t>
      </w:r>
      <w:r w:rsidR="00BA2AB7" w:rsidRPr="003676AB">
        <w:rPr>
          <w:rFonts w:eastAsia="Calibri"/>
          <w:sz w:val="22"/>
          <w:szCs w:val="22"/>
        </w:rPr>
        <w:t xml:space="preserve"> </w:t>
      </w:r>
      <w:r w:rsidRPr="003676AB">
        <w:rPr>
          <w:rFonts w:eastAsia="Calibri"/>
          <w:sz w:val="22"/>
          <w:szCs w:val="22"/>
        </w:rPr>
        <w:t>can</w:t>
      </w:r>
      <w:r w:rsidR="00662E79" w:rsidRPr="003676AB">
        <w:rPr>
          <w:rFonts w:eastAsia="Calibri"/>
          <w:sz w:val="22"/>
          <w:szCs w:val="22"/>
        </w:rPr>
        <w:t>not</w:t>
      </w:r>
      <w:r w:rsidR="0001458A" w:rsidRPr="003676AB">
        <w:rPr>
          <w:rFonts w:eastAsia="Calibri"/>
          <w:sz w:val="22"/>
          <w:szCs w:val="22"/>
        </w:rPr>
        <w:t xml:space="preserve"> have the effect of </w:t>
      </w:r>
      <w:r w:rsidR="009B756F" w:rsidRPr="003676AB">
        <w:rPr>
          <w:rFonts w:eastAsia="Calibri"/>
          <w:sz w:val="22"/>
          <w:szCs w:val="22"/>
        </w:rPr>
        <w:t xml:space="preserve">prioritising </w:t>
      </w:r>
      <w:r w:rsidR="0001458A" w:rsidRPr="003676AB">
        <w:rPr>
          <w:rFonts w:eastAsia="Calibri"/>
          <w:sz w:val="22"/>
          <w:szCs w:val="22"/>
        </w:rPr>
        <w:t>the AFSJ legal bases</w:t>
      </w:r>
      <w:r w:rsidRPr="003676AB">
        <w:rPr>
          <w:rFonts w:eastAsia="Calibri"/>
          <w:sz w:val="22"/>
          <w:szCs w:val="22"/>
        </w:rPr>
        <w:t>,</w:t>
      </w:r>
      <w:r w:rsidR="00662E79" w:rsidRPr="003676AB">
        <w:rPr>
          <w:rFonts w:eastAsia="Calibri"/>
          <w:sz w:val="22"/>
          <w:szCs w:val="22"/>
        </w:rPr>
        <w:t xml:space="preserve"> if a measure </w:t>
      </w:r>
      <w:r w:rsidR="009B756F" w:rsidRPr="003676AB">
        <w:rPr>
          <w:rFonts w:eastAsia="Calibri"/>
          <w:sz w:val="22"/>
          <w:szCs w:val="22"/>
        </w:rPr>
        <w:t xml:space="preserve">is only </w:t>
      </w:r>
      <w:r w:rsidR="00662E79" w:rsidRPr="003676AB">
        <w:rPr>
          <w:rFonts w:eastAsia="Calibri"/>
          <w:sz w:val="22"/>
          <w:szCs w:val="22"/>
        </w:rPr>
        <w:t>incidental</w:t>
      </w:r>
      <w:r w:rsidR="009B756F" w:rsidRPr="003676AB">
        <w:rPr>
          <w:rFonts w:eastAsia="Calibri"/>
          <w:sz w:val="22"/>
          <w:szCs w:val="22"/>
        </w:rPr>
        <w:t>ly</w:t>
      </w:r>
      <w:r w:rsidR="00662E79" w:rsidRPr="003676AB">
        <w:rPr>
          <w:rFonts w:eastAsia="Calibri"/>
          <w:sz w:val="22"/>
          <w:szCs w:val="22"/>
        </w:rPr>
        <w:t xml:space="preserve"> </w:t>
      </w:r>
      <w:r w:rsidR="009B756F" w:rsidRPr="003676AB">
        <w:rPr>
          <w:rFonts w:eastAsia="Calibri"/>
          <w:sz w:val="22"/>
          <w:szCs w:val="22"/>
        </w:rPr>
        <w:t xml:space="preserve">related to </w:t>
      </w:r>
      <w:r w:rsidR="00662E79" w:rsidRPr="003676AB">
        <w:rPr>
          <w:rFonts w:eastAsia="Calibri"/>
          <w:sz w:val="22"/>
          <w:szCs w:val="22"/>
        </w:rPr>
        <w:t>that legal basis.</w:t>
      </w:r>
      <w:r w:rsidR="00662E79" w:rsidRPr="003676AB">
        <w:rPr>
          <w:sz w:val="22"/>
          <w:szCs w:val="22"/>
          <w:vertAlign w:val="superscript"/>
        </w:rPr>
        <w:footnoteReference w:id="54"/>
      </w:r>
      <w:r w:rsidR="003A1C3B" w:rsidRPr="003676AB">
        <w:rPr>
          <w:rFonts w:eastAsia="Calibri"/>
          <w:sz w:val="22"/>
          <w:szCs w:val="22"/>
        </w:rPr>
        <w:t xml:space="preserve"> This clearly suggests </w:t>
      </w:r>
      <w:r w:rsidR="00D9165E" w:rsidRPr="003676AB">
        <w:rPr>
          <w:rFonts w:eastAsia="Calibri"/>
          <w:sz w:val="22"/>
          <w:szCs w:val="22"/>
        </w:rPr>
        <w:t>that</w:t>
      </w:r>
      <w:r w:rsidR="00662E79" w:rsidRPr="003676AB">
        <w:rPr>
          <w:rFonts w:eastAsia="Calibri"/>
          <w:sz w:val="22"/>
          <w:szCs w:val="22"/>
        </w:rPr>
        <w:t xml:space="preserve"> the Court of Justice’s case law </w:t>
      </w:r>
      <w:r w:rsidR="009B756F" w:rsidRPr="003676AB">
        <w:rPr>
          <w:rFonts w:eastAsia="Calibri"/>
          <w:sz w:val="22"/>
          <w:szCs w:val="22"/>
        </w:rPr>
        <w:t xml:space="preserve">allows for </w:t>
      </w:r>
      <w:r w:rsidR="00662E79" w:rsidRPr="003676AB">
        <w:rPr>
          <w:rFonts w:eastAsia="Calibri"/>
          <w:sz w:val="22"/>
          <w:szCs w:val="22"/>
        </w:rPr>
        <w:t xml:space="preserve">criminal law measures </w:t>
      </w:r>
      <w:r w:rsidR="009B756F" w:rsidRPr="003676AB">
        <w:rPr>
          <w:rFonts w:eastAsia="Calibri"/>
          <w:sz w:val="22"/>
          <w:szCs w:val="22"/>
        </w:rPr>
        <w:t xml:space="preserve">to be </w:t>
      </w:r>
      <w:r w:rsidR="00662E79" w:rsidRPr="003676AB">
        <w:rPr>
          <w:rFonts w:eastAsia="Calibri"/>
          <w:sz w:val="22"/>
          <w:szCs w:val="22"/>
        </w:rPr>
        <w:t>adopted outside Title V</w:t>
      </w:r>
      <w:r w:rsidR="009B756F" w:rsidRPr="003676AB">
        <w:rPr>
          <w:rFonts w:eastAsia="Calibri"/>
          <w:sz w:val="22"/>
          <w:szCs w:val="22"/>
        </w:rPr>
        <w:t xml:space="preserve">, </w:t>
      </w:r>
      <w:r w:rsidR="00662E79" w:rsidRPr="003676AB">
        <w:rPr>
          <w:rFonts w:eastAsia="Calibri"/>
          <w:sz w:val="22"/>
          <w:szCs w:val="22"/>
        </w:rPr>
        <w:t xml:space="preserve">if </w:t>
      </w:r>
      <w:r w:rsidR="009B756F" w:rsidRPr="003676AB">
        <w:rPr>
          <w:rFonts w:eastAsia="Calibri"/>
          <w:sz w:val="22"/>
          <w:szCs w:val="22"/>
        </w:rPr>
        <w:t xml:space="preserve">the criminal law aspect of the measure is </w:t>
      </w:r>
      <w:r w:rsidR="009B756F" w:rsidRPr="003676AB">
        <w:rPr>
          <w:sz w:val="22"/>
          <w:szCs w:val="22"/>
        </w:rPr>
        <w:t xml:space="preserve">merely </w:t>
      </w:r>
      <w:r w:rsidR="00662E79" w:rsidRPr="003676AB">
        <w:rPr>
          <w:sz w:val="22"/>
          <w:szCs w:val="22"/>
        </w:rPr>
        <w:t xml:space="preserve">incidental </w:t>
      </w:r>
      <w:r w:rsidR="009B756F" w:rsidRPr="003676AB">
        <w:rPr>
          <w:sz w:val="22"/>
          <w:szCs w:val="22"/>
        </w:rPr>
        <w:t xml:space="preserve">to </w:t>
      </w:r>
      <w:r w:rsidR="00662E79" w:rsidRPr="003676AB">
        <w:rPr>
          <w:sz w:val="22"/>
          <w:szCs w:val="22"/>
        </w:rPr>
        <w:t xml:space="preserve">another substantive policy </w:t>
      </w:r>
      <w:r w:rsidRPr="003676AB">
        <w:rPr>
          <w:sz w:val="22"/>
          <w:szCs w:val="22"/>
        </w:rPr>
        <w:t xml:space="preserve">which represents </w:t>
      </w:r>
      <w:r w:rsidR="00662E79" w:rsidRPr="003676AB">
        <w:rPr>
          <w:sz w:val="22"/>
          <w:szCs w:val="22"/>
        </w:rPr>
        <w:t>the ‘main aim’ of the instrument.</w:t>
      </w:r>
      <w:r w:rsidR="00662E79" w:rsidRPr="003676AB">
        <w:rPr>
          <w:sz w:val="22"/>
          <w:szCs w:val="22"/>
          <w:vertAlign w:val="superscript"/>
        </w:rPr>
        <w:footnoteReference w:id="55"/>
      </w:r>
    </w:p>
    <w:p w14:paraId="3D6E2029" w14:textId="7FEC89FC" w:rsidR="00834464" w:rsidRPr="003676AB" w:rsidRDefault="00D9165E" w:rsidP="00662E79">
      <w:pPr>
        <w:rPr>
          <w:sz w:val="22"/>
          <w:szCs w:val="22"/>
        </w:rPr>
      </w:pPr>
      <w:r w:rsidRPr="003676AB">
        <w:rPr>
          <w:sz w:val="22"/>
          <w:szCs w:val="22"/>
        </w:rPr>
        <w:t>The argument here is cr</w:t>
      </w:r>
      <w:r w:rsidR="00AC427E" w:rsidRPr="003676AB">
        <w:rPr>
          <w:sz w:val="22"/>
          <w:szCs w:val="22"/>
        </w:rPr>
        <w:t xml:space="preserve">itical </w:t>
      </w:r>
      <w:r w:rsidR="00722871" w:rsidRPr="003676AB">
        <w:rPr>
          <w:sz w:val="22"/>
          <w:szCs w:val="22"/>
        </w:rPr>
        <w:t xml:space="preserve">of </w:t>
      </w:r>
      <w:r w:rsidR="00AC427E" w:rsidRPr="003676AB">
        <w:rPr>
          <w:sz w:val="22"/>
          <w:szCs w:val="22"/>
        </w:rPr>
        <w:t>some of the</w:t>
      </w:r>
      <w:r w:rsidR="000138C1" w:rsidRPr="003676AB">
        <w:rPr>
          <w:sz w:val="22"/>
          <w:szCs w:val="22"/>
        </w:rPr>
        <w:t>se</w:t>
      </w:r>
      <w:r w:rsidR="00AC427E" w:rsidRPr="003676AB">
        <w:rPr>
          <w:sz w:val="22"/>
          <w:szCs w:val="22"/>
        </w:rPr>
        <w:t xml:space="preserve"> judgments</w:t>
      </w:r>
      <w:r w:rsidR="003A1C3B" w:rsidRPr="003676AB">
        <w:rPr>
          <w:sz w:val="22"/>
          <w:szCs w:val="22"/>
        </w:rPr>
        <w:t>,</w:t>
      </w:r>
      <w:r w:rsidRPr="003676AB">
        <w:rPr>
          <w:sz w:val="22"/>
          <w:szCs w:val="22"/>
        </w:rPr>
        <w:t xml:space="preserve"> not because of </w:t>
      </w:r>
      <w:r w:rsidR="00722871" w:rsidRPr="003676AB">
        <w:rPr>
          <w:sz w:val="22"/>
          <w:szCs w:val="22"/>
        </w:rPr>
        <w:t xml:space="preserve">the </w:t>
      </w:r>
      <w:r w:rsidRPr="003676AB">
        <w:rPr>
          <w:sz w:val="22"/>
          <w:szCs w:val="22"/>
        </w:rPr>
        <w:t>approach</w:t>
      </w:r>
      <w:r w:rsidR="00722871" w:rsidRPr="003676AB">
        <w:rPr>
          <w:sz w:val="22"/>
          <w:szCs w:val="22"/>
        </w:rPr>
        <w:t xml:space="preserve"> they contain in </w:t>
      </w:r>
      <w:r w:rsidRPr="003676AB">
        <w:rPr>
          <w:sz w:val="22"/>
          <w:szCs w:val="22"/>
        </w:rPr>
        <w:t xml:space="preserve">examining the aim and content of the measure, but against the Court’s </w:t>
      </w:r>
      <w:r w:rsidR="003A1C3B" w:rsidRPr="003676AB">
        <w:rPr>
          <w:sz w:val="22"/>
          <w:szCs w:val="22"/>
        </w:rPr>
        <w:t>approach of</w:t>
      </w:r>
      <w:r w:rsidRPr="003676AB">
        <w:rPr>
          <w:sz w:val="22"/>
          <w:szCs w:val="22"/>
        </w:rPr>
        <w:t xml:space="preserve"> interpret</w:t>
      </w:r>
      <w:r w:rsidR="003A1C3B" w:rsidRPr="003676AB">
        <w:rPr>
          <w:sz w:val="22"/>
          <w:szCs w:val="22"/>
        </w:rPr>
        <w:t>ing legal bases outside the AFSJ</w:t>
      </w:r>
      <w:r w:rsidR="00DF1611" w:rsidRPr="003676AB">
        <w:rPr>
          <w:sz w:val="22"/>
          <w:szCs w:val="22"/>
        </w:rPr>
        <w:t xml:space="preserve"> in a very broad manner</w:t>
      </w:r>
      <w:r w:rsidR="000138C1" w:rsidRPr="003676AB">
        <w:rPr>
          <w:sz w:val="22"/>
          <w:szCs w:val="22"/>
        </w:rPr>
        <w:t>.</w:t>
      </w:r>
      <w:r w:rsidR="00CF2DD8" w:rsidRPr="003676AB">
        <w:rPr>
          <w:rFonts w:eastAsia="Calibri"/>
          <w:sz w:val="22"/>
          <w:szCs w:val="22"/>
        </w:rPr>
        <w:t xml:space="preserve"> </w:t>
      </w:r>
      <w:r w:rsidR="00722871" w:rsidRPr="003676AB">
        <w:rPr>
          <w:sz w:val="22"/>
          <w:szCs w:val="22"/>
        </w:rPr>
        <w:t xml:space="preserve">On the face of it, </w:t>
      </w:r>
      <w:r w:rsidR="000138C1" w:rsidRPr="003676AB">
        <w:rPr>
          <w:sz w:val="22"/>
          <w:szCs w:val="22"/>
        </w:rPr>
        <w:t>it is difficult to questi</w:t>
      </w:r>
      <w:r w:rsidR="00722871" w:rsidRPr="003676AB">
        <w:rPr>
          <w:sz w:val="22"/>
          <w:szCs w:val="22"/>
        </w:rPr>
        <w:t>on the Court’s approach in the social-s</w:t>
      </w:r>
      <w:r w:rsidR="000138C1" w:rsidRPr="003676AB">
        <w:rPr>
          <w:sz w:val="22"/>
          <w:szCs w:val="22"/>
        </w:rPr>
        <w:t>ecurity cases</w:t>
      </w:r>
      <w:r w:rsidR="00DE0DD5" w:rsidRPr="003676AB">
        <w:rPr>
          <w:sz w:val="22"/>
          <w:szCs w:val="22"/>
        </w:rPr>
        <w:t xml:space="preserve"> </w:t>
      </w:r>
      <w:r w:rsidR="00722871" w:rsidRPr="003676AB">
        <w:rPr>
          <w:sz w:val="22"/>
          <w:szCs w:val="22"/>
        </w:rPr>
        <w:t xml:space="preserve">concerning </w:t>
      </w:r>
      <w:r w:rsidR="00DE0DD5" w:rsidRPr="003676AB">
        <w:rPr>
          <w:sz w:val="22"/>
          <w:szCs w:val="22"/>
        </w:rPr>
        <w:t>Swi</w:t>
      </w:r>
      <w:r w:rsidR="00B60F9B" w:rsidRPr="003676AB">
        <w:rPr>
          <w:sz w:val="22"/>
          <w:szCs w:val="22"/>
        </w:rPr>
        <w:t>tzerland</w:t>
      </w:r>
      <w:r w:rsidR="00DE0DD5" w:rsidRPr="003676AB">
        <w:rPr>
          <w:sz w:val="22"/>
          <w:szCs w:val="22"/>
        </w:rPr>
        <w:t xml:space="preserve"> and Turkey</w:t>
      </w:r>
      <w:r w:rsidR="00722871" w:rsidRPr="003676AB">
        <w:rPr>
          <w:sz w:val="22"/>
          <w:szCs w:val="22"/>
        </w:rPr>
        <w:t xml:space="preserve"> relating to agreements intended to facilitate the free movement of persons (Switzerland) and the gradual free movement of workers (Turkey) in which</w:t>
      </w:r>
      <w:r w:rsidR="00B60F9B" w:rsidRPr="003676AB">
        <w:rPr>
          <w:sz w:val="22"/>
          <w:szCs w:val="22"/>
        </w:rPr>
        <w:t xml:space="preserve"> the link to migration and </w:t>
      </w:r>
      <w:r w:rsidR="00AD69C3" w:rsidRPr="003676AB">
        <w:rPr>
          <w:sz w:val="22"/>
          <w:szCs w:val="22"/>
        </w:rPr>
        <w:t>art.</w:t>
      </w:r>
      <w:r w:rsidR="00B60F9B" w:rsidRPr="003676AB">
        <w:rPr>
          <w:sz w:val="22"/>
          <w:szCs w:val="22"/>
        </w:rPr>
        <w:t xml:space="preserve"> 79 TFEU was weak</w:t>
      </w:r>
      <w:r w:rsidR="00E90679" w:rsidRPr="003676AB">
        <w:rPr>
          <w:sz w:val="22"/>
          <w:szCs w:val="22"/>
        </w:rPr>
        <w:t>.</w:t>
      </w:r>
      <w:r w:rsidR="00C6420B" w:rsidRPr="003676AB">
        <w:rPr>
          <w:rStyle w:val="Fotnotsreferens"/>
          <w:sz w:val="22"/>
          <w:szCs w:val="22"/>
        </w:rPr>
        <w:footnoteReference w:id="56"/>
      </w:r>
      <w:r w:rsidR="0005782A" w:rsidRPr="003676AB">
        <w:rPr>
          <w:sz w:val="22"/>
          <w:szCs w:val="22"/>
        </w:rPr>
        <w:t xml:space="preserve"> The Court’s approach</w:t>
      </w:r>
      <w:r w:rsidR="0086172B" w:rsidRPr="003676AB">
        <w:rPr>
          <w:sz w:val="22"/>
          <w:szCs w:val="22"/>
        </w:rPr>
        <w:t xml:space="preserve"> </w:t>
      </w:r>
      <w:r w:rsidR="0005782A" w:rsidRPr="003676AB">
        <w:rPr>
          <w:sz w:val="22"/>
          <w:szCs w:val="22"/>
        </w:rPr>
        <w:t xml:space="preserve">to the Framework Agreement with </w:t>
      </w:r>
      <w:r w:rsidR="00B60F9B" w:rsidRPr="003676AB">
        <w:rPr>
          <w:sz w:val="22"/>
          <w:szCs w:val="22"/>
        </w:rPr>
        <w:t xml:space="preserve">the </w:t>
      </w:r>
      <w:r w:rsidR="00F02A29" w:rsidRPr="003676AB">
        <w:rPr>
          <w:sz w:val="22"/>
          <w:szCs w:val="22"/>
        </w:rPr>
        <w:t>Philippines</w:t>
      </w:r>
      <w:r w:rsidR="0001458A" w:rsidRPr="003676AB">
        <w:rPr>
          <w:sz w:val="22"/>
          <w:szCs w:val="22"/>
        </w:rPr>
        <w:t xml:space="preserve"> is </w:t>
      </w:r>
      <w:r w:rsidR="0005782A" w:rsidRPr="003676AB">
        <w:rPr>
          <w:sz w:val="22"/>
          <w:szCs w:val="22"/>
        </w:rPr>
        <w:t>more questionable. In</w:t>
      </w:r>
      <w:r w:rsidR="003A1C3B" w:rsidRPr="003676AB">
        <w:rPr>
          <w:sz w:val="22"/>
          <w:szCs w:val="22"/>
        </w:rPr>
        <w:t xml:space="preserve"> </w:t>
      </w:r>
      <w:r w:rsidR="003A1C3B" w:rsidRPr="003676AB">
        <w:rPr>
          <w:i/>
          <w:sz w:val="22"/>
          <w:szCs w:val="22"/>
        </w:rPr>
        <w:t>Commission v Council</w:t>
      </w:r>
      <w:r w:rsidR="003A1C3B" w:rsidRPr="003676AB">
        <w:rPr>
          <w:sz w:val="22"/>
          <w:szCs w:val="22"/>
        </w:rPr>
        <w:t xml:space="preserve"> the Court</w:t>
      </w:r>
      <w:r w:rsidR="0001458A" w:rsidRPr="003676AB">
        <w:rPr>
          <w:sz w:val="22"/>
          <w:szCs w:val="22"/>
        </w:rPr>
        <w:t xml:space="preserve"> </w:t>
      </w:r>
      <w:r w:rsidR="0086172B" w:rsidRPr="003676AB">
        <w:rPr>
          <w:sz w:val="22"/>
          <w:szCs w:val="22"/>
        </w:rPr>
        <w:t>interpreted ‘</w:t>
      </w:r>
      <w:r w:rsidR="0005782A" w:rsidRPr="003676AB">
        <w:rPr>
          <w:sz w:val="22"/>
          <w:szCs w:val="22"/>
        </w:rPr>
        <w:t>development cooperation</w:t>
      </w:r>
      <w:r w:rsidR="0086172B" w:rsidRPr="003676AB">
        <w:rPr>
          <w:sz w:val="22"/>
          <w:szCs w:val="22"/>
        </w:rPr>
        <w:t>’ broadly</w:t>
      </w:r>
      <w:r w:rsidR="00B60F9B" w:rsidRPr="003676AB">
        <w:rPr>
          <w:sz w:val="22"/>
          <w:szCs w:val="22"/>
        </w:rPr>
        <w:t>,</w:t>
      </w:r>
      <w:r w:rsidR="0005782A" w:rsidRPr="003676AB">
        <w:rPr>
          <w:sz w:val="22"/>
          <w:szCs w:val="22"/>
        </w:rPr>
        <w:t xml:space="preserve"> holding that all commitments in the agreement with regard to the environment, </w:t>
      </w:r>
      <w:r w:rsidR="005D7F14" w:rsidRPr="003676AB">
        <w:rPr>
          <w:sz w:val="22"/>
          <w:szCs w:val="22"/>
        </w:rPr>
        <w:t>readmission of third-country nationals and transport contributed to ‘development cooperation’.</w:t>
      </w:r>
      <w:r w:rsidR="005F5147" w:rsidRPr="003676AB">
        <w:rPr>
          <w:rStyle w:val="Fotnotsreferens"/>
          <w:sz w:val="22"/>
          <w:szCs w:val="22"/>
        </w:rPr>
        <w:footnoteReference w:id="57"/>
      </w:r>
      <w:r w:rsidR="005F5147" w:rsidRPr="003676AB">
        <w:rPr>
          <w:sz w:val="22"/>
          <w:szCs w:val="22"/>
        </w:rPr>
        <w:t xml:space="preserve"> </w:t>
      </w:r>
      <w:r w:rsidR="005D7F14" w:rsidRPr="003676AB">
        <w:rPr>
          <w:sz w:val="22"/>
          <w:szCs w:val="22"/>
        </w:rPr>
        <w:t>This rhetoric</w:t>
      </w:r>
      <w:r w:rsidR="00B60F9B" w:rsidRPr="003676AB">
        <w:rPr>
          <w:sz w:val="22"/>
          <w:szCs w:val="22"/>
        </w:rPr>
        <w:t>,</w:t>
      </w:r>
      <w:r w:rsidR="005D7F14" w:rsidRPr="003676AB">
        <w:rPr>
          <w:sz w:val="22"/>
          <w:szCs w:val="22"/>
        </w:rPr>
        <w:t xml:space="preserve"> </w:t>
      </w:r>
      <w:r w:rsidR="00B60F9B" w:rsidRPr="003676AB">
        <w:rPr>
          <w:sz w:val="22"/>
          <w:szCs w:val="22"/>
        </w:rPr>
        <w:t xml:space="preserve">while </w:t>
      </w:r>
      <w:r w:rsidR="005D7F14" w:rsidRPr="003676AB">
        <w:rPr>
          <w:sz w:val="22"/>
          <w:szCs w:val="22"/>
        </w:rPr>
        <w:t xml:space="preserve">similar to </w:t>
      </w:r>
      <w:r w:rsidR="00B60F9B" w:rsidRPr="003676AB">
        <w:rPr>
          <w:sz w:val="22"/>
          <w:szCs w:val="22"/>
        </w:rPr>
        <w:t xml:space="preserve">that used by </w:t>
      </w:r>
      <w:r w:rsidR="005D7F14" w:rsidRPr="003676AB">
        <w:rPr>
          <w:sz w:val="22"/>
          <w:szCs w:val="22"/>
        </w:rPr>
        <w:t>the Court with regard to th</w:t>
      </w:r>
      <w:r w:rsidR="00F54513" w:rsidRPr="003676AB">
        <w:rPr>
          <w:sz w:val="22"/>
          <w:szCs w:val="22"/>
        </w:rPr>
        <w:t>e internal market</w:t>
      </w:r>
      <w:r w:rsidR="00B60F9B" w:rsidRPr="003676AB">
        <w:rPr>
          <w:sz w:val="22"/>
          <w:szCs w:val="22"/>
        </w:rPr>
        <w:t xml:space="preserve">, is </w:t>
      </w:r>
      <w:r w:rsidR="0086172B" w:rsidRPr="003676AB">
        <w:rPr>
          <w:sz w:val="22"/>
          <w:szCs w:val="22"/>
        </w:rPr>
        <w:t xml:space="preserve">not </w:t>
      </w:r>
      <w:r w:rsidR="00B60F9B" w:rsidRPr="003676AB">
        <w:rPr>
          <w:sz w:val="22"/>
          <w:szCs w:val="22"/>
        </w:rPr>
        <w:t>especially illuminating</w:t>
      </w:r>
      <w:r w:rsidR="005D7F14" w:rsidRPr="003676AB">
        <w:rPr>
          <w:sz w:val="22"/>
          <w:szCs w:val="22"/>
        </w:rPr>
        <w:t>.</w:t>
      </w:r>
      <w:r w:rsidR="0001458A" w:rsidRPr="003676AB">
        <w:rPr>
          <w:rStyle w:val="Fotnotsreferens"/>
          <w:sz w:val="22"/>
          <w:szCs w:val="22"/>
        </w:rPr>
        <w:footnoteReference w:id="58"/>
      </w:r>
      <w:r w:rsidR="00061AA3" w:rsidRPr="003676AB">
        <w:rPr>
          <w:sz w:val="22"/>
          <w:szCs w:val="22"/>
        </w:rPr>
        <w:t xml:space="preserve"> </w:t>
      </w:r>
      <w:r w:rsidR="00B60F9B" w:rsidRPr="003676AB">
        <w:rPr>
          <w:sz w:val="22"/>
          <w:szCs w:val="22"/>
        </w:rPr>
        <w:t>Clearly</w:t>
      </w:r>
      <w:r w:rsidR="00061AA3" w:rsidRPr="003676AB">
        <w:rPr>
          <w:sz w:val="22"/>
          <w:szCs w:val="22"/>
        </w:rPr>
        <w:t>, different policies could always contribute to a country’s</w:t>
      </w:r>
      <w:r w:rsidR="00A80B13" w:rsidRPr="003676AB">
        <w:rPr>
          <w:sz w:val="22"/>
          <w:szCs w:val="22"/>
        </w:rPr>
        <w:t xml:space="preserve"> development </w:t>
      </w:r>
      <w:r w:rsidR="00DC380E" w:rsidRPr="003676AB">
        <w:rPr>
          <w:sz w:val="22"/>
          <w:szCs w:val="22"/>
        </w:rPr>
        <w:t xml:space="preserve">but such an interpretation would </w:t>
      </w:r>
      <w:r w:rsidR="00722871" w:rsidRPr="003676AB">
        <w:rPr>
          <w:sz w:val="22"/>
          <w:szCs w:val="22"/>
        </w:rPr>
        <w:t xml:space="preserve">effectively </w:t>
      </w:r>
      <w:r w:rsidR="00DC380E" w:rsidRPr="003676AB">
        <w:rPr>
          <w:sz w:val="22"/>
          <w:szCs w:val="22"/>
        </w:rPr>
        <w:t xml:space="preserve">eliminate any </w:t>
      </w:r>
      <w:r w:rsidR="00722871" w:rsidRPr="003676AB">
        <w:rPr>
          <w:sz w:val="22"/>
          <w:szCs w:val="22"/>
        </w:rPr>
        <w:t xml:space="preserve">limits </w:t>
      </w:r>
      <w:r w:rsidR="00DC380E" w:rsidRPr="003676AB">
        <w:rPr>
          <w:sz w:val="22"/>
          <w:szCs w:val="22"/>
        </w:rPr>
        <w:t>to that competence</w:t>
      </w:r>
      <w:r w:rsidR="0086172B" w:rsidRPr="003676AB">
        <w:rPr>
          <w:sz w:val="22"/>
          <w:szCs w:val="22"/>
        </w:rPr>
        <w:t xml:space="preserve">. </w:t>
      </w:r>
      <w:r w:rsidR="008F5039" w:rsidRPr="003676AB">
        <w:rPr>
          <w:sz w:val="22"/>
          <w:szCs w:val="22"/>
        </w:rPr>
        <w:t xml:space="preserve">The result is </w:t>
      </w:r>
      <w:r w:rsidR="00F02A29" w:rsidRPr="003676AB">
        <w:rPr>
          <w:sz w:val="22"/>
          <w:szCs w:val="22"/>
        </w:rPr>
        <w:t>that the Union-friendly legal basis</w:t>
      </w:r>
      <w:r w:rsidR="0086172B" w:rsidRPr="003676AB">
        <w:rPr>
          <w:sz w:val="22"/>
          <w:szCs w:val="22"/>
        </w:rPr>
        <w:t xml:space="preserve"> (in this case </w:t>
      </w:r>
      <w:r w:rsidR="00027330" w:rsidRPr="003676AB">
        <w:rPr>
          <w:sz w:val="22"/>
          <w:szCs w:val="22"/>
        </w:rPr>
        <w:t>art.</w:t>
      </w:r>
      <w:r w:rsidR="0086172B" w:rsidRPr="003676AB">
        <w:rPr>
          <w:sz w:val="22"/>
          <w:szCs w:val="22"/>
        </w:rPr>
        <w:t xml:space="preserve"> 209 TFEU</w:t>
      </w:r>
      <w:r w:rsidR="0086172B" w:rsidRPr="003676AB">
        <w:rPr>
          <w:rStyle w:val="Fotnotsreferens"/>
          <w:sz w:val="22"/>
          <w:szCs w:val="22"/>
        </w:rPr>
        <w:footnoteReference w:id="59"/>
      </w:r>
      <w:r w:rsidR="0086172B" w:rsidRPr="003676AB">
        <w:rPr>
          <w:sz w:val="22"/>
          <w:szCs w:val="22"/>
        </w:rPr>
        <w:t>)</w:t>
      </w:r>
      <w:r w:rsidR="00F02A29" w:rsidRPr="003676AB">
        <w:rPr>
          <w:sz w:val="22"/>
          <w:szCs w:val="22"/>
        </w:rPr>
        <w:t xml:space="preserve"> becomes the rule in all matters somehow relating to the development in its ‘broadest’ sense</w:t>
      </w:r>
      <w:r w:rsidR="00061AA3" w:rsidRPr="003676AB">
        <w:rPr>
          <w:sz w:val="22"/>
          <w:szCs w:val="22"/>
        </w:rPr>
        <w:t>.</w:t>
      </w:r>
      <w:r w:rsidR="005F5147" w:rsidRPr="003676AB">
        <w:rPr>
          <w:rStyle w:val="Fotnotsreferens"/>
          <w:sz w:val="22"/>
          <w:szCs w:val="22"/>
        </w:rPr>
        <w:footnoteReference w:id="60"/>
      </w:r>
      <w:r w:rsidR="0029559B" w:rsidRPr="003676AB">
        <w:rPr>
          <w:sz w:val="22"/>
          <w:szCs w:val="22"/>
        </w:rPr>
        <w:t xml:space="preserve"> </w:t>
      </w:r>
    </w:p>
    <w:p w14:paraId="44D48974" w14:textId="6D7DAB2B" w:rsidR="00ED3803" w:rsidRPr="003676AB" w:rsidRDefault="0029559B" w:rsidP="00662E79">
      <w:pPr>
        <w:rPr>
          <w:sz w:val="22"/>
          <w:szCs w:val="22"/>
        </w:rPr>
      </w:pPr>
      <w:r w:rsidRPr="003676AB">
        <w:rPr>
          <w:sz w:val="22"/>
          <w:szCs w:val="22"/>
        </w:rPr>
        <w:t xml:space="preserve">The </w:t>
      </w:r>
      <w:r w:rsidRPr="003676AB">
        <w:rPr>
          <w:i/>
          <w:sz w:val="22"/>
          <w:szCs w:val="22"/>
        </w:rPr>
        <w:t>Conditional Access Convention</w:t>
      </w:r>
      <w:r w:rsidR="00197D6A" w:rsidRPr="003676AB">
        <w:rPr>
          <w:sz w:val="22"/>
          <w:szCs w:val="22"/>
        </w:rPr>
        <w:t xml:space="preserve"> judgment</w:t>
      </w:r>
      <w:r w:rsidRPr="003676AB">
        <w:rPr>
          <w:sz w:val="22"/>
          <w:szCs w:val="22"/>
        </w:rPr>
        <w:t xml:space="preserve"> which was decided recently also </w:t>
      </w:r>
      <w:r w:rsidR="0012526A" w:rsidRPr="003676AB">
        <w:rPr>
          <w:sz w:val="22"/>
          <w:szCs w:val="22"/>
        </w:rPr>
        <w:t xml:space="preserve">indicates </w:t>
      </w:r>
      <w:r w:rsidRPr="003676AB">
        <w:rPr>
          <w:sz w:val="22"/>
          <w:szCs w:val="22"/>
        </w:rPr>
        <w:t>the Court’s preference for stronger</w:t>
      </w:r>
      <w:r w:rsidR="002214B1" w:rsidRPr="003676AB">
        <w:rPr>
          <w:sz w:val="22"/>
          <w:szCs w:val="22"/>
        </w:rPr>
        <w:t xml:space="preserve"> and</w:t>
      </w:r>
      <w:r w:rsidRPr="003676AB">
        <w:rPr>
          <w:sz w:val="22"/>
          <w:szCs w:val="22"/>
        </w:rPr>
        <w:t xml:space="preserve"> more federal EU competences such as </w:t>
      </w:r>
      <w:r w:rsidR="0012526A" w:rsidRPr="003676AB">
        <w:rPr>
          <w:sz w:val="22"/>
          <w:szCs w:val="22"/>
        </w:rPr>
        <w:t xml:space="preserve">that </w:t>
      </w:r>
      <w:r w:rsidRPr="003676AB">
        <w:rPr>
          <w:sz w:val="22"/>
          <w:szCs w:val="22"/>
        </w:rPr>
        <w:t xml:space="preserve">on Common Commercial Policy </w:t>
      </w:r>
      <w:r w:rsidR="0012526A" w:rsidRPr="003676AB">
        <w:rPr>
          <w:sz w:val="22"/>
          <w:szCs w:val="22"/>
        </w:rPr>
        <w:lastRenderedPageBreak/>
        <w:t xml:space="preserve">contained </w:t>
      </w:r>
      <w:r w:rsidRPr="003676AB">
        <w:rPr>
          <w:sz w:val="22"/>
          <w:szCs w:val="22"/>
        </w:rPr>
        <w:t xml:space="preserve">in </w:t>
      </w:r>
      <w:r w:rsidR="00027330" w:rsidRPr="003676AB">
        <w:rPr>
          <w:sz w:val="22"/>
          <w:szCs w:val="22"/>
        </w:rPr>
        <w:t>art.</w:t>
      </w:r>
      <w:r w:rsidRPr="003676AB">
        <w:rPr>
          <w:sz w:val="22"/>
          <w:szCs w:val="22"/>
        </w:rPr>
        <w:t xml:space="preserve"> 207 TFEU. In </w:t>
      </w:r>
      <w:r w:rsidR="0012526A" w:rsidRPr="003676AB">
        <w:rPr>
          <w:i/>
          <w:sz w:val="22"/>
          <w:szCs w:val="22"/>
        </w:rPr>
        <w:t>Conditional Access Convention</w:t>
      </w:r>
      <w:r w:rsidRPr="003676AB">
        <w:rPr>
          <w:sz w:val="22"/>
          <w:szCs w:val="22"/>
        </w:rPr>
        <w:t>, the</w:t>
      </w:r>
      <w:r w:rsidR="002214B1" w:rsidRPr="003676AB">
        <w:rPr>
          <w:sz w:val="22"/>
          <w:szCs w:val="22"/>
        </w:rPr>
        <w:t xml:space="preserve"> </w:t>
      </w:r>
      <w:r w:rsidRPr="003676AB">
        <w:rPr>
          <w:sz w:val="22"/>
          <w:szCs w:val="22"/>
        </w:rPr>
        <w:t xml:space="preserve">Council argued that </w:t>
      </w:r>
      <w:r w:rsidR="00027330" w:rsidRPr="003676AB">
        <w:rPr>
          <w:sz w:val="22"/>
          <w:szCs w:val="22"/>
        </w:rPr>
        <w:t>art.</w:t>
      </w:r>
      <w:r w:rsidRPr="003676AB">
        <w:rPr>
          <w:sz w:val="22"/>
          <w:szCs w:val="22"/>
        </w:rPr>
        <w:t xml:space="preserve"> 114 TFEU would be a more appropriate legal basis for an agreement </w:t>
      </w:r>
      <w:r w:rsidR="0012526A" w:rsidRPr="003676AB">
        <w:rPr>
          <w:sz w:val="22"/>
          <w:szCs w:val="22"/>
        </w:rPr>
        <w:t xml:space="preserve">that </w:t>
      </w:r>
      <w:r w:rsidRPr="003676AB">
        <w:rPr>
          <w:sz w:val="22"/>
          <w:szCs w:val="22"/>
        </w:rPr>
        <w:t xml:space="preserve">extended the regime </w:t>
      </w:r>
      <w:r w:rsidR="00DC380E" w:rsidRPr="003676AB">
        <w:rPr>
          <w:sz w:val="22"/>
          <w:szCs w:val="22"/>
        </w:rPr>
        <w:t xml:space="preserve">contained in </w:t>
      </w:r>
      <w:r w:rsidRPr="003676AB">
        <w:rPr>
          <w:sz w:val="22"/>
          <w:szCs w:val="22"/>
        </w:rPr>
        <w:t>Directive 98/84</w:t>
      </w:r>
      <w:r w:rsidR="00DC75FA" w:rsidRPr="003676AB">
        <w:rPr>
          <w:sz w:val="22"/>
          <w:szCs w:val="22"/>
        </w:rPr>
        <w:t xml:space="preserve"> of the European Parliament and the Council</w:t>
      </w:r>
      <w:r w:rsidR="00F54513" w:rsidRPr="003676AB">
        <w:rPr>
          <w:sz w:val="22"/>
          <w:szCs w:val="22"/>
        </w:rPr>
        <w:t xml:space="preserve"> </w:t>
      </w:r>
      <w:r w:rsidR="00DC380E" w:rsidRPr="003676AB">
        <w:rPr>
          <w:sz w:val="22"/>
          <w:szCs w:val="22"/>
        </w:rPr>
        <w:t>on the legal protection of services based on</w:t>
      </w:r>
      <w:r w:rsidR="00DC75FA" w:rsidRPr="003676AB">
        <w:rPr>
          <w:sz w:val="22"/>
          <w:szCs w:val="22"/>
        </w:rPr>
        <w:t xml:space="preserve"> the legal protection of services based on, or consisting of, conditional access</w:t>
      </w:r>
      <w:r w:rsidR="005F5147" w:rsidRPr="003676AB">
        <w:rPr>
          <w:sz w:val="22"/>
          <w:szCs w:val="22"/>
        </w:rPr>
        <w:t>.</w:t>
      </w:r>
      <w:r w:rsidR="001A7CEE" w:rsidRPr="003676AB">
        <w:rPr>
          <w:rStyle w:val="Fotnotsreferens"/>
          <w:sz w:val="22"/>
          <w:szCs w:val="22"/>
        </w:rPr>
        <w:footnoteReference w:id="61"/>
      </w:r>
      <w:r w:rsidR="005F5147" w:rsidRPr="003676AB">
        <w:rPr>
          <w:sz w:val="22"/>
          <w:szCs w:val="22"/>
        </w:rPr>
        <w:t xml:space="preserve"> Whil</w:t>
      </w:r>
      <w:r w:rsidR="0012526A" w:rsidRPr="003676AB">
        <w:rPr>
          <w:sz w:val="22"/>
          <w:szCs w:val="22"/>
        </w:rPr>
        <w:t>e</w:t>
      </w:r>
      <w:r w:rsidR="005F5147" w:rsidRPr="003676AB">
        <w:rPr>
          <w:sz w:val="22"/>
          <w:szCs w:val="22"/>
        </w:rPr>
        <w:t xml:space="preserve"> the claimants</w:t>
      </w:r>
      <w:r w:rsidR="00ED3803" w:rsidRPr="003676AB">
        <w:rPr>
          <w:sz w:val="22"/>
          <w:szCs w:val="22"/>
        </w:rPr>
        <w:t xml:space="preserve"> never argued that the</w:t>
      </w:r>
      <w:r w:rsidR="001A7CEE" w:rsidRPr="003676AB">
        <w:rPr>
          <w:sz w:val="22"/>
          <w:szCs w:val="22"/>
        </w:rPr>
        <w:t xml:space="preserve"> Council decision </w:t>
      </w:r>
      <w:r w:rsidR="008F5039" w:rsidRPr="003676AB">
        <w:rPr>
          <w:sz w:val="22"/>
          <w:szCs w:val="22"/>
        </w:rPr>
        <w:t xml:space="preserve">adopting </w:t>
      </w:r>
      <w:r w:rsidR="00ED3803" w:rsidRPr="003676AB">
        <w:rPr>
          <w:sz w:val="22"/>
          <w:szCs w:val="22"/>
        </w:rPr>
        <w:t>the Convention</w:t>
      </w:r>
      <w:r w:rsidR="002214B1" w:rsidRPr="003676AB">
        <w:rPr>
          <w:sz w:val="22"/>
          <w:szCs w:val="22"/>
        </w:rPr>
        <w:t xml:space="preserve"> </w:t>
      </w:r>
      <w:r w:rsidR="0012526A" w:rsidRPr="003676AB">
        <w:rPr>
          <w:sz w:val="22"/>
          <w:szCs w:val="22"/>
        </w:rPr>
        <w:t>w</w:t>
      </w:r>
      <w:r w:rsidR="00ED3803" w:rsidRPr="003676AB">
        <w:rPr>
          <w:sz w:val="22"/>
          <w:szCs w:val="22"/>
        </w:rPr>
        <w:t>ould</w:t>
      </w:r>
      <w:r w:rsidR="002214B1" w:rsidRPr="003676AB">
        <w:rPr>
          <w:sz w:val="22"/>
          <w:szCs w:val="22"/>
        </w:rPr>
        <w:t xml:space="preserve"> encroach on the Union’s</w:t>
      </w:r>
      <w:r w:rsidR="00ED3803" w:rsidRPr="003676AB">
        <w:rPr>
          <w:sz w:val="22"/>
          <w:szCs w:val="22"/>
        </w:rPr>
        <w:t xml:space="preserve"> </w:t>
      </w:r>
      <w:r w:rsidR="002214B1" w:rsidRPr="003676AB">
        <w:rPr>
          <w:sz w:val="22"/>
          <w:szCs w:val="22"/>
        </w:rPr>
        <w:t xml:space="preserve">criminal law competence under </w:t>
      </w:r>
      <w:r w:rsidR="00027330" w:rsidRPr="003676AB">
        <w:rPr>
          <w:sz w:val="22"/>
          <w:szCs w:val="22"/>
        </w:rPr>
        <w:t>art.</w:t>
      </w:r>
      <w:r w:rsidR="005F5147" w:rsidRPr="003676AB">
        <w:rPr>
          <w:sz w:val="22"/>
          <w:szCs w:val="22"/>
        </w:rPr>
        <w:t xml:space="preserve"> 83(2) TFEU</w:t>
      </w:r>
      <w:r w:rsidR="0012526A" w:rsidRPr="003676AB">
        <w:rPr>
          <w:sz w:val="22"/>
          <w:szCs w:val="22"/>
        </w:rPr>
        <w:t>,</w:t>
      </w:r>
      <w:r w:rsidR="005F5147" w:rsidRPr="003676AB">
        <w:rPr>
          <w:sz w:val="22"/>
          <w:szCs w:val="22"/>
        </w:rPr>
        <w:t xml:space="preserve"> </w:t>
      </w:r>
      <w:r w:rsidR="002214B1" w:rsidRPr="003676AB">
        <w:rPr>
          <w:sz w:val="22"/>
          <w:szCs w:val="22"/>
        </w:rPr>
        <w:t>it appears</w:t>
      </w:r>
      <w:r w:rsidR="00ED3803" w:rsidRPr="003676AB">
        <w:rPr>
          <w:sz w:val="22"/>
          <w:szCs w:val="22"/>
        </w:rPr>
        <w:t xml:space="preserve"> that there was a potential conflict.</w:t>
      </w:r>
      <w:r w:rsidR="001A7CEE" w:rsidRPr="003676AB">
        <w:rPr>
          <w:rStyle w:val="Fotnotsreferens"/>
          <w:sz w:val="22"/>
          <w:szCs w:val="22"/>
        </w:rPr>
        <w:footnoteReference w:id="62"/>
      </w:r>
      <w:r w:rsidR="00ED3803" w:rsidRPr="003676AB">
        <w:rPr>
          <w:sz w:val="22"/>
          <w:szCs w:val="22"/>
        </w:rPr>
        <w:t xml:space="preserve"> </w:t>
      </w:r>
      <w:r w:rsidR="0012526A" w:rsidRPr="003676AB">
        <w:rPr>
          <w:sz w:val="22"/>
          <w:szCs w:val="22"/>
        </w:rPr>
        <w:t xml:space="preserve">The </w:t>
      </w:r>
      <w:r w:rsidR="00ED3803" w:rsidRPr="003676AB">
        <w:rPr>
          <w:sz w:val="22"/>
          <w:szCs w:val="22"/>
        </w:rPr>
        <w:t xml:space="preserve">Convention </w:t>
      </w:r>
      <w:r w:rsidR="00662D12" w:rsidRPr="003676AB">
        <w:rPr>
          <w:sz w:val="22"/>
          <w:szCs w:val="22"/>
        </w:rPr>
        <w:t xml:space="preserve">contained </w:t>
      </w:r>
      <w:r w:rsidR="00ED3803" w:rsidRPr="003676AB">
        <w:rPr>
          <w:sz w:val="22"/>
          <w:szCs w:val="22"/>
        </w:rPr>
        <w:t>a provision</w:t>
      </w:r>
      <w:r w:rsidR="0012526A" w:rsidRPr="003676AB">
        <w:rPr>
          <w:sz w:val="22"/>
          <w:szCs w:val="22"/>
        </w:rPr>
        <w:t xml:space="preserve"> obliging the </w:t>
      </w:r>
      <w:r w:rsidR="002214B1" w:rsidRPr="003676AB">
        <w:rPr>
          <w:sz w:val="22"/>
          <w:szCs w:val="22"/>
        </w:rPr>
        <w:t xml:space="preserve">Parties </w:t>
      </w:r>
      <w:r w:rsidR="0012526A" w:rsidRPr="003676AB">
        <w:rPr>
          <w:sz w:val="22"/>
          <w:szCs w:val="22"/>
        </w:rPr>
        <w:t>to adopt</w:t>
      </w:r>
      <w:r w:rsidR="00216149" w:rsidRPr="003676AB">
        <w:rPr>
          <w:sz w:val="22"/>
          <w:szCs w:val="22"/>
        </w:rPr>
        <w:t xml:space="preserve"> </w:t>
      </w:r>
      <w:r w:rsidR="008F5039" w:rsidRPr="003676AB">
        <w:rPr>
          <w:sz w:val="22"/>
          <w:szCs w:val="22"/>
        </w:rPr>
        <w:t xml:space="preserve">measures </w:t>
      </w:r>
      <w:r w:rsidR="0012526A" w:rsidRPr="003676AB">
        <w:rPr>
          <w:sz w:val="22"/>
          <w:szCs w:val="22"/>
        </w:rPr>
        <w:t xml:space="preserve">to ensure that </w:t>
      </w:r>
      <w:r w:rsidR="002214B1" w:rsidRPr="003676AB">
        <w:rPr>
          <w:sz w:val="22"/>
          <w:szCs w:val="22"/>
        </w:rPr>
        <w:t xml:space="preserve">the </w:t>
      </w:r>
      <w:r w:rsidR="00ED3803" w:rsidRPr="003676AB">
        <w:rPr>
          <w:sz w:val="22"/>
          <w:szCs w:val="22"/>
        </w:rPr>
        <w:t>unlawful activities</w:t>
      </w:r>
      <w:r w:rsidR="002214B1" w:rsidRPr="003676AB">
        <w:rPr>
          <w:sz w:val="22"/>
          <w:szCs w:val="22"/>
        </w:rPr>
        <w:t xml:space="preserve"> established in the Convention</w:t>
      </w:r>
      <w:r w:rsidR="00ED3803" w:rsidRPr="003676AB">
        <w:rPr>
          <w:sz w:val="22"/>
          <w:szCs w:val="22"/>
        </w:rPr>
        <w:t xml:space="preserve"> </w:t>
      </w:r>
      <w:r w:rsidR="0012526A" w:rsidRPr="003676AB">
        <w:rPr>
          <w:sz w:val="22"/>
          <w:szCs w:val="22"/>
        </w:rPr>
        <w:t xml:space="preserve">would be </w:t>
      </w:r>
      <w:r w:rsidR="002214B1" w:rsidRPr="003676AB">
        <w:rPr>
          <w:sz w:val="22"/>
          <w:szCs w:val="22"/>
        </w:rPr>
        <w:t>‘</w:t>
      </w:r>
      <w:r w:rsidR="00ED3803" w:rsidRPr="003676AB">
        <w:rPr>
          <w:sz w:val="22"/>
          <w:szCs w:val="22"/>
        </w:rPr>
        <w:t>punishable by criminal, ad</w:t>
      </w:r>
      <w:r w:rsidR="005F5147" w:rsidRPr="003676AB">
        <w:rPr>
          <w:sz w:val="22"/>
          <w:szCs w:val="22"/>
        </w:rPr>
        <w:t>ministrative</w:t>
      </w:r>
      <w:r w:rsidR="002214B1" w:rsidRPr="003676AB">
        <w:rPr>
          <w:sz w:val="22"/>
          <w:szCs w:val="22"/>
        </w:rPr>
        <w:t xml:space="preserve"> or other sanctions’ and that </w:t>
      </w:r>
      <w:r w:rsidR="0012526A" w:rsidRPr="003676AB">
        <w:rPr>
          <w:sz w:val="22"/>
          <w:szCs w:val="22"/>
        </w:rPr>
        <w:t>‘</w:t>
      </w:r>
      <w:r w:rsidR="005F5147" w:rsidRPr="003676AB">
        <w:rPr>
          <w:sz w:val="22"/>
          <w:szCs w:val="22"/>
        </w:rPr>
        <w:t>s</w:t>
      </w:r>
      <w:r w:rsidR="002214B1" w:rsidRPr="003676AB">
        <w:rPr>
          <w:sz w:val="22"/>
          <w:szCs w:val="22"/>
        </w:rPr>
        <w:t>uch sanctions</w:t>
      </w:r>
      <w:r w:rsidR="00ED3803" w:rsidRPr="003676AB">
        <w:rPr>
          <w:sz w:val="22"/>
          <w:szCs w:val="22"/>
        </w:rPr>
        <w:t xml:space="preserve"> shall be effective, dissuasive and proportionate</w:t>
      </w:r>
      <w:r w:rsidR="002214B1" w:rsidRPr="003676AB">
        <w:rPr>
          <w:sz w:val="22"/>
          <w:szCs w:val="22"/>
        </w:rPr>
        <w:t>…’</w:t>
      </w:r>
      <w:r w:rsidR="00ED3803" w:rsidRPr="003676AB">
        <w:rPr>
          <w:sz w:val="22"/>
          <w:szCs w:val="22"/>
        </w:rPr>
        <w:t xml:space="preserve"> </w:t>
      </w:r>
      <w:r w:rsidR="0012526A" w:rsidRPr="003676AB">
        <w:rPr>
          <w:sz w:val="22"/>
          <w:szCs w:val="22"/>
        </w:rPr>
        <w:t xml:space="preserve">Furthermore, </w:t>
      </w:r>
      <w:r w:rsidR="00027330" w:rsidRPr="003676AB">
        <w:rPr>
          <w:sz w:val="22"/>
          <w:szCs w:val="22"/>
        </w:rPr>
        <w:t>art.</w:t>
      </w:r>
      <w:r w:rsidR="00ED3803" w:rsidRPr="003676AB">
        <w:rPr>
          <w:sz w:val="22"/>
          <w:szCs w:val="22"/>
        </w:rPr>
        <w:t xml:space="preserve"> 6</w:t>
      </w:r>
      <w:r w:rsidR="005F5147" w:rsidRPr="003676AB">
        <w:rPr>
          <w:sz w:val="22"/>
          <w:szCs w:val="22"/>
        </w:rPr>
        <w:t xml:space="preserve"> </w:t>
      </w:r>
      <w:r w:rsidR="0012526A" w:rsidRPr="003676AB">
        <w:rPr>
          <w:sz w:val="22"/>
          <w:szCs w:val="22"/>
        </w:rPr>
        <w:t xml:space="preserve">of the Convention stated </w:t>
      </w:r>
      <w:r w:rsidR="00ED3803" w:rsidRPr="003676AB">
        <w:rPr>
          <w:sz w:val="22"/>
          <w:szCs w:val="22"/>
        </w:rPr>
        <w:t>that</w:t>
      </w:r>
      <w:r w:rsidR="002214B1" w:rsidRPr="003676AB">
        <w:rPr>
          <w:sz w:val="22"/>
          <w:szCs w:val="22"/>
        </w:rPr>
        <w:t xml:space="preserve"> the parties</w:t>
      </w:r>
      <w:r w:rsidR="00ED3803" w:rsidRPr="003676AB">
        <w:rPr>
          <w:sz w:val="22"/>
          <w:szCs w:val="22"/>
        </w:rPr>
        <w:t xml:space="preserve"> shall adopt such measures </w:t>
      </w:r>
      <w:r w:rsidR="002214B1" w:rsidRPr="003676AB">
        <w:rPr>
          <w:sz w:val="22"/>
          <w:szCs w:val="22"/>
        </w:rPr>
        <w:t>‘</w:t>
      </w:r>
      <w:r w:rsidR="00ED3803" w:rsidRPr="003676AB">
        <w:rPr>
          <w:sz w:val="22"/>
          <w:szCs w:val="22"/>
        </w:rPr>
        <w:t>as may be necessary to enable [them] to seize and confiscate illicit devices or the promotional, marketing or advertising material used in the commission of an offence, as well as the forfeiture of any profits or financial gains resulting from the unlawful activity.’</w:t>
      </w:r>
      <w:r w:rsidR="001A7CEE" w:rsidRPr="003676AB">
        <w:rPr>
          <w:rStyle w:val="Fotnotsreferens"/>
          <w:sz w:val="22"/>
          <w:szCs w:val="22"/>
        </w:rPr>
        <w:footnoteReference w:id="63"/>
      </w:r>
    </w:p>
    <w:p w14:paraId="28AA08B3" w14:textId="6689D138" w:rsidR="00662E79" w:rsidRPr="003676AB" w:rsidRDefault="00ED3803" w:rsidP="00662E79">
      <w:pPr>
        <w:rPr>
          <w:sz w:val="22"/>
          <w:szCs w:val="22"/>
        </w:rPr>
      </w:pPr>
      <w:r w:rsidRPr="003676AB">
        <w:rPr>
          <w:sz w:val="22"/>
          <w:szCs w:val="22"/>
        </w:rPr>
        <w:t>It cou</w:t>
      </w:r>
      <w:r w:rsidR="005F5147" w:rsidRPr="003676AB">
        <w:rPr>
          <w:sz w:val="22"/>
          <w:szCs w:val="22"/>
        </w:rPr>
        <w:t>ld be argued that those</w:t>
      </w:r>
      <w:r w:rsidRPr="003676AB">
        <w:rPr>
          <w:sz w:val="22"/>
          <w:szCs w:val="22"/>
        </w:rPr>
        <w:t xml:space="preserve"> provision</w:t>
      </w:r>
      <w:r w:rsidR="005F5147" w:rsidRPr="003676AB">
        <w:rPr>
          <w:sz w:val="22"/>
          <w:szCs w:val="22"/>
        </w:rPr>
        <w:t>s</w:t>
      </w:r>
      <w:r w:rsidRPr="003676AB">
        <w:rPr>
          <w:sz w:val="22"/>
          <w:szCs w:val="22"/>
        </w:rPr>
        <w:t xml:space="preserve"> </w:t>
      </w:r>
      <w:r w:rsidR="00662D12" w:rsidRPr="003676AB">
        <w:rPr>
          <w:sz w:val="22"/>
          <w:szCs w:val="22"/>
        </w:rPr>
        <w:t>did not entail</w:t>
      </w:r>
      <w:r w:rsidRPr="003676AB">
        <w:rPr>
          <w:sz w:val="22"/>
          <w:szCs w:val="22"/>
        </w:rPr>
        <w:t xml:space="preserve"> </w:t>
      </w:r>
      <w:r w:rsidR="00662D12" w:rsidRPr="003676AB">
        <w:rPr>
          <w:sz w:val="22"/>
          <w:szCs w:val="22"/>
        </w:rPr>
        <w:t xml:space="preserve">a </w:t>
      </w:r>
      <w:r w:rsidRPr="003676AB">
        <w:rPr>
          <w:sz w:val="22"/>
          <w:szCs w:val="22"/>
        </w:rPr>
        <w:t xml:space="preserve">strict requirement on </w:t>
      </w:r>
      <w:r w:rsidR="002214B1" w:rsidRPr="003676AB">
        <w:rPr>
          <w:sz w:val="22"/>
          <w:szCs w:val="22"/>
        </w:rPr>
        <w:t>Member States to impose criminal</w:t>
      </w:r>
      <w:r w:rsidRPr="003676AB">
        <w:rPr>
          <w:sz w:val="22"/>
          <w:szCs w:val="22"/>
        </w:rPr>
        <w:t xml:space="preserve"> sanctions</w:t>
      </w:r>
      <w:r w:rsidR="0012526A" w:rsidRPr="003676AB">
        <w:rPr>
          <w:sz w:val="22"/>
          <w:szCs w:val="22"/>
        </w:rPr>
        <w:t xml:space="preserve"> and thereby</w:t>
      </w:r>
      <w:r w:rsidR="005043D4" w:rsidRPr="003676AB">
        <w:rPr>
          <w:sz w:val="22"/>
          <w:szCs w:val="22"/>
        </w:rPr>
        <w:t xml:space="preserve"> avoiding any </w:t>
      </w:r>
      <w:r w:rsidR="002214B1" w:rsidRPr="003676AB">
        <w:rPr>
          <w:sz w:val="22"/>
          <w:szCs w:val="22"/>
        </w:rPr>
        <w:t xml:space="preserve">potential conflict. </w:t>
      </w:r>
      <w:r w:rsidR="0012526A" w:rsidRPr="003676AB">
        <w:rPr>
          <w:sz w:val="22"/>
          <w:szCs w:val="22"/>
        </w:rPr>
        <w:t>Indeed, this was the Court’s approach in the case. However, t</w:t>
      </w:r>
      <w:r w:rsidR="002214B1" w:rsidRPr="003676AB">
        <w:rPr>
          <w:sz w:val="22"/>
          <w:szCs w:val="22"/>
        </w:rPr>
        <w:t xml:space="preserve">he Court’s </w:t>
      </w:r>
      <w:r w:rsidR="0012526A" w:rsidRPr="003676AB">
        <w:rPr>
          <w:sz w:val="22"/>
          <w:szCs w:val="22"/>
        </w:rPr>
        <w:t xml:space="preserve">reasoning </w:t>
      </w:r>
      <w:r w:rsidR="00845366" w:rsidRPr="003676AB">
        <w:rPr>
          <w:sz w:val="22"/>
          <w:szCs w:val="22"/>
        </w:rPr>
        <w:t>was</w:t>
      </w:r>
      <w:r w:rsidR="005F5147" w:rsidRPr="003676AB">
        <w:rPr>
          <w:sz w:val="22"/>
          <w:szCs w:val="22"/>
        </w:rPr>
        <w:t xml:space="preserve"> </w:t>
      </w:r>
      <w:r w:rsidRPr="003676AB">
        <w:rPr>
          <w:sz w:val="22"/>
          <w:szCs w:val="22"/>
        </w:rPr>
        <w:t>unconvincing.</w:t>
      </w:r>
      <w:r w:rsidRPr="003676AB">
        <w:rPr>
          <w:rStyle w:val="Fotnotsreferens"/>
          <w:sz w:val="22"/>
          <w:szCs w:val="22"/>
        </w:rPr>
        <w:footnoteReference w:id="64"/>
      </w:r>
      <w:r w:rsidRPr="003676AB">
        <w:rPr>
          <w:sz w:val="22"/>
          <w:szCs w:val="22"/>
        </w:rPr>
        <w:t xml:space="preserve"> The </w:t>
      </w:r>
      <w:r w:rsidR="005043D4" w:rsidRPr="003676AB">
        <w:rPr>
          <w:sz w:val="22"/>
          <w:szCs w:val="22"/>
        </w:rPr>
        <w:t xml:space="preserve">wording of the </w:t>
      </w:r>
      <w:r w:rsidRPr="003676AB">
        <w:rPr>
          <w:sz w:val="22"/>
          <w:szCs w:val="22"/>
        </w:rPr>
        <w:t>provision</w:t>
      </w:r>
      <w:r w:rsidR="002214B1" w:rsidRPr="003676AB">
        <w:rPr>
          <w:sz w:val="22"/>
          <w:szCs w:val="22"/>
        </w:rPr>
        <w:t xml:space="preserve">s </w:t>
      </w:r>
      <w:r w:rsidR="00FC2767" w:rsidRPr="003676AB">
        <w:rPr>
          <w:sz w:val="22"/>
          <w:szCs w:val="22"/>
        </w:rPr>
        <w:t>appeared to entail</w:t>
      </w:r>
      <w:r w:rsidR="00845366" w:rsidRPr="003676AB">
        <w:rPr>
          <w:sz w:val="22"/>
          <w:szCs w:val="22"/>
        </w:rPr>
        <w:t xml:space="preserve"> </w:t>
      </w:r>
      <w:proofErr w:type="gramStart"/>
      <w:r w:rsidR="00845366" w:rsidRPr="003676AB">
        <w:rPr>
          <w:sz w:val="22"/>
          <w:szCs w:val="22"/>
        </w:rPr>
        <w:t>some kind of</w:t>
      </w:r>
      <w:r w:rsidR="00FC2767" w:rsidRPr="003676AB">
        <w:rPr>
          <w:sz w:val="22"/>
          <w:szCs w:val="22"/>
        </w:rPr>
        <w:t xml:space="preserve"> obligation</w:t>
      </w:r>
      <w:proofErr w:type="gramEnd"/>
      <w:r w:rsidRPr="003676AB">
        <w:rPr>
          <w:sz w:val="22"/>
          <w:szCs w:val="22"/>
        </w:rPr>
        <w:t xml:space="preserve"> for Member States to impose criminal sanctions</w:t>
      </w:r>
      <w:r w:rsidR="00FC2767" w:rsidRPr="003676AB">
        <w:rPr>
          <w:sz w:val="22"/>
          <w:szCs w:val="22"/>
        </w:rPr>
        <w:t xml:space="preserve">. </w:t>
      </w:r>
      <w:r w:rsidR="0012526A" w:rsidRPr="003676AB">
        <w:rPr>
          <w:sz w:val="22"/>
          <w:szCs w:val="22"/>
        </w:rPr>
        <w:t>Arguably, t</w:t>
      </w:r>
      <w:r w:rsidR="00FC2767" w:rsidRPr="003676AB">
        <w:rPr>
          <w:sz w:val="22"/>
          <w:szCs w:val="22"/>
        </w:rPr>
        <w:t>he Counci</w:t>
      </w:r>
      <w:r w:rsidR="00845366" w:rsidRPr="003676AB">
        <w:rPr>
          <w:sz w:val="22"/>
          <w:szCs w:val="22"/>
        </w:rPr>
        <w:t>l</w:t>
      </w:r>
      <w:r w:rsidR="0012526A" w:rsidRPr="003676AB">
        <w:rPr>
          <w:sz w:val="22"/>
          <w:szCs w:val="22"/>
        </w:rPr>
        <w:t>’s</w:t>
      </w:r>
      <w:r w:rsidR="00845366" w:rsidRPr="003676AB">
        <w:rPr>
          <w:sz w:val="22"/>
          <w:szCs w:val="22"/>
        </w:rPr>
        <w:t xml:space="preserve"> decision adopting the Convention</w:t>
      </w:r>
      <w:r w:rsidR="00FC2767" w:rsidRPr="003676AB">
        <w:rPr>
          <w:sz w:val="22"/>
          <w:szCs w:val="22"/>
        </w:rPr>
        <w:t xml:space="preserve"> </w:t>
      </w:r>
      <w:r w:rsidR="0012526A" w:rsidRPr="003676AB">
        <w:rPr>
          <w:sz w:val="22"/>
          <w:szCs w:val="22"/>
        </w:rPr>
        <w:t xml:space="preserve">should have been </w:t>
      </w:r>
      <w:r w:rsidR="008F5039" w:rsidRPr="003676AB">
        <w:rPr>
          <w:sz w:val="22"/>
          <w:szCs w:val="22"/>
        </w:rPr>
        <w:t xml:space="preserve">adopted </w:t>
      </w:r>
      <w:r w:rsidR="0012526A" w:rsidRPr="003676AB">
        <w:rPr>
          <w:sz w:val="22"/>
          <w:szCs w:val="22"/>
        </w:rPr>
        <w:t xml:space="preserve">on </w:t>
      </w:r>
      <w:r w:rsidR="00FC2767" w:rsidRPr="003676AB">
        <w:rPr>
          <w:sz w:val="22"/>
          <w:szCs w:val="22"/>
        </w:rPr>
        <w:t>the</w:t>
      </w:r>
      <w:r w:rsidR="00124D0C" w:rsidRPr="003676AB">
        <w:rPr>
          <w:sz w:val="22"/>
          <w:szCs w:val="22"/>
        </w:rPr>
        <w:t xml:space="preserve"> main legal basis for in</w:t>
      </w:r>
      <w:r w:rsidR="0012526A" w:rsidRPr="003676AB">
        <w:rPr>
          <w:sz w:val="22"/>
          <w:szCs w:val="22"/>
        </w:rPr>
        <w:t>ternal criminalisation measures, namely</w:t>
      </w:r>
      <w:r w:rsidR="00FC2767" w:rsidRPr="003676AB">
        <w:rPr>
          <w:sz w:val="22"/>
          <w:szCs w:val="22"/>
        </w:rPr>
        <w:t xml:space="preserve"> </w:t>
      </w:r>
      <w:r w:rsidR="00027330" w:rsidRPr="003676AB">
        <w:rPr>
          <w:sz w:val="22"/>
          <w:szCs w:val="22"/>
        </w:rPr>
        <w:t>a</w:t>
      </w:r>
      <w:r w:rsidR="00C131DF" w:rsidRPr="003676AB">
        <w:rPr>
          <w:sz w:val="22"/>
          <w:szCs w:val="22"/>
        </w:rPr>
        <w:t>rt</w:t>
      </w:r>
      <w:r w:rsidR="00027330" w:rsidRPr="003676AB">
        <w:rPr>
          <w:sz w:val="22"/>
          <w:szCs w:val="22"/>
        </w:rPr>
        <w:t>.</w:t>
      </w:r>
      <w:r w:rsidR="00C131DF" w:rsidRPr="003676AB">
        <w:rPr>
          <w:sz w:val="22"/>
          <w:szCs w:val="22"/>
        </w:rPr>
        <w:t xml:space="preserve"> </w:t>
      </w:r>
      <w:r w:rsidR="00D84EDF" w:rsidRPr="003676AB">
        <w:rPr>
          <w:sz w:val="22"/>
          <w:szCs w:val="22"/>
        </w:rPr>
        <w:t>83(2) TFEU.</w:t>
      </w:r>
      <w:r w:rsidR="009C1FC3" w:rsidRPr="003676AB">
        <w:rPr>
          <w:rStyle w:val="Fotnotsreferens"/>
          <w:sz w:val="22"/>
          <w:szCs w:val="22"/>
        </w:rPr>
        <w:footnoteReference w:id="65"/>
      </w:r>
      <w:r w:rsidR="00D84EDF" w:rsidRPr="003676AB">
        <w:rPr>
          <w:sz w:val="22"/>
          <w:szCs w:val="22"/>
        </w:rPr>
        <w:t xml:space="preserve"> </w:t>
      </w:r>
      <w:r w:rsidR="00845366" w:rsidRPr="003676AB">
        <w:rPr>
          <w:sz w:val="22"/>
          <w:szCs w:val="22"/>
        </w:rPr>
        <w:t>Admittedly</w:t>
      </w:r>
      <w:r w:rsidR="000565B7" w:rsidRPr="003676AB">
        <w:rPr>
          <w:sz w:val="22"/>
          <w:szCs w:val="22"/>
        </w:rPr>
        <w:t>,</w:t>
      </w:r>
      <w:r w:rsidR="005F5147" w:rsidRPr="003676AB">
        <w:rPr>
          <w:sz w:val="22"/>
          <w:szCs w:val="22"/>
        </w:rPr>
        <w:t xml:space="preserve"> the</w:t>
      </w:r>
      <w:r w:rsidR="00D84EDF" w:rsidRPr="003676AB">
        <w:rPr>
          <w:sz w:val="22"/>
          <w:szCs w:val="22"/>
        </w:rPr>
        <w:t xml:space="preserve"> </w:t>
      </w:r>
      <w:r w:rsidR="0012526A" w:rsidRPr="003676AB">
        <w:rPr>
          <w:sz w:val="22"/>
          <w:szCs w:val="22"/>
        </w:rPr>
        <w:t xml:space="preserve">ultimate choice </w:t>
      </w:r>
      <w:r w:rsidR="00834464" w:rsidRPr="003676AB">
        <w:rPr>
          <w:sz w:val="22"/>
          <w:szCs w:val="22"/>
        </w:rPr>
        <w:t xml:space="preserve">to opt for </w:t>
      </w:r>
      <w:r w:rsidR="00027330" w:rsidRPr="003676AB">
        <w:rPr>
          <w:sz w:val="22"/>
          <w:szCs w:val="22"/>
        </w:rPr>
        <w:t>art.</w:t>
      </w:r>
      <w:r w:rsidR="00834464" w:rsidRPr="003676AB">
        <w:rPr>
          <w:sz w:val="22"/>
          <w:szCs w:val="22"/>
        </w:rPr>
        <w:t xml:space="preserve"> 2</w:t>
      </w:r>
      <w:r w:rsidR="005F5147" w:rsidRPr="003676AB">
        <w:rPr>
          <w:sz w:val="22"/>
          <w:szCs w:val="22"/>
        </w:rPr>
        <w:t>07 TFEU</w:t>
      </w:r>
      <w:r w:rsidR="00845366" w:rsidRPr="003676AB">
        <w:rPr>
          <w:sz w:val="22"/>
          <w:szCs w:val="22"/>
        </w:rPr>
        <w:t xml:space="preserve"> as the proper legal basis for the Council Decision</w:t>
      </w:r>
      <w:r w:rsidR="005F5147" w:rsidRPr="003676AB">
        <w:rPr>
          <w:rStyle w:val="Fotnotsreferens"/>
          <w:sz w:val="22"/>
          <w:szCs w:val="22"/>
        </w:rPr>
        <w:footnoteReference w:id="66"/>
      </w:r>
      <w:r w:rsidR="004743B9" w:rsidRPr="003676AB">
        <w:rPr>
          <w:sz w:val="22"/>
          <w:szCs w:val="22"/>
        </w:rPr>
        <w:t xml:space="preserve"> may have been justified</w:t>
      </w:r>
      <w:r w:rsidR="000565B7" w:rsidRPr="003676AB">
        <w:rPr>
          <w:sz w:val="22"/>
          <w:szCs w:val="22"/>
        </w:rPr>
        <w:t>. T</w:t>
      </w:r>
      <w:r w:rsidR="00834464" w:rsidRPr="003676AB">
        <w:rPr>
          <w:sz w:val="22"/>
          <w:szCs w:val="22"/>
        </w:rPr>
        <w:t>he Court’s reasoning on the criminal law nature of the provisions in the Convention seems</w:t>
      </w:r>
      <w:r w:rsidR="00845366" w:rsidRPr="003676AB">
        <w:rPr>
          <w:sz w:val="22"/>
          <w:szCs w:val="22"/>
        </w:rPr>
        <w:t>, however,</w:t>
      </w:r>
      <w:r w:rsidR="00834464" w:rsidRPr="003676AB">
        <w:rPr>
          <w:sz w:val="22"/>
          <w:szCs w:val="22"/>
        </w:rPr>
        <w:t xml:space="preserve"> very questionable and if followed in the future, it would </w:t>
      </w:r>
      <w:r w:rsidR="004743B9" w:rsidRPr="003676AB">
        <w:rPr>
          <w:sz w:val="22"/>
          <w:szCs w:val="22"/>
        </w:rPr>
        <w:t xml:space="preserve">most probably </w:t>
      </w:r>
      <w:r w:rsidR="00C131DF" w:rsidRPr="003676AB">
        <w:rPr>
          <w:sz w:val="22"/>
          <w:szCs w:val="22"/>
        </w:rPr>
        <w:t xml:space="preserve">operate to the detriment of </w:t>
      </w:r>
      <w:r w:rsidR="00834464" w:rsidRPr="003676AB">
        <w:rPr>
          <w:sz w:val="22"/>
          <w:szCs w:val="22"/>
        </w:rPr>
        <w:t xml:space="preserve">the Member-State friendly competences </w:t>
      </w:r>
      <w:r w:rsidR="0012526A" w:rsidRPr="003676AB">
        <w:rPr>
          <w:sz w:val="22"/>
          <w:szCs w:val="22"/>
        </w:rPr>
        <w:t xml:space="preserve">contained </w:t>
      </w:r>
      <w:r w:rsidR="00834464" w:rsidRPr="003676AB">
        <w:rPr>
          <w:sz w:val="22"/>
          <w:szCs w:val="22"/>
        </w:rPr>
        <w:t xml:space="preserve">in </w:t>
      </w:r>
      <w:r w:rsidR="007C0B5D" w:rsidRPr="003676AB">
        <w:rPr>
          <w:sz w:val="22"/>
          <w:szCs w:val="22"/>
        </w:rPr>
        <w:t>art.</w:t>
      </w:r>
      <w:r w:rsidR="00834464" w:rsidRPr="003676AB">
        <w:rPr>
          <w:sz w:val="22"/>
          <w:szCs w:val="22"/>
        </w:rPr>
        <w:t xml:space="preserve"> 83 TFEU. </w:t>
      </w:r>
    </w:p>
    <w:p w14:paraId="75ADC926" w14:textId="7DFA77B0" w:rsidR="00155BB7" w:rsidRPr="003676AB" w:rsidRDefault="00F54C74" w:rsidP="00CF2DD8">
      <w:pPr>
        <w:spacing w:before="0" w:after="200"/>
        <w:rPr>
          <w:rFonts w:eastAsia="Calibri"/>
          <w:sz w:val="22"/>
          <w:szCs w:val="22"/>
        </w:rPr>
      </w:pPr>
      <w:r w:rsidRPr="003676AB">
        <w:rPr>
          <w:rFonts w:eastAsia="Calibri"/>
          <w:sz w:val="22"/>
          <w:szCs w:val="22"/>
        </w:rPr>
        <w:t>P</w:t>
      </w:r>
      <w:r w:rsidR="00834464" w:rsidRPr="003676AB">
        <w:rPr>
          <w:rFonts w:eastAsia="Calibri"/>
          <w:sz w:val="22"/>
          <w:szCs w:val="22"/>
        </w:rPr>
        <w:t xml:space="preserve">erhaps </w:t>
      </w:r>
      <w:r w:rsidRPr="003676AB">
        <w:rPr>
          <w:rFonts w:eastAsia="Calibri"/>
          <w:sz w:val="22"/>
          <w:szCs w:val="22"/>
        </w:rPr>
        <w:t xml:space="preserve">the </w:t>
      </w:r>
      <w:r w:rsidR="00834464" w:rsidRPr="003676AB">
        <w:rPr>
          <w:rFonts w:eastAsia="Calibri"/>
          <w:sz w:val="22"/>
          <w:szCs w:val="22"/>
        </w:rPr>
        <w:t xml:space="preserve">most important judgment for </w:t>
      </w:r>
      <w:r w:rsidR="00845366" w:rsidRPr="003676AB">
        <w:rPr>
          <w:rFonts w:eastAsia="Calibri"/>
          <w:sz w:val="22"/>
          <w:szCs w:val="22"/>
        </w:rPr>
        <w:t>understanding the Court’s</w:t>
      </w:r>
      <w:r w:rsidR="004743B9" w:rsidRPr="003676AB">
        <w:rPr>
          <w:rFonts w:eastAsia="Calibri"/>
          <w:sz w:val="22"/>
          <w:szCs w:val="22"/>
        </w:rPr>
        <w:t xml:space="preserve"> current</w:t>
      </w:r>
      <w:r w:rsidR="00845366" w:rsidRPr="003676AB">
        <w:rPr>
          <w:rFonts w:eastAsia="Calibri"/>
          <w:sz w:val="22"/>
          <w:szCs w:val="22"/>
        </w:rPr>
        <w:t xml:space="preserve"> approach in legal basis disputes relating to criminal law</w:t>
      </w:r>
      <w:r w:rsidR="00834464" w:rsidRPr="003676AB">
        <w:rPr>
          <w:rFonts w:eastAsia="Calibri"/>
          <w:sz w:val="22"/>
          <w:szCs w:val="22"/>
        </w:rPr>
        <w:t xml:space="preserve"> is the </w:t>
      </w:r>
      <w:r w:rsidR="00834464" w:rsidRPr="003676AB">
        <w:rPr>
          <w:rFonts w:eastAsia="Calibri"/>
          <w:i/>
          <w:sz w:val="22"/>
          <w:szCs w:val="22"/>
        </w:rPr>
        <w:t>Road Traffic Directive</w:t>
      </w:r>
      <w:r w:rsidR="00834464" w:rsidRPr="003676AB">
        <w:rPr>
          <w:rFonts w:eastAsia="Calibri"/>
          <w:sz w:val="22"/>
          <w:szCs w:val="22"/>
        </w:rPr>
        <w:t xml:space="preserve"> judgment. </w:t>
      </w:r>
      <w:r w:rsidR="00FE19DD" w:rsidRPr="003676AB">
        <w:rPr>
          <w:rFonts w:cs="EUAlbertina"/>
          <w:color w:val="000000"/>
          <w:sz w:val="22"/>
          <w:szCs w:val="22"/>
        </w:rPr>
        <w:t>This case was concerned with the proper legal basis for a directive on the exchange of information for the purposes of enforcing road traffic offences</w:t>
      </w:r>
      <w:r w:rsidR="00845366" w:rsidRPr="003676AB">
        <w:rPr>
          <w:rFonts w:cs="EUAlbertina"/>
          <w:color w:val="000000"/>
          <w:sz w:val="22"/>
          <w:szCs w:val="22"/>
        </w:rPr>
        <w:t>.</w:t>
      </w:r>
      <w:r w:rsidR="00845366" w:rsidRPr="003676AB">
        <w:rPr>
          <w:rStyle w:val="Fotnotsreferens"/>
          <w:rFonts w:cs="EUAlbertina"/>
          <w:color w:val="000000"/>
          <w:sz w:val="22"/>
          <w:szCs w:val="22"/>
        </w:rPr>
        <w:footnoteReference w:id="67"/>
      </w:r>
      <w:r w:rsidRPr="003676AB">
        <w:rPr>
          <w:rFonts w:cs="EUAlbertina"/>
          <w:color w:val="000000"/>
          <w:sz w:val="22"/>
          <w:szCs w:val="22"/>
        </w:rPr>
        <w:t xml:space="preserve"> </w:t>
      </w:r>
      <w:r w:rsidR="009C1FC3" w:rsidRPr="003676AB">
        <w:rPr>
          <w:rFonts w:cs="EUAlbertina"/>
          <w:color w:val="000000"/>
          <w:sz w:val="22"/>
          <w:szCs w:val="22"/>
        </w:rPr>
        <w:t>T</w:t>
      </w:r>
      <w:r w:rsidR="00FE19DD" w:rsidRPr="003676AB">
        <w:rPr>
          <w:rFonts w:cs="EUAlbertina"/>
          <w:color w:val="000000"/>
          <w:sz w:val="22"/>
          <w:szCs w:val="22"/>
        </w:rPr>
        <w:t>he</w:t>
      </w:r>
      <w:r w:rsidR="00155BB7" w:rsidRPr="003676AB">
        <w:rPr>
          <w:rFonts w:cs="EUAlbertina"/>
          <w:color w:val="000000"/>
          <w:sz w:val="22"/>
          <w:szCs w:val="22"/>
        </w:rPr>
        <w:t xml:space="preserve"> candidate</w:t>
      </w:r>
      <w:r w:rsidR="00FE19DD" w:rsidRPr="003676AB">
        <w:rPr>
          <w:rFonts w:cs="EUAlbertina"/>
          <w:color w:val="000000"/>
          <w:sz w:val="22"/>
          <w:szCs w:val="22"/>
        </w:rPr>
        <w:t>s</w:t>
      </w:r>
      <w:r w:rsidR="00155BB7" w:rsidRPr="003676AB">
        <w:rPr>
          <w:rFonts w:cs="EUAlbertina"/>
          <w:color w:val="000000"/>
          <w:sz w:val="22"/>
          <w:szCs w:val="22"/>
        </w:rPr>
        <w:t xml:space="preserve"> for the</w:t>
      </w:r>
      <w:r w:rsidR="009C1FC3" w:rsidRPr="003676AB">
        <w:rPr>
          <w:rFonts w:cs="EUAlbertina"/>
          <w:color w:val="000000"/>
          <w:sz w:val="22"/>
          <w:szCs w:val="22"/>
        </w:rPr>
        <w:t xml:space="preserve"> measure were</w:t>
      </w:r>
      <w:r w:rsidR="00155BB7" w:rsidRPr="003676AB">
        <w:rPr>
          <w:rFonts w:cs="EUAlbertina"/>
          <w:color w:val="000000"/>
          <w:sz w:val="22"/>
          <w:szCs w:val="22"/>
        </w:rPr>
        <w:t xml:space="preserve"> </w:t>
      </w:r>
      <w:r w:rsidR="008A70FA" w:rsidRPr="003676AB">
        <w:rPr>
          <w:rFonts w:cs="EUAlbertina"/>
          <w:color w:val="000000"/>
          <w:sz w:val="22"/>
          <w:szCs w:val="22"/>
        </w:rPr>
        <w:t>art.</w:t>
      </w:r>
      <w:r w:rsidR="00155BB7" w:rsidRPr="003676AB">
        <w:rPr>
          <w:rFonts w:cs="EUAlbertina"/>
          <w:color w:val="000000"/>
          <w:sz w:val="22"/>
          <w:szCs w:val="22"/>
        </w:rPr>
        <w:t xml:space="preserve"> 87 (2) (a)</w:t>
      </w:r>
      <w:r w:rsidR="00845366" w:rsidRPr="003676AB">
        <w:rPr>
          <w:rFonts w:cs="EUAlbertina"/>
          <w:color w:val="000000"/>
          <w:sz w:val="22"/>
          <w:szCs w:val="22"/>
        </w:rPr>
        <w:t xml:space="preserve"> TFEU</w:t>
      </w:r>
      <w:r w:rsidR="00FE19DD" w:rsidRPr="003676AB">
        <w:rPr>
          <w:rFonts w:cs="EUAlbertina"/>
          <w:color w:val="000000"/>
          <w:sz w:val="22"/>
          <w:szCs w:val="22"/>
        </w:rPr>
        <w:t xml:space="preserve"> (</w:t>
      </w:r>
      <w:r w:rsidR="0012526A" w:rsidRPr="003676AB">
        <w:rPr>
          <w:rFonts w:cs="EUAlbertina"/>
          <w:color w:val="000000"/>
          <w:sz w:val="22"/>
          <w:szCs w:val="22"/>
        </w:rPr>
        <w:t>the gene</w:t>
      </w:r>
      <w:r w:rsidR="00155BB7" w:rsidRPr="003676AB">
        <w:rPr>
          <w:rFonts w:cs="EUAlbertina"/>
          <w:color w:val="000000"/>
          <w:sz w:val="22"/>
          <w:szCs w:val="22"/>
        </w:rPr>
        <w:t>ral provision o</w:t>
      </w:r>
      <w:r w:rsidR="00845366" w:rsidRPr="003676AB">
        <w:rPr>
          <w:rFonts w:cs="EUAlbertina"/>
          <w:color w:val="000000"/>
          <w:sz w:val="22"/>
          <w:szCs w:val="22"/>
        </w:rPr>
        <w:t xml:space="preserve">n </w:t>
      </w:r>
      <w:r w:rsidR="00845366" w:rsidRPr="003676AB">
        <w:rPr>
          <w:rFonts w:cs="EUAlbertina"/>
          <w:color w:val="000000"/>
          <w:sz w:val="22"/>
          <w:szCs w:val="22"/>
        </w:rPr>
        <w:lastRenderedPageBreak/>
        <w:t>police cooperation</w:t>
      </w:r>
      <w:r w:rsidR="00FE19DD" w:rsidRPr="003676AB">
        <w:rPr>
          <w:rFonts w:cs="EUAlbertina"/>
          <w:color w:val="000000"/>
          <w:sz w:val="22"/>
          <w:szCs w:val="22"/>
        </w:rPr>
        <w:t>) which</w:t>
      </w:r>
      <w:r w:rsidR="00155BB7" w:rsidRPr="003676AB">
        <w:rPr>
          <w:rFonts w:cs="EUAlbertina"/>
          <w:color w:val="000000"/>
          <w:sz w:val="22"/>
          <w:szCs w:val="22"/>
        </w:rPr>
        <w:t xml:space="preserve"> provides a competence to establish measures concerning the collection, processing, analysis and exchange of relevant information</w:t>
      </w:r>
      <w:r w:rsidR="00222801" w:rsidRPr="003676AB">
        <w:rPr>
          <w:rFonts w:cs="EUAlbertina"/>
          <w:color w:val="000000"/>
          <w:sz w:val="22"/>
          <w:szCs w:val="22"/>
        </w:rPr>
        <w:t xml:space="preserve"> </w:t>
      </w:r>
      <w:r w:rsidR="00222801" w:rsidRPr="003676AB">
        <w:rPr>
          <w:rFonts w:eastAsia="Calibri"/>
          <w:sz w:val="22"/>
          <w:szCs w:val="22"/>
          <w:lang w:eastAsia="sv-SE"/>
        </w:rPr>
        <w:t xml:space="preserve">and </w:t>
      </w:r>
      <w:r w:rsidR="008A70FA" w:rsidRPr="003676AB">
        <w:rPr>
          <w:rFonts w:eastAsia="Calibri"/>
          <w:sz w:val="22"/>
          <w:szCs w:val="22"/>
          <w:lang w:eastAsia="sv-SE"/>
        </w:rPr>
        <w:t>art.</w:t>
      </w:r>
      <w:r w:rsidR="00222801" w:rsidRPr="003676AB">
        <w:rPr>
          <w:rFonts w:eastAsia="Calibri"/>
          <w:sz w:val="22"/>
          <w:szCs w:val="22"/>
          <w:lang w:eastAsia="sv-SE"/>
        </w:rPr>
        <w:t xml:space="preserve"> 91 TFEU (transport policy) which provides a general competence to enact measures in order to ensure road safety.</w:t>
      </w:r>
    </w:p>
    <w:p w14:paraId="09FE4A14" w14:textId="76E0564F" w:rsidR="007C66BE" w:rsidRPr="003676AB" w:rsidRDefault="007C66BE" w:rsidP="007C66BE">
      <w:pPr>
        <w:spacing w:before="0" w:after="200"/>
        <w:rPr>
          <w:rFonts w:eastAsia="Calibri"/>
          <w:sz w:val="22"/>
          <w:szCs w:val="22"/>
          <w:lang w:eastAsia="sv-SE"/>
        </w:rPr>
      </w:pPr>
      <w:r w:rsidRPr="003676AB">
        <w:rPr>
          <w:rFonts w:eastAsia="Calibri"/>
          <w:sz w:val="22"/>
          <w:szCs w:val="22"/>
          <w:lang w:eastAsia="sv-SE"/>
        </w:rPr>
        <w:t>Whil</w:t>
      </w:r>
      <w:r w:rsidR="0020056F" w:rsidRPr="003676AB">
        <w:rPr>
          <w:rFonts w:eastAsia="Calibri"/>
          <w:sz w:val="22"/>
          <w:szCs w:val="22"/>
          <w:lang w:eastAsia="sv-SE"/>
        </w:rPr>
        <w:t>e</w:t>
      </w:r>
      <w:r w:rsidRPr="003676AB">
        <w:rPr>
          <w:rFonts w:eastAsia="Calibri"/>
          <w:sz w:val="22"/>
          <w:szCs w:val="22"/>
          <w:lang w:eastAsia="sv-SE"/>
        </w:rPr>
        <w:t xml:space="preserve"> the Court of Justice </w:t>
      </w:r>
      <w:r w:rsidR="00222801" w:rsidRPr="003676AB">
        <w:rPr>
          <w:rFonts w:eastAsia="Calibri"/>
          <w:sz w:val="22"/>
          <w:szCs w:val="22"/>
          <w:lang w:eastAsia="sv-SE"/>
        </w:rPr>
        <w:t xml:space="preserve">interpreted </w:t>
      </w:r>
      <w:r w:rsidRPr="003676AB">
        <w:rPr>
          <w:rFonts w:eastAsia="Calibri"/>
          <w:sz w:val="22"/>
          <w:szCs w:val="22"/>
          <w:lang w:eastAsia="sv-SE"/>
        </w:rPr>
        <w:t xml:space="preserve">the scope of </w:t>
      </w:r>
      <w:r w:rsidR="008A70FA" w:rsidRPr="003676AB">
        <w:rPr>
          <w:rFonts w:eastAsia="Calibri"/>
          <w:sz w:val="22"/>
          <w:szCs w:val="22"/>
          <w:lang w:eastAsia="sv-SE"/>
        </w:rPr>
        <w:t>art.</w:t>
      </w:r>
      <w:r w:rsidRPr="003676AB">
        <w:rPr>
          <w:rFonts w:eastAsia="Calibri"/>
          <w:sz w:val="22"/>
          <w:szCs w:val="22"/>
          <w:lang w:eastAsia="sv-SE"/>
        </w:rPr>
        <w:t xml:space="preserve"> 91 TFEU</w:t>
      </w:r>
      <w:r w:rsidR="00222801" w:rsidRPr="003676AB">
        <w:rPr>
          <w:rFonts w:eastAsia="Calibri"/>
          <w:sz w:val="22"/>
          <w:szCs w:val="22"/>
          <w:lang w:eastAsia="sv-SE"/>
        </w:rPr>
        <w:t xml:space="preserve"> broadly</w:t>
      </w:r>
      <w:r w:rsidR="00F54C74" w:rsidRPr="003676AB">
        <w:rPr>
          <w:rFonts w:eastAsia="Calibri"/>
          <w:sz w:val="22"/>
          <w:szCs w:val="22"/>
          <w:lang w:eastAsia="sv-SE"/>
        </w:rPr>
        <w:t xml:space="preserve"> as</w:t>
      </w:r>
      <w:r w:rsidR="00222801" w:rsidRPr="003676AB">
        <w:rPr>
          <w:rFonts w:eastAsia="Calibri"/>
          <w:sz w:val="22"/>
          <w:szCs w:val="22"/>
          <w:lang w:eastAsia="sv-SE"/>
        </w:rPr>
        <w:t xml:space="preserve"> covering any measure which </w:t>
      </w:r>
      <w:r w:rsidR="00F54C74" w:rsidRPr="003676AB">
        <w:rPr>
          <w:rFonts w:eastAsia="Calibri"/>
          <w:sz w:val="22"/>
          <w:szCs w:val="22"/>
          <w:lang w:eastAsia="sv-SE"/>
        </w:rPr>
        <w:t xml:space="preserve">is </w:t>
      </w:r>
      <w:r w:rsidR="00222801" w:rsidRPr="003676AB">
        <w:rPr>
          <w:rFonts w:eastAsia="Calibri"/>
          <w:sz w:val="22"/>
          <w:szCs w:val="22"/>
          <w:lang w:eastAsia="sv-SE"/>
        </w:rPr>
        <w:t>ultimately intended to enhance road safety</w:t>
      </w:r>
      <w:r w:rsidR="00F54C74" w:rsidRPr="003676AB">
        <w:rPr>
          <w:rFonts w:eastAsia="Calibri"/>
          <w:sz w:val="22"/>
          <w:szCs w:val="22"/>
          <w:lang w:eastAsia="sv-SE"/>
        </w:rPr>
        <w:t>,</w:t>
      </w:r>
      <w:r w:rsidR="00222801" w:rsidRPr="003676AB">
        <w:rPr>
          <w:rStyle w:val="Fotnotsreferens"/>
          <w:rFonts w:eastAsia="Calibri"/>
          <w:sz w:val="22"/>
          <w:szCs w:val="22"/>
          <w:lang w:eastAsia="sv-SE"/>
        </w:rPr>
        <w:footnoteReference w:id="68"/>
      </w:r>
      <w:r w:rsidRPr="003676AB">
        <w:rPr>
          <w:rFonts w:eastAsia="Calibri"/>
          <w:sz w:val="22"/>
          <w:szCs w:val="22"/>
          <w:lang w:eastAsia="sv-SE"/>
        </w:rPr>
        <w:t xml:space="preserve"> it </w:t>
      </w:r>
      <w:r w:rsidR="009C1FC3" w:rsidRPr="003676AB">
        <w:rPr>
          <w:rFonts w:eastAsia="Calibri"/>
          <w:sz w:val="22"/>
          <w:szCs w:val="22"/>
          <w:lang w:eastAsia="sv-SE"/>
        </w:rPr>
        <w:t>found</w:t>
      </w:r>
      <w:r w:rsidRPr="003676AB">
        <w:rPr>
          <w:rFonts w:eastAsia="Calibri"/>
          <w:sz w:val="22"/>
          <w:szCs w:val="22"/>
          <w:lang w:eastAsia="sv-SE"/>
        </w:rPr>
        <w:t xml:space="preserve"> the scope of </w:t>
      </w:r>
      <w:r w:rsidR="008A70FA" w:rsidRPr="003676AB">
        <w:rPr>
          <w:rFonts w:eastAsia="Calibri"/>
          <w:sz w:val="22"/>
          <w:szCs w:val="22"/>
          <w:lang w:eastAsia="sv-SE"/>
        </w:rPr>
        <w:t>art.</w:t>
      </w:r>
      <w:r w:rsidR="009C1FC3" w:rsidRPr="003676AB">
        <w:rPr>
          <w:rFonts w:eastAsia="Calibri"/>
          <w:sz w:val="22"/>
          <w:szCs w:val="22"/>
          <w:lang w:eastAsia="sv-SE"/>
        </w:rPr>
        <w:t xml:space="preserve"> 87 TFEU to be</w:t>
      </w:r>
      <w:r w:rsidRPr="003676AB">
        <w:rPr>
          <w:rFonts w:eastAsia="Calibri"/>
          <w:sz w:val="22"/>
          <w:szCs w:val="22"/>
          <w:lang w:eastAsia="sv-SE"/>
        </w:rPr>
        <w:t xml:space="preserve"> narrow. The Court held that </w:t>
      </w:r>
      <w:r w:rsidR="008A70FA" w:rsidRPr="003676AB">
        <w:rPr>
          <w:rFonts w:eastAsia="Calibri"/>
          <w:sz w:val="22"/>
          <w:szCs w:val="22"/>
          <w:lang w:eastAsia="sv-SE"/>
        </w:rPr>
        <w:t>art.</w:t>
      </w:r>
      <w:r w:rsidRPr="003676AB">
        <w:rPr>
          <w:rFonts w:eastAsia="Calibri"/>
          <w:sz w:val="22"/>
          <w:szCs w:val="22"/>
          <w:lang w:eastAsia="sv-SE"/>
        </w:rPr>
        <w:t xml:space="preserve"> 87 TFEU had to be interpreted in its context</w:t>
      </w:r>
      <w:r w:rsidR="008D7C91" w:rsidRPr="003676AB">
        <w:rPr>
          <w:rFonts w:eastAsia="Calibri"/>
          <w:sz w:val="22"/>
          <w:szCs w:val="22"/>
          <w:lang w:eastAsia="sv-SE"/>
        </w:rPr>
        <w:t>, i</w:t>
      </w:r>
      <w:r w:rsidR="008A70FA" w:rsidRPr="003676AB">
        <w:rPr>
          <w:rFonts w:eastAsia="Calibri"/>
          <w:sz w:val="22"/>
          <w:szCs w:val="22"/>
          <w:lang w:eastAsia="sv-SE"/>
        </w:rPr>
        <w:t>.</w:t>
      </w:r>
      <w:r w:rsidR="008D7C91" w:rsidRPr="003676AB">
        <w:rPr>
          <w:rFonts w:eastAsia="Calibri"/>
          <w:sz w:val="22"/>
          <w:szCs w:val="22"/>
          <w:lang w:eastAsia="sv-SE"/>
        </w:rPr>
        <w:t>e</w:t>
      </w:r>
      <w:r w:rsidR="008A70FA" w:rsidRPr="003676AB">
        <w:rPr>
          <w:rFonts w:eastAsia="Calibri"/>
          <w:sz w:val="22"/>
          <w:szCs w:val="22"/>
          <w:lang w:eastAsia="sv-SE"/>
        </w:rPr>
        <w:t>.</w:t>
      </w:r>
      <w:r w:rsidRPr="003676AB">
        <w:rPr>
          <w:rFonts w:eastAsia="Calibri"/>
          <w:sz w:val="22"/>
          <w:szCs w:val="22"/>
          <w:lang w:eastAsia="sv-SE"/>
        </w:rPr>
        <w:t xml:space="preserve"> Chapter 5</w:t>
      </w:r>
      <w:r w:rsidR="00305DCC" w:rsidRPr="003676AB">
        <w:rPr>
          <w:rFonts w:eastAsia="Calibri"/>
          <w:sz w:val="22"/>
          <w:szCs w:val="22"/>
          <w:lang w:eastAsia="sv-SE"/>
        </w:rPr>
        <w:t xml:space="preserve">, entitled ‘Police Cooperation’ in </w:t>
      </w:r>
      <w:r w:rsidRPr="003676AB">
        <w:rPr>
          <w:rFonts w:eastAsia="Calibri"/>
          <w:sz w:val="22"/>
          <w:szCs w:val="22"/>
          <w:lang w:eastAsia="sv-SE"/>
        </w:rPr>
        <w:t xml:space="preserve">Title V of </w:t>
      </w:r>
      <w:r w:rsidR="00305DCC" w:rsidRPr="003676AB">
        <w:rPr>
          <w:rFonts w:eastAsia="Calibri"/>
          <w:sz w:val="22"/>
          <w:szCs w:val="22"/>
          <w:lang w:eastAsia="sv-SE"/>
        </w:rPr>
        <w:t>the TFEU</w:t>
      </w:r>
      <w:r w:rsidRPr="003676AB">
        <w:rPr>
          <w:rFonts w:eastAsia="Calibri"/>
          <w:sz w:val="22"/>
          <w:szCs w:val="22"/>
          <w:lang w:eastAsia="sv-SE"/>
        </w:rPr>
        <w:t xml:space="preserve">. </w:t>
      </w:r>
      <w:r w:rsidR="00305DCC" w:rsidRPr="003676AB">
        <w:rPr>
          <w:rFonts w:eastAsia="Calibri"/>
          <w:sz w:val="22"/>
          <w:szCs w:val="22"/>
          <w:lang w:eastAsia="sv-SE"/>
        </w:rPr>
        <w:t>It underlined that</w:t>
      </w:r>
      <w:r w:rsidR="00222801" w:rsidRPr="003676AB">
        <w:rPr>
          <w:rFonts w:eastAsia="Calibri"/>
          <w:sz w:val="22"/>
          <w:szCs w:val="22"/>
          <w:lang w:eastAsia="sv-SE"/>
        </w:rPr>
        <w:t xml:space="preserve"> this cooperation continued to concern, as was the case under the pre-Lisbon provisions</w:t>
      </w:r>
      <w:r w:rsidR="00305DCC" w:rsidRPr="003676AB">
        <w:rPr>
          <w:rFonts w:eastAsia="Calibri"/>
          <w:sz w:val="22"/>
          <w:szCs w:val="22"/>
          <w:lang w:eastAsia="sv-SE"/>
        </w:rPr>
        <w:t xml:space="preserve"> of the</w:t>
      </w:r>
      <w:r w:rsidR="009939DF" w:rsidRPr="003676AB">
        <w:rPr>
          <w:rFonts w:eastAsia="Calibri"/>
          <w:sz w:val="22"/>
          <w:szCs w:val="22"/>
          <w:lang w:eastAsia="sv-SE"/>
        </w:rPr>
        <w:t xml:space="preserve"> Treaty of European Union</w:t>
      </w:r>
      <w:r w:rsidRPr="003676AB">
        <w:rPr>
          <w:rFonts w:eastAsia="Calibri"/>
          <w:sz w:val="22"/>
          <w:szCs w:val="22"/>
          <w:lang w:eastAsia="sv-SE"/>
        </w:rPr>
        <w:t xml:space="preserve">, the authorities of the Member States ‘in relation to the prevention, detection and investigation of criminal </w:t>
      </w:r>
      <w:proofErr w:type="gramStart"/>
      <w:r w:rsidRPr="003676AB">
        <w:rPr>
          <w:rFonts w:eastAsia="Calibri"/>
          <w:sz w:val="22"/>
          <w:szCs w:val="22"/>
          <w:lang w:eastAsia="sv-SE"/>
        </w:rPr>
        <w:t>offences’</w:t>
      </w:r>
      <w:proofErr w:type="gramEnd"/>
      <w:r w:rsidRPr="003676AB">
        <w:rPr>
          <w:rFonts w:eastAsia="Calibri"/>
          <w:sz w:val="22"/>
          <w:szCs w:val="22"/>
          <w:lang w:eastAsia="sv-SE"/>
        </w:rPr>
        <w:t>. Ar</w:t>
      </w:r>
      <w:r w:rsidR="008A70FA" w:rsidRPr="003676AB">
        <w:rPr>
          <w:rFonts w:eastAsia="Calibri"/>
          <w:sz w:val="22"/>
          <w:szCs w:val="22"/>
          <w:lang w:eastAsia="sv-SE"/>
        </w:rPr>
        <w:t>t.</w:t>
      </w:r>
      <w:r w:rsidRPr="003676AB">
        <w:rPr>
          <w:rFonts w:eastAsia="Calibri"/>
          <w:sz w:val="22"/>
          <w:szCs w:val="22"/>
          <w:lang w:eastAsia="sv-SE"/>
        </w:rPr>
        <w:t xml:space="preserve"> 87(2) TFEU should also be understood in the light of the ‘General Provisions’ of the AFSJ, </w:t>
      </w:r>
      <w:r w:rsidR="008A70FA" w:rsidRPr="003676AB">
        <w:rPr>
          <w:rFonts w:eastAsia="Calibri"/>
          <w:sz w:val="22"/>
          <w:szCs w:val="22"/>
          <w:lang w:eastAsia="sv-SE"/>
        </w:rPr>
        <w:t>art.</w:t>
      </w:r>
      <w:r w:rsidRPr="003676AB">
        <w:rPr>
          <w:rFonts w:eastAsia="Calibri"/>
          <w:sz w:val="22"/>
          <w:szCs w:val="22"/>
          <w:lang w:eastAsia="sv-SE"/>
        </w:rPr>
        <w:t xml:space="preserve"> 67 TFEU, which provides, that the Union ‘shall endeavour to ensure a high level of security through measures to prevent and combat crime, racism and xenophobia, and through measures for coordination and cooperation between police and judicial authorities and other competent authorities, as well as through the mutual recognition of judgments in criminal matters and, if necessary, through the approximation of criminal laws’.</w:t>
      </w:r>
      <w:r w:rsidR="009939DF" w:rsidRPr="003676AB">
        <w:rPr>
          <w:rFonts w:eastAsia="Calibri"/>
          <w:sz w:val="22"/>
          <w:szCs w:val="22"/>
          <w:lang w:eastAsia="sv-SE"/>
        </w:rPr>
        <w:t xml:space="preserve"> </w:t>
      </w:r>
      <w:r w:rsidR="00F54C74" w:rsidRPr="003676AB">
        <w:rPr>
          <w:rFonts w:eastAsia="Calibri"/>
          <w:sz w:val="22"/>
          <w:szCs w:val="22"/>
          <w:lang w:eastAsia="sv-SE"/>
        </w:rPr>
        <w:t>According to the Court, t</w:t>
      </w:r>
      <w:r w:rsidR="009939DF" w:rsidRPr="003676AB">
        <w:rPr>
          <w:rFonts w:eastAsia="Calibri"/>
          <w:sz w:val="22"/>
          <w:szCs w:val="22"/>
          <w:lang w:eastAsia="sv-SE"/>
        </w:rPr>
        <w:t>he Road Traffic Directive was not</w:t>
      </w:r>
      <w:r w:rsidRPr="003676AB">
        <w:rPr>
          <w:rFonts w:eastAsia="Calibri"/>
          <w:sz w:val="22"/>
          <w:szCs w:val="22"/>
          <w:lang w:eastAsia="sv-SE"/>
        </w:rPr>
        <w:t xml:space="preserve"> </w:t>
      </w:r>
      <w:r w:rsidR="009939DF" w:rsidRPr="003676AB">
        <w:rPr>
          <w:rFonts w:eastAsia="Calibri"/>
          <w:sz w:val="22"/>
          <w:szCs w:val="22"/>
          <w:lang w:eastAsia="sv-SE"/>
        </w:rPr>
        <w:t>directly linked to those</w:t>
      </w:r>
      <w:r w:rsidRPr="003676AB">
        <w:rPr>
          <w:rFonts w:eastAsia="Calibri"/>
          <w:sz w:val="22"/>
          <w:szCs w:val="22"/>
          <w:lang w:eastAsia="sv-SE"/>
        </w:rPr>
        <w:t xml:space="preserve"> objectives</w:t>
      </w:r>
      <w:r w:rsidR="00305DCC" w:rsidRPr="003676AB">
        <w:rPr>
          <w:rFonts w:eastAsia="Calibri"/>
          <w:sz w:val="22"/>
          <w:szCs w:val="22"/>
          <w:lang w:eastAsia="sv-SE"/>
        </w:rPr>
        <w:t xml:space="preserve"> and therefore </w:t>
      </w:r>
      <w:r w:rsidR="00F54C74" w:rsidRPr="003676AB">
        <w:rPr>
          <w:rFonts w:eastAsia="Calibri"/>
          <w:sz w:val="22"/>
          <w:szCs w:val="22"/>
          <w:lang w:eastAsia="sv-SE"/>
        </w:rPr>
        <w:t xml:space="preserve">fell </w:t>
      </w:r>
      <w:r w:rsidR="00305DCC" w:rsidRPr="003676AB">
        <w:rPr>
          <w:rFonts w:eastAsia="Calibri"/>
          <w:sz w:val="22"/>
          <w:szCs w:val="22"/>
          <w:lang w:eastAsia="sv-SE"/>
        </w:rPr>
        <w:t xml:space="preserve">outside the </w:t>
      </w:r>
      <w:r w:rsidR="00D44F20" w:rsidRPr="003676AB">
        <w:rPr>
          <w:rFonts w:eastAsia="Calibri"/>
          <w:sz w:val="22"/>
          <w:szCs w:val="22"/>
          <w:lang w:eastAsia="sv-SE"/>
        </w:rPr>
        <w:t xml:space="preserve">scope </w:t>
      </w:r>
      <w:r w:rsidR="00305DCC" w:rsidRPr="003676AB">
        <w:rPr>
          <w:rFonts w:eastAsia="Calibri"/>
          <w:sz w:val="22"/>
          <w:szCs w:val="22"/>
          <w:lang w:eastAsia="sv-SE"/>
        </w:rPr>
        <w:t xml:space="preserve">of </w:t>
      </w:r>
      <w:r w:rsidR="008A70FA" w:rsidRPr="003676AB">
        <w:rPr>
          <w:rFonts w:eastAsia="Calibri"/>
          <w:sz w:val="22"/>
          <w:szCs w:val="22"/>
          <w:lang w:eastAsia="sv-SE"/>
        </w:rPr>
        <w:t>art.</w:t>
      </w:r>
      <w:r w:rsidR="00305DCC" w:rsidRPr="003676AB">
        <w:rPr>
          <w:rFonts w:eastAsia="Calibri"/>
          <w:sz w:val="22"/>
          <w:szCs w:val="22"/>
          <w:lang w:eastAsia="sv-SE"/>
        </w:rPr>
        <w:t xml:space="preserve"> 87 TFEU</w:t>
      </w:r>
      <w:r w:rsidRPr="003676AB">
        <w:rPr>
          <w:rFonts w:ascii="Warnock Pro" w:eastAsiaTheme="minorHAnsi" w:hAnsi="Warnock Pro" w:cs="Warnock Pro"/>
          <w:color w:val="000000"/>
          <w:sz w:val="22"/>
          <w:szCs w:val="22"/>
        </w:rPr>
        <w:t>.</w:t>
      </w:r>
      <w:r w:rsidRPr="003676AB">
        <w:rPr>
          <w:rStyle w:val="Fotnotsreferens"/>
          <w:rFonts w:ascii="Warnock Pro" w:eastAsiaTheme="minorHAnsi" w:hAnsi="Warnock Pro" w:cs="Warnock Pro"/>
          <w:color w:val="000000"/>
          <w:sz w:val="22"/>
          <w:szCs w:val="22"/>
        </w:rPr>
        <w:footnoteReference w:id="69"/>
      </w:r>
      <w:r w:rsidRPr="003676AB">
        <w:rPr>
          <w:rFonts w:ascii="Warnock Pro" w:eastAsiaTheme="minorHAnsi" w:hAnsi="Warnock Pro" w:cs="Warnock Pro"/>
          <w:color w:val="000000"/>
          <w:sz w:val="22"/>
          <w:szCs w:val="22"/>
        </w:rPr>
        <w:t xml:space="preserve"> </w:t>
      </w:r>
    </w:p>
    <w:p w14:paraId="4B43EA1C" w14:textId="57173267" w:rsidR="00C90CA5" w:rsidRPr="003676AB" w:rsidRDefault="00AA7B2E" w:rsidP="00AA7B2E">
      <w:pPr>
        <w:spacing w:before="0" w:after="200"/>
        <w:rPr>
          <w:rFonts w:cs="EUAlbertina"/>
          <w:color w:val="000000"/>
          <w:sz w:val="22"/>
          <w:szCs w:val="22"/>
        </w:rPr>
      </w:pPr>
      <w:r w:rsidRPr="003676AB">
        <w:rPr>
          <w:rFonts w:cs="EUAlbertina"/>
          <w:color w:val="000000"/>
          <w:sz w:val="22"/>
          <w:szCs w:val="22"/>
        </w:rPr>
        <w:t>The Court’s conclusion</w:t>
      </w:r>
      <w:r w:rsidR="003A4C16" w:rsidRPr="003676AB">
        <w:rPr>
          <w:rFonts w:cs="EUAlbertina"/>
          <w:color w:val="000000"/>
          <w:sz w:val="22"/>
          <w:szCs w:val="22"/>
        </w:rPr>
        <w:t xml:space="preserve"> that the</w:t>
      </w:r>
      <w:r w:rsidR="00AE38B3" w:rsidRPr="003676AB">
        <w:rPr>
          <w:rFonts w:cs="EUAlbertina"/>
          <w:color w:val="000000"/>
          <w:sz w:val="22"/>
          <w:szCs w:val="22"/>
        </w:rPr>
        <w:t xml:space="preserve"> predominant objective of the</w:t>
      </w:r>
      <w:r w:rsidR="003A4C16" w:rsidRPr="003676AB">
        <w:rPr>
          <w:rFonts w:cs="EUAlbertina"/>
          <w:color w:val="000000"/>
          <w:sz w:val="22"/>
          <w:szCs w:val="22"/>
        </w:rPr>
        <w:t xml:space="preserve"> directive </w:t>
      </w:r>
      <w:r w:rsidR="00AE38B3" w:rsidRPr="003676AB">
        <w:rPr>
          <w:rFonts w:cs="EUAlbertina"/>
          <w:color w:val="000000"/>
          <w:sz w:val="22"/>
          <w:szCs w:val="22"/>
        </w:rPr>
        <w:t>was to enhance</w:t>
      </w:r>
      <w:r w:rsidR="003A4C16" w:rsidRPr="003676AB">
        <w:rPr>
          <w:rFonts w:cs="EUAlbertina"/>
          <w:color w:val="000000"/>
          <w:sz w:val="22"/>
          <w:szCs w:val="22"/>
        </w:rPr>
        <w:t xml:space="preserve"> road safety</w:t>
      </w:r>
      <w:r w:rsidRPr="003676AB">
        <w:rPr>
          <w:rFonts w:cs="EUAlbertina"/>
          <w:color w:val="000000"/>
          <w:sz w:val="22"/>
          <w:szCs w:val="22"/>
        </w:rPr>
        <w:t xml:space="preserve"> </w:t>
      </w:r>
      <w:r w:rsidR="00305DCC" w:rsidRPr="003676AB">
        <w:rPr>
          <w:rFonts w:cs="EUAlbertina"/>
          <w:color w:val="000000"/>
          <w:sz w:val="22"/>
          <w:szCs w:val="22"/>
        </w:rPr>
        <w:t xml:space="preserve">is </w:t>
      </w:r>
      <w:r w:rsidR="00D44F20" w:rsidRPr="003676AB">
        <w:rPr>
          <w:rFonts w:cs="EUAlbertina"/>
          <w:color w:val="000000"/>
          <w:sz w:val="22"/>
          <w:szCs w:val="22"/>
        </w:rPr>
        <w:t>open to question</w:t>
      </w:r>
      <w:r w:rsidR="008A70FA" w:rsidRPr="003676AB">
        <w:rPr>
          <w:rFonts w:cs="EUAlbertina"/>
          <w:color w:val="000000"/>
          <w:sz w:val="22"/>
          <w:szCs w:val="22"/>
        </w:rPr>
        <w:t>.</w:t>
      </w:r>
      <w:r w:rsidR="003A4C16" w:rsidRPr="003676AB">
        <w:rPr>
          <w:rFonts w:cs="EUAlbertina"/>
          <w:color w:val="000000"/>
          <w:sz w:val="22"/>
          <w:szCs w:val="22"/>
        </w:rPr>
        <w:t xml:space="preserve"> </w:t>
      </w:r>
      <w:r w:rsidRPr="003676AB">
        <w:rPr>
          <w:rFonts w:cs="EUAlbertina"/>
          <w:color w:val="000000"/>
          <w:sz w:val="22"/>
          <w:szCs w:val="22"/>
        </w:rPr>
        <w:t xml:space="preserve">A close review of </w:t>
      </w:r>
      <w:r w:rsidR="003A4C16" w:rsidRPr="003676AB">
        <w:rPr>
          <w:rFonts w:cs="EUAlbertina"/>
          <w:color w:val="000000"/>
          <w:sz w:val="22"/>
          <w:szCs w:val="22"/>
        </w:rPr>
        <w:t>the directive</w:t>
      </w:r>
      <w:r w:rsidR="00AD67AB" w:rsidRPr="003676AB">
        <w:rPr>
          <w:rFonts w:cs="EUAlbertina"/>
          <w:color w:val="000000"/>
          <w:sz w:val="22"/>
          <w:szCs w:val="22"/>
        </w:rPr>
        <w:t xml:space="preserve"> suggested</w:t>
      </w:r>
      <w:r w:rsidRPr="003676AB">
        <w:rPr>
          <w:rFonts w:cs="EUAlbertina"/>
          <w:color w:val="000000"/>
          <w:sz w:val="22"/>
          <w:szCs w:val="22"/>
        </w:rPr>
        <w:t xml:space="preserve"> that it</w:t>
      </w:r>
      <w:r w:rsidR="003A4C16" w:rsidRPr="003676AB">
        <w:rPr>
          <w:rFonts w:cs="EUAlbertina"/>
          <w:color w:val="000000"/>
          <w:sz w:val="22"/>
          <w:szCs w:val="22"/>
        </w:rPr>
        <w:t xml:space="preserve"> was</w:t>
      </w:r>
      <w:r w:rsidR="000C0513" w:rsidRPr="003676AB">
        <w:rPr>
          <w:rFonts w:cs="EUAlbertina"/>
          <w:color w:val="000000"/>
          <w:sz w:val="22"/>
          <w:szCs w:val="22"/>
        </w:rPr>
        <w:t xml:space="preserve"> rather</w:t>
      </w:r>
      <w:r w:rsidR="003A4C16" w:rsidRPr="003676AB">
        <w:rPr>
          <w:rFonts w:cs="EUAlbertina"/>
          <w:color w:val="000000"/>
          <w:sz w:val="22"/>
          <w:szCs w:val="22"/>
        </w:rPr>
        <w:t xml:space="preserve"> aimed to be a measure to enhance the criminal enforcement of road traffic measures. </w:t>
      </w:r>
      <w:r w:rsidR="00381949" w:rsidRPr="003676AB">
        <w:rPr>
          <w:rFonts w:cs="EUAlbertina"/>
          <w:color w:val="000000"/>
          <w:sz w:val="22"/>
          <w:szCs w:val="22"/>
        </w:rPr>
        <w:t>That is clear from the recitals of the Directive and the content of the directive which suggests that the aim is to enable more effective enforcement in relation to road traffic offences through the creation of a system of exchange of information</w:t>
      </w:r>
      <w:r w:rsidR="00EE221F" w:rsidRPr="003676AB">
        <w:rPr>
          <w:rFonts w:cs="EUAlbertina"/>
          <w:color w:val="000000"/>
          <w:sz w:val="22"/>
          <w:szCs w:val="22"/>
        </w:rPr>
        <w:t xml:space="preserve"> concerning road traffic offences</w:t>
      </w:r>
      <w:r w:rsidR="00381949" w:rsidRPr="003676AB">
        <w:rPr>
          <w:rFonts w:cs="EUAlbertina"/>
          <w:color w:val="000000"/>
          <w:sz w:val="22"/>
          <w:szCs w:val="22"/>
        </w:rPr>
        <w:t>.</w:t>
      </w:r>
      <w:r w:rsidR="000C0513" w:rsidRPr="003676AB">
        <w:rPr>
          <w:rStyle w:val="Fotnotsreferens"/>
          <w:rFonts w:cs="EUAlbertina"/>
          <w:color w:val="000000"/>
          <w:sz w:val="22"/>
          <w:szCs w:val="22"/>
        </w:rPr>
        <w:footnoteReference w:id="70"/>
      </w:r>
      <w:r w:rsidR="000C0513" w:rsidRPr="003676AB">
        <w:rPr>
          <w:rFonts w:cs="EUAlbertina"/>
          <w:color w:val="000000"/>
          <w:sz w:val="22"/>
          <w:szCs w:val="22"/>
        </w:rPr>
        <w:t xml:space="preserve"> It</w:t>
      </w:r>
      <w:r w:rsidR="00C90CA5" w:rsidRPr="003676AB">
        <w:rPr>
          <w:rFonts w:cs="EUAlbertina"/>
          <w:color w:val="000000"/>
          <w:sz w:val="22"/>
          <w:szCs w:val="22"/>
        </w:rPr>
        <w:t xml:space="preserve"> is also arguable</w:t>
      </w:r>
      <w:r w:rsidR="000C0513" w:rsidRPr="003676AB">
        <w:rPr>
          <w:rFonts w:cs="EUAlbertina"/>
          <w:color w:val="000000"/>
          <w:sz w:val="22"/>
          <w:szCs w:val="22"/>
        </w:rPr>
        <w:t xml:space="preserve"> that the objective of enhancing </w:t>
      </w:r>
      <w:r w:rsidR="006E3852" w:rsidRPr="003676AB">
        <w:rPr>
          <w:sz w:val="22"/>
          <w:szCs w:val="22"/>
        </w:rPr>
        <w:t xml:space="preserve">road safety by improving </w:t>
      </w:r>
      <w:r w:rsidR="000C0513" w:rsidRPr="003676AB">
        <w:rPr>
          <w:rFonts w:cs="EUAlbertina"/>
          <w:color w:val="000000"/>
          <w:sz w:val="22"/>
          <w:szCs w:val="22"/>
        </w:rPr>
        <w:t xml:space="preserve">enforcement of road traffic offences could, </w:t>
      </w:r>
      <w:r w:rsidR="00A555A2" w:rsidRPr="003676AB">
        <w:rPr>
          <w:rFonts w:cs="EUAlbertina"/>
          <w:i/>
          <w:color w:val="000000"/>
          <w:sz w:val="22"/>
          <w:szCs w:val="22"/>
        </w:rPr>
        <w:t>contra</w:t>
      </w:r>
      <w:r w:rsidR="00A555A2" w:rsidRPr="003676AB">
        <w:rPr>
          <w:rFonts w:cs="EUAlbertina"/>
          <w:color w:val="000000"/>
          <w:sz w:val="22"/>
          <w:szCs w:val="22"/>
        </w:rPr>
        <w:t xml:space="preserve"> the </w:t>
      </w:r>
      <w:r w:rsidR="00D44F20" w:rsidRPr="003676AB">
        <w:rPr>
          <w:rFonts w:cs="EUAlbertina"/>
          <w:color w:val="000000"/>
          <w:sz w:val="22"/>
          <w:szCs w:val="22"/>
        </w:rPr>
        <w:t>finding</w:t>
      </w:r>
      <w:r w:rsidR="00A555A2" w:rsidRPr="003676AB">
        <w:rPr>
          <w:rFonts w:cs="EUAlbertina"/>
          <w:color w:val="000000"/>
          <w:sz w:val="22"/>
          <w:szCs w:val="22"/>
        </w:rPr>
        <w:t>s</w:t>
      </w:r>
      <w:r w:rsidR="00D44F20" w:rsidRPr="003676AB">
        <w:rPr>
          <w:rFonts w:cs="EUAlbertina"/>
          <w:color w:val="000000"/>
          <w:sz w:val="22"/>
          <w:szCs w:val="22"/>
        </w:rPr>
        <w:t xml:space="preserve"> of the Court</w:t>
      </w:r>
      <w:r w:rsidR="000C0513" w:rsidRPr="003676AB">
        <w:rPr>
          <w:rFonts w:cs="EUAlbertina"/>
          <w:color w:val="000000"/>
          <w:sz w:val="22"/>
          <w:szCs w:val="22"/>
        </w:rPr>
        <w:t>, be</w:t>
      </w:r>
      <w:r w:rsidR="00C90CA5" w:rsidRPr="003676AB">
        <w:rPr>
          <w:rFonts w:cs="EUAlbertina"/>
          <w:color w:val="000000"/>
          <w:sz w:val="22"/>
          <w:szCs w:val="22"/>
        </w:rPr>
        <w:t xml:space="preserve"> encompassed within</w:t>
      </w:r>
      <w:r w:rsidR="000C0513" w:rsidRPr="003676AB">
        <w:rPr>
          <w:rFonts w:cs="EUAlbertina"/>
          <w:color w:val="000000"/>
          <w:sz w:val="22"/>
          <w:szCs w:val="22"/>
        </w:rPr>
        <w:t xml:space="preserve"> the general objectives listed in </w:t>
      </w:r>
      <w:r w:rsidR="008A70FA" w:rsidRPr="003676AB">
        <w:rPr>
          <w:rFonts w:cs="EUAlbertina"/>
          <w:color w:val="000000"/>
          <w:sz w:val="22"/>
          <w:szCs w:val="22"/>
        </w:rPr>
        <w:t xml:space="preserve">art. </w:t>
      </w:r>
      <w:r w:rsidR="000C0513" w:rsidRPr="003676AB">
        <w:rPr>
          <w:rFonts w:cs="EUAlbertina"/>
          <w:color w:val="000000"/>
          <w:sz w:val="22"/>
          <w:szCs w:val="22"/>
        </w:rPr>
        <w:t>67 TFEU, i</w:t>
      </w:r>
      <w:r w:rsidR="008A70FA" w:rsidRPr="003676AB">
        <w:rPr>
          <w:rFonts w:cs="EUAlbertina"/>
          <w:color w:val="000000"/>
          <w:sz w:val="22"/>
          <w:szCs w:val="22"/>
        </w:rPr>
        <w:t>.</w:t>
      </w:r>
      <w:r w:rsidR="000C0513" w:rsidRPr="003676AB">
        <w:rPr>
          <w:rFonts w:cs="EUAlbertina"/>
          <w:color w:val="000000"/>
          <w:sz w:val="22"/>
          <w:szCs w:val="22"/>
        </w:rPr>
        <w:t>e</w:t>
      </w:r>
      <w:r w:rsidR="008A70FA" w:rsidRPr="003676AB">
        <w:rPr>
          <w:rFonts w:cs="EUAlbertina"/>
          <w:color w:val="000000"/>
          <w:sz w:val="22"/>
          <w:szCs w:val="22"/>
        </w:rPr>
        <w:t>.</w:t>
      </w:r>
      <w:r w:rsidR="000C0513" w:rsidRPr="003676AB">
        <w:rPr>
          <w:rFonts w:cs="EUAlbertina"/>
          <w:color w:val="000000"/>
          <w:sz w:val="22"/>
          <w:szCs w:val="22"/>
        </w:rPr>
        <w:t xml:space="preserve"> to ensure a high level of security</w:t>
      </w:r>
      <w:r w:rsidR="006E3852" w:rsidRPr="003676AB">
        <w:rPr>
          <w:rStyle w:val="Fotnotsreferens"/>
          <w:rFonts w:cs="EUAlbertina"/>
          <w:color w:val="000000"/>
          <w:sz w:val="22"/>
          <w:szCs w:val="22"/>
        </w:rPr>
        <w:footnoteReference w:id="71"/>
      </w:r>
      <w:r w:rsidR="006E3852" w:rsidRPr="003676AB">
        <w:rPr>
          <w:rStyle w:val="Fotnotsreferens"/>
          <w:rFonts w:cs="EUAlbertina"/>
          <w:color w:val="000000"/>
          <w:sz w:val="22"/>
          <w:szCs w:val="22"/>
        </w:rPr>
        <w:t>.</w:t>
      </w:r>
      <w:r w:rsidR="006E3852" w:rsidRPr="003676AB">
        <w:rPr>
          <w:sz w:val="22"/>
          <w:szCs w:val="22"/>
        </w:rPr>
        <w:t>and thus constitute an ‘integral part of the construction of an Area of Freedom, Security and Justice’</w:t>
      </w:r>
      <w:r w:rsidR="006E3852" w:rsidRPr="003676AB">
        <w:rPr>
          <w:rStyle w:val="Fotnotsreferens"/>
          <w:sz w:val="22"/>
          <w:szCs w:val="22"/>
        </w:rPr>
        <w:footnoteReference w:id="72"/>
      </w:r>
      <w:r w:rsidR="000C0513" w:rsidRPr="003676AB">
        <w:rPr>
          <w:rFonts w:cs="EUAlbertina"/>
          <w:color w:val="000000"/>
          <w:sz w:val="22"/>
          <w:szCs w:val="22"/>
        </w:rPr>
        <w:t>.</w:t>
      </w:r>
    </w:p>
    <w:p w14:paraId="530F2032" w14:textId="5A0BF7E3" w:rsidR="00050C39" w:rsidRPr="003676AB" w:rsidRDefault="00AA7B2E" w:rsidP="00AA7B2E">
      <w:pPr>
        <w:spacing w:before="0" w:after="200"/>
        <w:rPr>
          <w:rFonts w:cs="EUAlbertina"/>
          <w:color w:val="000000"/>
          <w:sz w:val="22"/>
          <w:szCs w:val="22"/>
        </w:rPr>
      </w:pPr>
      <w:r w:rsidRPr="003676AB">
        <w:rPr>
          <w:rFonts w:cs="EUAlbertina"/>
          <w:color w:val="000000"/>
          <w:sz w:val="22"/>
          <w:szCs w:val="22"/>
        </w:rPr>
        <w:t xml:space="preserve">The Court’s </w:t>
      </w:r>
      <w:r w:rsidR="009C3291" w:rsidRPr="003676AB">
        <w:rPr>
          <w:rFonts w:cs="EUAlbertina"/>
          <w:color w:val="000000"/>
          <w:sz w:val="22"/>
          <w:szCs w:val="22"/>
        </w:rPr>
        <w:t xml:space="preserve">decision </w:t>
      </w:r>
      <w:r w:rsidRPr="003676AB">
        <w:rPr>
          <w:rFonts w:cs="EUAlbertina"/>
          <w:color w:val="000000"/>
          <w:sz w:val="22"/>
          <w:szCs w:val="22"/>
        </w:rPr>
        <w:t xml:space="preserve">to give priority to </w:t>
      </w:r>
      <w:r w:rsidR="008A70FA" w:rsidRPr="003676AB">
        <w:rPr>
          <w:rFonts w:cs="EUAlbertina"/>
          <w:color w:val="000000"/>
          <w:sz w:val="22"/>
          <w:szCs w:val="22"/>
        </w:rPr>
        <w:t>a</w:t>
      </w:r>
      <w:r w:rsidRPr="003676AB">
        <w:rPr>
          <w:rFonts w:cs="EUAlbertina"/>
          <w:color w:val="000000"/>
          <w:sz w:val="22"/>
          <w:szCs w:val="22"/>
        </w:rPr>
        <w:t>rt</w:t>
      </w:r>
      <w:r w:rsidR="008A70FA" w:rsidRPr="003676AB">
        <w:rPr>
          <w:rFonts w:cs="EUAlbertina"/>
          <w:color w:val="000000"/>
          <w:sz w:val="22"/>
          <w:szCs w:val="22"/>
        </w:rPr>
        <w:t>.</w:t>
      </w:r>
      <w:r w:rsidRPr="003676AB">
        <w:rPr>
          <w:rFonts w:cs="EUAlbertina"/>
          <w:color w:val="000000"/>
          <w:sz w:val="22"/>
          <w:szCs w:val="22"/>
        </w:rPr>
        <w:t xml:space="preserve"> 91 TFEU over </w:t>
      </w:r>
      <w:r w:rsidR="008A70FA" w:rsidRPr="003676AB">
        <w:rPr>
          <w:rFonts w:cs="EUAlbertina"/>
          <w:color w:val="000000"/>
          <w:sz w:val="22"/>
          <w:szCs w:val="22"/>
        </w:rPr>
        <w:t>art.</w:t>
      </w:r>
      <w:r w:rsidRPr="003676AB">
        <w:rPr>
          <w:rFonts w:cs="EUAlbertina"/>
          <w:color w:val="000000"/>
          <w:sz w:val="22"/>
          <w:szCs w:val="22"/>
        </w:rPr>
        <w:t xml:space="preserve"> 87 TFEU was premised on </w:t>
      </w:r>
      <w:r w:rsidR="00A555A2" w:rsidRPr="003676AB">
        <w:rPr>
          <w:rFonts w:cs="EUAlbertina"/>
          <w:color w:val="000000"/>
          <w:sz w:val="22"/>
          <w:szCs w:val="22"/>
        </w:rPr>
        <w:t xml:space="preserve">a </w:t>
      </w:r>
      <w:r w:rsidR="009C3291" w:rsidRPr="003676AB">
        <w:rPr>
          <w:rFonts w:cs="EUAlbertina"/>
          <w:color w:val="000000"/>
          <w:sz w:val="22"/>
          <w:szCs w:val="22"/>
        </w:rPr>
        <w:t xml:space="preserve">too </w:t>
      </w:r>
      <w:r w:rsidR="00C90CA5" w:rsidRPr="003676AB">
        <w:rPr>
          <w:rFonts w:cs="EUAlbertina"/>
          <w:color w:val="000000"/>
          <w:sz w:val="22"/>
          <w:szCs w:val="22"/>
        </w:rPr>
        <w:t>narrow construction</w:t>
      </w:r>
      <w:r w:rsidRPr="003676AB">
        <w:rPr>
          <w:rFonts w:cs="EUAlbertina"/>
          <w:color w:val="000000"/>
          <w:sz w:val="22"/>
          <w:szCs w:val="22"/>
        </w:rPr>
        <w:t xml:space="preserve"> of the term ‘criminal offences’</w:t>
      </w:r>
      <w:r w:rsidR="00C90CA5" w:rsidRPr="003676AB">
        <w:rPr>
          <w:rFonts w:cs="EUAlbertina"/>
          <w:color w:val="000000"/>
          <w:sz w:val="22"/>
          <w:szCs w:val="22"/>
        </w:rPr>
        <w:t xml:space="preserve"> </w:t>
      </w:r>
      <w:r w:rsidRPr="003676AB">
        <w:rPr>
          <w:rFonts w:cs="EUAlbertina"/>
          <w:color w:val="000000"/>
          <w:sz w:val="22"/>
          <w:szCs w:val="22"/>
        </w:rPr>
        <w:t>within the context of ‘police cooperation’</w:t>
      </w:r>
      <w:r w:rsidR="00C90CA5" w:rsidRPr="003676AB">
        <w:rPr>
          <w:rFonts w:cs="EUAlbertina"/>
          <w:color w:val="000000"/>
          <w:sz w:val="22"/>
          <w:szCs w:val="22"/>
        </w:rPr>
        <w:t xml:space="preserve"> in the latter provision</w:t>
      </w:r>
      <w:r w:rsidRPr="003676AB">
        <w:rPr>
          <w:rFonts w:cs="EUAlbertina"/>
          <w:color w:val="000000"/>
          <w:sz w:val="22"/>
          <w:szCs w:val="22"/>
        </w:rPr>
        <w:t>.</w:t>
      </w:r>
      <w:r w:rsidR="00595D76" w:rsidRPr="003676AB">
        <w:rPr>
          <w:rFonts w:cs="EUAlbertina"/>
          <w:color w:val="000000"/>
          <w:sz w:val="22"/>
          <w:szCs w:val="22"/>
        </w:rPr>
        <w:t xml:space="preserve"> As </w:t>
      </w:r>
      <w:r w:rsidRPr="003676AB">
        <w:rPr>
          <w:rFonts w:cs="EUAlbertina"/>
          <w:color w:val="000000"/>
          <w:sz w:val="22"/>
          <w:szCs w:val="22"/>
        </w:rPr>
        <w:t>the system for exchange of information</w:t>
      </w:r>
      <w:r w:rsidR="0006458F" w:rsidRPr="003676AB">
        <w:rPr>
          <w:rFonts w:cs="EUAlbertina"/>
          <w:color w:val="000000"/>
          <w:sz w:val="22"/>
          <w:szCs w:val="22"/>
        </w:rPr>
        <w:t xml:space="preserve"> not only related</w:t>
      </w:r>
      <w:r w:rsidRPr="003676AB">
        <w:rPr>
          <w:rFonts w:cs="EUAlbertina"/>
          <w:color w:val="000000"/>
          <w:sz w:val="22"/>
          <w:szCs w:val="22"/>
        </w:rPr>
        <w:t xml:space="preserve"> to criminal offences but also </w:t>
      </w:r>
      <w:r w:rsidRPr="003676AB">
        <w:rPr>
          <w:rFonts w:cs="EUAlbertina"/>
          <w:color w:val="000000"/>
          <w:sz w:val="22"/>
          <w:szCs w:val="22"/>
        </w:rPr>
        <w:lastRenderedPageBreak/>
        <w:t>administrative offences,</w:t>
      </w:r>
      <w:r w:rsidR="0006458F" w:rsidRPr="003676AB">
        <w:rPr>
          <w:rFonts w:cs="EUAlbertina"/>
          <w:color w:val="000000"/>
          <w:sz w:val="22"/>
          <w:szCs w:val="22"/>
        </w:rPr>
        <w:t xml:space="preserve"> </w:t>
      </w:r>
      <w:r w:rsidR="008A70FA" w:rsidRPr="003676AB">
        <w:rPr>
          <w:rFonts w:cs="EUAlbertina"/>
          <w:color w:val="000000"/>
          <w:sz w:val="22"/>
          <w:szCs w:val="22"/>
        </w:rPr>
        <w:t>art.</w:t>
      </w:r>
      <w:r w:rsidR="0006458F" w:rsidRPr="003676AB">
        <w:rPr>
          <w:rFonts w:cs="EUAlbertina"/>
          <w:color w:val="000000"/>
          <w:sz w:val="22"/>
          <w:szCs w:val="22"/>
        </w:rPr>
        <w:t xml:space="preserve"> 87 TFEU could not be used for the measure according to the Court</w:t>
      </w:r>
      <w:r w:rsidRPr="003676AB">
        <w:rPr>
          <w:rFonts w:cs="EUAlbertina"/>
          <w:color w:val="000000"/>
          <w:sz w:val="22"/>
          <w:szCs w:val="22"/>
        </w:rPr>
        <w:t>.</w:t>
      </w:r>
      <w:r w:rsidRPr="003676AB">
        <w:rPr>
          <w:rStyle w:val="Fotnotsreferens"/>
          <w:rFonts w:cs="EUAlbertina"/>
          <w:color w:val="000000"/>
          <w:sz w:val="22"/>
          <w:szCs w:val="22"/>
        </w:rPr>
        <w:footnoteReference w:id="73"/>
      </w:r>
      <w:r w:rsidRPr="003676AB">
        <w:rPr>
          <w:rFonts w:cs="EUAlbertina"/>
          <w:color w:val="000000"/>
          <w:sz w:val="22"/>
          <w:szCs w:val="22"/>
        </w:rPr>
        <w:t xml:space="preserve"> </w:t>
      </w:r>
      <w:r w:rsidR="00C90CA5" w:rsidRPr="003676AB">
        <w:rPr>
          <w:color w:val="333333"/>
          <w:sz w:val="22"/>
          <w:szCs w:val="22"/>
        </w:rPr>
        <w:t>The</w:t>
      </w:r>
      <w:r w:rsidR="006E3852" w:rsidRPr="003676AB">
        <w:rPr>
          <w:color w:val="333333"/>
          <w:sz w:val="22"/>
          <w:szCs w:val="22"/>
        </w:rPr>
        <w:t>re is however an alternative</w:t>
      </w:r>
      <w:r w:rsidR="0006458F" w:rsidRPr="003676AB">
        <w:rPr>
          <w:color w:val="333333"/>
          <w:sz w:val="22"/>
          <w:szCs w:val="22"/>
        </w:rPr>
        <w:t xml:space="preserve"> and broader</w:t>
      </w:r>
      <w:r w:rsidR="006E3852" w:rsidRPr="003676AB">
        <w:rPr>
          <w:color w:val="333333"/>
          <w:sz w:val="22"/>
          <w:szCs w:val="22"/>
        </w:rPr>
        <w:t xml:space="preserve"> interpretation</w:t>
      </w:r>
      <w:r w:rsidR="00C90CA5" w:rsidRPr="003676AB">
        <w:rPr>
          <w:color w:val="333333"/>
          <w:sz w:val="22"/>
          <w:szCs w:val="22"/>
        </w:rPr>
        <w:t xml:space="preserve"> of </w:t>
      </w:r>
      <w:r w:rsidR="008A70FA" w:rsidRPr="003676AB">
        <w:rPr>
          <w:color w:val="333333"/>
          <w:sz w:val="22"/>
          <w:szCs w:val="22"/>
        </w:rPr>
        <w:t>art.</w:t>
      </w:r>
      <w:r w:rsidR="00C90CA5" w:rsidRPr="003676AB">
        <w:rPr>
          <w:color w:val="333333"/>
          <w:sz w:val="22"/>
          <w:szCs w:val="22"/>
        </w:rPr>
        <w:t xml:space="preserve"> 87 (1) TFEU, </w:t>
      </w:r>
      <w:r w:rsidR="006E3852" w:rsidRPr="003676AB">
        <w:rPr>
          <w:color w:val="333333"/>
          <w:sz w:val="22"/>
          <w:szCs w:val="22"/>
        </w:rPr>
        <w:t>proposed</w:t>
      </w:r>
      <w:r w:rsidR="00C90CA5" w:rsidRPr="003676AB">
        <w:rPr>
          <w:color w:val="333333"/>
          <w:sz w:val="22"/>
          <w:szCs w:val="22"/>
        </w:rPr>
        <w:t xml:space="preserve"> by AG Bot, </w:t>
      </w:r>
      <w:r w:rsidR="006E3852" w:rsidRPr="003676AB">
        <w:rPr>
          <w:color w:val="333333"/>
          <w:sz w:val="22"/>
          <w:szCs w:val="22"/>
        </w:rPr>
        <w:t xml:space="preserve">that the provision </w:t>
      </w:r>
      <w:r w:rsidR="00C90CA5" w:rsidRPr="003676AB">
        <w:rPr>
          <w:color w:val="333333"/>
          <w:sz w:val="22"/>
          <w:szCs w:val="22"/>
        </w:rPr>
        <w:t xml:space="preserve">concerns ‘police cooperation involving all the ‘Member States’ competent authorities’ and not only police cooperation relating to criminal offences. The reference to the fact that those authorities include ‘police, customs and other specialised law enforcement services in relation to the prevention, detection and investigation of criminal offences’ </w:t>
      </w:r>
      <w:r w:rsidR="0006458F" w:rsidRPr="003676AB">
        <w:rPr>
          <w:color w:val="333333"/>
          <w:sz w:val="22"/>
          <w:szCs w:val="22"/>
        </w:rPr>
        <w:t xml:space="preserve">suggests </w:t>
      </w:r>
      <w:r w:rsidR="00C90CA5" w:rsidRPr="003676AB">
        <w:rPr>
          <w:color w:val="333333"/>
          <w:sz w:val="22"/>
          <w:szCs w:val="22"/>
        </w:rPr>
        <w:t xml:space="preserve">that </w:t>
      </w:r>
      <w:r w:rsidR="009C3291" w:rsidRPr="003676AB">
        <w:rPr>
          <w:color w:val="333333"/>
          <w:sz w:val="22"/>
          <w:szCs w:val="22"/>
        </w:rPr>
        <w:t xml:space="preserve">these </w:t>
      </w:r>
      <w:r w:rsidR="00C90CA5" w:rsidRPr="003676AB">
        <w:rPr>
          <w:color w:val="333333"/>
          <w:sz w:val="22"/>
          <w:szCs w:val="22"/>
        </w:rPr>
        <w:t xml:space="preserve">services are mentioned as examples and that the list is not exhaustive. It therefore seems arguable that police cooperation in </w:t>
      </w:r>
      <w:r w:rsidR="008A70FA" w:rsidRPr="003676AB">
        <w:rPr>
          <w:color w:val="333333"/>
          <w:sz w:val="22"/>
          <w:szCs w:val="22"/>
        </w:rPr>
        <w:t>art.</w:t>
      </w:r>
      <w:r w:rsidR="00C90CA5" w:rsidRPr="003676AB">
        <w:rPr>
          <w:color w:val="333333"/>
          <w:sz w:val="22"/>
          <w:szCs w:val="22"/>
        </w:rPr>
        <w:t xml:space="preserve"> 87(1) TFEU </w:t>
      </w:r>
      <w:r w:rsidR="00125DD2" w:rsidRPr="003676AB">
        <w:rPr>
          <w:color w:val="333333"/>
          <w:sz w:val="22"/>
          <w:szCs w:val="22"/>
        </w:rPr>
        <w:t xml:space="preserve">can </w:t>
      </w:r>
      <w:r w:rsidR="00C90CA5" w:rsidRPr="003676AB">
        <w:rPr>
          <w:color w:val="333333"/>
          <w:sz w:val="22"/>
          <w:szCs w:val="22"/>
        </w:rPr>
        <w:t>also involve cooperation between authorities in a wider sense</w:t>
      </w:r>
      <w:r w:rsidR="00125DD2" w:rsidRPr="003676AB">
        <w:rPr>
          <w:color w:val="333333"/>
          <w:sz w:val="22"/>
          <w:szCs w:val="22"/>
        </w:rPr>
        <w:t>,</w:t>
      </w:r>
      <w:r w:rsidR="00C90CA5" w:rsidRPr="003676AB">
        <w:rPr>
          <w:color w:val="333333"/>
          <w:sz w:val="22"/>
          <w:szCs w:val="22"/>
        </w:rPr>
        <w:t xml:space="preserve"> relating to the maintenance of law and order and the prevention of</w:t>
      </w:r>
      <w:r w:rsidR="003A1298" w:rsidRPr="003676AB">
        <w:rPr>
          <w:color w:val="333333"/>
          <w:sz w:val="22"/>
          <w:szCs w:val="22"/>
        </w:rPr>
        <w:t xml:space="preserve"> road traffic</w:t>
      </w:r>
      <w:r w:rsidR="00C90CA5" w:rsidRPr="003676AB">
        <w:rPr>
          <w:color w:val="333333"/>
          <w:sz w:val="22"/>
          <w:szCs w:val="22"/>
        </w:rPr>
        <w:t xml:space="preserve"> offences</w:t>
      </w:r>
      <w:r w:rsidR="00AE7666" w:rsidRPr="003676AB">
        <w:rPr>
          <w:color w:val="333333"/>
          <w:sz w:val="22"/>
          <w:szCs w:val="22"/>
        </w:rPr>
        <w:t xml:space="preserve"> (</w:t>
      </w:r>
      <w:r w:rsidR="003A1298" w:rsidRPr="003676AB">
        <w:rPr>
          <w:color w:val="333333"/>
          <w:sz w:val="22"/>
          <w:szCs w:val="22"/>
        </w:rPr>
        <w:t xml:space="preserve">regardless whether such offences are classified as criminal in the </w:t>
      </w:r>
      <w:r w:rsidR="00C90CA5" w:rsidRPr="003676AB">
        <w:rPr>
          <w:color w:val="333333"/>
          <w:sz w:val="22"/>
          <w:szCs w:val="22"/>
        </w:rPr>
        <w:t>Member States</w:t>
      </w:r>
      <w:r w:rsidR="00AE7666" w:rsidRPr="003676AB">
        <w:rPr>
          <w:color w:val="333333"/>
          <w:sz w:val="22"/>
          <w:szCs w:val="22"/>
        </w:rPr>
        <w:t>)</w:t>
      </w:r>
      <w:r w:rsidR="00C90CA5" w:rsidRPr="003676AB">
        <w:rPr>
          <w:color w:val="333333"/>
          <w:sz w:val="22"/>
          <w:szCs w:val="22"/>
        </w:rPr>
        <w:t>.</w:t>
      </w:r>
      <w:r w:rsidR="00C90CA5" w:rsidRPr="003676AB">
        <w:rPr>
          <w:rStyle w:val="Fotnotsreferens"/>
          <w:color w:val="333333"/>
          <w:sz w:val="22"/>
          <w:szCs w:val="22"/>
        </w:rPr>
        <w:footnoteReference w:id="74"/>
      </w:r>
      <w:r w:rsidR="00125DD2" w:rsidRPr="003676AB">
        <w:rPr>
          <w:color w:val="333333"/>
          <w:sz w:val="22"/>
          <w:szCs w:val="22"/>
        </w:rPr>
        <w:t xml:space="preserve"> </w:t>
      </w:r>
      <w:r w:rsidR="00EE221F" w:rsidRPr="003676AB">
        <w:rPr>
          <w:rFonts w:cs="EUAlbertina"/>
          <w:color w:val="000000"/>
          <w:sz w:val="22"/>
          <w:szCs w:val="22"/>
        </w:rPr>
        <w:t xml:space="preserve">The Court’s narrow interpretation of police cooperation under </w:t>
      </w:r>
      <w:r w:rsidR="008A70FA" w:rsidRPr="003676AB">
        <w:rPr>
          <w:rFonts w:cs="EUAlbertina"/>
          <w:color w:val="000000"/>
          <w:sz w:val="22"/>
          <w:szCs w:val="22"/>
        </w:rPr>
        <w:t>art.</w:t>
      </w:r>
      <w:r w:rsidR="00EE221F" w:rsidRPr="003676AB">
        <w:rPr>
          <w:rFonts w:cs="EUAlbertina"/>
          <w:color w:val="000000"/>
          <w:sz w:val="22"/>
          <w:szCs w:val="22"/>
        </w:rPr>
        <w:t xml:space="preserve"> 87 TFEU in the legal basis dispute with </w:t>
      </w:r>
      <w:r w:rsidR="008A70FA" w:rsidRPr="003676AB">
        <w:rPr>
          <w:rFonts w:cs="EUAlbertina"/>
          <w:color w:val="000000"/>
          <w:sz w:val="22"/>
          <w:szCs w:val="22"/>
        </w:rPr>
        <w:t>art.</w:t>
      </w:r>
      <w:r w:rsidR="00EE221F" w:rsidRPr="003676AB">
        <w:rPr>
          <w:rFonts w:cs="EUAlbertina"/>
          <w:color w:val="000000"/>
          <w:sz w:val="22"/>
          <w:szCs w:val="22"/>
        </w:rPr>
        <w:t xml:space="preserve"> 91 TFEU is</w:t>
      </w:r>
      <w:r w:rsidR="00125DD2" w:rsidRPr="003676AB">
        <w:rPr>
          <w:rFonts w:cs="EUAlbertina"/>
          <w:color w:val="000000"/>
          <w:sz w:val="22"/>
          <w:szCs w:val="22"/>
        </w:rPr>
        <w:t xml:space="preserve"> also </w:t>
      </w:r>
      <w:r w:rsidR="00EE221F" w:rsidRPr="003676AB">
        <w:rPr>
          <w:rFonts w:cs="EUAlbertina"/>
          <w:color w:val="000000"/>
          <w:sz w:val="22"/>
          <w:szCs w:val="22"/>
        </w:rPr>
        <w:t>inconsistent with previous rulings</w:t>
      </w:r>
      <w:r w:rsidR="0006458F" w:rsidRPr="003676AB">
        <w:rPr>
          <w:rFonts w:cs="EUAlbertina"/>
          <w:color w:val="000000"/>
          <w:sz w:val="22"/>
          <w:szCs w:val="22"/>
        </w:rPr>
        <w:t>. This case law suggests that general access, exchange and use of personal data by national law enforcement authorities</w:t>
      </w:r>
      <w:r w:rsidR="0006458F" w:rsidRPr="003676AB">
        <w:rPr>
          <w:rStyle w:val="Fotnotsreferens"/>
          <w:rFonts w:cs="EUAlbertina"/>
          <w:color w:val="000000"/>
          <w:sz w:val="22"/>
          <w:szCs w:val="22"/>
        </w:rPr>
        <w:footnoteReference w:id="75"/>
      </w:r>
      <w:r w:rsidR="0006458F" w:rsidRPr="003676AB">
        <w:rPr>
          <w:rFonts w:cs="EUAlbertina"/>
          <w:color w:val="000000"/>
          <w:sz w:val="22"/>
          <w:szCs w:val="22"/>
        </w:rPr>
        <w:t xml:space="preserve"> and more specifically access, use and exchange of information pertaining to the Visa Information System (VIS) falls in principle within the concept of police cooperation</w:t>
      </w:r>
      <w:r w:rsidR="00460F34" w:rsidRPr="003676AB">
        <w:rPr>
          <w:rFonts w:cs="EUAlbertina"/>
          <w:color w:val="000000"/>
          <w:sz w:val="22"/>
          <w:szCs w:val="22"/>
        </w:rPr>
        <w:t>.</w:t>
      </w:r>
      <w:r w:rsidR="004C7E6B" w:rsidRPr="003676AB">
        <w:rPr>
          <w:rStyle w:val="Fotnotsreferens"/>
          <w:rFonts w:cs="EUAlbertina"/>
          <w:color w:val="000000"/>
          <w:sz w:val="22"/>
          <w:szCs w:val="22"/>
        </w:rPr>
        <w:footnoteReference w:id="76"/>
      </w:r>
      <w:r w:rsidR="0071571A" w:rsidRPr="003676AB">
        <w:rPr>
          <w:color w:val="333333"/>
          <w:sz w:val="22"/>
          <w:szCs w:val="22"/>
          <w:shd w:val="clear" w:color="auto" w:fill="FFFFFF"/>
        </w:rPr>
        <w:t xml:space="preserve"> </w:t>
      </w:r>
    </w:p>
    <w:p w14:paraId="06530173" w14:textId="5271F541" w:rsidR="00D9165E" w:rsidRPr="003676AB" w:rsidRDefault="008A70FA" w:rsidP="007C66BE">
      <w:pPr>
        <w:spacing w:before="0" w:after="200"/>
        <w:rPr>
          <w:rFonts w:cs="EUAlbertina"/>
          <w:color w:val="000000"/>
          <w:sz w:val="22"/>
          <w:szCs w:val="22"/>
        </w:rPr>
      </w:pPr>
      <w:r w:rsidRPr="003676AB">
        <w:rPr>
          <w:rFonts w:cs="EUAlbertina"/>
          <w:color w:val="000000"/>
          <w:sz w:val="22"/>
          <w:szCs w:val="22"/>
        </w:rPr>
        <w:t>Several</w:t>
      </w:r>
      <w:r w:rsidR="00125DD2" w:rsidRPr="003676AB">
        <w:rPr>
          <w:rFonts w:cs="EUAlbertina"/>
          <w:color w:val="000000"/>
          <w:sz w:val="22"/>
          <w:szCs w:val="22"/>
        </w:rPr>
        <w:t xml:space="preserve"> points can be made in relation to this</w:t>
      </w:r>
      <w:r w:rsidR="00D84FB5" w:rsidRPr="003676AB">
        <w:rPr>
          <w:rFonts w:cs="EUAlbertina"/>
          <w:color w:val="000000"/>
          <w:sz w:val="22"/>
          <w:szCs w:val="22"/>
        </w:rPr>
        <w:t xml:space="preserve"> review of the case law</w:t>
      </w:r>
      <w:r w:rsidR="0006458F" w:rsidRPr="003676AB">
        <w:rPr>
          <w:rFonts w:cs="EUAlbertina"/>
          <w:color w:val="000000"/>
          <w:sz w:val="22"/>
          <w:szCs w:val="22"/>
        </w:rPr>
        <w:t xml:space="preserve">. The general </w:t>
      </w:r>
      <w:r w:rsidRPr="003676AB">
        <w:rPr>
          <w:rFonts w:cs="EUAlbertina"/>
          <w:color w:val="000000"/>
          <w:sz w:val="22"/>
          <w:szCs w:val="22"/>
        </w:rPr>
        <w:t>observation</w:t>
      </w:r>
      <w:r w:rsidR="0006458F" w:rsidRPr="003676AB">
        <w:rPr>
          <w:rFonts w:cs="EUAlbertina"/>
          <w:color w:val="000000"/>
          <w:sz w:val="22"/>
          <w:szCs w:val="22"/>
        </w:rPr>
        <w:t xml:space="preserve"> seems to be</w:t>
      </w:r>
      <w:r w:rsidR="00AA7B2E" w:rsidRPr="003676AB">
        <w:rPr>
          <w:rFonts w:cs="EUAlbertina"/>
          <w:color w:val="000000"/>
          <w:sz w:val="22"/>
          <w:szCs w:val="22"/>
        </w:rPr>
        <w:t xml:space="preserve"> </w:t>
      </w:r>
      <w:r w:rsidR="00304DDE" w:rsidRPr="003676AB">
        <w:rPr>
          <w:rFonts w:eastAsia="Calibri"/>
          <w:sz w:val="22"/>
          <w:szCs w:val="22"/>
        </w:rPr>
        <w:t>that the Court of Justice, when faced with complex legal basis litigation</w:t>
      </w:r>
      <w:r w:rsidR="0055413D" w:rsidRPr="003676AB">
        <w:rPr>
          <w:rFonts w:eastAsia="Calibri"/>
          <w:sz w:val="22"/>
          <w:szCs w:val="22"/>
        </w:rPr>
        <w:t xml:space="preserve"> </w:t>
      </w:r>
      <w:r w:rsidR="00304DDE" w:rsidRPr="003676AB">
        <w:rPr>
          <w:rFonts w:eastAsia="Calibri"/>
          <w:sz w:val="22"/>
          <w:szCs w:val="22"/>
        </w:rPr>
        <w:t xml:space="preserve">with regard to criminal law measures, has tended to address the ‘constitutional question’ in favour of the Union </w:t>
      </w:r>
      <w:r w:rsidR="009C3291" w:rsidRPr="003676AB">
        <w:rPr>
          <w:rFonts w:eastAsia="Calibri"/>
          <w:sz w:val="22"/>
          <w:szCs w:val="22"/>
        </w:rPr>
        <w:t>and to the detriment of</w:t>
      </w:r>
      <w:r w:rsidR="00304DDE" w:rsidRPr="003676AB">
        <w:rPr>
          <w:rFonts w:eastAsia="Calibri"/>
          <w:sz w:val="22"/>
          <w:szCs w:val="22"/>
        </w:rPr>
        <w:t xml:space="preserve"> the </w:t>
      </w:r>
      <w:r w:rsidR="009C3291" w:rsidRPr="003676AB">
        <w:rPr>
          <w:rFonts w:eastAsia="Calibri"/>
          <w:sz w:val="22"/>
          <w:szCs w:val="22"/>
        </w:rPr>
        <w:t>M</w:t>
      </w:r>
      <w:r w:rsidR="00304DDE" w:rsidRPr="003676AB">
        <w:rPr>
          <w:rFonts w:eastAsia="Calibri"/>
          <w:sz w:val="22"/>
          <w:szCs w:val="22"/>
        </w:rPr>
        <w:t xml:space="preserve">ember </w:t>
      </w:r>
      <w:r w:rsidR="009C3291" w:rsidRPr="003676AB">
        <w:rPr>
          <w:rFonts w:eastAsia="Calibri"/>
          <w:sz w:val="22"/>
          <w:szCs w:val="22"/>
        </w:rPr>
        <w:t>S</w:t>
      </w:r>
      <w:r w:rsidR="00304DDE" w:rsidRPr="003676AB">
        <w:rPr>
          <w:rFonts w:eastAsia="Calibri"/>
          <w:sz w:val="22"/>
          <w:szCs w:val="22"/>
        </w:rPr>
        <w:t>tates</w:t>
      </w:r>
      <w:r w:rsidR="00304DDE" w:rsidRPr="003676AB">
        <w:rPr>
          <w:sz w:val="22"/>
          <w:szCs w:val="22"/>
          <w:lang w:eastAsia="sv-SE"/>
        </w:rPr>
        <w:t xml:space="preserve"> (favouring more integration-friendly competences).</w:t>
      </w:r>
      <w:r w:rsidR="00304DDE" w:rsidRPr="003676AB">
        <w:rPr>
          <w:sz w:val="22"/>
          <w:szCs w:val="22"/>
          <w:vertAlign w:val="superscript"/>
          <w:lang w:eastAsia="sv-SE"/>
        </w:rPr>
        <w:footnoteReference w:id="77"/>
      </w:r>
      <w:r w:rsidR="00304DDE" w:rsidRPr="003676AB">
        <w:rPr>
          <w:sz w:val="22"/>
          <w:szCs w:val="22"/>
          <w:lang w:eastAsia="sv-SE"/>
        </w:rPr>
        <w:t xml:space="preserve"> </w:t>
      </w:r>
      <w:r w:rsidR="00460F34" w:rsidRPr="003676AB">
        <w:rPr>
          <w:rFonts w:cs="EUAlbertina"/>
          <w:color w:val="000000"/>
          <w:sz w:val="22"/>
          <w:szCs w:val="22"/>
        </w:rPr>
        <w:t xml:space="preserve">Although the </w:t>
      </w:r>
      <w:r w:rsidR="00D84FB5" w:rsidRPr="003676AB">
        <w:rPr>
          <w:rFonts w:cs="EUAlbertina"/>
          <w:color w:val="000000"/>
          <w:sz w:val="22"/>
          <w:szCs w:val="22"/>
        </w:rPr>
        <w:t xml:space="preserve">selection of </w:t>
      </w:r>
      <w:r w:rsidR="0006458F" w:rsidRPr="003676AB">
        <w:rPr>
          <w:rFonts w:cs="EUAlbertina"/>
          <w:color w:val="000000"/>
          <w:sz w:val="22"/>
          <w:szCs w:val="22"/>
        </w:rPr>
        <w:t xml:space="preserve">case law is selective, </w:t>
      </w:r>
      <w:r w:rsidR="00460F34" w:rsidRPr="003676AB">
        <w:rPr>
          <w:rFonts w:cs="EUAlbertina"/>
          <w:color w:val="000000"/>
          <w:sz w:val="22"/>
          <w:szCs w:val="22"/>
        </w:rPr>
        <w:t>the Court’s approach</w:t>
      </w:r>
      <w:r w:rsidR="007C66BE" w:rsidRPr="003676AB">
        <w:rPr>
          <w:rFonts w:cs="EUAlbertina"/>
          <w:color w:val="000000"/>
          <w:sz w:val="22"/>
          <w:szCs w:val="22"/>
        </w:rPr>
        <w:t xml:space="preserve"> seem</w:t>
      </w:r>
      <w:r w:rsidR="00AA7B2E" w:rsidRPr="003676AB">
        <w:rPr>
          <w:rFonts w:cs="EUAlbertina"/>
          <w:color w:val="000000"/>
          <w:sz w:val="22"/>
          <w:szCs w:val="22"/>
        </w:rPr>
        <w:t>s</w:t>
      </w:r>
      <w:r w:rsidR="007C66BE" w:rsidRPr="003676AB">
        <w:rPr>
          <w:rFonts w:cs="EUAlbertina"/>
          <w:color w:val="000000"/>
          <w:sz w:val="22"/>
          <w:szCs w:val="22"/>
        </w:rPr>
        <w:t xml:space="preserve"> </w:t>
      </w:r>
      <w:r w:rsidR="00460F34" w:rsidRPr="003676AB">
        <w:rPr>
          <w:rFonts w:cs="EUAlbertina"/>
          <w:color w:val="000000"/>
          <w:sz w:val="22"/>
          <w:szCs w:val="22"/>
        </w:rPr>
        <w:t xml:space="preserve">to </w:t>
      </w:r>
      <w:r w:rsidR="007C66BE" w:rsidRPr="003676AB">
        <w:rPr>
          <w:rFonts w:cs="EUAlbertina"/>
          <w:color w:val="000000"/>
          <w:sz w:val="22"/>
          <w:szCs w:val="22"/>
        </w:rPr>
        <w:t xml:space="preserve">support the </w:t>
      </w:r>
      <w:r w:rsidR="00D4771F" w:rsidRPr="003676AB">
        <w:rPr>
          <w:rFonts w:cs="EUAlbertina"/>
          <w:color w:val="000000"/>
          <w:sz w:val="22"/>
          <w:szCs w:val="22"/>
        </w:rPr>
        <w:t xml:space="preserve">view that in legal basis disputes with provisions in the AFSJ it has a certain preference for the use of </w:t>
      </w:r>
      <w:r w:rsidR="00975A06" w:rsidRPr="003676AB">
        <w:rPr>
          <w:rFonts w:cs="EUAlbertina"/>
          <w:color w:val="000000"/>
          <w:sz w:val="22"/>
          <w:szCs w:val="22"/>
        </w:rPr>
        <w:t xml:space="preserve">non-AFSJ </w:t>
      </w:r>
      <w:r w:rsidR="007C66BE" w:rsidRPr="003676AB">
        <w:rPr>
          <w:rFonts w:cs="EUAlbertina"/>
          <w:color w:val="000000"/>
          <w:sz w:val="22"/>
          <w:szCs w:val="22"/>
        </w:rPr>
        <w:t xml:space="preserve">competences </w:t>
      </w:r>
      <w:r w:rsidR="00D4771F" w:rsidRPr="003676AB">
        <w:rPr>
          <w:rFonts w:cs="EUAlbertina"/>
          <w:color w:val="000000"/>
          <w:sz w:val="22"/>
          <w:szCs w:val="22"/>
        </w:rPr>
        <w:t>with stronger federal elements</w:t>
      </w:r>
      <w:r w:rsidR="007C66BE" w:rsidRPr="003676AB">
        <w:rPr>
          <w:rFonts w:cs="EUAlbertina"/>
          <w:color w:val="000000"/>
          <w:sz w:val="22"/>
          <w:szCs w:val="22"/>
        </w:rPr>
        <w:t xml:space="preserve">. The narrow understanding of </w:t>
      </w:r>
      <w:r w:rsidR="00AA7B2E" w:rsidRPr="003676AB">
        <w:rPr>
          <w:rFonts w:cs="EUAlbertina"/>
          <w:color w:val="000000"/>
          <w:sz w:val="22"/>
          <w:szCs w:val="22"/>
        </w:rPr>
        <w:t>‘</w:t>
      </w:r>
      <w:r w:rsidR="007C66BE" w:rsidRPr="003676AB">
        <w:rPr>
          <w:rFonts w:cs="EUAlbertina"/>
          <w:color w:val="000000"/>
          <w:sz w:val="22"/>
          <w:szCs w:val="22"/>
        </w:rPr>
        <w:t>criminal offence</w:t>
      </w:r>
      <w:r w:rsidR="00AA7B2E" w:rsidRPr="003676AB">
        <w:rPr>
          <w:rFonts w:cs="EUAlbertina"/>
          <w:color w:val="000000"/>
          <w:sz w:val="22"/>
          <w:szCs w:val="22"/>
        </w:rPr>
        <w:t>s’</w:t>
      </w:r>
      <w:r w:rsidR="007C66BE" w:rsidRPr="003676AB">
        <w:rPr>
          <w:rFonts w:cs="EUAlbertina"/>
          <w:color w:val="000000"/>
          <w:sz w:val="22"/>
          <w:szCs w:val="22"/>
        </w:rPr>
        <w:t xml:space="preserve"> and </w:t>
      </w:r>
      <w:r w:rsidR="0006458F" w:rsidRPr="003676AB">
        <w:rPr>
          <w:rFonts w:cs="EUAlbertina"/>
          <w:color w:val="000000"/>
          <w:sz w:val="22"/>
          <w:szCs w:val="22"/>
        </w:rPr>
        <w:t>‘</w:t>
      </w:r>
      <w:r w:rsidR="007C66BE" w:rsidRPr="003676AB">
        <w:rPr>
          <w:rFonts w:cs="EUAlbertina"/>
          <w:color w:val="000000"/>
          <w:sz w:val="22"/>
          <w:szCs w:val="22"/>
        </w:rPr>
        <w:t>criminal enforcement</w:t>
      </w:r>
      <w:r w:rsidR="0006458F" w:rsidRPr="003676AB">
        <w:rPr>
          <w:rFonts w:cs="EUAlbertina"/>
          <w:color w:val="000000"/>
          <w:sz w:val="22"/>
          <w:szCs w:val="22"/>
        </w:rPr>
        <w:t>’</w:t>
      </w:r>
      <w:r w:rsidR="007C66BE" w:rsidRPr="003676AB">
        <w:rPr>
          <w:rFonts w:cs="EUAlbertina"/>
          <w:color w:val="000000"/>
          <w:sz w:val="22"/>
          <w:szCs w:val="22"/>
        </w:rPr>
        <w:t xml:space="preserve"> which appears to have been adopted by the Commiss</w:t>
      </w:r>
      <w:r w:rsidR="0006458F" w:rsidRPr="003676AB">
        <w:rPr>
          <w:rFonts w:cs="EUAlbertina"/>
          <w:color w:val="000000"/>
          <w:sz w:val="22"/>
          <w:szCs w:val="22"/>
        </w:rPr>
        <w:t xml:space="preserve">ion and the Court of Justice is </w:t>
      </w:r>
      <w:r w:rsidR="00BB28C0" w:rsidRPr="003676AB">
        <w:rPr>
          <w:rFonts w:cs="EUAlbertina"/>
          <w:color w:val="000000"/>
          <w:sz w:val="22"/>
          <w:szCs w:val="22"/>
        </w:rPr>
        <w:t xml:space="preserve">contestable </w:t>
      </w:r>
      <w:r w:rsidR="007C66BE" w:rsidRPr="003676AB">
        <w:rPr>
          <w:rFonts w:cs="EUAlbertina"/>
          <w:color w:val="000000"/>
          <w:sz w:val="22"/>
          <w:szCs w:val="22"/>
        </w:rPr>
        <w:t>as it removes most mixed measures</w:t>
      </w:r>
      <w:r w:rsidR="00125DD2" w:rsidRPr="003676AB">
        <w:rPr>
          <w:rFonts w:cs="EUAlbertina"/>
          <w:color w:val="000000"/>
          <w:sz w:val="22"/>
          <w:szCs w:val="22"/>
        </w:rPr>
        <w:t xml:space="preserve"> –</w:t>
      </w:r>
      <w:r w:rsidR="007C66BE" w:rsidRPr="003676AB">
        <w:rPr>
          <w:rFonts w:cs="EUAlbertina"/>
          <w:color w:val="000000"/>
          <w:sz w:val="22"/>
          <w:szCs w:val="22"/>
        </w:rPr>
        <w:t xml:space="preserve"> </w:t>
      </w:r>
      <w:r w:rsidR="00125DD2" w:rsidRPr="003676AB">
        <w:rPr>
          <w:rFonts w:cs="EUAlbertina"/>
          <w:color w:val="000000"/>
          <w:sz w:val="22"/>
          <w:szCs w:val="22"/>
        </w:rPr>
        <w:t xml:space="preserve">measures </w:t>
      </w:r>
      <w:r w:rsidR="007C66BE" w:rsidRPr="003676AB">
        <w:rPr>
          <w:rFonts w:cs="EUAlbertina"/>
          <w:color w:val="000000"/>
          <w:sz w:val="22"/>
          <w:szCs w:val="22"/>
        </w:rPr>
        <w:t>that have criminal and non-criminal aims and contents</w:t>
      </w:r>
      <w:r w:rsidR="00125DD2" w:rsidRPr="003676AB">
        <w:rPr>
          <w:rFonts w:cs="EUAlbertina"/>
          <w:color w:val="000000"/>
          <w:sz w:val="22"/>
          <w:szCs w:val="22"/>
        </w:rPr>
        <w:t xml:space="preserve"> –</w:t>
      </w:r>
      <w:r w:rsidR="007C66BE" w:rsidRPr="003676AB">
        <w:rPr>
          <w:rFonts w:cs="EUAlbertina"/>
          <w:color w:val="000000"/>
          <w:sz w:val="22"/>
          <w:szCs w:val="22"/>
        </w:rPr>
        <w:t xml:space="preserve"> </w:t>
      </w:r>
      <w:r w:rsidR="00125DD2" w:rsidRPr="003676AB">
        <w:rPr>
          <w:rFonts w:cs="EUAlbertina"/>
          <w:color w:val="000000"/>
          <w:sz w:val="22"/>
          <w:szCs w:val="22"/>
        </w:rPr>
        <w:t xml:space="preserve">from </w:t>
      </w:r>
      <w:r w:rsidR="007C66BE" w:rsidRPr="003676AB">
        <w:rPr>
          <w:rFonts w:cs="EUAlbertina"/>
          <w:color w:val="000000"/>
          <w:sz w:val="22"/>
          <w:szCs w:val="22"/>
        </w:rPr>
        <w:t xml:space="preserve">the AFSJ. The scope for using legal bases in the AFSJ thus becomes very narrow and </w:t>
      </w:r>
      <w:r w:rsidR="00125DD2" w:rsidRPr="003676AB">
        <w:rPr>
          <w:rFonts w:cs="EUAlbertina"/>
          <w:color w:val="000000"/>
          <w:sz w:val="22"/>
          <w:szCs w:val="22"/>
        </w:rPr>
        <w:t xml:space="preserve">becomes open to </w:t>
      </w:r>
      <w:r w:rsidR="007C66BE" w:rsidRPr="003676AB">
        <w:rPr>
          <w:rFonts w:cs="EUAlbertina"/>
          <w:color w:val="000000"/>
          <w:sz w:val="22"/>
          <w:szCs w:val="22"/>
        </w:rPr>
        <w:t xml:space="preserve">challenge by the Commission in litigation where the Court of Justice seems </w:t>
      </w:r>
      <w:r w:rsidR="00125DD2" w:rsidRPr="003676AB">
        <w:rPr>
          <w:rFonts w:cs="EUAlbertina"/>
          <w:color w:val="000000"/>
          <w:sz w:val="22"/>
          <w:szCs w:val="22"/>
        </w:rPr>
        <w:t xml:space="preserve">to </w:t>
      </w:r>
      <w:r w:rsidR="007C66BE" w:rsidRPr="003676AB">
        <w:rPr>
          <w:rFonts w:cs="EUAlbertina"/>
          <w:color w:val="000000"/>
          <w:sz w:val="22"/>
          <w:szCs w:val="22"/>
        </w:rPr>
        <w:t xml:space="preserve">favour </w:t>
      </w:r>
      <w:r w:rsidR="00125DD2" w:rsidRPr="003676AB">
        <w:rPr>
          <w:rFonts w:cs="EUAlbertina"/>
          <w:color w:val="000000"/>
          <w:sz w:val="22"/>
          <w:szCs w:val="22"/>
        </w:rPr>
        <w:t>U</w:t>
      </w:r>
      <w:r w:rsidR="007C66BE" w:rsidRPr="003676AB">
        <w:rPr>
          <w:rFonts w:cs="EUAlbertina"/>
          <w:color w:val="000000"/>
          <w:sz w:val="22"/>
          <w:szCs w:val="22"/>
        </w:rPr>
        <w:t>nion-friendly interpretation</w:t>
      </w:r>
      <w:r w:rsidR="00125DD2" w:rsidRPr="003676AB">
        <w:rPr>
          <w:rFonts w:cs="EUAlbertina"/>
          <w:color w:val="000000"/>
          <w:sz w:val="22"/>
          <w:szCs w:val="22"/>
        </w:rPr>
        <w:t>s</w:t>
      </w:r>
      <w:r w:rsidR="007C66BE" w:rsidRPr="003676AB">
        <w:rPr>
          <w:rFonts w:cs="EUAlbertina"/>
          <w:color w:val="000000"/>
          <w:sz w:val="22"/>
          <w:szCs w:val="22"/>
        </w:rPr>
        <w:t>.</w:t>
      </w:r>
      <w:r w:rsidR="0006458F" w:rsidRPr="003676AB">
        <w:rPr>
          <w:rStyle w:val="Fotnotsreferens"/>
          <w:rFonts w:cs="EUAlbertina"/>
          <w:color w:val="000000"/>
          <w:sz w:val="22"/>
          <w:szCs w:val="22"/>
        </w:rPr>
        <w:footnoteReference w:id="78"/>
      </w:r>
      <w:r w:rsidR="00C91041" w:rsidRPr="003676AB">
        <w:rPr>
          <w:rFonts w:cs="EUAlbertina"/>
          <w:color w:val="000000"/>
          <w:sz w:val="22"/>
          <w:szCs w:val="22"/>
        </w:rPr>
        <w:t xml:space="preserve"> </w:t>
      </w:r>
      <w:r w:rsidR="00304DDE" w:rsidRPr="003676AB">
        <w:rPr>
          <w:rFonts w:eastAsia="Calibri"/>
          <w:color w:val="000000"/>
          <w:sz w:val="22"/>
          <w:szCs w:val="22"/>
        </w:rPr>
        <w:t>Art</w:t>
      </w:r>
      <w:r w:rsidR="00BB28C0" w:rsidRPr="003676AB">
        <w:rPr>
          <w:rFonts w:eastAsia="Calibri"/>
          <w:color w:val="000000"/>
          <w:sz w:val="22"/>
          <w:szCs w:val="22"/>
        </w:rPr>
        <w:t>.</w:t>
      </w:r>
      <w:r w:rsidR="00304DDE" w:rsidRPr="003676AB">
        <w:rPr>
          <w:rFonts w:eastAsia="Calibri"/>
          <w:color w:val="000000"/>
          <w:sz w:val="22"/>
          <w:szCs w:val="22"/>
        </w:rPr>
        <w:t xml:space="preserve"> 83 TFEU cannot</w:t>
      </w:r>
      <w:r w:rsidR="001C4B5F" w:rsidRPr="003676AB">
        <w:rPr>
          <w:rFonts w:eastAsia="Calibri"/>
          <w:color w:val="000000"/>
          <w:sz w:val="22"/>
          <w:szCs w:val="22"/>
        </w:rPr>
        <w:t xml:space="preserve"> </w:t>
      </w:r>
      <w:r w:rsidR="00304DDE" w:rsidRPr="003676AB">
        <w:rPr>
          <w:rFonts w:eastAsia="Calibri"/>
          <w:color w:val="000000"/>
          <w:sz w:val="22"/>
          <w:szCs w:val="22"/>
        </w:rPr>
        <w:t xml:space="preserve">be interpreted too narrowly by the Court of Justice when it </w:t>
      </w:r>
      <w:r w:rsidR="00304DDE" w:rsidRPr="003676AB">
        <w:rPr>
          <w:rFonts w:eastAsia="Calibri"/>
          <w:color w:val="000000"/>
          <w:sz w:val="22"/>
          <w:szCs w:val="22"/>
        </w:rPr>
        <w:lastRenderedPageBreak/>
        <w:t xml:space="preserve">examines, pursuant to the ‘centre of gravity’ test, whether another legal basis than </w:t>
      </w:r>
      <w:r w:rsidR="00BB28C0" w:rsidRPr="003676AB">
        <w:rPr>
          <w:rFonts w:eastAsia="Calibri"/>
          <w:color w:val="000000"/>
          <w:sz w:val="22"/>
          <w:szCs w:val="22"/>
        </w:rPr>
        <w:t>art.</w:t>
      </w:r>
      <w:r w:rsidR="00304DDE" w:rsidRPr="003676AB">
        <w:rPr>
          <w:rFonts w:eastAsia="Calibri"/>
          <w:color w:val="000000"/>
          <w:sz w:val="22"/>
          <w:szCs w:val="22"/>
        </w:rPr>
        <w:t xml:space="preserve"> 83 TFEU would be </w:t>
      </w:r>
      <w:r w:rsidR="004F5AB7" w:rsidRPr="003676AB">
        <w:rPr>
          <w:rFonts w:eastAsia="Calibri"/>
          <w:color w:val="000000"/>
          <w:sz w:val="22"/>
          <w:szCs w:val="22"/>
        </w:rPr>
        <w:t xml:space="preserve">appropriate </w:t>
      </w:r>
      <w:r w:rsidR="00304DDE" w:rsidRPr="003676AB">
        <w:rPr>
          <w:rFonts w:eastAsia="Calibri"/>
          <w:color w:val="000000"/>
          <w:sz w:val="22"/>
          <w:szCs w:val="22"/>
        </w:rPr>
        <w:t>for the envisaged EU legislative act.</w:t>
      </w:r>
      <w:r w:rsidR="0006458F" w:rsidRPr="003676AB">
        <w:rPr>
          <w:rFonts w:eastAsia="Calibri"/>
          <w:color w:val="000000"/>
          <w:sz w:val="22"/>
          <w:szCs w:val="22"/>
        </w:rPr>
        <w:t xml:space="preserve"> Otherwise, the scope of using </w:t>
      </w:r>
      <w:r w:rsidR="00BB28C0" w:rsidRPr="003676AB">
        <w:rPr>
          <w:rFonts w:eastAsia="Calibri"/>
          <w:color w:val="000000"/>
          <w:sz w:val="22"/>
          <w:szCs w:val="22"/>
        </w:rPr>
        <w:t>art.</w:t>
      </w:r>
      <w:r w:rsidR="0006458F" w:rsidRPr="003676AB">
        <w:rPr>
          <w:rFonts w:eastAsia="Calibri"/>
          <w:color w:val="000000"/>
          <w:sz w:val="22"/>
          <w:szCs w:val="22"/>
        </w:rPr>
        <w:t xml:space="preserve"> 83 TFEU as the main legal basis for criminalisation measures</w:t>
      </w:r>
      <w:r w:rsidR="001C4B5F" w:rsidRPr="003676AB">
        <w:rPr>
          <w:rFonts w:eastAsia="Calibri"/>
          <w:color w:val="000000"/>
          <w:sz w:val="22"/>
          <w:szCs w:val="22"/>
        </w:rPr>
        <w:t xml:space="preserve"> (which is the argument advance</w:t>
      </w:r>
      <w:r w:rsidR="0012302E" w:rsidRPr="003676AB">
        <w:rPr>
          <w:rFonts w:eastAsia="Calibri"/>
          <w:color w:val="000000"/>
          <w:sz w:val="22"/>
          <w:szCs w:val="22"/>
        </w:rPr>
        <w:t>d</w:t>
      </w:r>
      <w:r w:rsidR="001C4B5F" w:rsidRPr="003676AB">
        <w:rPr>
          <w:rFonts w:eastAsia="Calibri"/>
          <w:color w:val="000000"/>
          <w:sz w:val="22"/>
          <w:szCs w:val="22"/>
        </w:rPr>
        <w:t xml:space="preserve"> here)</w:t>
      </w:r>
      <w:r w:rsidR="0006458F" w:rsidRPr="003676AB">
        <w:rPr>
          <w:rFonts w:eastAsia="Calibri"/>
          <w:color w:val="000000"/>
          <w:sz w:val="22"/>
          <w:szCs w:val="22"/>
        </w:rPr>
        <w:t xml:space="preserve"> becomes very confined</w:t>
      </w:r>
      <w:r w:rsidR="00F36355" w:rsidRPr="003676AB">
        <w:rPr>
          <w:rFonts w:eastAsia="Calibri"/>
          <w:color w:val="000000"/>
          <w:sz w:val="22"/>
          <w:szCs w:val="22"/>
        </w:rPr>
        <w:t>.</w:t>
      </w:r>
    </w:p>
    <w:p w14:paraId="396B3FBE" w14:textId="5DF95112" w:rsidR="007C66BE" w:rsidRPr="003676AB" w:rsidRDefault="007C66BE" w:rsidP="00CF4F6C">
      <w:pPr>
        <w:pStyle w:val="Rubrik1"/>
        <w:ind w:left="1300" w:hanging="1300"/>
        <w:jc w:val="both"/>
        <w:rPr>
          <w:rFonts w:eastAsia="Calibri"/>
          <w:b/>
          <w:sz w:val="22"/>
          <w:szCs w:val="22"/>
          <w:lang w:eastAsia="sv-SE"/>
        </w:rPr>
      </w:pPr>
      <w:r w:rsidRPr="003676AB">
        <w:rPr>
          <w:rFonts w:eastAsia="Calibri"/>
          <w:b/>
          <w:sz w:val="22"/>
          <w:szCs w:val="22"/>
          <w:lang w:eastAsia="sv-SE"/>
        </w:rPr>
        <w:t xml:space="preserve">Limits to the core argument: The </w:t>
      </w:r>
      <w:r w:rsidR="00C91041" w:rsidRPr="003676AB">
        <w:rPr>
          <w:rFonts w:eastAsia="Calibri"/>
          <w:b/>
          <w:sz w:val="22"/>
          <w:szCs w:val="22"/>
          <w:lang w:eastAsia="sv-SE"/>
        </w:rPr>
        <w:t>(</w:t>
      </w:r>
      <w:r w:rsidRPr="003676AB">
        <w:rPr>
          <w:rFonts w:eastAsia="Calibri"/>
          <w:b/>
          <w:sz w:val="22"/>
          <w:szCs w:val="22"/>
          <w:lang w:eastAsia="sv-SE"/>
        </w:rPr>
        <w:t>Narrow</w:t>
      </w:r>
      <w:r w:rsidR="00C91041" w:rsidRPr="003676AB">
        <w:rPr>
          <w:rFonts w:eastAsia="Calibri"/>
          <w:b/>
          <w:sz w:val="22"/>
          <w:szCs w:val="22"/>
          <w:lang w:eastAsia="sv-SE"/>
        </w:rPr>
        <w:t xml:space="preserve">) Scope of </w:t>
      </w:r>
      <w:r w:rsidR="00BB28C0" w:rsidRPr="003676AB">
        <w:rPr>
          <w:rFonts w:eastAsia="Calibri"/>
          <w:b/>
          <w:sz w:val="22"/>
          <w:szCs w:val="22"/>
          <w:lang w:eastAsia="sv-SE"/>
        </w:rPr>
        <w:t>art.</w:t>
      </w:r>
      <w:r w:rsidR="00C91041" w:rsidRPr="003676AB">
        <w:rPr>
          <w:rFonts w:eastAsia="Calibri"/>
          <w:b/>
          <w:sz w:val="22"/>
          <w:szCs w:val="22"/>
          <w:lang w:eastAsia="sv-SE"/>
        </w:rPr>
        <w:t xml:space="preserve"> 83(2) TFEU</w:t>
      </w:r>
      <w:r w:rsidRPr="003676AB">
        <w:rPr>
          <w:rFonts w:eastAsia="Calibri"/>
          <w:b/>
          <w:sz w:val="22"/>
          <w:szCs w:val="22"/>
          <w:lang w:eastAsia="sv-SE"/>
        </w:rPr>
        <w:t xml:space="preserve"> </w:t>
      </w:r>
    </w:p>
    <w:p w14:paraId="141E0308" w14:textId="40A81481" w:rsidR="00C91041" w:rsidRPr="003676AB" w:rsidRDefault="00C91041" w:rsidP="00C91041">
      <w:pPr>
        <w:rPr>
          <w:rFonts w:eastAsia="Calibri"/>
          <w:i/>
          <w:sz w:val="22"/>
          <w:szCs w:val="22"/>
        </w:rPr>
      </w:pPr>
      <w:r w:rsidRPr="003676AB">
        <w:rPr>
          <w:rFonts w:eastAsia="Calibri"/>
          <w:i/>
          <w:sz w:val="22"/>
          <w:szCs w:val="22"/>
        </w:rPr>
        <w:t>The</w:t>
      </w:r>
      <w:r w:rsidR="00CF4F6C" w:rsidRPr="003676AB">
        <w:rPr>
          <w:rFonts w:eastAsia="Calibri"/>
          <w:i/>
          <w:sz w:val="22"/>
          <w:szCs w:val="22"/>
        </w:rPr>
        <w:t xml:space="preserve"> definition of ‘criminal’ law</w:t>
      </w:r>
    </w:p>
    <w:p w14:paraId="1547D820" w14:textId="552D947A" w:rsidR="00304DDE" w:rsidRPr="003676AB" w:rsidRDefault="00304DDE" w:rsidP="00C91041">
      <w:pPr>
        <w:rPr>
          <w:rFonts w:eastAsia="Calibri"/>
          <w:i/>
          <w:sz w:val="22"/>
          <w:szCs w:val="22"/>
        </w:rPr>
      </w:pPr>
      <w:r w:rsidRPr="003676AB">
        <w:rPr>
          <w:rFonts w:cs="EUAlbertina"/>
          <w:color w:val="000000"/>
          <w:sz w:val="22"/>
          <w:szCs w:val="22"/>
        </w:rPr>
        <w:t>Whil</w:t>
      </w:r>
      <w:r w:rsidR="004F5AB7" w:rsidRPr="003676AB">
        <w:rPr>
          <w:rFonts w:cs="EUAlbertina"/>
          <w:color w:val="000000"/>
          <w:sz w:val="22"/>
          <w:szCs w:val="22"/>
        </w:rPr>
        <w:t>e</w:t>
      </w:r>
      <w:r w:rsidRPr="003676AB">
        <w:rPr>
          <w:rFonts w:cs="EUAlbertina"/>
          <w:color w:val="000000"/>
          <w:sz w:val="22"/>
          <w:szCs w:val="22"/>
        </w:rPr>
        <w:t xml:space="preserve"> the core argument advanced </w:t>
      </w:r>
      <w:r w:rsidR="004F5AB7" w:rsidRPr="003676AB">
        <w:rPr>
          <w:rFonts w:cs="EUAlbertina"/>
          <w:color w:val="000000"/>
          <w:sz w:val="22"/>
          <w:szCs w:val="22"/>
        </w:rPr>
        <w:t xml:space="preserve">so far </w:t>
      </w:r>
      <w:r w:rsidRPr="003676AB">
        <w:rPr>
          <w:rFonts w:cs="EUAlbertina"/>
          <w:color w:val="000000"/>
          <w:sz w:val="22"/>
          <w:szCs w:val="22"/>
        </w:rPr>
        <w:t xml:space="preserve">is that </w:t>
      </w:r>
      <w:r w:rsidR="00BB28C0" w:rsidRPr="003676AB">
        <w:rPr>
          <w:rFonts w:cs="EUAlbertina"/>
          <w:color w:val="000000"/>
          <w:sz w:val="22"/>
          <w:szCs w:val="22"/>
        </w:rPr>
        <w:t>art.</w:t>
      </w:r>
      <w:r w:rsidRPr="003676AB">
        <w:rPr>
          <w:rFonts w:cs="EUAlbertina"/>
          <w:color w:val="000000"/>
          <w:sz w:val="22"/>
          <w:szCs w:val="22"/>
        </w:rPr>
        <w:t xml:space="preserve"> 83(2) T</w:t>
      </w:r>
      <w:r w:rsidR="001C4B5F" w:rsidRPr="003676AB">
        <w:rPr>
          <w:rFonts w:cs="EUAlbertina"/>
          <w:color w:val="000000"/>
          <w:sz w:val="22"/>
          <w:szCs w:val="22"/>
        </w:rPr>
        <w:t>FEU should be the primary</w:t>
      </w:r>
      <w:r w:rsidRPr="003676AB">
        <w:rPr>
          <w:rFonts w:cs="EUAlbertina"/>
          <w:color w:val="000000"/>
          <w:sz w:val="22"/>
          <w:szCs w:val="22"/>
        </w:rPr>
        <w:t xml:space="preserve"> legal basis for criminalisation measures after Lisbon Treaty, there are some limitation</w:t>
      </w:r>
      <w:r w:rsidR="004F5AB7" w:rsidRPr="003676AB">
        <w:rPr>
          <w:rFonts w:cs="EUAlbertina"/>
          <w:color w:val="000000"/>
          <w:sz w:val="22"/>
          <w:szCs w:val="22"/>
        </w:rPr>
        <w:t>s</w:t>
      </w:r>
      <w:r w:rsidRPr="003676AB">
        <w:rPr>
          <w:rFonts w:cs="EUAlbertina"/>
          <w:color w:val="000000"/>
          <w:sz w:val="22"/>
          <w:szCs w:val="22"/>
        </w:rPr>
        <w:t xml:space="preserve"> to the use of this provision. </w:t>
      </w:r>
    </w:p>
    <w:p w14:paraId="627920E1" w14:textId="62BA49E8" w:rsidR="007C66BE" w:rsidRPr="003676AB" w:rsidRDefault="0098685A" w:rsidP="007C66BE">
      <w:pPr>
        <w:rPr>
          <w:sz w:val="22"/>
          <w:szCs w:val="22"/>
        </w:rPr>
      </w:pPr>
      <w:r w:rsidRPr="003676AB">
        <w:rPr>
          <w:sz w:val="22"/>
          <w:szCs w:val="22"/>
        </w:rPr>
        <w:t xml:space="preserve">The </w:t>
      </w:r>
      <w:r w:rsidR="00304DDE" w:rsidRPr="003676AB">
        <w:rPr>
          <w:sz w:val="22"/>
          <w:szCs w:val="22"/>
        </w:rPr>
        <w:t>most i</w:t>
      </w:r>
      <w:r w:rsidRPr="003676AB">
        <w:rPr>
          <w:sz w:val="22"/>
          <w:szCs w:val="22"/>
        </w:rPr>
        <w:t>mportant constraint</w:t>
      </w:r>
      <w:r w:rsidR="00304DDE" w:rsidRPr="003676AB">
        <w:rPr>
          <w:sz w:val="22"/>
          <w:szCs w:val="22"/>
        </w:rPr>
        <w:t xml:space="preserve"> </w:t>
      </w:r>
      <w:r w:rsidR="004F5AB7" w:rsidRPr="003676AB">
        <w:rPr>
          <w:sz w:val="22"/>
          <w:szCs w:val="22"/>
        </w:rPr>
        <w:t xml:space="preserve">would appear to relate </w:t>
      </w:r>
      <w:r w:rsidR="00D0363A" w:rsidRPr="003676AB">
        <w:rPr>
          <w:sz w:val="22"/>
          <w:szCs w:val="22"/>
        </w:rPr>
        <w:t xml:space="preserve">to the scope of </w:t>
      </w:r>
      <w:r w:rsidR="00BB28C0" w:rsidRPr="003676AB">
        <w:rPr>
          <w:sz w:val="22"/>
          <w:szCs w:val="22"/>
        </w:rPr>
        <w:t>art.</w:t>
      </w:r>
      <w:r w:rsidR="00D0363A" w:rsidRPr="003676AB">
        <w:rPr>
          <w:sz w:val="22"/>
          <w:szCs w:val="22"/>
        </w:rPr>
        <w:t xml:space="preserve"> 83(2) TFEU and the defin</w:t>
      </w:r>
      <w:r w:rsidR="001C4B5F" w:rsidRPr="003676AB">
        <w:rPr>
          <w:sz w:val="22"/>
          <w:szCs w:val="22"/>
        </w:rPr>
        <w:t xml:space="preserve">ition of criminal sanctions. </w:t>
      </w:r>
      <w:r w:rsidR="004F5AB7" w:rsidRPr="003676AB">
        <w:rPr>
          <w:sz w:val="22"/>
          <w:szCs w:val="22"/>
        </w:rPr>
        <w:t xml:space="preserve">The </w:t>
      </w:r>
      <w:r w:rsidR="001C4B5F" w:rsidRPr="003676AB">
        <w:rPr>
          <w:sz w:val="22"/>
          <w:szCs w:val="22"/>
        </w:rPr>
        <w:t xml:space="preserve">discussion </w:t>
      </w:r>
      <w:r w:rsidR="004F5AB7" w:rsidRPr="003676AB">
        <w:rPr>
          <w:sz w:val="22"/>
          <w:szCs w:val="22"/>
        </w:rPr>
        <w:t xml:space="preserve">regarding </w:t>
      </w:r>
      <w:r w:rsidR="001C4B5F" w:rsidRPr="003676AB">
        <w:rPr>
          <w:sz w:val="22"/>
          <w:szCs w:val="22"/>
        </w:rPr>
        <w:t>the legal basis for the recently adopted</w:t>
      </w:r>
      <w:r w:rsidR="00D0363A" w:rsidRPr="003676AB">
        <w:rPr>
          <w:sz w:val="22"/>
          <w:szCs w:val="22"/>
        </w:rPr>
        <w:t xml:space="preserve"> Fourth Anti-Money</w:t>
      </w:r>
      <w:r w:rsidR="001C4B5F" w:rsidRPr="003676AB">
        <w:rPr>
          <w:sz w:val="22"/>
          <w:szCs w:val="22"/>
        </w:rPr>
        <w:t xml:space="preserve"> Laundering Directive</w:t>
      </w:r>
      <w:r w:rsidR="001C4B5F" w:rsidRPr="003676AB">
        <w:rPr>
          <w:sz w:val="22"/>
          <w:szCs w:val="22"/>
          <w:vertAlign w:val="superscript"/>
        </w:rPr>
        <w:footnoteReference w:id="79"/>
      </w:r>
      <w:r w:rsidR="00D0363A" w:rsidRPr="003676AB">
        <w:rPr>
          <w:sz w:val="22"/>
          <w:szCs w:val="22"/>
        </w:rPr>
        <w:t xml:space="preserve"> </w:t>
      </w:r>
      <w:r w:rsidR="001C4B5F" w:rsidRPr="003676AB">
        <w:rPr>
          <w:sz w:val="22"/>
          <w:szCs w:val="22"/>
        </w:rPr>
        <w:t>illustrate</w:t>
      </w:r>
      <w:r w:rsidR="004F5AB7" w:rsidRPr="003676AB">
        <w:rPr>
          <w:sz w:val="22"/>
          <w:szCs w:val="22"/>
        </w:rPr>
        <w:t>s</w:t>
      </w:r>
      <w:r w:rsidR="001C4B5F" w:rsidRPr="003676AB">
        <w:rPr>
          <w:sz w:val="22"/>
          <w:szCs w:val="22"/>
        </w:rPr>
        <w:t xml:space="preserve"> this point. Whilst this directive was</w:t>
      </w:r>
      <w:r w:rsidR="007C66BE" w:rsidRPr="003676AB">
        <w:rPr>
          <w:sz w:val="22"/>
          <w:szCs w:val="22"/>
        </w:rPr>
        <w:t xml:space="preserve"> adopted on the legal basis of </w:t>
      </w:r>
      <w:r w:rsidR="00BB28C0" w:rsidRPr="003676AB">
        <w:rPr>
          <w:sz w:val="22"/>
          <w:szCs w:val="22"/>
        </w:rPr>
        <w:t>art.</w:t>
      </w:r>
      <w:r w:rsidR="007C66BE" w:rsidRPr="003676AB">
        <w:rPr>
          <w:sz w:val="22"/>
          <w:szCs w:val="22"/>
        </w:rPr>
        <w:t xml:space="preserve"> 114 TFEU it has been </w:t>
      </w:r>
      <w:r w:rsidR="004F5AB7" w:rsidRPr="003676AB">
        <w:rPr>
          <w:sz w:val="22"/>
          <w:szCs w:val="22"/>
        </w:rPr>
        <w:t xml:space="preserve">argued </w:t>
      </w:r>
      <w:r w:rsidR="007C66BE" w:rsidRPr="003676AB">
        <w:rPr>
          <w:sz w:val="22"/>
          <w:szCs w:val="22"/>
        </w:rPr>
        <w:t>that</w:t>
      </w:r>
      <w:r w:rsidR="001C4B5F" w:rsidRPr="003676AB">
        <w:rPr>
          <w:sz w:val="22"/>
          <w:szCs w:val="22"/>
        </w:rPr>
        <w:t xml:space="preserve"> it should</w:t>
      </w:r>
      <w:r w:rsidR="007C66BE" w:rsidRPr="003676AB">
        <w:rPr>
          <w:sz w:val="22"/>
          <w:szCs w:val="22"/>
        </w:rPr>
        <w:t xml:space="preserve"> have been adopted on a legal basis in Title V</w:t>
      </w:r>
      <w:r w:rsidR="004F5AB7" w:rsidRPr="003676AB">
        <w:rPr>
          <w:sz w:val="22"/>
          <w:szCs w:val="22"/>
        </w:rPr>
        <w:t xml:space="preserve"> </w:t>
      </w:r>
      <w:r w:rsidR="00E02BFB" w:rsidRPr="003676AB">
        <w:rPr>
          <w:sz w:val="22"/>
          <w:szCs w:val="22"/>
        </w:rPr>
        <w:t xml:space="preserve">notwithstanding </w:t>
      </w:r>
      <w:r w:rsidR="004F5AB7" w:rsidRPr="003676AB">
        <w:rPr>
          <w:sz w:val="22"/>
          <w:szCs w:val="22"/>
        </w:rPr>
        <w:t xml:space="preserve">that it did not explicitly </w:t>
      </w:r>
      <w:r w:rsidR="0012302E" w:rsidRPr="003676AB">
        <w:rPr>
          <w:sz w:val="22"/>
          <w:szCs w:val="22"/>
        </w:rPr>
        <w:t xml:space="preserve">require the adoption of </w:t>
      </w:r>
      <w:r w:rsidR="004F5AB7" w:rsidRPr="003676AB">
        <w:rPr>
          <w:sz w:val="22"/>
          <w:szCs w:val="22"/>
        </w:rPr>
        <w:t>criminal sanctions</w:t>
      </w:r>
      <w:r w:rsidR="007C66BE" w:rsidRPr="003676AB">
        <w:rPr>
          <w:sz w:val="22"/>
          <w:szCs w:val="22"/>
        </w:rPr>
        <w:t>. The basis for the argument is that money laundering is inherently concerned with criminal law.</w:t>
      </w:r>
      <w:r w:rsidR="007C66BE" w:rsidRPr="003676AB">
        <w:rPr>
          <w:sz w:val="22"/>
          <w:szCs w:val="22"/>
          <w:vertAlign w:val="superscript"/>
        </w:rPr>
        <w:footnoteReference w:id="80"/>
      </w:r>
    </w:p>
    <w:p w14:paraId="71D201B2" w14:textId="31347E51" w:rsidR="00022F43" w:rsidRPr="003676AB" w:rsidRDefault="00022F43" w:rsidP="00022F43">
      <w:pPr>
        <w:autoSpaceDE w:val="0"/>
        <w:autoSpaceDN w:val="0"/>
        <w:adjustRightInd w:val="0"/>
        <w:spacing w:after="0"/>
        <w:rPr>
          <w:sz w:val="22"/>
          <w:szCs w:val="22"/>
          <w:vertAlign w:val="superscript"/>
        </w:rPr>
      </w:pPr>
      <w:r w:rsidRPr="003676AB">
        <w:rPr>
          <w:sz w:val="22"/>
          <w:szCs w:val="22"/>
        </w:rPr>
        <w:t xml:space="preserve">Given the wording of </w:t>
      </w:r>
      <w:r w:rsidR="00D20EF1" w:rsidRPr="003676AB">
        <w:rPr>
          <w:sz w:val="22"/>
          <w:szCs w:val="22"/>
        </w:rPr>
        <w:t>art.</w:t>
      </w:r>
      <w:r w:rsidRPr="003676AB">
        <w:rPr>
          <w:sz w:val="22"/>
          <w:szCs w:val="22"/>
        </w:rPr>
        <w:t xml:space="preserve"> 83(1) TFEU and the EU legislator’s recent practice</w:t>
      </w:r>
      <w:r w:rsidRPr="003676AB">
        <w:rPr>
          <w:rStyle w:val="Fotnotsreferens"/>
          <w:sz w:val="22"/>
          <w:szCs w:val="22"/>
        </w:rPr>
        <w:footnoteReference w:id="81"/>
      </w:r>
      <w:r w:rsidRPr="003676AB">
        <w:rPr>
          <w:sz w:val="22"/>
          <w:szCs w:val="22"/>
        </w:rPr>
        <w:t xml:space="preserve">, </w:t>
      </w:r>
      <w:r w:rsidR="00D53C80" w:rsidRPr="003676AB">
        <w:rPr>
          <w:sz w:val="22"/>
          <w:szCs w:val="22"/>
        </w:rPr>
        <w:t xml:space="preserve">it would seem </w:t>
      </w:r>
      <w:r w:rsidR="0012302E" w:rsidRPr="003676AB">
        <w:rPr>
          <w:sz w:val="22"/>
          <w:szCs w:val="22"/>
        </w:rPr>
        <w:t xml:space="preserve">reasonable </w:t>
      </w:r>
      <w:r w:rsidR="00D53C80" w:rsidRPr="003676AB">
        <w:rPr>
          <w:sz w:val="22"/>
          <w:szCs w:val="22"/>
        </w:rPr>
        <w:t xml:space="preserve">to conclude that </w:t>
      </w:r>
      <w:r w:rsidRPr="003676AB">
        <w:rPr>
          <w:sz w:val="22"/>
          <w:szCs w:val="22"/>
        </w:rPr>
        <w:t xml:space="preserve">money laundering </w:t>
      </w:r>
      <w:r w:rsidR="00D53C80" w:rsidRPr="003676AB">
        <w:rPr>
          <w:sz w:val="22"/>
          <w:szCs w:val="22"/>
        </w:rPr>
        <w:t xml:space="preserve">falls </w:t>
      </w:r>
      <w:r w:rsidRPr="003676AB">
        <w:rPr>
          <w:sz w:val="22"/>
          <w:szCs w:val="22"/>
        </w:rPr>
        <w:t xml:space="preserve">within the remit of this provision. By </w:t>
      </w:r>
      <w:r w:rsidR="00D53C80" w:rsidRPr="003676AB">
        <w:rPr>
          <w:sz w:val="22"/>
          <w:szCs w:val="22"/>
        </w:rPr>
        <w:t xml:space="preserve">categorising </w:t>
      </w:r>
      <w:r w:rsidRPr="003676AB">
        <w:rPr>
          <w:sz w:val="22"/>
          <w:szCs w:val="22"/>
        </w:rPr>
        <w:t xml:space="preserve">money laundering as a crime with a </w:t>
      </w:r>
      <w:proofErr w:type="gramStart"/>
      <w:r w:rsidRPr="003676AB">
        <w:rPr>
          <w:sz w:val="22"/>
          <w:szCs w:val="22"/>
        </w:rPr>
        <w:t>particular cross-border</w:t>
      </w:r>
      <w:proofErr w:type="gramEnd"/>
      <w:r w:rsidRPr="003676AB">
        <w:rPr>
          <w:sz w:val="22"/>
          <w:szCs w:val="22"/>
        </w:rPr>
        <w:t xml:space="preserve"> dimension in </w:t>
      </w:r>
      <w:r w:rsidR="00D20EF1" w:rsidRPr="003676AB">
        <w:rPr>
          <w:sz w:val="22"/>
          <w:szCs w:val="22"/>
        </w:rPr>
        <w:t>art.</w:t>
      </w:r>
      <w:r w:rsidRPr="003676AB">
        <w:rPr>
          <w:sz w:val="22"/>
          <w:szCs w:val="22"/>
        </w:rPr>
        <w:t xml:space="preserve"> 83(1) TFEU, the </w:t>
      </w:r>
      <w:r w:rsidR="0012302E" w:rsidRPr="003676AB">
        <w:rPr>
          <w:sz w:val="22"/>
          <w:szCs w:val="22"/>
        </w:rPr>
        <w:t xml:space="preserve">treaty has conferred </w:t>
      </w:r>
      <w:r w:rsidRPr="003676AB">
        <w:rPr>
          <w:sz w:val="22"/>
          <w:szCs w:val="22"/>
        </w:rPr>
        <w:t>a specific competence to adopt anti-money laundering criminal law legislation</w:t>
      </w:r>
      <w:r w:rsidR="0012302E" w:rsidRPr="003676AB">
        <w:rPr>
          <w:sz w:val="22"/>
          <w:szCs w:val="22"/>
        </w:rPr>
        <w:t xml:space="preserve"> on the Union</w:t>
      </w:r>
      <w:r w:rsidRPr="003676AB">
        <w:rPr>
          <w:sz w:val="22"/>
          <w:szCs w:val="22"/>
        </w:rPr>
        <w:t xml:space="preserve">. </w:t>
      </w:r>
      <w:r w:rsidRPr="003676AB">
        <w:rPr>
          <w:sz w:val="22"/>
          <w:szCs w:val="22"/>
        </w:rPr>
        <w:lastRenderedPageBreak/>
        <w:t>The Fourth AMLD was</w:t>
      </w:r>
      <w:r w:rsidR="00D53C80" w:rsidRPr="003676AB">
        <w:rPr>
          <w:sz w:val="22"/>
          <w:szCs w:val="22"/>
        </w:rPr>
        <w:t xml:space="preserve"> however, like its predecessors</w:t>
      </w:r>
      <w:r w:rsidRPr="003676AB">
        <w:rPr>
          <w:sz w:val="22"/>
          <w:szCs w:val="22"/>
        </w:rPr>
        <w:t xml:space="preserve">, adopted under </w:t>
      </w:r>
      <w:r w:rsidR="000031E9" w:rsidRPr="003676AB">
        <w:rPr>
          <w:sz w:val="22"/>
          <w:szCs w:val="22"/>
        </w:rPr>
        <w:t>art.</w:t>
      </w:r>
      <w:r w:rsidRPr="003676AB">
        <w:rPr>
          <w:sz w:val="22"/>
          <w:szCs w:val="22"/>
        </w:rPr>
        <w:t xml:space="preserve"> 114 TFEU.</w:t>
      </w:r>
      <w:r w:rsidRPr="003676AB">
        <w:rPr>
          <w:rStyle w:val="Fotnotsreferens"/>
          <w:sz w:val="22"/>
          <w:szCs w:val="22"/>
        </w:rPr>
        <w:footnoteReference w:id="82"/>
      </w:r>
      <w:r w:rsidR="00D53C80" w:rsidRPr="003676AB">
        <w:rPr>
          <w:sz w:val="22"/>
          <w:szCs w:val="22"/>
          <w:vertAlign w:val="superscript"/>
        </w:rPr>
        <w:t xml:space="preserve"> </w:t>
      </w:r>
      <w:r w:rsidRPr="003676AB">
        <w:rPr>
          <w:sz w:val="22"/>
          <w:szCs w:val="22"/>
        </w:rPr>
        <w:t xml:space="preserve">The rationale for not using </w:t>
      </w:r>
      <w:r w:rsidR="000031E9" w:rsidRPr="003676AB">
        <w:rPr>
          <w:sz w:val="22"/>
          <w:szCs w:val="22"/>
        </w:rPr>
        <w:t>art.</w:t>
      </w:r>
      <w:r w:rsidRPr="003676AB">
        <w:rPr>
          <w:sz w:val="22"/>
          <w:szCs w:val="22"/>
        </w:rPr>
        <w:t xml:space="preserve"> 83(1) for the Fourth AMLD is that </w:t>
      </w:r>
      <w:r w:rsidR="00D0718E" w:rsidRPr="003676AB">
        <w:rPr>
          <w:sz w:val="22"/>
          <w:szCs w:val="22"/>
        </w:rPr>
        <w:t xml:space="preserve">it </w:t>
      </w:r>
      <w:r w:rsidRPr="003676AB">
        <w:rPr>
          <w:sz w:val="22"/>
          <w:szCs w:val="22"/>
        </w:rPr>
        <w:t>contains, in contrast to the Commission’s Money Laundering Criminalization Proposal</w:t>
      </w:r>
      <w:r w:rsidRPr="003676AB">
        <w:rPr>
          <w:rStyle w:val="Fotnotsreferens"/>
          <w:sz w:val="22"/>
          <w:szCs w:val="22"/>
        </w:rPr>
        <w:footnoteReference w:id="83"/>
      </w:r>
      <w:r w:rsidRPr="003676AB">
        <w:rPr>
          <w:sz w:val="22"/>
          <w:szCs w:val="22"/>
        </w:rPr>
        <w:t xml:space="preserve">, no explicit rules on </w:t>
      </w:r>
      <w:r w:rsidR="005A0EE5" w:rsidRPr="003676AB">
        <w:rPr>
          <w:sz w:val="22"/>
          <w:szCs w:val="22"/>
        </w:rPr>
        <w:t>‘</w:t>
      </w:r>
      <w:r w:rsidRPr="003676AB">
        <w:rPr>
          <w:sz w:val="22"/>
          <w:szCs w:val="22"/>
        </w:rPr>
        <w:t>criminal law</w:t>
      </w:r>
      <w:r w:rsidR="005A0EE5" w:rsidRPr="003676AB">
        <w:rPr>
          <w:sz w:val="22"/>
          <w:szCs w:val="22"/>
        </w:rPr>
        <w:t>’</w:t>
      </w:r>
      <w:r w:rsidRPr="003676AB">
        <w:rPr>
          <w:sz w:val="22"/>
          <w:szCs w:val="22"/>
        </w:rPr>
        <w:t>. Art</w:t>
      </w:r>
      <w:r w:rsidR="000031E9" w:rsidRPr="003676AB">
        <w:rPr>
          <w:sz w:val="22"/>
          <w:szCs w:val="22"/>
        </w:rPr>
        <w:t>.</w:t>
      </w:r>
      <w:r w:rsidRPr="003676AB">
        <w:rPr>
          <w:sz w:val="22"/>
          <w:szCs w:val="22"/>
        </w:rPr>
        <w:t xml:space="preserve"> 1 of the Directive</w:t>
      </w:r>
      <w:r w:rsidR="005A0EE5" w:rsidRPr="003676AB">
        <w:rPr>
          <w:sz w:val="22"/>
          <w:szCs w:val="22"/>
        </w:rPr>
        <w:t xml:space="preserve">, </w:t>
      </w:r>
      <w:r w:rsidR="0012302E" w:rsidRPr="003676AB">
        <w:rPr>
          <w:sz w:val="22"/>
          <w:szCs w:val="22"/>
        </w:rPr>
        <w:t xml:space="preserve">its </w:t>
      </w:r>
      <w:r w:rsidR="005A0EE5" w:rsidRPr="003676AB">
        <w:rPr>
          <w:sz w:val="22"/>
          <w:szCs w:val="22"/>
        </w:rPr>
        <w:t>main provision,</w:t>
      </w:r>
      <w:r w:rsidRPr="003676AB">
        <w:rPr>
          <w:sz w:val="22"/>
          <w:szCs w:val="22"/>
        </w:rPr>
        <w:t xml:space="preserve"> simply states that ‘money laundering’ is prohibited, not that it</w:t>
      </w:r>
      <w:r w:rsidR="00D0718E" w:rsidRPr="003676AB">
        <w:rPr>
          <w:sz w:val="22"/>
          <w:szCs w:val="22"/>
        </w:rPr>
        <w:t xml:space="preserve"> is criminalised. The provision</w:t>
      </w:r>
      <w:r w:rsidRPr="003676AB">
        <w:rPr>
          <w:sz w:val="22"/>
          <w:szCs w:val="22"/>
        </w:rPr>
        <w:t xml:space="preserve"> on sanctions contain</w:t>
      </w:r>
      <w:r w:rsidR="00D53C80" w:rsidRPr="003676AB">
        <w:rPr>
          <w:sz w:val="22"/>
          <w:szCs w:val="22"/>
        </w:rPr>
        <w:t>s</w:t>
      </w:r>
      <w:r w:rsidRPr="003676AB">
        <w:rPr>
          <w:sz w:val="22"/>
          <w:szCs w:val="22"/>
        </w:rPr>
        <w:t xml:space="preserve"> no obligations on Member States to impose criminal sanctions. </w:t>
      </w:r>
      <w:r w:rsidR="00D0718E" w:rsidRPr="003676AB">
        <w:rPr>
          <w:sz w:val="22"/>
          <w:szCs w:val="22"/>
        </w:rPr>
        <w:t xml:space="preserve">It </w:t>
      </w:r>
      <w:r w:rsidRPr="003676AB">
        <w:rPr>
          <w:sz w:val="22"/>
          <w:szCs w:val="22"/>
        </w:rPr>
        <w:t>merely prescribes that na</w:t>
      </w:r>
      <w:r w:rsidR="00DA3C17" w:rsidRPr="003676AB">
        <w:rPr>
          <w:sz w:val="22"/>
          <w:szCs w:val="22"/>
        </w:rPr>
        <w:t>tural and legal persons</w:t>
      </w:r>
      <w:r w:rsidRPr="003676AB">
        <w:rPr>
          <w:sz w:val="22"/>
          <w:szCs w:val="22"/>
        </w:rPr>
        <w:t xml:space="preserve"> can be held liable for breaches of national provisions transposing the directive and that resulting sanction</w:t>
      </w:r>
      <w:r w:rsidR="005A0EE5" w:rsidRPr="003676AB">
        <w:rPr>
          <w:sz w:val="22"/>
          <w:szCs w:val="22"/>
        </w:rPr>
        <w:t>s</w:t>
      </w:r>
      <w:r w:rsidRPr="003676AB">
        <w:rPr>
          <w:sz w:val="22"/>
          <w:szCs w:val="22"/>
        </w:rPr>
        <w:t xml:space="preserve"> shall be effective, proportionate and dissuasive.</w:t>
      </w:r>
      <w:r w:rsidRPr="003676AB">
        <w:rPr>
          <w:sz w:val="22"/>
          <w:szCs w:val="22"/>
          <w:vertAlign w:val="superscript"/>
        </w:rPr>
        <w:footnoteReference w:id="84"/>
      </w:r>
      <w:r w:rsidRPr="003676AB">
        <w:rPr>
          <w:sz w:val="22"/>
          <w:szCs w:val="22"/>
        </w:rPr>
        <w:t xml:space="preserve"> </w:t>
      </w:r>
      <w:r w:rsidR="00D53C80" w:rsidRPr="003676AB">
        <w:rPr>
          <w:sz w:val="22"/>
          <w:szCs w:val="22"/>
        </w:rPr>
        <w:t>T</w:t>
      </w:r>
      <w:r w:rsidR="005A0EE5" w:rsidRPr="003676AB">
        <w:rPr>
          <w:sz w:val="22"/>
          <w:szCs w:val="22"/>
        </w:rPr>
        <w:t xml:space="preserve">he directive </w:t>
      </w:r>
      <w:r w:rsidR="00D53C80" w:rsidRPr="003676AB">
        <w:rPr>
          <w:sz w:val="22"/>
          <w:szCs w:val="22"/>
        </w:rPr>
        <w:t xml:space="preserve">underlines the fact that </w:t>
      </w:r>
      <w:r w:rsidRPr="003676AB">
        <w:rPr>
          <w:sz w:val="22"/>
          <w:szCs w:val="22"/>
        </w:rPr>
        <w:t>the option to impose criminal sanctions remain</w:t>
      </w:r>
      <w:r w:rsidR="00D53C80" w:rsidRPr="003676AB">
        <w:rPr>
          <w:sz w:val="22"/>
          <w:szCs w:val="22"/>
        </w:rPr>
        <w:t>s</w:t>
      </w:r>
      <w:r w:rsidRPr="003676AB">
        <w:rPr>
          <w:sz w:val="22"/>
          <w:szCs w:val="22"/>
        </w:rPr>
        <w:t xml:space="preserve"> in the hands of the Member States.</w:t>
      </w:r>
      <w:r w:rsidR="005A0EE5" w:rsidRPr="003676AB">
        <w:rPr>
          <w:rStyle w:val="Fotnotsreferens"/>
          <w:sz w:val="22"/>
          <w:szCs w:val="22"/>
        </w:rPr>
        <w:footnoteReference w:id="85"/>
      </w:r>
      <w:r w:rsidRPr="003676AB">
        <w:rPr>
          <w:sz w:val="22"/>
          <w:szCs w:val="22"/>
        </w:rPr>
        <w:t xml:space="preserve"> </w:t>
      </w:r>
      <w:r w:rsidR="00FF4551" w:rsidRPr="003676AB">
        <w:rPr>
          <w:sz w:val="22"/>
          <w:szCs w:val="22"/>
        </w:rPr>
        <w:t>Thus, it seems at first sight</w:t>
      </w:r>
      <w:r w:rsidR="00A54595" w:rsidRPr="003676AB">
        <w:rPr>
          <w:sz w:val="22"/>
          <w:szCs w:val="22"/>
        </w:rPr>
        <w:t xml:space="preserve"> that this directive</w:t>
      </w:r>
      <w:r w:rsidR="00FF4551" w:rsidRPr="003676AB">
        <w:rPr>
          <w:sz w:val="22"/>
          <w:szCs w:val="22"/>
        </w:rPr>
        <w:t xml:space="preserve"> is not a</w:t>
      </w:r>
      <w:r w:rsidR="00A54595" w:rsidRPr="003676AB">
        <w:rPr>
          <w:sz w:val="22"/>
          <w:szCs w:val="22"/>
        </w:rPr>
        <w:t xml:space="preserve"> </w:t>
      </w:r>
      <w:r w:rsidR="00FF4551" w:rsidRPr="003676AB">
        <w:rPr>
          <w:sz w:val="22"/>
          <w:szCs w:val="22"/>
        </w:rPr>
        <w:t>‘criminal’ law directive</w:t>
      </w:r>
      <w:r w:rsidR="0012302E" w:rsidRPr="003676AB">
        <w:rPr>
          <w:sz w:val="22"/>
          <w:szCs w:val="22"/>
        </w:rPr>
        <w:t xml:space="preserve"> properly speaking</w:t>
      </w:r>
      <w:r w:rsidR="00FF4551" w:rsidRPr="003676AB">
        <w:rPr>
          <w:sz w:val="22"/>
          <w:szCs w:val="22"/>
        </w:rPr>
        <w:t>.</w:t>
      </w:r>
    </w:p>
    <w:p w14:paraId="7054C8C7" w14:textId="6D84C564" w:rsidR="00FF4551" w:rsidRPr="003676AB" w:rsidRDefault="00022F43" w:rsidP="00022F43">
      <w:pPr>
        <w:autoSpaceDE w:val="0"/>
        <w:autoSpaceDN w:val="0"/>
        <w:adjustRightInd w:val="0"/>
        <w:spacing w:after="0"/>
        <w:rPr>
          <w:sz w:val="22"/>
          <w:szCs w:val="22"/>
        </w:rPr>
      </w:pPr>
      <w:proofErr w:type="spellStart"/>
      <w:r w:rsidRPr="003676AB">
        <w:rPr>
          <w:sz w:val="22"/>
          <w:szCs w:val="22"/>
        </w:rPr>
        <w:t>Herlin-Karnell</w:t>
      </w:r>
      <w:proofErr w:type="spellEnd"/>
      <w:r w:rsidRPr="003676AB">
        <w:rPr>
          <w:sz w:val="22"/>
          <w:szCs w:val="22"/>
        </w:rPr>
        <w:t xml:space="preserve"> has</w:t>
      </w:r>
      <w:r w:rsidR="00DA3C17" w:rsidRPr="003676AB">
        <w:rPr>
          <w:sz w:val="22"/>
          <w:szCs w:val="22"/>
        </w:rPr>
        <w:t>, nevertheless,</w:t>
      </w:r>
      <w:r w:rsidR="00FF4551" w:rsidRPr="003676AB">
        <w:rPr>
          <w:sz w:val="22"/>
          <w:szCs w:val="22"/>
        </w:rPr>
        <w:t xml:space="preserve"> questioned this</w:t>
      </w:r>
      <w:r w:rsidR="00975A06" w:rsidRPr="003676AB">
        <w:rPr>
          <w:sz w:val="22"/>
          <w:szCs w:val="22"/>
        </w:rPr>
        <w:t xml:space="preserve"> seemingly obvious conclusion</w:t>
      </w:r>
      <w:r w:rsidR="00FF4551" w:rsidRPr="003676AB">
        <w:rPr>
          <w:sz w:val="22"/>
          <w:szCs w:val="22"/>
        </w:rPr>
        <w:t xml:space="preserve">. When discussing the Third Money Laundering Directive, which had similar provisions on sanctions, she </w:t>
      </w:r>
      <w:r w:rsidR="0012302E" w:rsidRPr="003676AB">
        <w:rPr>
          <w:sz w:val="22"/>
          <w:szCs w:val="22"/>
        </w:rPr>
        <w:t xml:space="preserve">maintained </w:t>
      </w:r>
      <w:r w:rsidR="00FF4551" w:rsidRPr="003676AB">
        <w:rPr>
          <w:sz w:val="22"/>
          <w:szCs w:val="22"/>
        </w:rPr>
        <w:t>that</w:t>
      </w:r>
      <w:r w:rsidR="00D53C80" w:rsidRPr="003676AB">
        <w:rPr>
          <w:sz w:val="22"/>
          <w:szCs w:val="22"/>
        </w:rPr>
        <w:t>,</w:t>
      </w:r>
      <w:r w:rsidR="00FF4551" w:rsidRPr="003676AB">
        <w:rPr>
          <w:sz w:val="22"/>
          <w:szCs w:val="22"/>
        </w:rPr>
        <w:t xml:space="preserve"> </w:t>
      </w:r>
      <w:proofErr w:type="gramStart"/>
      <w:r w:rsidR="00D53C80" w:rsidRPr="003676AB">
        <w:rPr>
          <w:sz w:val="22"/>
          <w:szCs w:val="22"/>
        </w:rPr>
        <w:t xml:space="preserve">despite the fact </w:t>
      </w:r>
      <w:r w:rsidR="00FF4551" w:rsidRPr="003676AB">
        <w:rPr>
          <w:sz w:val="22"/>
          <w:szCs w:val="22"/>
        </w:rPr>
        <w:t>that</w:t>
      </w:r>
      <w:proofErr w:type="gramEnd"/>
      <w:r w:rsidR="00FF4551" w:rsidRPr="003676AB">
        <w:rPr>
          <w:sz w:val="22"/>
          <w:szCs w:val="22"/>
        </w:rPr>
        <w:t xml:space="preserve"> directive did not explicitly require criminalisation, it could be argued that it did so implicitly. She</w:t>
      </w:r>
      <w:r w:rsidR="005A4CB5" w:rsidRPr="003676AB">
        <w:rPr>
          <w:sz w:val="22"/>
          <w:szCs w:val="22"/>
        </w:rPr>
        <w:t xml:space="preserve"> </w:t>
      </w:r>
      <w:r w:rsidR="00D0718E" w:rsidRPr="003676AB">
        <w:rPr>
          <w:sz w:val="22"/>
          <w:szCs w:val="22"/>
        </w:rPr>
        <w:t>questioned wheth</w:t>
      </w:r>
      <w:r w:rsidR="00FF4551" w:rsidRPr="003676AB">
        <w:rPr>
          <w:sz w:val="22"/>
          <w:szCs w:val="22"/>
        </w:rPr>
        <w:t>er in practice Member States had</w:t>
      </w:r>
      <w:r w:rsidR="00D0718E" w:rsidRPr="003676AB">
        <w:rPr>
          <w:sz w:val="22"/>
          <w:szCs w:val="22"/>
        </w:rPr>
        <w:t xml:space="preserve"> a real choice in refraining from harmonising their criminal laws </w:t>
      </w:r>
      <w:proofErr w:type="gramStart"/>
      <w:r w:rsidR="00D53C80" w:rsidRPr="003676AB">
        <w:rPr>
          <w:sz w:val="22"/>
          <w:szCs w:val="22"/>
        </w:rPr>
        <w:t>in light of</w:t>
      </w:r>
      <w:proofErr w:type="gramEnd"/>
      <w:r w:rsidR="00D53C80" w:rsidRPr="003676AB">
        <w:rPr>
          <w:sz w:val="22"/>
          <w:szCs w:val="22"/>
        </w:rPr>
        <w:t xml:space="preserve"> the need to </w:t>
      </w:r>
      <w:r w:rsidR="00D0718E" w:rsidRPr="003676AB">
        <w:rPr>
          <w:sz w:val="22"/>
          <w:szCs w:val="22"/>
        </w:rPr>
        <w:t>provid</w:t>
      </w:r>
      <w:r w:rsidR="00D53C80" w:rsidRPr="003676AB">
        <w:rPr>
          <w:sz w:val="22"/>
          <w:szCs w:val="22"/>
        </w:rPr>
        <w:t>e</w:t>
      </w:r>
      <w:r w:rsidR="00D0718E" w:rsidRPr="003676AB">
        <w:rPr>
          <w:sz w:val="22"/>
          <w:szCs w:val="22"/>
        </w:rPr>
        <w:t xml:space="preserve"> for proportionate, dissuasive and effective sanctions.</w:t>
      </w:r>
      <w:r w:rsidR="00D0718E" w:rsidRPr="003676AB">
        <w:rPr>
          <w:rFonts w:eastAsia="Calibri"/>
          <w:sz w:val="22"/>
          <w:szCs w:val="22"/>
          <w:vertAlign w:val="superscript"/>
        </w:rPr>
        <w:footnoteReference w:id="86"/>
      </w:r>
      <w:r w:rsidRPr="003676AB">
        <w:rPr>
          <w:rFonts w:eastAsia="Calibri"/>
          <w:sz w:val="22"/>
          <w:szCs w:val="22"/>
        </w:rPr>
        <w:t xml:space="preserve"> If the sanctions imposed by Member</w:t>
      </w:r>
      <w:r w:rsidR="00D0718E" w:rsidRPr="003676AB">
        <w:rPr>
          <w:rFonts w:eastAsia="Calibri"/>
          <w:sz w:val="22"/>
          <w:szCs w:val="22"/>
        </w:rPr>
        <w:t xml:space="preserve"> States were to comply with the ‘Greek Maize’ formula</w:t>
      </w:r>
      <w:r w:rsidRPr="003676AB">
        <w:rPr>
          <w:rFonts w:eastAsia="Calibri"/>
          <w:sz w:val="22"/>
          <w:szCs w:val="22"/>
        </w:rPr>
        <w:t xml:space="preserve"> and the principle of loyalty</w:t>
      </w:r>
      <w:r w:rsidRPr="003676AB">
        <w:rPr>
          <w:sz w:val="22"/>
          <w:szCs w:val="22"/>
          <w:vertAlign w:val="superscript"/>
        </w:rPr>
        <w:footnoteReference w:id="87"/>
      </w:r>
      <w:r w:rsidR="000031E9" w:rsidRPr="003676AB">
        <w:rPr>
          <w:rFonts w:eastAsia="Calibri"/>
          <w:sz w:val="22"/>
          <w:szCs w:val="22"/>
        </w:rPr>
        <w:t>,</w:t>
      </w:r>
      <w:r w:rsidRPr="003676AB">
        <w:rPr>
          <w:rFonts w:eastAsia="Calibri"/>
          <w:sz w:val="22"/>
          <w:szCs w:val="22"/>
        </w:rPr>
        <w:t xml:space="preserve"> they </w:t>
      </w:r>
      <w:r w:rsidR="00D53C80" w:rsidRPr="003676AB">
        <w:rPr>
          <w:rFonts w:eastAsia="Calibri"/>
          <w:sz w:val="22"/>
          <w:szCs w:val="22"/>
        </w:rPr>
        <w:t xml:space="preserve">will often be obliged to provide for </w:t>
      </w:r>
      <w:r w:rsidR="00780784" w:rsidRPr="003676AB">
        <w:rPr>
          <w:rFonts w:eastAsia="Calibri"/>
          <w:sz w:val="22"/>
          <w:szCs w:val="22"/>
        </w:rPr>
        <w:t>custodial</w:t>
      </w:r>
      <w:r w:rsidRPr="003676AB">
        <w:rPr>
          <w:rFonts w:eastAsia="Calibri"/>
          <w:sz w:val="22"/>
          <w:szCs w:val="22"/>
        </w:rPr>
        <w:t xml:space="preserve"> sentences.</w:t>
      </w:r>
      <w:r w:rsidRPr="003676AB">
        <w:rPr>
          <w:rFonts w:eastAsia="Calibri"/>
          <w:sz w:val="22"/>
          <w:szCs w:val="22"/>
          <w:vertAlign w:val="superscript"/>
        </w:rPr>
        <w:footnoteReference w:id="88"/>
      </w:r>
      <w:r w:rsidR="005A0EE5" w:rsidRPr="003676AB">
        <w:rPr>
          <w:sz w:val="22"/>
          <w:szCs w:val="22"/>
        </w:rPr>
        <w:t xml:space="preserve"> </w:t>
      </w:r>
    </w:p>
    <w:p w14:paraId="7FD70866" w14:textId="0D0EF7FF" w:rsidR="00022F43" w:rsidRPr="003676AB" w:rsidRDefault="00022F43" w:rsidP="00022F43">
      <w:pPr>
        <w:autoSpaceDE w:val="0"/>
        <w:autoSpaceDN w:val="0"/>
        <w:adjustRightInd w:val="0"/>
        <w:spacing w:after="0"/>
        <w:rPr>
          <w:sz w:val="22"/>
          <w:szCs w:val="22"/>
        </w:rPr>
      </w:pPr>
      <w:r w:rsidRPr="003676AB">
        <w:rPr>
          <w:sz w:val="22"/>
          <w:szCs w:val="22"/>
        </w:rPr>
        <w:t>In s</w:t>
      </w:r>
      <w:r w:rsidR="00DA3C17" w:rsidRPr="003676AB">
        <w:rPr>
          <w:sz w:val="22"/>
          <w:szCs w:val="22"/>
        </w:rPr>
        <w:t>upport of her</w:t>
      </w:r>
      <w:r w:rsidRPr="003676AB">
        <w:rPr>
          <w:sz w:val="22"/>
          <w:szCs w:val="22"/>
        </w:rPr>
        <w:t xml:space="preserve"> argument, it appears from a review of the Fourth AMLD that the expression ‘criminal’ and ‘criminals’ appears throughout the Directive.</w:t>
      </w:r>
      <w:r w:rsidRPr="003676AB">
        <w:rPr>
          <w:sz w:val="22"/>
          <w:szCs w:val="22"/>
          <w:vertAlign w:val="superscript"/>
        </w:rPr>
        <w:footnoteReference w:id="89"/>
      </w:r>
      <w:r w:rsidRPr="003676AB">
        <w:rPr>
          <w:sz w:val="22"/>
          <w:szCs w:val="22"/>
        </w:rPr>
        <w:t xml:space="preserve"> </w:t>
      </w:r>
      <w:r w:rsidR="00D0718E" w:rsidRPr="003676AB">
        <w:rPr>
          <w:sz w:val="22"/>
          <w:szCs w:val="22"/>
        </w:rPr>
        <w:t>T</w:t>
      </w:r>
      <w:r w:rsidRPr="003676AB">
        <w:rPr>
          <w:sz w:val="22"/>
          <w:szCs w:val="22"/>
        </w:rPr>
        <w:t>he Directive</w:t>
      </w:r>
      <w:r w:rsidR="00D0718E" w:rsidRPr="003676AB">
        <w:rPr>
          <w:sz w:val="22"/>
          <w:szCs w:val="22"/>
        </w:rPr>
        <w:t xml:space="preserve"> furthermore</w:t>
      </w:r>
      <w:r w:rsidRPr="003676AB">
        <w:rPr>
          <w:sz w:val="22"/>
          <w:szCs w:val="22"/>
        </w:rPr>
        <w:t xml:space="preserve"> requires that Member States may only prohibit offences ‘when committed intentionally’ and that ‘knowledge, intent or purpose may be inferred from objective factual circumstances’.</w:t>
      </w:r>
      <w:r w:rsidRPr="003676AB">
        <w:rPr>
          <w:sz w:val="22"/>
          <w:szCs w:val="22"/>
          <w:vertAlign w:val="superscript"/>
        </w:rPr>
        <w:footnoteReference w:id="90"/>
      </w:r>
      <w:r w:rsidRPr="003676AB">
        <w:rPr>
          <w:sz w:val="22"/>
          <w:szCs w:val="22"/>
        </w:rPr>
        <w:t xml:space="preserve"> These subjective requirements implicitly suggest criminal law as opposed to administrative sanctions with strict liability. Furthermore, it</w:t>
      </w:r>
      <w:r w:rsidR="00DA3C17" w:rsidRPr="003676AB">
        <w:rPr>
          <w:sz w:val="22"/>
          <w:szCs w:val="22"/>
        </w:rPr>
        <w:t xml:space="preserve"> appears</w:t>
      </w:r>
      <w:r w:rsidRPr="003676AB">
        <w:rPr>
          <w:sz w:val="22"/>
          <w:szCs w:val="22"/>
        </w:rPr>
        <w:t xml:space="preserve"> that the directive foresees criminalisation by stipulating that Member States’ obligations to impose </w:t>
      </w:r>
      <w:r w:rsidRPr="003676AB">
        <w:rPr>
          <w:sz w:val="22"/>
          <w:szCs w:val="22"/>
        </w:rPr>
        <w:lastRenderedPageBreak/>
        <w:t xml:space="preserve">administrative sanctions is without prejudice to the right of Member States to impose ‘criminal </w:t>
      </w:r>
      <w:proofErr w:type="gramStart"/>
      <w:r w:rsidRPr="003676AB">
        <w:rPr>
          <w:sz w:val="22"/>
          <w:szCs w:val="22"/>
        </w:rPr>
        <w:t>sanctions’</w:t>
      </w:r>
      <w:proofErr w:type="gramEnd"/>
      <w:r w:rsidRPr="003676AB">
        <w:rPr>
          <w:sz w:val="22"/>
          <w:szCs w:val="22"/>
        </w:rPr>
        <w:t>.</w:t>
      </w:r>
      <w:r w:rsidRPr="003676AB">
        <w:rPr>
          <w:sz w:val="22"/>
          <w:szCs w:val="22"/>
          <w:vertAlign w:val="superscript"/>
        </w:rPr>
        <w:footnoteReference w:id="91"/>
      </w:r>
      <w:r w:rsidRPr="003676AB">
        <w:rPr>
          <w:sz w:val="22"/>
          <w:szCs w:val="22"/>
        </w:rPr>
        <w:t xml:space="preserve"> There are also </w:t>
      </w:r>
      <w:r w:rsidR="00DA3C17" w:rsidRPr="003676AB">
        <w:rPr>
          <w:sz w:val="22"/>
          <w:szCs w:val="22"/>
        </w:rPr>
        <w:t xml:space="preserve">certain Court </w:t>
      </w:r>
      <w:r w:rsidRPr="003676AB">
        <w:rPr>
          <w:sz w:val="22"/>
          <w:szCs w:val="22"/>
        </w:rPr>
        <w:t xml:space="preserve">judgments </w:t>
      </w:r>
      <w:r w:rsidR="006F2BC8" w:rsidRPr="003676AB">
        <w:rPr>
          <w:sz w:val="22"/>
          <w:szCs w:val="22"/>
        </w:rPr>
        <w:t xml:space="preserve">which </w:t>
      </w:r>
      <w:r w:rsidR="00DA3C17" w:rsidRPr="003676AB">
        <w:rPr>
          <w:sz w:val="22"/>
          <w:szCs w:val="22"/>
        </w:rPr>
        <w:t>tentatively indicate</w:t>
      </w:r>
      <w:r w:rsidRPr="003676AB">
        <w:rPr>
          <w:sz w:val="22"/>
          <w:szCs w:val="22"/>
        </w:rPr>
        <w:t xml:space="preserve"> that the principle of loyalty together with the</w:t>
      </w:r>
      <w:r w:rsidR="007E607E" w:rsidRPr="003676AB">
        <w:rPr>
          <w:sz w:val="22"/>
          <w:szCs w:val="22"/>
        </w:rPr>
        <w:t xml:space="preserve"> ‘Greek Maize’ requirements </w:t>
      </w:r>
      <w:r w:rsidRPr="003676AB">
        <w:rPr>
          <w:sz w:val="22"/>
          <w:szCs w:val="22"/>
        </w:rPr>
        <w:t>may oblige Member States to impose criminal sanctions for offences against EU rules. The Court has</w:t>
      </w:r>
      <w:r w:rsidR="0012302E" w:rsidRPr="003676AB">
        <w:rPr>
          <w:sz w:val="22"/>
          <w:szCs w:val="22"/>
        </w:rPr>
        <w:t>,</w:t>
      </w:r>
      <w:r w:rsidR="007E607E" w:rsidRPr="003676AB">
        <w:rPr>
          <w:sz w:val="22"/>
          <w:szCs w:val="22"/>
        </w:rPr>
        <w:t xml:space="preserve"> for example</w:t>
      </w:r>
      <w:r w:rsidR="0012302E" w:rsidRPr="003676AB">
        <w:rPr>
          <w:sz w:val="22"/>
          <w:szCs w:val="22"/>
        </w:rPr>
        <w:t>,</w:t>
      </w:r>
      <w:r w:rsidR="007E607E" w:rsidRPr="003676AB">
        <w:rPr>
          <w:sz w:val="22"/>
          <w:szCs w:val="22"/>
        </w:rPr>
        <w:t xml:space="preserve"> </w:t>
      </w:r>
      <w:r w:rsidR="0012302E" w:rsidRPr="003676AB">
        <w:rPr>
          <w:sz w:val="22"/>
          <w:szCs w:val="22"/>
        </w:rPr>
        <w:t xml:space="preserve">held </w:t>
      </w:r>
      <w:r w:rsidR="00260F4A" w:rsidRPr="003676AB">
        <w:rPr>
          <w:sz w:val="22"/>
          <w:szCs w:val="22"/>
        </w:rPr>
        <w:t xml:space="preserve">in </w:t>
      </w:r>
      <w:r w:rsidR="00260F4A" w:rsidRPr="003676AB">
        <w:rPr>
          <w:i/>
          <w:sz w:val="22"/>
          <w:szCs w:val="22"/>
        </w:rPr>
        <w:t>Nunes de Matos</w:t>
      </w:r>
      <w:r w:rsidR="00260F4A" w:rsidRPr="003676AB">
        <w:rPr>
          <w:sz w:val="22"/>
          <w:szCs w:val="22"/>
        </w:rPr>
        <w:t xml:space="preserve"> </w:t>
      </w:r>
      <w:r w:rsidRPr="003676AB">
        <w:rPr>
          <w:sz w:val="22"/>
          <w:szCs w:val="22"/>
        </w:rPr>
        <w:t xml:space="preserve">that </w:t>
      </w:r>
      <w:r w:rsidR="000031E9" w:rsidRPr="003676AB">
        <w:rPr>
          <w:sz w:val="22"/>
          <w:szCs w:val="22"/>
        </w:rPr>
        <w:t>art.</w:t>
      </w:r>
      <w:r w:rsidRPr="003676AB">
        <w:rPr>
          <w:sz w:val="22"/>
          <w:szCs w:val="22"/>
        </w:rPr>
        <w:t xml:space="preserve"> 4(3) TEU requires Member States to take all the measures necessary to guarantee the effectiveness of Union law, if necessary by instituting criminal proceedings.</w:t>
      </w:r>
      <w:r w:rsidRPr="003676AB">
        <w:rPr>
          <w:sz w:val="22"/>
          <w:szCs w:val="22"/>
          <w:vertAlign w:val="superscript"/>
        </w:rPr>
        <w:footnoteReference w:id="92"/>
      </w:r>
      <w:r w:rsidRPr="003676AB">
        <w:rPr>
          <w:sz w:val="22"/>
          <w:szCs w:val="22"/>
        </w:rPr>
        <w:t xml:space="preserve"> </w:t>
      </w:r>
    </w:p>
    <w:p w14:paraId="6F5365DF" w14:textId="0D149D7F" w:rsidR="00952126" w:rsidRPr="003676AB" w:rsidRDefault="007E607E" w:rsidP="005D069A">
      <w:pPr>
        <w:autoSpaceDE w:val="0"/>
        <w:autoSpaceDN w:val="0"/>
        <w:adjustRightInd w:val="0"/>
        <w:spacing w:after="0"/>
        <w:rPr>
          <w:sz w:val="22"/>
          <w:szCs w:val="22"/>
        </w:rPr>
      </w:pPr>
      <w:r w:rsidRPr="003676AB">
        <w:rPr>
          <w:sz w:val="22"/>
          <w:szCs w:val="22"/>
        </w:rPr>
        <w:t xml:space="preserve">The scope of this case law is, however, limited. It is significant in this respect </w:t>
      </w:r>
      <w:r w:rsidR="00DA3C17" w:rsidRPr="003676AB">
        <w:rPr>
          <w:sz w:val="22"/>
          <w:szCs w:val="22"/>
        </w:rPr>
        <w:t>that the</w:t>
      </w:r>
      <w:r w:rsidR="00022F43" w:rsidRPr="003676AB">
        <w:rPr>
          <w:sz w:val="22"/>
          <w:szCs w:val="22"/>
        </w:rPr>
        <w:t xml:space="preserve"> Court </w:t>
      </w:r>
      <w:r w:rsidR="00A56127" w:rsidRPr="003676AB">
        <w:rPr>
          <w:sz w:val="22"/>
          <w:szCs w:val="22"/>
        </w:rPr>
        <w:t xml:space="preserve">has </w:t>
      </w:r>
      <w:r w:rsidR="00022F43" w:rsidRPr="003676AB">
        <w:rPr>
          <w:sz w:val="22"/>
          <w:szCs w:val="22"/>
        </w:rPr>
        <w:t>never</w:t>
      </w:r>
      <w:r w:rsidR="00DA3C17" w:rsidRPr="003676AB">
        <w:rPr>
          <w:sz w:val="22"/>
          <w:szCs w:val="22"/>
        </w:rPr>
        <w:t xml:space="preserve"> </w:t>
      </w:r>
      <w:r w:rsidRPr="003676AB">
        <w:rPr>
          <w:sz w:val="22"/>
          <w:szCs w:val="22"/>
        </w:rPr>
        <w:t xml:space="preserve">construed </w:t>
      </w:r>
      <w:r w:rsidR="000031E9" w:rsidRPr="003676AB">
        <w:rPr>
          <w:sz w:val="22"/>
          <w:szCs w:val="22"/>
        </w:rPr>
        <w:t>art.</w:t>
      </w:r>
      <w:r w:rsidR="00022F43" w:rsidRPr="003676AB">
        <w:rPr>
          <w:sz w:val="22"/>
          <w:szCs w:val="22"/>
        </w:rPr>
        <w:t xml:space="preserve"> 4(3) TEU</w:t>
      </w:r>
      <w:r w:rsidRPr="003676AB">
        <w:rPr>
          <w:sz w:val="22"/>
          <w:szCs w:val="22"/>
        </w:rPr>
        <w:t xml:space="preserve"> as imposing</w:t>
      </w:r>
      <w:r w:rsidR="00022F43" w:rsidRPr="003676AB">
        <w:rPr>
          <w:sz w:val="22"/>
          <w:szCs w:val="22"/>
        </w:rPr>
        <w:t xml:space="preserve"> an explicit obligation on Member States to impose criminal sanctions to enforce the relevant EU rule</w:t>
      </w:r>
      <w:r w:rsidRPr="003676AB">
        <w:rPr>
          <w:sz w:val="22"/>
          <w:szCs w:val="22"/>
        </w:rPr>
        <w:t>s. Furthermore, there is no judgment that unequivocally</w:t>
      </w:r>
      <w:r w:rsidR="00022F43" w:rsidRPr="003676AB">
        <w:rPr>
          <w:sz w:val="22"/>
          <w:szCs w:val="22"/>
        </w:rPr>
        <w:t xml:space="preserve"> states that the requirement to impose </w:t>
      </w:r>
      <w:r w:rsidR="006F2BC8" w:rsidRPr="003676AB">
        <w:rPr>
          <w:sz w:val="22"/>
          <w:szCs w:val="22"/>
        </w:rPr>
        <w:t>‘</w:t>
      </w:r>
      <w:r w:rsidR="00022F43" w:rsidRPr="003676AB">
        <w:rPr>
          <w:sz w:val="22"/>
          <w:szCs w:val="22"/>
        </w:rPr>
        <w:t>effective, dissuasive or proportionate’ sanctions entail</w:t>
      </w:r>
      <w:r w:rsidR="006F2BC8" w:rsidRPr="003676AB">
        <w:rPr>
          <w:sz w:val="22"/>
          <w:szCs w:val="22"/>
        </w:rPr>
        <w:t>s</w:t>
      </w:r>
      <w:r w:rsidR="00022F43" w:rsidRPr="003676AB">
        <w:rPr>
          <w:sz w:val="22"/>
          <w:szCs w:val="22"/>
        </w:rPr>
        <w:t xml:space="preserve"> an obligation to impose criminal sanctions. There is thus </w:t>
      </w:r>
      <w:r w:rsidR="006F2BC8" w:rsidRPr="003676AB">
        <w:rPr>
          <w:sz w:val="22"/>
          <w:szCs w:val="22"/>
        </w:rPr>
        <w:t xml:space="preserve">scant </w:t>
      </w:r>
      <w:r w:rsidR="00022F43" w:rsidRPr="003676AB">
        <w:rPr>
          <w:sz w:val="22"/>
          <w:szCs w:val="22"/>
        </w:rPr>
        <w:t>evidence for the proposition that the principle of loyalty requires Member States to enforce Union obligations through criminal sanctions.</w:t>
      </w:r>
      <w:r w:rsidR="00022F43" w:rsidRPr="003676AB">
        <w:rPr>
          <w:sz w:val="22"/>
          <w:szCs w:val="22"/>
          <w:vertAlign w:val="superscript"/>
        </w:rPr>
        <w:footnoteReference w:id="93"/>
      </w:r>
    </w:p>
    <w:p w14:paraId="0BA69189" w14:textId="3AD77D2F" w:rsidR="00A54595" w:rsidRPr="003676AB" w:rsidRDefault="00022F43" w:rsidP="005D069A">
      <w:pPr>
        <w:autoSpaceDE w:val="0"/>
        <w:autoSpaceDN w:val="0"/>
        <w:adjustRightInd w:val="0"/>
        <w:spacing w:after="0"/>
        <w:rPr>
          <w:rFonts w:eastAsia="Calibri"/>
          <w:sz w:val="22"/>
          <w:szCs w:val="22"/>
        </w:rPr>
      </w:pPr>
      <w:r w:rsidRPr="003676AB">
        <w:rPr>
          <w:sz w:val="22"/>
          <w:szCs w:val="22"/>
        </w:rPr>
        <w:t>The argument that the Fourth AMLD</w:t>
      </w:r>
      <w:r w:rsidR="00DA3C17" w:rsidRPr="003676AB">
        <w:rPr>
          <w:sz w:val="22"/>
          <w:szCs w:val="22"/>
        </w:rPr>
        <w:t xml:space="preserve"> falls outside the scope of</w:t>
      </w:r>
      <w:r w:rsidRPr="003676AB">
        <w:rPr>
          <w:sz w:val="22"/>
          <w:szCs w:val="22"/>
        </w:rPr>
        <w:t xml:space="preserve"> </w:t>
      </w:r>
      <w:r w:rsidR="000031E9" w:rsidRPr="003676AB">
        <w:rPr>
          <w:sz w:val="22"/>
          <w:szCs w:val="22"/>
        </w:rPr>
        <w:t>art.</w:t>
      </w:r>
      <w:r w:rsidRPr="003676AB">
        <w:rPr>
          <w:sz w:val="22"/>
          <w:szCs w:val="22"/>
        </w:rPr>
        <w:t xml:space="preserve"> 83 TFEU is</w:t>
      </w:r>
      <w:r w:rsidR="0012302E" w:rsidRPr="003676AB">
        <w:rPr>
          <w:sz w:val="22"/>
          <w:szCs w:val="22"/>
        </w:rPr>
        <w:t xml:space="preserve"> </w:t>
      </w:r>
      <w:r w:rsidRPr="003676AB">
        <w:rPr>
          <w:sz w:val="22"/>
          <w:szCs w:val="22"/>
        </w:rPr>
        <w:t>premised on</w:t>
      </w:r>
      <w:r w:rsidR="00DA3C17" w:rsidRPr="003676AB">
        <w:rPr>
          <w:sz w:val="22"/>
          <w:szCs w:val="22"/>
        </w:rPr>
        <w:t xml:space="preserve"> the proposition that</w:t>
      </w:r>
      <w:r w:rsidR="00FF4551" w:rsidRPr="003676AB">
        <w:rPr>
          <w:sz w:val="22"/>
          <w:szCs w:val="22"/>
        </w:rPr>
        <w:t xml:space="preserve"> this provision</w:t>
      </w:r>
      <w:r w:rsidR="00DA3C17" w:rsidRPr="003676AB">
        <w:rPr>
          <w:sz w:val="22"/>
          <w:szCs w:val="22"/>
        </w:rPr>
        <w:t xml:space="preserve"> only provides the EU </w:t>
      </w:r>
      <w:r w:rsidR="006F2BC8" w:rsidRPr="003676AB">
        <w:rPr>
          <w:sz w:val="22"/>
          <w:szCs w:val="22"/>
        </w:rPr>
        <w:t xml:space="preserve">with </w:t>
      </w:r>
      <w:r w:rsidR="00DA3C17" w:rsidRPr="003676AB">
        <w:rPr>
          <w:sz w:val="22"/>
          <w:szCs w:val="22"/>
        </w:rPr>
        <w:t>competence to adopt ‘</w:t>
      </w:r>
      <w:r w:rsidRPr="003676AB">
        <w:rPr>
          <w:rFonts w:eastAsia="Calibri"/>
          <w:sz w:val="22"/>
          <w:szCs w:val="22"/>
        </w:rPr>
        <w:t>criminal</w:t>
      </w:r>
      <w:r w:rsidR="00DA3C17" w:rsidRPr="003676AB">
        <w:rPr>
          <w:rFonts w:eastAsia="Calibri"/>
          <w:sz w:val="22"/>
          <w:szCs w:val="22"/>
        </w:rPr>
        <w:t>’</w:t>
      </w:r>
      <w:r w:rsidRPr="003676AB">
        <w:rPr>
          <w:rFonts w:eastAsia="Calibri"/>
          <w:sz w:val="22"/>
          <w:szCs w:val="22"/>
        </w:rPr>
        <w:t xml:space="preserve"> sanctions in a ‘strict’ sense. The definition of criminal sanctions for the p</w:t>
      </w:r>
      <w:r w:rsidR="00DA3C17" w:rsidRPr="003676AB">
        <w:rPr>
          <w:rFonts w:eastAsia="Calibri"/>
          <w:sz w:val="22"/>
          <w:szCs w:val="22"/>
        </w:rPr>
        <w:t>urposes of determining the remit</w:t>
      </w:r>
      <w:r w:rsidRPr="003676AB">
        <w:rPr>
          <w:rFonts w:eastAsia="Calibri"/>
          <w:sz w:val="22"/>
          <w:szCs w:val="22"/>
        </w:rPr>
        <w:t xml:space="preserve"> of </w:t>
      </w:r>
      <w:r w:rsidR="00112CC5" w:rsidRPr="003676AB">
        <w:rPr>
          <w:rFonts w:eastAsia="Calibri"/>
          <w:sz w:val="22"/>
          <w:szCs w:val="22"/>
        </w:rPr>
        <w:t>art.</w:t>
      </w:r>
      <w:r w:rsidRPr="003676AB">
        <w:rPr>
          <w:rFonts w:eastAsia="Calibri"/>
          <w:sz w:val="22"/>
          <w:szCs w:val="22"/>
        </w:rPr>
        <w:t xml:space="preserve"> 83 TFEU is narrower than the definition of ‘criminal charge’ in </w:t>
      </w:r>
      <w:r w:rsidR="00112CC5" w:rsidRPr="003676AB">
        <w:rPr>
          <w:rFonts w:eastAsia="Calibri"/>
          <w:sz w:val="22"/>
          <w:szCs w:val="22"/>
        </w:rPr>
        <w:t>art.</w:t>
      </w:r>
      <w:r w:rsidRPr="003676AB">
        <w:rPr>
          <w:rFonts w:eastAsia="Calibri"/>
          <w:sz w:val="22"/>
          <w:szCs w:val="22"/>
        </w:rPr>
        <w:t xml:space="preserve"> 6 of the European Convention on Human Rights and Fundamental Freedoms.</w:t>
      </w:r>
      <w:r w:rsidR="00FF4551" w:rsidRPr="003676AB">
        <w:rPr>
          <w:rStyle w:val="Fotnotsreferens"/>
          <w:rFonts w:eastAsia="Calibri"/>
          <w:sz w:val="22"/>
          <w:szCs w:val="22"/>
        </w:rPr>
        <w:footnoteReference w:id="94"/>
      </w:r>
      <w:r w:rsidR="00FF4551" w:rsidRPr="003676AB">
        <w:rPr>
          <w:rFonts w:eastAsia="Calibri"/>
          <w:sz w:val="22"/>
          <w:szCs w:val="22"/>
        </w:rPr>
        <w:t xml:space="preserve"> The</w:t>
      </w:r>
      <w:r w:rsidR="008C75B4" w:rsidRPr="003676AB">
        <w:rPr>
          <w:rFonts w:eastAsia="Calibri"/>
          <w:sz w:val="22"/>
          <w:szCs w:val="22"/>
        </w:rPr>
        <w:t xml:space="preserve"> latter</w:t>
      </w:r>
      <w:r w:rsidR="00FF4551" w:rsidRPr="003676AB">
        <w:rPr>
          <w:rFonts w:eastAsia="Calibri"/>
          <w:sz w:val="22"/>
          <w:szCs w:val="22"/>
        </w:rPr>
        <w:t xml:space="preserve"> definition would also include criminal sanctions in a broad sense, </w:t>
      </w:r>
      <w:r w:rsidR="003676AB" w:rsidRPr="003676AB">
        <w:rPr>
          <w:rFonts w:eastAsia="Calibri"/>
          <w:sz w:val="22"/>
          <w:szCs w:val="22"/>
        </w:rPr>
        <w:t>e.g.</w:t>
      </w:r>
      <w:r w:rsidR="00FF4551" w:rsidRPr="003676AB">
        <w:rPr>
          <w:rFonts w:eastAsia="Calibri"/>
          <w:sz w:val="22"/>
          <w:szCs w:val="22"/>
        </w:rPr>
        <w:t xml:space="preserve"> competition law fines and disqualification orders</w:t>
      </w:r>
      <w:r w:rsidR="00A54595" w:rsidRPr="003676AB">
        <w:rPr>
          <w:rFonts w:eastAsia="Calibri"/>
          <w:sz w:val="22"/>
          <w:szCs w:val="22"/>
        </w:rPr>
        <w:t>.</w:t>
      </w:r>
      <w:r w:rsidRPr="003676AB">
        <w:rPr>
          <w:rFonts w:eastAsia="Calibri"/>
          <w:sz w:val="22"/>
          <w:szCs w:val="22"/>
          <w:vertAlign w:val="superscript"/>
        </w:rPr>
        <w:footnoteReference w:id="95"/>
      </w:r>
      <w:r w:rsidRPr="003676AB">
        <w:rPr>
          <w:rFonts w:eastAsia="Calibri"/>
          <w:sz w:val="22"/>
          <w:szCs w:val="22"/>
        </w:rPr>
        <w:t xml:space="preserve"> </w:t>
      </w:r>
    </w:p>
    <w:p w14:paraId="7FF84091" w14:textId="21AA6793" w:rsidR="00022F43" w:rsidRPr="003676AB" w:rsidRDefault="00022F43" w:rsidP="00A54595">
      <w:pPr>
        <w:autoSpaceDE w:val="0"/>
        <w:autoSpaceDN w:val="0"/>
        <w:adjustRightInd w:val="0"/>
        <w:spacing w:after="0"/>
        <w:rPr>
          <w:sz w:val="22"/>
          <w:szCs w:val="22"/>
        </w:rPr>
      </w:pPr>
      <w:r w:rsidRPr="003676AB">
        <w:rPr>
          <w:rFonts w:eastAsia="Calibri"/>
          <w:sz w:val="22"/>
          <w:szCs w:val="22"/>
        </w:rPr>
        <w:t xml:space="preserve">To constitute a criminal sanction </w:t>
      </w:r>
      <w:r w:rsidR="00A54595" w:rsidRPr="003676AB">
        <w:rPr>
          <w:rFonts w:eastAsia="Calibri"/>
          <w:sz w:val="22"/>
          <w:szCs w:val="22"/>
        </w:rPr>
        <w:t>with</w:t>
      </w:r>
      <w:r w:rsidRPr="003676AB">
        <w:rPr>
          <w:rFonts w:eastAsia="Calibri"/>
          <w:sz w:val="22"/>
          <w:szCs w:val="22"/>
        </w:rPr>
        <w:t>in the</w:t>
      </w:r>
      <w:r w:rsidR="00A54595" w:rsidRPr="003676AB">
        <w:rPr>
          <w:rFonts w:eastAsia="Calibri"/>
          <w:sz w:val="22"/>
          <w:szCs w:val="22"/>
        </w:rPr>
        <w:t xml:space="preserve"> meaning of </w:t>
      </w:r>
      <w:r w:rsidR="00D00F92" w:rsidRPr="003676AB">
        <w:rPr>
          <w:rFonts w:eastAsia="Calibri"/>
          <w:sz w:val="22"/>
          <w:szCs w:val="22"/>
        </w:rPr>
        <w:t>art.</w:t>
      </w:r>
      <w:r w:rsidR="00A54595" w:rsidRPr="003676AB">
        <w:rPr>
          <w:rFonts w:eastAsia="Calibri"/>
          <w:sz w:val="22"/>
          <w:szCs w:val="22"/>
        </w:rPr>
        <w:t xml:space="preserve"> 83 TFEU</w:t>
      </w:r>
      <w:r w:rsidRPr="003676AB">
        <w:rPr>
          <w:rFonts w:eastAsia="Calibri"/>
          <w:sz w:val="22"/>
          <w:szCs w:val="22"/>
        </w:rPr>
        <w:t xml:space="preserve"> the sanctions at issue must,</w:t>
      </w:r>
      <w:r w:rsidR="00A54595" w:rsidRPr="003676AB">
        <w:rPr>
          <w:rFonts w:eastAsia="Calibri"/>
          <w:sz w:val="22"/>
          <w:szCs w:val="22"/>
        </w:rPr>
        <w:t xml:space="preserve"> however,</w:t>
      </w:r>
      <w:r w:rsidRPr="003676AB">
        <w:rPr>
          <w:rFonts w:eastAsia="Calibri"/>
          <w:sz w:val="22"/>
          <w:szCs w:val="22"/>
        </w:rPr>
        <w:t xml:space="preserve"> if they are not ‘labelled’ as such, express a particular social disapproval (I) and </w:t>
      </w:r>
      <w:r w:rsidR="0012302E" w:rsidRPr="003676AB">
        <w:rPr>
          <w:rFonts w:eastAsia="Calibri"/>
          <w:sz w:val="22"/>
          <w:szCs w:val="22"/>
        </w:rPr>
        <w:t xml:space="preserve">impose </w:t>
      </w:r>
      <w:r w:rsidR="00D00F92" w:rsidRPr="003676AB">
        <w:rPr>
          <w:rFonts w:eastAsia="Calibri"/>
          <w:sz w:val="22"/>
          <w:szCs w:val="22"/>
        </w:rPr>
        <w:t>substantial</w:t>
      </w:r>
      <w:r w:rsidR="0012302E" w:rsidRPr="003676AB">
        <w:rPr>
          <w:rFonts w:eastAsia="Calibri"/>
          <w:sz w:val="22"/>
          <w:szCs w:val="22"/>
        </w:rPr>
        <w:t xml:space="preserve"> burdens on individuals </w:t>
      </w:r>
      <w:r w:rsidRPr="003676AB">
        <w:rPr>
          <w:rFonts w:eastAsia="Calibri"/>
          <w:sz w:val="22"/>
          <w:szCs w:val="22"/>
        </w:rPr>
        <w:t xml:space="preserve">(II) such as </w:t>
      </w:r>
      <w:r w:rsidR="0012302E" w:rsidRPr="003676AB">
        <w:rPr>
          <w:rFonts w:eastAsia="Calibri"/>
          <w:sz w:val="22"/>
          <w:szCs w:val="22"/>
        </w:rPr>
        <w:t xml:space="preserve">the </w:t>
      </w:r>
      <w:r w:rsidRPr="003676AB">
        <w:rPr>
          <w:rFonts w:eastAsia="Calibri"/>
          <w:sz w:val="22"/>
          <w:szCs w:val="22"/>
        </w:rPr>
        <w:t>deprivation of liberty, permanent or temporary loss of income opportunities or serious financial hardship.</w:t>
      </w:r>
      <w:r w:rsidRPr="003676AB">
        <w:rPr>
          <w:rFonts w:eastAsia="Calibri"/>
          <w:sz w:val="22"/>
          <w:szCs w:val="22"/>
          <w:vertAlign w:val="superscript"/>
        </w:rPr>
        <w:footnoteReference w:id="96"/>
      </w:r>
      <w:r w:rsidRPr="003676AB">
        <w:rPr>
          <w:rFonts w:eastAsia="Calibri"/>
          <w:sz w:val="22"/>
          <w:szCs w:val="22"/>
        </w:rPr>
        <w:t xml:space="preserve"> The only sanctions that generally express sufficient moral condemnation among the members of the p</w:t>
      </w:r>
      <w:r w:rsidR="00952126" w:rsidRPr="003676AB">
        <w:rPr>
          <w:rFonts w:eastAsia="Calibri"/>
          <w:sz w:val="22"/>
          <w:szCs w:val="22"/>
        </w:rPr>
        <w:t>olitical community and entail such</w:t>
      </w:r>
      <w:r w:rsidRPr="003676AB">
        <w:rPr>
          <w:rFonts w:eastAsia="Calibri"/>
          <w:sz w:val="22"/>
          <w:szCs w:val="22"/>
        </w:rPr>
        <w:t xml:space="preserve"> hardship for individuals that they can be termed as ‘criminal’ sanctions is imprisonment (because liberty is so </w:t>
      </w:r>
      <w:r w:rsidRPr="003676AB">
        <w:rPr>
          <w:rFonts w:eastAsia="Calibri"/>
          <w:sz w:val="22"/>
          <w:szCs w:val="22"/>
        </w:rPr>
        <w:lastRenderedPageBreak/>
        <w:t>intensively and universally valued) and sanctions that acts as substitutes</w:t>
      </w:r>
      <w:r w:rsidRPr="003676AB">
        <w:rPr>
          <w:rFonts w:eastAsia="Calibri"/>
          <w:sz w:val="22"/>
          <w:szCs w:val="22"/>
          <w:vertAlign w:val="superscript"/>
        </w:rPr>
        <w:footnoteReference w:id="97"/>
      </w:r>
      <w:r w:rsidRPr="003676AB">
        <w:rPr>
          <w:rFonts w:eastAsia="Calibri"/>
          <w:sz w:val="22"/>
          <w:szCs w:val="22"/>
        </w:rPr>
        <w:t xml:space="preserve"> for imprisonment.</w:t>
      </w:r>
      <w:r w:rsidRPr="003676AB">
        <w:rPr>
          <w:rFonts w:eastAsia="Calibri"/>
          <w:sz w:val="22"/>
          <w:szCs w:val="22"/>
          <w:vertAlign w:val="superscript"/>
        </w:rPr>
        <w:footnoteReference w:id="98"/>
      </w:r>
      <w:r w:rsidRPr="003676AB">
        <w:rPr>
          <w:rFonts w:eastAsia="Calibri"/>
          <w:sz w:val="22"/>
          <w:szCs w:val="22"/>
        </w:rPr>
        <w:t xml:space="preserve"> </w:t>
      </w:r>
      <w:r w:rsidRPr="003676AB">
        <w:rPr>
          <w:sz w:val="22"/>
          <w:szCs w:val="22"/>
        </w:rPr>
        <w:t xml:space="preserve">To come within the criminal law definition of </w:t>
      </w:r>
      <w:r w:rsidR="00D00F92" w:rsidRPr="003676AB">
        <w:rPr>
          <w:sz w:val="22"/>
          <w:szCs w:val="22"/>
        </w:rPr>
        <w:t>art.</w:t>
      </w:r>
      <w:r w:rsidRPr="003676AB">
        <w:rPr>
          <w:sz w:val="22"/>
          <w:szCs w:val="22"/>
        </w:rPr>
        <w:t xml:space="preserve"> 83(1) there must </w:t>
      </w:r>
      <w:r w:rsidR="00B60BC4" w:rsidRPr="003676AB">
        <w:rPr>
          <w:sz w:val="22"/>
          <w:szCs w:val="22"/>
        </w:rPr>
        <w:t xml:space="preserve">therefore </w:t>
      </w:r>
      <w:r w:rsidRPr="003676AB">
        <w:rPr>
          <w:sz w:val="22"/>
          <w:szCs w:val="22"/>
        </w:rPr>
        <w:t xml:space="preserve">be an obligation to impose sanctions that are either labelled as ‘criminal’ or enjoy the characteristics </w:t>
      </w:r>
      <w:r w:rsidR="00B60BC4" w:rsidRPr="003676AB">
        <w:rPr>
          <w:sz w:val="22"/>
          <w:szCs w:val="22"/>
        </w:rPr>
        <w:t xml:space="preserve">mentioned </w:t>
      </w:r>
      <w:r w:rsidR="00A54595" w:rsidRPr="003676AB">
        <w:rPr>
          <w:sz w:val="22"/>
          <w:szCs w:val="22"/>
        </w:rPr>
        <w:t>above (I and II)</w:t>
      </w:r>
      <w:r w:rsidRPr="003676AB">
        <w:rPr>
          <w:sz w:val="22"/>
          <w:szCs w:val="22"/>
        </w:rPr>
        <w:t>.</w:t>
      </w:r>
      <w:r w:rsidRPr="003676AB">
        <w:rPr>
          <w:sz w:val="22"/>
          <w:szCs w:val="22"/>
          <w:vertAlign w:val="superscript"/>
        </w:rPr>
        <w:footnoteReference w:id="99"/>
      </w:r>
      <w:r w:rsidRPr="003676AB">
        <w:rPr>
          <w:sz w:val="22"/>
          <w:szCs w:val="22"/>
        </w:rPr>
        <w:t xml:space="preserve"> Whil</w:t>
      </w:r>
      <w:r w:rsidR="00B60BC4" w:rsidRPr="003676AB">
        <w:rPr>
          <w:sz w:val="22"/>
          <w:szCs w:val="22"/>
        </w:rPr>
        <w:t>e</w:t>
      </w:r>
      <w:r w:rsidRPr="003676AB">
        <w:rPr>
          <w:sz w:val="22"/>
          <w:szCs w:val="22"/>
        </w:rPr>
        <w:t xml:space="preserve"> the measure can still fall within</w:t>
      </w:r>
      <w:r w:rsidR="00A54595" w:rsidRPr="003676AB">
        <w:rPr>
          <w:sz w:val="22"/>
          <w:szCs w:val="22"/>
        </w:rPr>
        <w:t xml:space="preserve"> the remit of </w:t>
      </w:r>
      <w:r w:rsidR="00D00F92" w:rsidRPr="003676AB">
        <w:rPr>
          <w:sz w:val="22"/>
          <w:szCs w:val="22"/>
        </w:rPr>
        <w:t>art.</w:t>
      </w:r>
      <w:r w:rsidR="00A54595" w:rsidRPr="003676AB">
        <w:rPr>
          <w:sz w:val="22"/>
          <w:szCs w:val="22"/>
        </w:rPr>
        <w:t xml:space="preserve"> 83</w:t>
      </w:r>
      <w:r w:rsidR="00B60BC4" w:rsidRPr="003676AB">
        <w:rPr>
          <w:sz w:val="22"/>
          <w:szCs w:val="22"/>
        </w:rPr>
        <w:t xml:space="preserve"> </w:t>
      </w:r>
      <w:r w:rsidRPr="003676AB">
        <w:rPr>
          <w:sz w:val="22"/>
          <w:szCs w:val="22"/>
        </w:rPr>
        <w:t>TFEU if the sanctions are sufficiently serious and</w:t>
      </w:r>
      <w:r w:rsidR="00A54595" w:rsidRPr="003676AB">
        <w:rPr>
          <w:sz w:val="22"/>
          <w:szCs w:val="22"/>
        </w:rPr>
        <w:t xml:space="preserve"> entail </w:t>
      </w:r>
      <w:r w:rsidR="00B60BC4" w:rsidRPr="003676AB">
        <w:rPr>
          <w:sz w:val="22"/>
          <w:szCs w:val="22"/>
        </w:rPr>
        <w:t xml:space="preserve">an element of significant </w:t>
      </w:r>
      <w:r w:rsidR="00A54595" w:rsidRPr="003676AB">
        <w:rPr>
          <w:sz w:val="22"/>
          <w:szCs w:val="22"/>
        </w:rPr>
        <w:t>social disapproval</w:t>
      </w:r>
      <w:r w:rsidR="00567763" w:rsidRPr="003676AB">
        <w:rPr>
          <w:sz w:val="22"/>
          <w:szCs w:val="22"/>
        </w:rPr>
        <w:t>,</w:t>
      </w:r>
      <w:r w:rsidRPr="003676AB">
        <w:rPr>
          <w:sz w:val="22"/>
          <w:szCs w:val="22"/>
        </w:rPr>
        <w:t xml:space="preserve"> nothing in the Fourth AMLD suggests </w:t>
      </w:r>
      <w:r w:rsidR="00B60BC4" w:rsidRPr="003676AB">
        <w:rPr>
          <w:sz w:val="22"/>
          <w:szCs w:val="22"/>
        </w:rPr>
        <w:t xml:space="preserve">that this is the </w:t>
      </w:r>
      <w:r w:rsidRPr="003676AB">
        <w:rPr>
          <w:sz w:val="22"/>
          <w:szCs w:val="22"/>
        </w:rPr>
        <w:t xml:space="preserve">case. First, there is little evidence </w:t>
      </w:r>
      <w:r w:rsidR="00567763" w:rsidRPr="003676AB">
        <w:rPr>
          <w:sz w:val="22"/>
          <w:szCs w:val="22"/>
        </w:rPr>
        <w:t xml:space="preserve">to suggest </w:t>
      </w:r>
      <w:r w:rsidRPr="003676AB">
        <w:rPr>
          <w:sz w:val="22"/>
          <w:szCs w:val="22"/>
        </w:rPr>
        <w:t>that the fines imposed in the Directive and the temporary trading prohibitions, are sufficiently dissuasive in practice.</w:t>
      </w:r>
      <w:r w:rsidRPr="003676AB">
        <w:rPr>
          <w:sz w:val="22"/>
          <w:szCs w:val="22"/>
          <w:vertAlign w:val="superscript"/>
        </w:rPr>
        <w:footnoteReference w:id="100"/>
      </w:r>
      <w:r w:rsidRPr="003676AB">
        <w:rPr>
          <w:sz w:val="22"/>
          <w:szCs w:val="22"/>
        </w:rPr>
        <w:t xml:space="preserve"> Secondly, it is </w:t>
      </w:r>
      <w:r w:rsidR="00567763" w:rsidRPr="003676AB">
        <w:rPr>
          <w:sz w:val="22"/>
          <w:szCs w:val="22"/>
        </w:rPr>
        <w:t xml:space="preserve">difficult to </w:t>
      </w:r>
      <w:r w:rsidR="00B60BC4" w:rsidRPr="003676AB">
        <w:rPr>
          <w:sz w:val="22"/>
          <w:szCs w:val="22"/>
        </w:rPr>
        <w:t xml:space="preserve">maintain </w:t>
      </w:r>
      <w:r w:rsidRPr="003676AB">
        <w:rPr>
          <w:sz w:val="22"/>
          <w:szCs w:val="22"/>
        </w:rPr>
        <w:t xml:space="preserve">that the sanctions in the Fourth AMLD express </w:t>
      </w:r>
      <w:r w:rsidR="00567763" w:rsidRPr="003676AB">
        <w:rPr>
          <w:sz w:val="22"/>
          <w:szCs w:val="22"/>
        </w:rPr>
        <w:t xml:space="preserve">the </w:t>
      </w:r>
      <w:r w:rsidR="00A54595" w:rsidRPr="003676AB">
        <w:rPr>
          <w:sz w:val="22"/>
          <w:szCs w:val="22"/>
        </w:rPr>
        <w:t xml:space="preserve">serious moral condemnation </w:t>
      </w:r>
      <w:r w:rsidR="00567763" w:rsidRPr="003676AB">
        <w:rPr>
          <w:sz w:val="22"/>
          <w:szCs w:val="22"/>
        </w:rPr>
        <w:t xml:space="preserve">of </w:t>
      </w:r>
      <w:r w:rsidRPr="003676AB">
        <w:rPr>
          <w:sz w:val="22"/>
          <w:szCs w:val="22"/>
        </w:rPr>
        <w:t xml:space="preserve">the political community. </w:t>
      </w:r>
      <w:r w:rsidR="00567763" w:rsidRPr="003676AB">
        <w:rPr>
          <w:sz w:val="22"/>
          <w:szCs w:val="22"/>
        </w:rPr>
        <w:t xml:space="preserve">In imposing </w:t>
      </w:r>
      <w:r w:rsidRPr="003676AB">
        <w:rPr>
          <w:sz w:val="22"/>
          <w:szCs w:val="22"/>
        </w:rPr>
        <w:t xml:space="preserve">a fine or a disqualification order without a prison term or without </w:t>
      </w:r>
      <w:r w:rsidR="00D00F92" w:rsidRPr="003676AB">
        <w:rPr>
          <w:sz w:val="22"/>
          <w:szCs w:val="22"/>
        </w:rPr>
        <w:t>a</w:t>
      </w:r>
      <w:r w:rsidR="00B60BC4" w:rsidRPr="003676AB">
        <w:rPr>
          <w:sz w:val="22"/>
          <w:szCs w:val="22"/>
        </w:rPr>
        <w:t xml:space="preserve"> connection </w:t>
      </w:r>
      <w:r w:rsidRPr="003676AB">
        <w:rPr>
          <w:sz w:val="22"/>
          <w:szCs w:val="22"/>
        </w:rPr>
        <w:t>to the commission of a criminal offence, the message is that the offenders’ conduct is being priced rather than sanctioned.</w:t>
      </w:r>
      <w:r w:rsidRPr="003676AB">
        <w:rPr>
          <w:sz w:val="22"/>
          <w:szCs w:val="22"/>
          <w:vertAlign w:val="superscript"/>
        </w:rPr>
        <w:footnoteReference w:id="101"/>
      </w:r>
      <w:r w:rsidR="00496E2A" w:rsidRPr="003676AB">
        <w:rPr>
          <w:sz w:val="22"/>
          <w:szCs w:val="22"/>
        </w:rPr>
        <w:t xml:space="preserve"> </w:t>
      </w:r>
      <w:r w:rsidR="00567763" w:rsidRPr="003676AB">
        <w:rPr>
          <w:sz w:val="22"/>
          <w:szCs w:val="22"/>
        </w:rPr>
        <w:t>In light of the above reasons</w:t>
      </w:r>
      <w:r w:rsidR="00496E2A" w:rsidRPr="003676AB">
        <w:rPr>
          <w:sz w:val="22"/>
          <w:szCs w:val="22"/>
        </w:rPr>
        <w:t xml:space="preserve">, it appears that the Fourth AMLD cannot be adopted </w:t>
      </w:r>
      <w:proofErr w:type="gramStart"/>
      <w:r w:rsidR="00496E2A" w:rsidRPr="003676AB">
        <w:rPr>
          <w:sz w:val="22"/>
          <w:szCs w:val="22"/>
        </w:rPr>
        <w:t>on the basis of</w:t>
      </w:r>
      <w:proofErr w:type="gramEnd"/>
      <w:r w:rsidR="00496E2A" w:rsidRPr="003676AB">
        <w:rPr>
          <w:sz w:val="22"/>
          <w:szCs w:val="22"/>
        </w:rPr>
        <w:t xml:space="preserve"> </w:t>
      </w:r>
      <w:r w:rsidR="00D00F92" w:rsidRPr="003676AB">
        <w:rPr>
          <w:sz w:val="22"/>
          <w:szCs w:val="22"/>
        </w:rPr>
        <w:t>art.</w:t>
      </w:r>
      <w:r w:rsidR="00496E2A" w:rsidRPr="003676AB">
        <w:rPr>
          <w:sz w:val="22"/>
          <w:szCs w:val="22"/>
        </w:rPr>
        <w:t xml:space="preserve"> 83 TFEU.</w:t>
      </w:r>
    </w:p>
    <w:p w14:paraId="07A32F03" w14:textId="0CBE8BF1" w:rsidR="007C66BE" w:rsidRPr="003676AB" w:rsidRDefault="00496E2A" w:rsidP="007C66BE">
      <w:pPr>
        <w:autoSpaceDE w:val="0"/>
        <w:autoSpaceDN w:val="0"/>
        <w:adjustRightInd w:val="0"/>
        <w:spacing w:after="0"/>
        <w:rPr>
          <w:sz w:val="22"/>
          <w:szCs w:val="22"/>
        </w:rPr>
      </w:pPr>
      <w:r w:rsidRPr="003676AB">
        <w:rPr>
          <w:sz w:val="22"/>
          <w:szCs w:val="22"/>
        </w:rPr>
        <w:t xml:space="preserve">It also appears that the Commission has </w:t>
      </w:r>
      <w:r w:rsidR="00B60BC4" w:rsidRPr="003676AB">
        <w:rPr>
          <w:sz w:val="22"/>
          <w:szCs w:val="22"/>
        </w:rPr>
        <w:t xml:space="preserve">put forward </w:t>
      </w:r>
      <w:r w:rsidRPr="003676AB">
        <w:rPr>
          <w:sz w:val="22"/>
          <w:szCs w:val="22"/>
        </w:rPr>
        <w:t xml:space="preserve">a plausible argument </w:t>
      </w:r>
      <w:r w:rsidR="00B60BC4" w:rsidRPr="003676AB">
        <w:rPr>
          <w:sz w:val="22"/>
          <w:szCs w:val="22"/>
        </w:rPr>
        <w:t xml:space="preserve">in favour of </w:t>
      </w:r>
      <w:r w:rsidR="00D00F92" w:rsidRPr="003676AB">
        <w:rPr>
          <w:sz w:val="22"/>
          <w:szCs w:val="22"/>
        </w:rPr>
        <w:t>art.</w:t>
      </w:r>
      <w:r w:rsidRPr="003676AB">
        <w:rPr>
          <w:sz w:val="22"/>
          <w:szCs w:val="22"/>
        </w:rPr>
        <w:t xml:space="preserve"> 114 TFEU </w:t>
      </w:r>
      <w:r w:rsidR="00B60BC4" w:rsidRPr="003676AB">
        <w:rPr>
          <w:sz w:val="22"/>
          <w:szCs w:val="22"/>
        </w:rPr>
        <w:t xml:space="preserve">as the legal base </w:t>
      </w:r>
      <w:r w:rsidRPr="003676AB">
        <w:rPr>
          <w:sz w:val="22"/>
          <w:szCs w:val="22"/>
        </w:rPr>
        <w:t xml:space="preserve">for the </w:t>
      </w:r>
      <w:r w:rsidR="001C4B5F" w:rsidRPr="003676AB">
        <w:rPr>
          <w:sz w:val="22"/>
          <w:szCs w:val="22"/>
        </w:rPr>
        <w:t xml:space="preserve">Fourth AMLD. </w:t>
      </w:r>
      <w:r w:rsidR="007C66BE" w:rsidRPr="003676AB">
        <w:rPr>
          <w:sz w:val="22"/>
          <w:szCs w:val="22"/>
        </w:rPr>
        <w:t>Without uniform EU rules on money laundering, Member States will adopt measures inconsistent with the internal market, result</w:t>
      </w:r>
      <w:r w:rsidR="00420B56" w:rsidRPr="003676AB">
        <w:rPr>
          <w:sz w:val="22"/>
          <w:szCs w:val="22"/>
        </w:rPr>
        <w:t>ing</w:t>
      </w:r>
      <w:r w:rsidR="007C66BE" w:rsidRPr="003676AB">
        <w:rPr>
          <w:sz w:val="22"/>
          <w:szCs w:val="22"/>
        </w:rPr>
        <w:t xml:space="preserve"> in </w:t>
      </w:r>
      <w:r w:rsidR="00420B56" w:rsidRPr="003676AB">
        <w:rPr>
          <w:sz w:val="22"/>
          <w:szCs w:val="22"/>
        </w:rPr>
        <w:t xml:space="preserve">a </w:t>
      </w:r>
      <w:r w:rsidR="007C66BE" w:rsidRPr="003676AB">
        <w:rPr>
          <w:sz w:val="22"/>
          <w:szCs w:val="22"/>
        </w:rPr>
        <w:t xml:space="preserve">fragmentation </w:t>
      </w:r>
      <w:r w:rsidR="00420B56" w:rsidRPr="003676AB">
        <w:rPr>
          <w:sz w:val="22"/>
          <w:szCs w:val="22"/>
        </w:rPr>
        <w:t>of the market, seriously jeopardising free movement and damaging</w:t>
      </w:r>
      <w:r w:rsidR="007C66BE" w:rsidRPr="003676AB">
        <w:rPr>
          <w:sz w:val="22"/>
          <w:szCs w:val="22"/>
        </w:rPr>
        <w:t xml:space="preserve"> the stability of the financial sector. </w:t>
      </w:r>
      <w:r w:rsidR="00892DDE" w:rsidRPr="003676AB">
        <w:rPr>
          <w:noProof/>
          <w:sz w:val="22"/>
          <w:szCs w:val="22"/>
          <w:lang w:eastAsia="en-GB"/>
        </w:rPr>
        <w:t>It</w:t>
      </w:r>
      <w:r w:rsidR="007C66BE" w:rsidRPr="003676AB">
        <w:rPr>
          <w:noProof/>
          <w:sz w:val="22"/>
          <w:szCs w:val="22"/>
          <w:lang w:eastAsia="en-GB"/>
        </w:rPr>
        <w:t xml:space="preserve"> would also make the organisation of EU cross-border business models more complex and burdensome</w:t>
      </w:r>
      <w:r w:rsidR="007C66BE" w:rsidRPr="003676AB">
        <w:rPr>
          <w:sz w:val="22"/>
          <w:szCs w:val="22"/>
        </w:rPr>
        <w:t xml:space="preserve">. </w:t>
      </w:r>
      <w:r w:rsidR="00412A50" w:rsidRPr="003676AB">
        <w:rPr>
          <w:sz w:val="22"/>
          <w:szCs w:val="22"/>
        </w:rPr>
        <w:t>T</w:t>
      </w:r>
      <w:r w:rsidR="007C66BE" w:rsidRPr="003676AB">
        <w:rPr>
          <w:sz w:val="22"/>
          <w:szCs w:val="22"/>
        </w:rPr>
        <w:t xml:space="preserve">he </w:t>
      </w:r>
      <w:r w:rsidR="00420B56" w:rsidRPr="003676AB">
        <w:rPr>
          <w:sz w:val="22"/>
          <w:szCs w:val="22"/>
        </w:rPr>
        <w:t xml:space="preserve">removal </w:t>
      </w:r>
      <w:r w:rsidR="007C66BE" w:rsidRPr="003676AB">
        <w:rPr>
          <w:sz w:val="22"/>
          <w:szCs w:val="22"/>
        </w:rPr>
        <w:t>of barriers within the internal market may</w:t>
      </w:r>
      <w:r w:rsidR="00412A50" w:rsidRPr="003676AB">
        <w:rPr>
          <w:sz w:val="22"/>
          <w:szCs w:val="22"/>
        </w:rPr>
        <w:t xml:space="preserve"> also</w:t>
      </w:r>
      <w:r w:rsidR="007C66BE" w:rsidRPr="003676AB">
        <w:rPr>
          <w:sz w:val="22"/>
          <w:szCs w:val="22"/>
        </w:rPr>
        <w:t xml:space="preserve"> provide increased opportunities for money laundering if certain coordinating measures are not adopted at Union level.</w:t>
      </w:r>
      <w:r w:rsidR="007C66BE" w:rsidRPr="003676AB">
        <w:rPr>
          <w:sz w:val="22"/>
          <w:szCs w:val="22"/>
          <w:vertAlign w:val="superscript"/>
        </w:rPr>
        <w:footnoteReference w:id="102"/>
      </w:r>
      <w:r w:rsidR="007C66BE" w:rsidRPr="003676AB">
        <w:rPr>
          <w:sz w:val="22"/>
          <w:szCs w:val="22"/>
          <w:vertAlign w:val="superscript"/>
        </w:rPr>
        <w:t xml:space="preserve"> </w:t>
      </w:r>
      <w:r w:rsidR="007C66BE" w:rsidRPr="003676AB">
        <w:rPr>
          <w:sz w:val="22"/>
          <w:szCs w:val="22"/>
        </w:rPr>
        <w:t xml:space="preserve">It </w:t>
      </w:r>
      <w:r w:rsidR="00B60BC4" w:rsidRPr="003676AB">
        <w:rPr>
          <w:sz w:val="22"/>
          <w:szCs w:val="22"/>
        </w:rPr>
        <w:t xml:space="preserve">would </w:t>
      </w:r>
      <w:r w:rsidR="007C66BE" w:rsidRPr="003676AB">
        <w:rPr>
          <w:sz w:val="22"/>
          <w:szCs w:val="22"/>
        </w:rPr>
        <w:t xml:space="preserve">appear </w:t>
      </w:r>
      <w:r w:rsidR="00B60BC4" w:rsidRPr="003676AB">
        <w:rPr>
          <w:sz w:val="22"/>
          <w:szCs w:val="22"/>
        </w:rPr>
        <w:t xml:space="preserve">therefore </w:t>
      </w:r>
      <w:r w:rsidR="007C66BE" w:rsidRPr="003676AB">
        <w:rPr>
          <w:sz w:val="22"/>
          <w:szCs w:val="22"/>
        </w:rPr>
        <w:t xml:space="preserve">that the directive falls within the formula of </w:t>
      </w:r>
      <w:r w:rsidR="007C66BE" w:rsidRPr="003676AB">
        <w:rPr>
          <w:i/>
          <w:sz w:val="22"/>
          <w:szCs w:val="22"/>
        </w:rPr>
        <w:t>Tobacco Advertising I</w:t>
      </w:r>
      <w:r w:rsidR="007C66BE" w:rsidRPr="003676AB">
        <w:rPr>
          <w:sz w:val="22"/>
          <w:szCs w:val="22"/>
        </w:rPr>
        <w:t>;</w:t>
      </w:r>
      <w:r w:rsidR="00DB4042" w:rsidRPr="003676AB">
        <w:rPr>
          <w:sz w:val="22"/>
          <w:szCs w:val="22"/>
        </w:rPr>
        <w:t xml:space="preserve"> </w:t>
      </w:r>
      <w:r w:rsidR="003676AB" w:rsidRPr="003676AB">
        <w:rPr>
          <w:sz w:val="22"/>
          <w:szCs w:val="22"/>
        </w:rPr>
        <w:t>i.e.</w:t>
      </w:r>
      <w:r w:rsidR="007C66BE" w:rsidRPr="003676AB">
        <w:rPr>
          <w:sz w:val="22"/>
          <w:szCs w:val="22"/>
        </w:rPr>
        <w:t xml:space="preserve"> it aims </w:t>
      </w:r>
      <w:r w:rsidR="00B60BC4" w:rsidRPr="003676AB">
        <w:rPr>
          <w:sz w:val="22"/>
          <w:szCs w:val="22"/>
        </w:rPr>
        <w:t xml:space="preserve">at </w:t>
      </w:r>
      <w:r w:rsidR="007C66BE" w:rsidRPr="003676AB">
        <w:rPr>
          <w:sz w:val="22"/>
          <w:szCs w:val="22"/>
        </w:rPr>
        <w:t>prevent</w:t>
      </w:r>
      <w:r w:rsidR="00B60BC4" w:rsidRPr="003676AB">
        <w:rPr>
          <w:sz w:val="22"/>
          <w:szCs w:val="22"/>
        </w:rPr>
        <w:t>ing</w:t>
      </w:r>
      <w:r w:rsidR="007C66BE" w:rsidRPr="003676AB">
        <w:rPr>
          <w:sz w:val="22"/>
          <w:szCs w:val="22"/>
        </w:rPr>
        <w:t xml:space="preserve"> the emergence of future obstacl</w:t>
      </w:r>
      <w:r w:rsidR="00420B56" w:rsidRPr="003676AB">
        <w:rPr>
          <w:sz w:val="22"/>
          <w:szCs w:val="22"/>
        </w:rPr>
        <w:t>es to trade resulting from the diverging</w:t>
      </w:r>
      <w:r w:rsidR="007C66BE" w:rsidRPr="003676AB">
        <w:rPr>
          <w:sz w:val="22"/>
          <w:szCs w:val="22"/>
        </w:rPr>
        <w:t xml:space="preserve"> development of n</w:t>
      </w:r>
      <w:r w:rsidR="00E117A7" w:rsidRPr="003676AB">
        <w:rPr>
          <w:sz w:val="22"/>
          <w:szCs w:val="22"/>
        </w:rPr>
        <w:t>ational laws</w:t>
      </w:r>
      <w:r w:rsidR="007C66BE" w:rsidRPr="003676AB">
        <w:rPr>
          <w:sz w:val="22"/>
          <w:szCs w:val="22"/>
        </w:rPr>
        <w:t>.</w:t>
      </w:r>
      <w:r w:rsidR="007C66BE" w:rsidRPr="003676AB">
        <w:rPr>
          <w:sz w:val="22"/>
          <w:szCs w:val="22"/>
          <w:vertAlign w:val="superscript"/>
        </w:rPr>
        <w:footnoteReference w:id="103"/>
      </w:r>
      <w:r w:rsidR="007C66BE" w:rsidRPr="003676AB">
        <w:rPr>
          <w:noProof/>
          <w:sz w:val="22"/>
          <w:szCs w:val="22"/>
        </w:rPr>
        <w:t xml:space="preserve"> </w:t>
      </w:r>
    </w:p>
    <w:p w14:paraId="4CD2BBB3" w14:textId="499A7243" w:rsidR="007C66BE" w:rsidRPr="003676AB" w:rsidRDefault="002A6F4B" w:rsidP="007C66BE">
      <w:pPr>
        <w:tabs>
          <w:tab w:val="left" w:pos="0"/>
        </w:tabs>
        <w:rPr>
          <w:sz w:val="22"/>
          <w:szCs w:val="22"/>
        </w:rPr>
      </w:pPr>
      <w:r w:rsidRPr="003676AB">
        <w:rPr>
          <w:sz w:val="22"/>
          <w:szCs w:val="22"/>
        </w:rPr>
        <w:t>In</w:t>
      </w:r>
      <w:r w:rsidR="00641042" w:rsidRPr="003676AB">
        <w:rPr>
          <w:sz w:val="22"/>
          <w:szCs w:val="22"/>
        </w:rPr>
        <w:t xml:space="preserve"> short</w:t>
      </w:r>
      <w:r w:rsidR="007C66BE" w:rsidRPr="003676AB">
        <w:rPr>
          <w:sz w:val="22"/>
          <w:szCs w:val="22"/>
        </w:rPr>
        <w:t xml:space="preserve">, it appears that the EU legislature’s procedure for adopting its new anti-money laundering package by employing </w:t>
      </w:r>
      <w:r w:rsidR="004E30A2" w:rsidRPr="003676AB">
        <w:rPr>
          <w:sz w:val="22"/>
          <w:szCs w:val="22"/>
        </w:rPr>
        <w:t>art.</w:t>
      </w:r>
      <w:r w:rsidR="007C66BE" w:rsidRPr="003676AB">
        <w:rPr>
          <w:sz w:val="22"/>
          <w:szCs w:val="22"/>
        </w:rPr>
        <w:t xml:space="preserve"> 114 TFEU for the general internal market part of the measure and </w:t>
      </w:r>
      <w:r w:rsidR="004E30A2" w:rsidRPr="003676AB">
        <w:rPr>
          <w:sz w:val="22"/>
          <w:szCs w:val="22"/>
        </w:rPr>
        <w:t>art.</w:t>
      </w:r>
      <w:r w:rsidR="007C66BE" w:rsidRPr="003676AB">
        <w:rPr>
          <w:sz w:val="22"/>
          <w:szCs w:val="22"/>
        </w:rPr>
        <w:t xml:space="preserve"> 83 </w:t>
      </w:r>
      <w:r w:rsidR="007C66BE" w:rsidRPr="003676AB">
        <w:rPr>
          <w:sz w:val="22"/>
          <w:szCs w:val="22"/>
        </w:rPr>
        <w:lastRenderedPageBreak/>
        <w:t>TFEU for the criminal law part</w:t>
      </w:r>
      <w:r w:rsidR="007C66BE" w:rsidRPr="003676AB">
        <w:rPr>
          <w:rStyle w:val="Fotnotsreferens"/>
          <w:sz w:val="22"/>
          <w:szCs w:val="22"/>
        </w:rPr>
        <w:footnoteReference w:id="104"/>
      </w:r>
      <w:r w:rsidR="007C66BE" w:rsidRPr="003676AB">
        <w:rPr>
          <w:sz w:val="22"/>
          <w:szCs w:val="22"/>
        </w:rPr>
        <w:t xml:space="preserve"> is legitimate. </w:t>
      </w:r>
      <w:r w:rsidR="00B60BC4" w:rsidRPr="003676AB">
        <w:rPr>
          <w:sz w:val="22"/>
          <w:szCs w:val="22"/>
        </w:rPr>
        <w:t xml:space="preserve">The </w:t>
      </w:r>
      <w:r w:rsidR="007C66BE" w:rsidRPr="003676AB">
        <w:rPr>
          <w:sz w:val="22"/>
          <w:szCs w:val="22"/>
        </w:rPr>
        <w:t xml:space="preserve">Fourth AMLD does not </w:t>
      </w:r>
      <w:r w:rsidR="00B60BC4" w:rsidRPr="003676AB">
        <w:rPr>
          <w:sz w:val="22"/>
          <w:szCs w:val="22"/>
        </w:rPr>
        <w:t xml:space="preserve">place </w:t>
      </w:r>
      <w:r w:rsidR="007C66BE" w:rsidRPr="003676AB">
        <w:rPr>
          <w:sz w:val="22"/>
          <w:szCs w:val="22"/>
        </w:rPr>
        <w:t xml:space="preserve">any explicit obligations </w:t>
      </w:r>
      <w:r w:rsidR="00B60BC4" w:rsidRPr="003676AB">
        <w:rPr>
          <w:sz w:val="22"/>
          <w:szCs w:val="22"/>
        </w:rPr>
        <w:t xml:space="preserve">on Member States </w:t>
      </w:r>
      <w:r w:rsidR="007C66BE" w:rsidRPr="003676AB">
        <w:rPr>
          <w:sz w:val="22"/>
          <w:szCs w:val="22"/>
        </w:rPr>
        <w:t xml:space="preserve">to impose ‘criminal’ sanctions for breach of the relevant provisions of the Directive. Although the use of </w:t>
      </w:r>
      <w:r w:rsidR="004E30A2" w:rsidRPr="003676AB">
        <w:rPr>
          <w:sz w:val="22"/>
          <w:szCs w:val="22"/>
        </w:rPr>
        <w:t>art.</w:t>
      </w:r>
      <w:r w:rsidR="007C66BE" w:rsidRPr="003676AB">
        <w:rPr>
          <w:sz w:val="22"/>
          <w:szCs w:val="22"/>
        </w:rPr>
        <w:t xml:space="preserve"> 114 TFEU for the Fourth AMLD measure could be questioned</w:t>
      </w:r>
      <w:r w:rsidR="005A5461" w:rsidRPr="003676AB">
        <w:rPr>
          <w:sz w:val="22"/>
          <w:szCs w:val="22"/>
        </w:rPr>
        <w:t xml:space="preserve"> </w:t>
      </w:r>
      <w:proofErr w:type="gramStart"/>
      <w:r w:rsidR="00B60BC4" w:rsidRPr="003676AB">
        <w:rPr>
          <w:sz w:val="22"/>
          <w:szCs w:val="22"/>
        </w:rPr>
        <w:t>in light of</w:t>
      </w:r>
      <w:proofErr w:type="gramEnd"/>
      <w:r w:rsidR="00B60BC4" w:rsidRPr="003676AB">
        <w:rPr>
          <w:sz w:val="22"/>
          <w:szCs w:val="22"/>
        </w:rPr>
        <w:t xml:space="preserve"> the lack </w:t>
      </w:r>
      <w:r w:rsidR="005A5461" w:rsidRPr="003676AB">
        <w:rPr>
          <w:sz w:val="22"/>
          <w:szCs w:val="22"/>
        </w:rPr>
        <w:t>of evidence that criminalisation of money laundering would address any potential or existing market failures</w:t>
      </w:r>
      <w:r w:rsidR="00A55A3A" w:rsidRPr="003676AB">
        <w:rPr>
          <w:sz w:val="22"/>
          <w:szCs w:val="22"/>
        </w:rPr>
        <w:t>,</w:t>
      </w:r>
      <w:r w:rsidR="0002482D" w:rsidRPr="003676AB">
        <w:rPr>
          <w:rStyle w:val="Fotnotsreferens"/>
          <w:sz w:val="22"/>
          <w:szCs w:val="22"/>
        </w:rPr>
        <w:footnoteReference w:id="105"/>
      </w:r>
      <w:r w:rsidR="00641042" w:rsidRPr="003676AB">
        <w:rPr>
          <w:sz w:val="22"/>
          <w:szCs w:val="22"/>
        </w:rPr>
        <w:t xml:space="preserve"> </w:t>
      </w:r>
      <w:r w:rsidR="007C66BE" w:rsidRPr="003676AB">
        <w:rPr>
          <w:sz w:val="22"/>
          <w:szCs w:val="22"/>
        </w:rPr>
        <w:t xml:space="preserve">this provision </w:t>
      </w:r>
      <w:r w:rsidR="00B60BC4" w:rsidRPr="003676AB">
        <w:rPr>
          <w:sz w:val="22"/>
          <w:szCs w:val="22"/>
        </w:rPr>
        <w:t xml:space="preserve">would </w:t>
      </w:r>
      <w:r w:rsidR="007C66BE" w:rsidRPr="003676AB">
        <w:rPr>
          <w:sz w:val="22"/>
          <w:szCs w:val="22"/>
        </w:rPr>
        <w:t xml:space="preserve">nevertheless appear to be a more appropriate choice than </w:t>
      </w:r>
      <w:r w:rsidR="004E30A2" w:rsidRPr="003676AB">
        <w:rPr>
          <w:sz w:val="22"/>
          <w:szCs w:val="22"/>
        </w:rPr>
        <w:t>art.</w:t>
      </w:r>
      <w:r w:rsidR="007C66BE" w:rsidRPr="003676AB">
        <w:rPr>
          <w:sz w:val="22"/>
          <w:szCs w:val="22"/>
        </w:rPr>
        <w:t xml:space="preserve"> 83 TFEU.</w:t>
      </w:r>
      <w:r w:rsidR="00254E0B" w:rsidRPr="003676AB">
        <w:rPr>
          <w:sz w:val="22"/>
          <w:szCs w:val="22"/>
        </w:rPr>
        <w:t xml:space="preserve"> </w:t>
      </w:r>
    </w:p>
    <w:p w14:paraId="0D6E2554" w14:textId="5902D8C7" w:rsidR="00A55A3A" w:rsidRPr="003676AB" w:rsidRDefault="00A55A3A" w:rsidP="004E30A2">
      <w:pPr>
        <w:rPr>
          <w:rFonts w:eastAsia="Calibri"/>
          <w:i/>
          <w:sz w:val="22"/>
          <w:szCs w:val="22"/>
        </w:rPr>
      </w:pPr>
      <w:r w:rsidRPr="003676AB">
        <w:rPr>
          <w:rFonts w:eastAsia="Calibri"/>
          <w:i/>
          <w:sz w:val="22"/>
          <w:szCs w:val="22"/>
        </w:rPr>
        <w:t xml:space="preserve">Other limitations to the use of </w:t>
      </w:r>
      <w:r w:rsidR="004E30A2" w:rsidRPr="003676AB">
        <w:rPr>
          <w:rFonts w:eastAsia="Calibri"/>
          <w:i/>
          <w:sz w:val="22"/>
          <w:szCs w:val="22"/>
        </w:rPr>
        <w:t>art.</w:t>
      </w:r>
      <w:r w:rsidRPr="003676AB">
        <w:rPr>
          <w:rFonts w:eastAsia="Calibri"/>
          <w:i/>
          <w:sz w:val="22"/>
          <w:szCs w:val="22"/>
        </w:rPr>
        <w:t xml:space="preserve"> 83(2) TFEU</w:t>
      </w:r>
      <w:r w:rsidR="00E77C98" w:rsidRPr="003676AB">
        <w:rPr>
          <w:rFonts w:eastAsia="Calibri"/>
          <w:i/>
          <w:sz w:val="22"/>
          <w:szCs w:val="22"/>
        </w:rPr>
        <w:t xml:space="preserve"> </w:t>
      </w:r>
      <w:r w:rsidR="00CD6068" w:rsidRPr="003676AB">
        <w:rPr>
          <w:rFonts w:eastAsia="Calibri"/>
          <w:i/>
          <w:sz w:val="22"/>
          <w:szCs w:val="22"/>
        </w:rPr>
        <w:t>- ‘</w:t>
      </w:r>
      <w:r w:rsidR="00CF4F6C" w:rsidRPr="003676AB">
        <w:rPr>
          <w:rFonts w:eastAsia="Calibri"/>
          <w:i/>
          <w:sz w:val="22"/>
          <w:szCs w:val="22"/>
        </w:rPr>
        <w:t xml:space="preserve">directives’, </w:t>
      </w:r>
      <w:r w:rsidR="00B93471" w:rsidRPr="003676AB">
        <w:rPr>
          <w:rFonts w:eastAsia="Calibri"/>
          <w:i/>
          <w:sz w:val="22"/>
          <w:szCs w:val="22"/>
        </w:rPr>
        <w:t>‘decriminalisation’</w:t>
      </w:r>
      <w:r w:rsidRPr="003676AB">
        <w:rPr>
          <w:rFonts w:eastAsia="Calibri"/>
          <w:i/>
          <w:sz w:val="22"/>
          <w:szCs w:val="22"/>
        </w:rPr>
        <w:t xml:space="preserve"> and the ‘harmonisation’</w:t>
      </w:r>
      <w:r w:rsidR="004E30A2" w:rsidRPr="003676AB">
        <w:rPr>
          <w:rFonts w:eastAsia="Calibri"/>
          <w:i/>
          <w:sz w:val="22"/>
          <w:szCs w:val="22"/>
        </w:rPr>
        <w:t xml:space="preserve"> </w:t>
      </w:r>
      <w:r w:rsidRPr="003676AB">
        <w:rPr>
          <w:rFonts w:eastAsia="Calibri"/>
          <w:i/>
          <w:sz w:val="22"/>
          <w:szCs w:val="22"/>
        </w:rPr>
        <w:t xml:space="preserve">requirement </w:t>
      </w:r>
    </w:p>
    <w:p w14:paraId="15C31E22" w14:textId="1DB4DAC0" w:rsidR="00574FF1" w:rsidRPr="003676AB" w:rsidRDefault="00216211" w:rsidP="00574FF1">
      <w:pPr>
        <w:rPr>
          <w:rFonts w:eastAsia="Calibri"/>
          <w:sz w:val="22"/>
          <w:szCs w:val="22"/>
        </w:rPr>
      </w:pPr>
      <w:r w:rsidRPr="003676AB">
        <w:rPr>
          <w:rFonts w:eastAsia="Calibri"/>
          <w:sz w:val="22"/>
          <w:szCs w:val="22"/>
        </w:rPr>
        <w:t>T</w:t>
      </w:r>
      <w:r w:rsidR="00C378BE" w:rsidRPr="003676AB">
        <w:rPr>
          <w:rFonts w:eastAsia="Calibri"/>
          <w:sz w:val="22"/>
          <w:szCs w:val="22"/>
        </w:rPr>
        <w:t>he use of</w:t>
      </w:r>
      <w:r w:rsidRPr="003676AB">
        <w:rPr>
          <w:rFonts w:eastAsia="Calibri"/>
          <w:sz w:val="22"/>
          <w:szCs w:val="22"/>
        </w:rPr>
        <w:t xml:space="preserve"> </w:t>
      </w:r>
      <w:r w:rsidR="004E30A2" w:rsidRPr="003676AB">
        <w:rPr>
          <w:rFonts w:eastAsia="Calibri"/>
          <w:sz w:val="22"/>
          <w:szCs w:val="22"/>
        </w:rPr>
        <w:t>art.</w:t>
      </w:r>
      <w:r w:rsidRPr="003676AB">
        <w:rPr>
          <w:rFonts w:eastAsia="Calibri"/>
          <w:sz w:val="22"/>
          <w:szCs w:val="22"/>
        </w:rPr>
        <w:t xml:space="preserve"> 83(2) TFEU</w:t>
      </w:r>
      <w:r w:rsidR="00C378BE" w:rsidRPr="003676AB">
        <w:rPr>
          <w:rFonts w:eastAsia="Calibri"/>
          <w:sz w:val="22"/>
          <w:szCs w:val="22"/>
        </w:rPr>
        <w:t xml:space="preserve"> is</w:t>
      </w:r>
      <w:r w:rsidR="007C5AD1" w:rsidRPr="003676AB">
        <w:rPr>
          <w:rFonts w:eastAsia="Calibri"/>
          <w:sz w:val="22"/>
          <w:szCs w:val="22"/>
        </w:rPr>
        <w:t xml:space="preserve">, as follows from </w:t>
      </w:r>
      <w:r w:rsidR="00254E0B" w:rsidRPr="003676AB">
        <w:rPr>
          <w:rFonts w:eastAsia="Calibri"/>
          <w:sz w:val="22"/>
          <w:szCs w:val="22"/>
        </w:rPr>
        <w:t xml:space="preserve">its </w:t>
      </w:r>
      <w:r w:rsidR="007C5AD1" w:rsidRPr="003676AB">
        <w:rPr>
          <w:rFonts w:eastAsia="Calibri"/>
          <w:sz w:val="22"/>
          <w:szCs w:val="22"/>
        </w:rPr>
        <w:t>wording</w:t>
      </w:r>
      <w:r w:rsidR="00254E0B" w:rsidRPr="003676AB">
        <w:rPr>
          <w:rFonts w:eastAsia="Calibri"/>
          <w:sz w:val="22"/>
          <w:szCs w:val="22"/>
        </w:rPr>
        <w:t>,</w:t>
      </w:r>
      <w:r w:rsidR="00051C62" w:rsidRPr="003676AB">
        <w:rPr>
          <w:rFonts w:eastAsia="Calibri"/>
          <w:sz w:val="22"/>
          <w:szCs w:val="22"/>
        </w:rPr>
        <w:t xml:space="preserve"> confin</w:t>
      </w:r>
      <w:r w:rsidR="00C378BE" w:rsidRPr="003676AB">
        <w:rPr>
          <w:rFonts w:eastAsia="Calibri"/>
          <w:sz w:val="22"/>
          <w:szCs w:val="22"/>
        </w:rPr>
        <w:t>ed to the adoption of ‘directives’</w:t>
      </w:r>
      <w:r w:rsidR="009C0C0B" w:rsidRPr="003676AB">
        <w:rPr>
          <w:rFonts w:eastAsia="Calibri"/>
          <w:sz w:val="22"/>
          <w:szCs w:val="22"/>
        </w:rPr>
        <w:t>, ‘minimum rules’</w:t>
      </w:r>
      <w:r w:rsidR="00C378BE" w:rsidRPr="003676AB">
        <w:rPr>
          <w:rFonts w:eastAsia="Calibri"/>
          <w:sz w:val="22"/>
          <w:szCs w:val="22"/>
        </w:rPr>
        <w:t xml:space="preserve"> and measures in areas where the EU already has adopted ‘harmonisation measures’.</w:t>
      </w:r>
      <w:r w:rsidR="00051C62" w:rsidRPr="003676AB">
        <w:rPr>
          <w:rFonts w:eastAsia="Calibri"/>
          <w:sz w:val="22"/>
          <w:szCs w:val="22"/>
        </w:rPr>
        <w:t xml:space="preserve"> </w:t>
      </w:r>
      <w:r w:rsidR="00B93471" w:rsidRPr="003676AB">
        <w:rPr>
          <w:rFonts w:eastAsia="Calibri"/>
          <w:sz w:val="22"/>
          <w:szCs w:val="22"/>
        </w:rPr>
        <w:t>The</w:t>
      </w:r>
      <w:r w:rsidR="00574FF1" w:rsidRPr="003676AB">
        <w:rPr>
          <w:rFonts w:eastAsia="Calibri"/>
          <w:sz w:val="22"/>
          <w:szCs w:val="22"/>
        </w:rPr>
        <w:t xml:space="preserve"> reference</w:t>
      </w:r>
      <w:r w:rsidR="00B93471" w:rsidRPr="003676AB">
        <w:rPr>
          <w:rFonts w:eastAsia="Calibri"/>
          <w:sz w:val="22"/>
          <w:szCs w:val="22"/>
        </w:rPr>
        <w:t xml:space="preserve"> in </w:t>
      </w:r>
      <w:r w:rsidR="004E30A2" w:rsidRPr="003676AB">
        <w:rPr>
          <w:rFonts w:eastAsia="Calibri"/>
          <w:sz w:val="22"/>
          <w:szCs w:val="22"/>
        </w:rPr>
        <w:t>art.</w:t>
      </w:r>
      <w:r w:rsidR="00B93471" w:rsidRPr="003676AB">
        <w:rPr>
          <w:rFonts w:eastAsia="Calibri"/>
          <w:sz w:val="22"/>
          <w:szCs w:val="22"/>
        </w:rPr>
        <w:t xml:space="preserve"> 83</w:t>
      </w:r>
      <w:r w:rsidR="00574FF1" w:rsidRPr="003676AB">
        <w:rPr>
          <w:rFonts w:eastAsia="Calibri"/>
          <w:sz w:val="22"/>
          <w:szCs w:val="22"/>
        </w:rPr>
        <w:t xml:space="preserve"> to </w:t>
      </w:r>
      <w:r w:rsidR="00B93471" w:rsidRPr="003676AB">
        <w:rPr>
          <w:rFonts w:eastAsia="Calibri"/>
          <w:sz w:val="22"/>
          <w:szCs w:val="22"/>
        </w:rPr>
        <w:t>‘</w:t>
      </w:r>
      <w:r w:rsidR="00574FF1" w:rsidRPr="003676AB">
        <w:rPr>
          <w:rFonts w:eastAsia="Calibri"/>
          <w:sz w:val="22"/>
          <w:szCs w:val="22"/>
        </w:rPr>
        <w:t>directives</w:t>
      </w:r>
      <w:r w:rsidR="00B93471" w:rsidRPr="003676AB">
        <w:rPr>
          <w:rFonts w:eastAsia="Calibri"/>
          <w:sz w:val="22"/>
          <w:szCs w:val="22"/>
        </w:rPr>
        <w:t>’</w:t>
      </w:r>
      <w:r w:rsidR="00954B89" w:rsidRPr="003676AB">
        <w:rPr>
          <w:rFonts w:eastAsia="Calibri"/>
          <w:sz w:val="22"/>
          <w:szCs w:val="22"/>
        </w:rPr>
        <w:t xml:space="preserve"> clearly </w:t>
      </w:r>
      <w:r w:rsidR="00E77C98" w:rsidRPr="003676AB">
        <w:rPr>
          <w:rFonts w:eastAsia="Calibri"/>
          <w:sz w:val="22"/>
          <w:szCs w:val="22"/>
        </w:rPr>
        <w:t xml:space="preserve">indicates that any </w:t>
      </w:r>
      <w:r w:rsidR="00574FF1" w:rsidRPr="003676AB">
        <w:rPr>
          <w:rFonts w:eastAsia="Calibri"/>
          <w:sz w:val="22"/>
          <w:szCs w:val="22"/>
        </w:rPr>
        <w:t xml:space="preserve">criminal law harmonisation </w:t>
      </w:r>
      <w:r w:rsidR="00E77C98" w:rsidRPr="003676AB">
        <w:rPr>
          <w:rFonts w:eastAsia="Calibri"/>
          <w:sz w:val="22"/>
          <w:szCs w:val="22"/>
        </w:rPr>
        <w:t xml:space="preserve">measures adopted </w:t>
      </w:r>
      <w:proofErr w:type="gramStart"/>
      <w:r w:rsidR="00E77C98" w:rsidRPr="003676AB">
        <w:rPr>
          <w:rFonts w:eastAsia="Calibri"/>
          <w:sz w:val="22"/>
          <w:szCs w:val="22"/>
        </w:rPr>
        <w:t xml:space="preserve">on </w:t>
      </w:r>
      <w:r w:rsidR="005C3BCF">
        <w:rPr>
          <w:rFonts w:eastAsia="Calibri"/>
          <w:sz w:val="22"/>
          <w:szCs w:val="22"/>
        </w:rPr>
        <w:t>the basis of</w:t>
      </w:r>
      <w:proofErr w:type="gramEnd"/>
      <w:r w:rsidR="005C3BCF">
        <w:rPr>
          <w:rFonts w:eastAsia="Calibri"/>
          <w:sz w:val="22"/>
          <w:szCs w:val="22"/>
        </w:rPr>
        <w:t xml:space="preserve"> this provision </w:t>
      </w:r>
      <w:r w:rsidR="00915B78" w:rsidRPr="003676AB">
        <w:rPr>
          <w:rFonts w:eastAsia="Calibri"/>
          <w:sz w:val="22"/>
          <w:szCs w:val="22"/>
        </w:rPr>
        <w:t xml:space="preserve">cannot </w:t>
      </w:r>
      <w:r w:rsidR="00B60BC4" w:rsidRPr="003676AB">
        <w:rPr>
          <w:rFonts w:eastAsia="Calibri"/>
          <w:sz w:val="22"/>
          <w:szCs w:val="22"/>
        </w:rPr>
        <w:t xml:space="preserve">be in the form of a </w:t>
      </w:r>
      <w:r w:rsidR="00574FF1" w:rsidRPr="003676AB">
        <w:rPr>
          <w:rFonts w:eastAsia="Calibri"/>
          <w:sz w:val="22"/>
          <w:szCs w:val="22"/>
        </w:rPr>
        <w:t>regulation.</w:t>
      </w:r>
      <w:r w:rsidR="005A5461" w:rsidRPr="003676AB">
        <w:rPr>
          <w:rFonts w:eastAsia="Calibri"/>
          <w:sz w:val="22"/>
          <w:szCs w:val="22"/>
        </w:rPr>
        <w:t xml:space="preserve"> It is clear from the drafting process of the Lisbon Treaty, as discussed above, that </w:t>
      </w:r>
      <w:r w:rsidR="00104486" w:rsidRPr="003676AB">
        <w:rPr>
          <w:rFonts w:eastAsia="Calibri"/>
          <w:sz w:val="22"/>
          <w:szCs w:val="22"/>
        </w:rPr>
        <w:t xml:space="preserve">the </w:t>
      </w:r>
      <w:r w:rsidR="005A5461" w:rsidRPr="003676AB">
        <w:rPr>
          <w:rFonts w:eastAsia="Calibri"/>
          <w:sz w:val="22"/>
          <w:szCs w:val="22"/>
        </w:rPr>
        <w:t xml:space="preserve">directive </w:t>
      </w:r>
      <w:r w:rsidR="00104486" w:rsidRPr="003676AB">
        <w:rPr>
          <w:rFonts w:eastAsia="Calibri"/>
          <w:sz w:val="22"/>
          <w:szCs w:val="22"/>
        </w:rPr>
        <w:t xml:space="preserve">was selected as the exclusive instrument to be used </w:t>
      </w:r>
      <w:r w:rsidR="00E77C98" w:rsidRPr="003676AB">
        <w:rPr>
          <w:rFonts w:eastAsia="Calibri"/>
          <w:sz w:val="22"/>
          <w:szCs w:val="22"/>
        </w:rPr>
        <w:t xml:space="preserve">when </w:t>
      </w:r>
      <w:r w:rsidR="005A5461" w:rsidRPr="003676AB">
        <w:rPr>
          <w:rFonts w:eastAsia="Calibri"/>
          <w:sz w:val="22"/>
          <w:szCs w:val="22"/>
        </w:rPr>
        <w:t>criminalis</w:t>
      </w:r>
      <w:r w:rsidR="00E77C98" w:rsidRPr="003676AB">
        <w:rPr>
          <w:rFonts w:eastAsia="Calibri"/>
          <w:sz w:val="22"/>
          <w:szCs w:val="22"/>
        </w:rPr>
        <w:t>ing conduct</w:t>
      </w:r>
      <w:r w:rsidR="005A5461" w:rsidRPr="003676AB">
        <w:rPr>
          <w:rFonts w:eastAsia="Calibri"/>
          <w:sz w:val="22"/>
          <w:szCs w:val="22"/>
        </w:rPr>
        <w:t xml:space="preserve"> </w:t>
      </w:r>
      <w:r w:rsidR="00E77C98" w:rsidRPr="003676AB">
        <w:rPr>
          <w:rFonts w:eastAsia="Calibri"/>
          <w:sz w:val="22"/>
          <w:szCs w:val="22"/>
        </w:rPr>
        <w:t>u</w:t>
      </w:r>
      <w:r w:rsidR="005A5461" w:rsidRPr="003676AB">
        <w:rPr>
          <w:rFonts w:eastAsia="Calibri"/>
          <w:sz w:val="22"/>
          <w:szCs w:val="22"/>
        </w:rPr>
        <w:t>n</w:t>
      </w:r>
      <w:r w:rsidR="00E77C98" w:rsidRPr="003676AB">
        <w:rPr>
          <w:rFonts w:eastAsia="Calibri"/>
          <w:sz w:val="22"/>
          <w:szCs w:val="22"/>
        </w:rPr>
        <w:t>der</w:t>
      </w:r>
      <w:r w:rsidR="005A5461" w:rsidRPr="003676AB">
        <w:rPr>
          <w:rFonts w:eastAsia="Calibri"/>
          <w:sz w:val="22"/>
          <w:szCs w:val="22"/>
        </w:rPr>
        <w:t xml:space="preserve"> </w:t>
      </w:r>
      <w:r w:rsidR="004E30A2" w:rsidRPr="003676AB">
        <w:rPr>
          <w:rFonts w:eastAsia="Calibri"/>
          <w:sz w:val="22"/>
          <w:szCs w:val="22"/>
        </w:rPr>
        <w:t>art.</w:t>
      </w:r>
      <w:r w:rsidR="005A5461" w:rsidRPr="003676AB">
        <w:rPr>
          <w:rFonts w:eastAsia="Calibri"/>
          <w:sz w:val="22"/>
          <w:szCs w:val="22"/>
        </w:rPr>
        <w:t xml:space="preserve"> 83 TFEU</w:t>
      </w:r>
      <w:r w:rsidR="005A5461" w:rsidRPr="003676AB">
        <w:rPr>
          <w:rFonts w:cs="EUAlbertina"/>
          <w:color w:val="000000"/>
          <w:sz w:val="22"/>
          <w:szCs w:val="22"/>
        </w:rPr>
        <w:t>.</w:t>
      </w:r>
      <w:r w:rsidR="00B93471" w:rsidRPr="003676AB">
        <w:rPr>
          <w:rStyle w:val="Fotnotsreferens"/>
          <w:rFonts w:eastAsia="Calibri"/>
          <w:sz w:val="22"/>
          <w:szCs w:val="22"/>
        </w:rPr>
        <w:footnoteReference w:id="106"/>
      </w:r>
      <w:r w:rsidR="00954B89" w:rsidRPr="003676AB">
        <w:rPr>
          <w:rFonts w:eastAsia="Calibri"/>
          <w:sz w:val="22"/>
          <w:szCs w:val="22"/>
        </w:rPr>
        <w:t xml:space="preserve"> </w:t>
      </w:r>
      <w:r w:rsidR="0004118B" w:rsidRPr="003676AB">
        <w:rPr>
          <w:rFonts w:eastAsia="Calibri"/>
          <w:sz w:val="22"/>
          <w:szCs w:val="22"/>
        </w:rPr>
        <w:t xml:space="preserve">It is also apparent from </w:t>
      </w:r>
      <w:r w:rsidR="004E30A2" w:rsidRPr="003676AB">
        <w:rPr>
          <w:rFonts w:eastAsia="Calibri"/>
          <w:sz w:val="22"/>
          <w:szCs w:val="22"/>
        </w:rPr>
        <w:t>art.</w:t>
      </w:r>
      <w:r w:rsidR="0004118B" w:rsidRPr="003676AB">
        <w:rPr>
          <w:rFonts w:eastAsia="Calibri"/>
          <w:sz w:val="22"/>
          <w:szCs w:val="22"/>
        </w:rPr>
        <w:t xml:space="preserve"> 83 TFEU and </w:t>
      </w:r>
      <w:r w:rsidR="00B60BC4" w:rsidRPr="003676AB">
        <w:rPr>
          <w:rFonts w:eastAsia="Calibri"/>
          <w:sz w:val="22"/>
          <w:szCs w:val="22"/>
        </w:rPr>
        <w:t xml:space="preserve">from </w:t>
      </w:r>
      <w:r w:rsidR="0004118B" w:rsidRPr="003676AB">
        <w:rPr>
          <w:rFonts w:eastAsia="Calibri"/>
          <w:sz w:val="22"/>
          <w:szCs w:val="22"/>
        </w:rPr>
        <w:t xml:space="preserve">the </w:t>
      </w:r>
      <w:r w:rsidR="00B60BC4" w:rsidRPr="003676AB">
        <w:rPr>
          <w:rFonts w:eastAsia="Calibri"/>
          <w:sz w:val="22"/>
          <w:szCs w:val="22"/>
        </w:rPr>
        <w:t xml:space="preserve">inclusion of the </w:t>
      </w:r>
      <w:r w:rsidR="0004118B" w:rsidRPr="003676AB">
        <w:rPr>
          <w:rFonts w:eastAsia="Calibri"/>
          <w:sz w:val="22"/>
          <w:szCs w:val="22"/>
        </w:rPr>
        <w:t>concept</w:t>
      </w:r>
      <w:r w:rsidR="00B60BC4" w:rsidRPr="003676AB">
        <w:rPr>
          <w:rFonts w:eastAsia="Calibri"/>
          <w:sz w:val="22"/>
          <w:szCs w:val="22"/>
        </w:rPr>
        <w:t>s</w:t>
      </w:r>
      <w:r w:rsidR="0004118B" w:rsidRPr="003676AB">
        <w:rPr>
          <w:rFonts w:eastAsia="Calibri"/>
          <w:sz w:val="22"/>
          <w:szCs w:val="22"/>
        </w:rPr>
        <w:t xml:space="preserve"> of ‘criminal offences’ and ‘minimum rules’</w:t>
      </w:r>
      <w:r w:rsidR="00B60BC4" w:rsidRPr="003676AB">
        <w:rPr>
          <w:rFonts w:eastAsia="Calibri"/>
          <w:sz w:val="22"/>
          <w:szCs w:val="22"/>
        </w:rPr>
        <w:t>,</w:t>
      </w:r>
      <w:r w:rsidR="0004118B" w:rsidRPr="003676AB">
        <w:rPr>
          <w:rFonts w:eastAsia="Calibri"/>
          <w:sz w:val="22"/>
          <w:szCs w:val="22"/>
        </w:rPr>
        <w:t xml:space="preserve"> that </w:t>
      </w:r>
      <w:r w:rsidRPr="003676AB">
        <w:rPr>
          <w:rFonts w:eastAsia="Calibri"/>
          <w:sz w:val="22"/>
          <w:szCs w:val="22"/>
        </w:rPr>
        <w:t>the Union</w:t>
      </w:r>
      <w:r w:rsidR="00574FF1" w:rsidRPr="003676AB">
        <w:rPr>
          <w:rFonts w:eastAsia="Calibri"/>
          <w:sz w:val="22"/>
          <w:szCs w:val="22"/>
        </w:rPr>
        <w:t xml:space="preserve"> lacks competence</w:t>
      </w:r>
      <w:r w:rsidRPr="003676AB">
        <w:rPr>
          <w:rFonts w:eastAsia="Calibri"/>
          <w:sz w:val="22"/>
          <w:szCs w:val="22"/>
        </w:rPr>
        <w:t xml:space="preserve"> under this provision</w:t>
      </w:r>
      <w:r w:rsidR="00574FF1" w:rsidRPr="003676AB">
        <w:rPr>
          <w:rFonts w:eastAsia="Calibri"/>
          <w:sz w:val="22"/>
          <w:szCs w:val="22"/>
        </w:rPr>
        <w:t xml:space="preserve"> to adopt instruments </w:t>
      </w:r>
      <w:r w:rsidR="00B60BC4" w:rsidRPr="003676AB">
        <w:rPr>
          <w:rFonts w:eastAsia="Calibri"/>
          <w:sz w:val="22"/>
          <w:szCs w:val="22"/>
        </w:rPr>
        <w:t xml:space="preserve">in order to </w:t>
      </w:r>
      <w:r w:rsidR="005A5461" w:rsidRPr="003676AB">
        <w:rPr>
          <w:rFonts w:eastAsia="Calibri"/>
          <w:sz w:val="22"/>
          <w:szCs w:val="22"/>
        </w:rPr>
        <w:t>‘</w:t>
      </w:r>
      <w:r w:rsidR="00B60BC4" w:rsidRPr="003676AB">
        <w:rPr>
          <w:rFonts w:eastAsia="Calibri"/>
          <w:sz w:val="22"/>
          <w:szCs w:val="22"/>
        </w:rPr>
        <w:t>decriminalis</w:t>
      </w:r>
      <w:r w:rsidR="00104486" w:rsidRPr="003676AB">
        <w:rPr>
          <w:rFonts w:eastAsia="Calibri"/>
          <w:sz w:val="22"/>
          <w:szCs w:val="22"/>
        </w:rPr>
        <w:t>e</w:t>
      </w:r>
      <w:r w:rsidR="005A5461" w:rsidRPr="003676AB">
        <w:rPr>
          <w:rFonts w:eastAsia="Calibri"/>
          <w:sz w:val="22"/>
          <w:szCs w:val="22"/>
        </w:rPr>
        <w:t>’</w:t>
      </w:r>
      <w:r w:rsidR="00B60BC4" w:rsidRPr="003676AB">
        <w:rPr>
          <w:rFonts w:eastAsia="Calibri"/>
          <w:sz w:val="22"/>
          <w:szCs w:val="22"/>
        </w:rPr>
        <w:t xml:space="preserve"> criminal conduct</w:t>
      </w:r>
      <w:r w:rsidR="00574FF1" w:rsidRPr="003676AB">
        <w:rPr>
          <w:rFonts w:eastAsia="Calibri"/>
          <w:sz w:val="22"/>
          <w:szCs w:val="22"/>
        </w:rPr>
        <w:t>.</w:t>
      </w:r>
      <w:r w:rsidR="009C0C0B" w:rsidRPr="003676AB">
        <w:rPr>
          <w:rFonts w:eastAsia="Calibri"/>
          <w:sz w:val="22"/>
          <w:szCs w:val="22"/>
        </w:rPr>
        <w:t xml:space="preserve"> The EU is </w:t>
      </w:r>
      <w:r w:rsidR="00B60BC4" w:rsidRPr="003676AB">
        <w:rPr>
          <w:rFonts w:eastAsia="Calibri"/>
          <w:sz w:val="22"/>
          <w:szCs w:val="22"/>
        </w:rPr>
        <w:t xml:space="preserve">only </w:t>
      </w:r>
      <w:r w:rsidR="009C0C0B" w:rsidRPr="003676AB">
        <w:rPr>
          <w:rFonts w:eastAsia="Calibri"/>
          <w:sz w:val="22"/>
          <w:szCs w:val="22"/>
        </w:rPr>
        <w:t xml:space="preserve">empowered </w:t>
      </w:r>
      <w:r w:rsidR="00B60BC4" w:rsidRPr="003676AB">
        <w:rPr>
          <w:rFonts w:eastAsia="Calibri"/>
          <w:sz w:val="22"/>
          <w:szCs w:val="22"/>
        </w:rPr>
        <w:t xml:space="preserve">to increase the level of criminalisation and the repressive character of the law </w:t>
      </w:r>
      <w:r w:rsidR="009C0C0B" w:rsidRPr="003676AB">
        <w:rPr>
          <w:rFonts w:eastAsia="Calibri"/>
          <w:sz w:val="22"/>
          <w:szCs w:val="22"/>
        </w:rPr>
        <w:t>in the Member States by the imposition of minimum rules on criminal offences and sanctions.</w:t>
      </w:r>
      <w:r w:rsidR="00574FF1" w:rsidRPr="003676AB">
        <w:rPr>
          <w:rStyle w:val="Fotnotsreferens"/>
          <w:rFonts w:eastAsia="Calibri"/>
          <w:sz w:val="22"/>
          <w:szCs w:val="22"/>
        </w:rPr>
        <w:footnoteReference w:id="107"/>
      </w:r>
      <w:r w:rsidR="000A6725" w:rsidRPr="003676AB">
        <w:rPr>
          <w:rFonts w:eastAsia="Calibri"/>
          <w:sz w:val="22"/>
          <w:szCs w:val="22"/>
        </w:rPr>
        <w:t xml:space="preserve"> </w:t>
      </w:r>
      <w:r w:rsidR="005A5461" w:rsidRPr="003676AB">
        <w:rPr>
          <w:rFonts w:eastAsia="Calibri"/>
          <w:sz w:val="22"/>
          <w:szCs w:val="22"/>
        </w:rPr>
        <w:t>These limitations are</w:t>
      </w:r>
      <w:r w:rsidR="00093421" w:rsidRPr="003676AB">
        <w:rPr>
          <w:rFonts w:eastAsia="Calibri"/>
          <w:sz w:val="22"/>
          <w:szCs w:val="22"/>
        </w:rPr>
        <w:t xml:space="preserve"> signi</w:t>
      </w:r>
      <w:r w:rsidRPr="003676AB">
        <w:rPr>
          <w:rFonts w:eastAsia="Calibri"/>
          <w:sz w:val="22"/>
          <w:szCs w:val="22"/>
        </w:rPr>
        <w:t>ficant for the core argument of</w:t>
      </w:r>
      <w:r w:rsidR="00093421" w:rsidRPr="003676AB">
        <w:rPr>
          <w:rFonts w:eastAsia="Calibri"/>
          <w:sz w:val="22"/>
          <w:szCs w:val="22"/>
        </w:rPr>
        <w:t xml:space="preserve"> employing </w:t>
      </w:r>
      <w:r w:rsidR="00D3551F" w:rsidRPr="003676AB">
        <w:rPr>
          <w:rFonts w:eastAsia="Calibri"/>
          <w:sz w:val="22"/>
          <w:szCs w:val="22"/>
        </w:rPr>
        <w:t>art.</w:t>
      </w:r>
      <w:r w:rsidR="00093421" w:rsidRPr="003676AB">
        <w:rPr>
          <w:rFonts w:eastAsia="Calibri"/>
          <w:sz w:val="22"/>
          <w:szCs w:val="22"/>
        </w:rPr>
        <w:t xml:space="preserve"> 83(2) TFEU as the main legal basis for criminalisation measures.</w:t>
      </w:r>
      <w:r w:rsidR="005A5461" w:rsidRPr="003676AB">
        <w:rPr>
          <w:rFonts w:eastAsia="Calibri"/>
          <w:sz w:val="22"/>
          <w:szCs w:val="22"/>
        </w:rPr>
        <w:t xml:space="preserve"> The following example illustrates the point.</w:t>
      </w:r>
    </w:p>
    <w:p w14:paraId="0773BABD" w14:textId="34B25A5D" w:rsidR="00051C62" w:rsidRPr="003676AB" w:rsidRDefault="00051C62" w:rsidP="00051C62">
      <w:pPr>
        <w:rPr>
          <w:rFonts w:eastAsia="Calibri"/>
          <w:sz w:val="22"/>
          <w:szCs w:val="22"/>
        </w:rPr>
      </w:pPr>
      <w:r w:rsidRPr="003676AB">
        <w:rPr>
          <w:rFonts w:eastAsia="Calibri"/>
          <w:sz w:val="22"/>
          <w:szCs w:val="22"/>
        </w:rPr>
        <w:t xml:space="preserve">Let us assume that the Union considered adopting a regulation which both criminalised and decriminalised certain activities. The </w:t>
      </w:r>
      <w:r w:rsidR="00B60BC4" w:rsidRPr="003676AB">
        <w:rPr>
          <w:rFonts w:eastAsia="Calibri"/>
          <w:sz w:val="22"/>
          <w:szCs w:val="22"/>
        </w:rPr>
        <w:t xml:space="preserve">hypothetical </w:t>
      </w:r>
      <w:r w:rsidRPr="003676AB">
        <w:rPr>
          <w:rFonts w:eastAsia="Calibri"/>
          <w:sz w:val="22"/>
          <w:szCs w:val="22"/>
        </w:rPr>
        <w:t>reason for adopting a regulation</w:t>
      </w:r>
      <w:r w:rsidR="0011260F" w:rsidRPr="003676AB">
        <w:rPr>
          <w:rFonts w:eastAsia="Calibri"/>
          <w:sz w:val="22"/>
          <w:szCs w:val="22"/>
        </w:rPr>
        <w:t>, rather than a directive,</w:t>
      </w:r>
      <w:r w:rsidRPr="003676AB">
        <w:rPr>
          <w:rFonts w:eastAsia="Calibri"/>
          <w:sz w:val="22"/>
          <w:szCs w:val="22"/>
        </w:rPr>
        <w:t xml:space="preserve"> </w:t>
      </w:r>
      <w:r w:rsidR="00B60BC4" w:rsidRPr="003676AB">
        <w:rPr>
          <w:rFonts w:eastAsia="Calibri"/>
          <w:sz w:val="22"/>
          <w:szCs w:val="22"/>
        </w:rPr>
        <w:t xml:space="preserve">might be </w:t>
      </w:r>
      <w:r w:rsidRPr="003676AB">
        <w:rPr>
          <w:rFonts w:eastAsia="Calibri"/>
          <w:sz w:val="22"/>
          <w:szCs w:val="22"/>
        </w:rPr>
        <w:t xml:space="preserve">that the Commission considers </w:t>
      </w:r>
      <w:r w:rsidR="00B60BC4" w:rsidRPr="003676AB">
        <w:rPr>
          <w:rFonts w:eastAsia="Calibri"/>
          <w:sz w:val="22"/>
          <w:szCs w:val="22"/>
        </w:rPr>
        <w:t xml:space="preserve">that the adoption of criminal laws by means of a directive might </w:t>
      </w:r>
      <w:r w:rsidRPr="003676AB">
        <w:rPr>
          <w:rFonts w:eastAsia="Calibri"/>
          <w:sz w:val="22"/>
          <w:szCs w:val="22"/>
        </w:rPr>
        <w:t xml:space="preserve">lead to a fragmented application of Union law by giving too much scope in the implementation phase to Member States. The rationale for including decriminalisation provisions in the regulation is to </w:t>
      </w:r>
      <w:r w:rsidR="0011260F" w:rsidRPr="003676AB">
        <w:rPr>
          <w:rFonts w:eastAsia="Calibri"/>
          <w:sz w:val="22"/>
          <w:szCs w:val="22"/>
        </w:rPr>
        <w:t xml:space="preserve">reverse </w:t>
      </w:r>
      <w:r w:rsidRPr="003676AB">
        <w:rPr>
          <w:rFonts w:eastAsia="Calibri"/>
          <w:sz w:val="22"/>
          <w:szCs w:val="22"/>
        </w:rPr>
        <w:t xml:space="preserve">the </w:t>
      </w:r>
      <w:r w:rsidR="0011260F" w:rsidRPr="003676AB">
        <w:rPr>
          <w:rFonts w:eastAsia="Calibri"/>
          <w:sz w:val="22"/>
          <w:szCs w:val="22"/>
        </w:rPr>
        <w:t xml:space="preserve">current trend amongst the Member States for </w:t>
      </w:r>
      <w:r w:rsidRPr="003676AB">
        <w:rPr>
          <w:rFonts w:eastAsia="Calibri"/>
          <w:sz w:val="22"/>
          <w:szCs w:val="22"/>
        </w:rPr>
        <w:t>over-penalisation.</w:t>
      </w:r>
      <w:r w:rsidR="00216211" w:rsidRPr="003676AB">
        <w:rPr>
          <w:rStyle w:val="Fotnotsreferens"/>
          <w:rFonts w:eastAsia="Calibri"/>
          <w:sz w:val="22"/>
          <w:szCs w:val="22"/>
        </w:rPr>
        <w:footnoteReference w:id="108"/>
      </w:r>
      <w:r w:rsidRPr="003676AB">
        <w:rPr>
          <w:rFonts w:eastAsia="Calibri"/>
          <w:sz w:val="22"/>
          <w:szCs w:val="22"/>
        </w:rPr>
        <w:t xml:space="preserve"> Although </w:t>
      </w:r>
      <w:r w:rsidR="00D3551F" w:rsidRPr="003676AB">
        <w:rPr>
          <w:rFonts w:eastAsia="Calibri"/>
          <w:sz w:val="22"/>
          <w:szCs w:val="22"/>
        </w:rPr>
        <w:t>art.</w:t>
      </w:r>
      <w:r w:rsidRPr="003676AB">
        <w:rPr>
          <w:rFonts w:eastAsia="Calibri"/>
          <w:sz w:val="22"/>
          <w:szCs w:val="22"/>
        </w:rPr>
        <w:t xml:space="preserve"> 83(2) TFEU could be interpreted </w:t>
      </w:r>
      <w:r w:rsidR="0011260F" w:rsidRPr="003676AB">
        <w:rPr>
          <w:rFonts w:eastAsia="Calibri"/>
          <w:sz w:val="22"/>
          <w:szCs w:val="22"/>
        </w:rPr>
        <w:t>broadly</w:t>
      </w:r>
      <w:r w:rsidRPr="003676AB">
        <w:rPr>
          <w:rFonts w:eastAsia="Calibri"/>
          <w:sz w:val="22"/>
          <w:szCs w:val="22"/>
        </w:rPr>
        <w:t xml:space="preserve">, it is difficult to argue that such a measure </w:t>
      </w:r>
      <w:r w:rsidR="0011260F" w:rsidRPr="003676AB">
        <w:rPr>
          <w:rFonts w:eastAsia="Calibri"/>
          <w:sz w:val="22"/>
          <w:szCs w:val="22"/>
        </w:rPr>
        <w:t xml:space="preserve">would </w:t>
      </w:r>
      <w:r w:rsidRPr="003676AB">
        <w:rPr>
          <w:rFonts w:eastAsia="Calibri"/>
          <w:sz w:val="22"/>
          <w:szCs w:val="22"/>
        </w:rPr>
        <w:t xml:space="preserve">within </w:t>
      </w:r>
      <w:r w:rsidR="0011260F" w:rsidRPr="003676AB">
        <w:rPr>
          <w:rFonts w:eastAsia="Calibri"/>
          <w:sz w:val="22"/>
          <w:szCs w:val="22"/>
        </w:rPr>
        <w:t>its scope</w:t>
      </w:r>
      <w:r w:rsidRPr="003676AB">
        <w:rPr>
          <w:rFonts w:eastAsia="Calibri"/>
          <w:sz w:val="22"/>
          <w:szCs w:val="22"/>
        </w:rPr>
        <w:t xml:space="preserve">. Given that the Union has </w:t>
      </w:r>
      <w:r w:rsidR="00104486" w:rsidRPr="003676AB">
        <w:rPr>
          <w:rFonts w:eastAsia="Calibri"/>
          <w:sz w:val="22"/>
          <w:szCs w:val="22"/>
        </w:rPr>
        <w:t xml:space="preserve">only </w:t>
      </w:r>
      <w:r w:rsidRPr="003676AB">
        <w:rPr>
          <w:rFonts w:eastAsia="Calibri"/>
          <w:sz w:val="22"/>
          <w:szCs w:val="22"/>
        </w:rPr>
        <w:t xml:space="preserve">the power to adopt ‘directives’ pursuant to </w:t>
      </w:r>
      <w:r w:rsidR="00F400B5" w:rsidRPr="003676AB">
        <w:rPr>
          <w:rFonts w:eastAsia="Calibri"/>
          <w:sz w:val="22"/>
          <w:szCs w:val="22"/>
        </w:rPr>
        <w:t>art.</w:t>
      </w:r>
      <w:r w:rsidRPr="003676AB">
        <w:rPr>
          <w:rFonts w:eastAsia="Calibri"/>
          <w:sz w:val="22"/>
          <w:szCs w:val="22"/>
        </w:rPr>
        <w:t xml:space="preserve"> 83(2) </w:t>
      </w:r>
      <w:proofErr w:type="gramStart"/>
      <w:r w:rsidRPr="003676AB">
        <w:rPr>
          <w:rFonts w:eastAsia="Calibri"/>
          <w:sz w:val="22"/>
          <w:szCs w:val="22"/>
        </w:rPr>
        <w:t xml:space="preserve">TFEU, </w:t>
      </w:r>
      <w:r w:rsidRPr="003676AB">
        <w:rPr>
          <w:rFonts w:eastAsia="Calibri"/>
          <w:sz w:val="22"/>
          <w:szCs w:val="22"/>
        </w:rPr>
        <w:lastRenderedPageBreak/>
        <w:t>and</w:t>
      </w:r>
      <w:proofErr w:type="gramEnd"/>
      <w:r w:rsidRPr="003676AB">
        <w:rPr>
          <w:rFonts w:eastAsia="Calibri"/>
          <w:sz w:val="22"/>
          <w:szCs w:val="22"/>
        </w:rPr>
        <w:t xml:space="preserve"> given that it can only criminalise</w:t>
      </w:r>
      <w:r w:rsidR="0011260F" w:rsidRPr="003676AB">
        <w:rPr>
          <w:rFonts w:eastAsia="Calibri"/>
          <w:sz w:val="22"/>
          <w:szCs w:val="22"/>
        </w:rPr>
        <w:t xml:space="preserve"> (rather than decriminalise)</w:t>
      </w:r>
      <w:r w:rsidRPr="003676AB">
        <w:rPr>
          <w:rFonts w:eastAsia="Calibri"/>
          <w:sz w:val="22"/>
          <w:szCs w:val="22"/>
        </w:rPr>
        <w:t xml:space="preserve"> </w:t>
      </w:r>
      <w:r w:rsidR="0011260F" w:rsidRPr="003676AB">
        <w:rPr>
          <w:rFonts w:eastAsia="Calibri"/>
          <w:sz w:val="22"/>
          <w:szCs w:val="22"/>
        </w:rPr>
        <w:t xml:space="preserve">conduct </w:t>
      </w:r>
      <w:r w:rsidRPr="003676AB">
        <w:rPr>
          <w:rFonts w:eastAsia="Calibri"/>
          <w:sz w:val="22"/>
          <w:szCs w:val="22"/>
        </w:rPr>
        <w:t>under that provision, a cogent argument could be made that other legal bases</w:t>
      </w:r>
      <w:r w:rsidR="00915B78" w:rsidRPr="003676AB">
        <w:rPr>
          <w:rFonts w:eastAsia="Calibri"/>
          <w:sz w:val="22"/>
          <w:szCs w:val="22"/>
        </w:rPr>
        <w:t xml:space="preserve"> outside Title V</w:t>
      </w:r>
      <w:r w:rsidRPr="003676AB">
        <w:rPr>
          <w:rFonts w:eastAsia="Calibri"/>
          <w:sz w:val="22"/>
          <w:szCs w:val="22"/>
        </w:rPr>
        <w:t xml:space="preserve"> could be used for such a ‘residual’ measure. </w:t>
      </w:r>
      <w:r w:rsidR="00216211" w:rsidRPr="003676AB">
        <w:rPr>
          <w:rFonts w:eastAsia="Calibri"/>
          <w:sz w:val="22"/>
          <w:szCs w:val="22"/>
        </w:rPr>
        <w:t>It is not reasonable to argue that criminal law ‘regulations’</w:t>
      </w:r>
      <w:r w:rsidR="00915B78" w:rsidRPr="003676AB">
        <w:rPr>
          <w:rFonts w:eastAsia="Calibri"/>
          <w:sz w:val="22"/>
          <w:szCs w:val="22"/>
        </w:rPr>
        <w:t xml:space="preserve"> </w:t>
      </w:r>
      <w:r w:rsidR="00216211" w:rsidRPr="003676AB">
        <w:rPr>
          <w:rFonts w:eastAsia="Calibri"/>
          <w:sz w:val="22"/>
          <w:szCs w:val="22"/>
        </w:rPr>
        <w:t xml:space="preserve">would </w:t>
      </w:r>
      <w:r w:rsidR="009765F9" w:rsidRPr="003676AB">
        <w:rPr>
          <w:rFonts w:eastAsia="Calibri"/>
          <w:sz w:val="22"/>
          <w:szCs w:val="22"/>
        </w:rPr>
        <w:t xml:space="preserve">altogether </w:t>
      </w:r>
      <w:r w:rsidR="00216211" w:rsidRPr="003676AB">
        <w:rPr>
          <w:rFonts w:eastAsia="Calibri"/>
          <w:sz w:val="22"/>
          <w:szCs w:val="22"/>
        </w:rPr>
        <w:t>fall outside the remit of EU competence.</w:t>
      </w:r>
      <w:r w:rsidR="00216211" w:rsidRPr="003676AB">
        <w:rPr>
          <w:rStyle w:val="Fotnotsreferens"/>
          <w:rFonts w:eastAsia="Calibri"/>
          <w:sz w:val="22"/>
          <w:szCs w:val="22"/>
        </w:rPr>
        <w:footnoteReference w:id="109"/>
      </w:r>
      <w:r w:rsidR="008F0316" w:rsidRPr="003676AB">
        <w:rPr>
          <w:rFonts w:eastAsia="Calibri"/>
          <w:sz w:val="22"/>
          <w:szCs w:val="22"/>
        </w:rPr>
        <w:t xml:space="preserve"> </w:t>
      </w:r>
      <w:proofErr w:type="gramStart"/>
      <w:r w:rsidR="008F0316" w:rsidRPr="003676AB">
        <w:rPr>
          <w:rFonts w:eastAsia="Calibri"/>
          <w:sz w:val="22"/>
          <w:szCs w:val="22"/>
        </w:rPr>
        <w:t xml:space="preserve">It </w:t>
      </w:r>
      <w:r w:rsidR="0011260F" w:rsidRPr="003676AB">
        <w:rPr>
          <w:rFonts w:eastAsia="Calibri"/>
          <w:sz w:val="22"/>
          <w:szCs w:val="22"/>
        </w:rPr>
        <w:t xml:space="preserve">is clear </w:t>
      </w:r>
      <w:r w:rsidR="008F0316" w:rsidRPr="003676AB">
        <w:rPr>
          <w:rFonts w:eastAsia="Calibri"/>
          <w:sz w:val="22"/>
          <w:szCs w:val="22"/>
        </w:rPr>
        <w:t>that the</w:t>
      </w:r>
      <w:proofErr w:type="gramEnd"/>
      <w:r w:rsidR="008F0316" w:rsidRPr="003676AB">
        <w:rPr>
          <w:rFonts w:eastAsia="Calibri"/>
          <w:sz w:val="22"/>
          <w:szCs w:val="22"/>
        </w:rPr>
        <w:t xml:space="preserve"> Court’s pre-Lisbon case law in </w:t>
      </w:r>
      <w:r w:rsidR="008F0316" w:rsidRPr="003676AB">
        <w:rPr>
          <w:rFonts w:eastAsia="Calibri"/>
          <w:i/>
          <w:sz w:val="22"/>
          <w:szCs w:val="22"/>
        </w:rPr>
        <w:t>Environmental Crimes</w:t>
      </w:r>
      <w:r w:rsidR="008F0316" w:rsidRPr="003676AB">
        <w:rPr>
          <w:rFonts w:eastAsia="Calibri"/>
          <w:sz w:val="22"/>
          <w:szCs w:val="22"/>
        </w:rPr>
        <w:t xml:space="preserve"> was not confined to the adoption of directives.</w:t>
      </w:r>
      <w:r w:rsidR="008F0316" w:rsidRPr="003676AB">
        <w:rPr>
          <w:sz w:val="22"/>
          <w:szCs w:val="22"/>
        </w:rPr>
        <w:t xml:space="preserve"> By holding that the framework decisions should have been adopted under </w:t>
      </w:r>
      <w:r w:rsidR="00F400B5" w:rsidRPr="003676AB">
        <w:rPr>
          <w:sz w:val="22"/>
          <w:szCs w:val="22"/>
        </w:rPr>
        <w:t>arts</w:t>
      </w:r>
      <w:r w:rsidR="008F0316" w:rsidRPr="003676AB">
        <w:rPr>
          <w:sz w:val="22"/>
          <w:szCs w:val="22"/>
        </w:rPr>
        <w:t xml:space="preserve"> 100(2) and 192 TFEU, </w:t>
      </w:r>
      <w:r w:rsidR="00104486" w:rsidRPr="003676AB">
        <w:rPr>
          <w:sz w:val="22"/>
          <w:szCs w:val="22"/>
        </w:rPr>
        <w:t xml:space="preserve">both of which </w:t>
      </w:r>
      <w:r w:rsidR="00F31D3E" w:rsidRPr="003676AB">
        <w:rPr>
          <w:sz w:val="22"/>
          <w:szCs w:val="22"/>
        </w:rPr>
        <w:t xml:space="preserve">prescribed the </w:t>
      </w:r>
      <w:r w:rsidR="008F0316" w:rsidRPr="003676AB">
        <w:rPr>
          <w:sz w:val="22"/>
          <w:szCs w:val="22"/>
        </w:rPr>
        <w:t>‘ordinary legislative procedure’</w:t>
      </w:r>
      <w:r w:rsidR="00F31D3E" w:rsidRPr="003676AB">
        <w:rPr>
          <w:sz w:val="22"/>
          <w:szCs w:val="22"/>
        </w:rPr>
        <w:t xml:space="preserve"> for the adoption of acts</w:t>
      </w:r>
      <w:r w:rsidR="008F0316" w:rsidRPr="003676AB">
        <w:rPr>
          <w:sz w:val="22"/>
          <w:szCs w:val="22"/>
        </w:rPr>
        <w:t>,</w:t>
      </w:r>
      <w:r w:rsidR="00F31D3E" w:rsidRPr="003676AB">
        <w:rPr>
          <w:sz w:val="22"/>
          <w:szCs w:val="22"/>
        </w:rPr>
        <w:t xml:space="preserve"> it seems</w:t>
      </w:r>
      <w:r w:rsidR="008F0316" w:rsidRPr="003676AB">
        <w:rPr>
          <w:sz w:val="22"/>
          <w:szCs w:val="22"/>
        </w:rPr>
        <w:t xml:space="preserve"> that the Court accepted that criminal law harmonisation by means of ‘regulations’</w:t>
      </w:r>
      <w:r w:rsidR="00F31D3E" w:rsidRPr="003676AB">
        <w:rPr>
          <w:sz w:val="22"/>
          <w:szCs w:val="22"/>
        </w:rPr>
        <w:t xml:space="preserve"> was allowed</w:t>
      </w:r>
      <w:r w:rsidR="008F0316" w:rsidRPr="003676AB">
        <w:rPr>
          <w:rFonts w:eastAsia="Calibri"/>
          <w:sz w:val="22"/>
          <w:szCs w:val="22"/>
        </w:rPr>
        <w:t>.</w:t>
      </w:r>
      <w:r w:rsidR="008F0316" w:rsidRPr="003676AB">
        <w:rPr>
          <w:rStyle w:val="Fotnotsreferens"/>
          <w:rFonts w:eastAsia="Calibri"/>
          <w:sz w:val="22"/>
          <w:szCs w:val="22"/>
        </w:rPr>
        <w:footnoteReference w:id="110"/>
      </w:r>
      <w:r w:rsidR="008F0316" w:rsidRPr="003676AB">
        <w:rPr>
          <w:rFonts w:eastAsia="Calibri"/>
          <w:sz w:val="22"/>
          <w:szCs w:val="22"/>
        </w:rPr>
        <w:t xml:space="preserve"> This </w:t>
      </w:r>
      <w:r w:rsidR="0011260F" w:rsidRPr="003676AB">
        <w:rPr>
          <w:rFonts w:eastAsia="Calibri"/>
          <w:sz w:val="22"/>
          <w:szCs w:val="22"/>
        </w:rPr>
        <w:t xml:space="preserve">follows from the </w:t>
      </w:r>
      <w:r w:rsidR="008F0316" w:rsidRPr="003676AB">
        <w:rPr>
          <w:rFonts w:eastAsia="Calibri"/>
          <w:sz w:val="22"/>
          <w:szCs w:val="22"/>
        </w:rPr>
        <w:t>simple fact that the ‘ordi</w:t>
      </w:r>
      <w:r w:rsidR="0011260F" w:rsidRPr="003676AB">
        <w:rPr>
          <w:rFonts w:eastAsia="Calibri"/>
          <w:sz w:val="22"/>
          <w:szCs w:val="22"/>
        </w:rPr>
        <w:t>nary decision-making’ procedure</w:t>
      </w:r>
      <w:r w:rsidR="008F0316" w:rsidRPr="003676AB">
        <w:rPr>
          <w:rFonts w:eastAsia="Calibri"/>
          <w:sz w:val="22"/>
          <w:szCs w:val="22"/>
        </w:rPr>
        <w:t xml:space="preserve"> </w:t>
      </w:r>
      <w:r w:rsidR="0011260F" w:rsidRPr="003676AB">
        <w:rPr>
          <w:rFonts w:eastAsia="Calibri"/>
          <w:sz w:val="22"/>
          <w:szCs w:val="22"/>
        </w:rPr>
        <w:t>(</w:t>
      </w:r>
      <w:r w:rsidR="008F0316" w:rsidRPr="003676AB">
        <w:rPr>
          <w:rFonts w:eastAsia="Calibri"/>
          <w:sz w:val="22"/>
          <w:szCs w:val="22"/>
        </w:rPr>
        <w:t>if nothing else is expressly stated</w:t>
      </w:r>
      <w:r w:rsidR="0011260F" w:rsidRPr="003676AB">
        <w:rPr>
          <w:rFonts w:eastAsia="Calibri"/>
          <w:sz w:val="22"/>
          <w:szCs w:val="22"/>
        </w:rPr>
        <w:t>)</w:t>
      </w:r>
      <w:r w:rsidR="008F0316" w:rsidRPr="003676AB">
        <w:rPr>
          <w:rFonts w:eastAsia="Calibri"/>
          <w:sz w:val="22"/>
          <w:szCs w:val="22"/>
        </w:rPr>
        <w:t xml:space="preserve"> allows for harmonisation through the adoption of ‘regulations’</w:t>
      </w:r>
      <w:r w:rsidR="00214A6E" w:rsidRPr="003676AB">
        <w:rPr>
          <w:rFonts w:eastAsia="Calibri"/>
          <w:sz w:val="22"/>
          <w:szCs w:val="22"/>
        </w:rPr>
        <w:t>.</w:t>
      </w:r>
      <w:r w:rsidR="008F0316" w:rsidRPr="003676AB">
        <w:rPr>
          <w:rStyle w:val="Fotnotsreferens"/>
          <w:rFonts w:eastAsia="Calibri"/>
          <w:sz w:val="22"/>
          <w:szCs w:val="22"/>
        </w:rPr>
        <w:footnoteReference w:id="111"/>
      </w:r>
      <w:r w:rsidR="008F0316" w:rsidRPr="003676AB">
        <w:rPr>
          <w:rFonts w:eastAsia="Calibri"/>
          <w:sz w:val="22"/>
          <w:szCs w:val="22"/>
        </w:rPr>
        <w:t xml:space="preserve"> It is also arguable that the Court’s pre-Lisbon case law remains intact, albeit ‘dormant’</w:t>
      </w:r>
      <w:r w:rsidR="00F31D3E" w:rsidRPr="003676AB">
        <w:rPr>
          <w:rFonts w:eastAsia="Calibri"/>
          <w:sz w:val="22"/>
          <w:szCs w:val="22"/>
        </w:rPr>
        <w:t>, to be triggered only when</w:t>
      </w:r>
      <w:r w:rsidR="008F0316" w:rsidRPr="003676AB">
        <w:rPr>
          <w:rFonts w:eastAsia="Calibri"/>
          <w:sz w:val="22"/>
          <w:szCs w:val="22"/>
        </w:rPr>
        <w:t xml:space="preserve"> </w:t>
      </w:r>
      <w:r w:rsidR="00F400B5" w:rsidRPr="003676AB">
        <w:rPr>
          <w:rFonts w:eastAsia="Calibri"/>
          <w:sz w:val="22"/>
          <w:szCs w:val="22"/>
        </w:rPr>
        <w:t>art.</w:t>
      </w:r>
      <w:r w:rsidR="008F0316" w:rsidRPr="003676AB">
        <w:rPr>
          <w:rFonts w:eastAsia="Calibri"/>
          <w:sz w:val="22"/>
          <w:szCs w:val="22"/>
        </w:rPr>
        <w:t xml:space="preserve"> 83 TFEU is not available.</w:t>
      </w:r>
      <w:r w:rsidR="008F0316" w:rsidRPr="003676AB">
        <w:rPr>
          <w:rFonts w:eastAsia="Calibri"/>
          <w:sz w:val="22"/>
          <w:szCs w:val="22"/>
          <w:vertAlign w:val="superscript"/>
        </w:rPr>
        <w:t xml:space="preserve"> </w:t>
      </w:r>
      <w:r w:rsidR="00915B78" w:rsidRPr="003676AB">
        <w:rPr>
          <w:rFonts w:eastAsia="Calibri"/>
          <w:sz w:val="22"/>
          <w:szCs w:val="22"/>
        </w:rPr>
        <w:t>I</w:t>
      </w:r>
      <w:r w:rsidRPr="003676AB">
        <w:rPr>
          <w:rFonts w:eastAsia="Calibri"/>
          <w:sz w:val="22"/>
          <w:szCs w:val="22"/>
        </w:rPr>
        <w:t>f the drafters of the Treaties</w:t>
      </w:r>
      <w:r w:rsidR="00915B78" w:rsidRPr="003676AB">
        <w:rPr>
          <w:rFonts w:eastAsia="Calibri"/>
          <w:sz w:val="22"/>
          <w:szCs w:val="22"/>
        </w:rPr>
        <w:t xml:space="preserve"> </w:t>
      </w:r>
      <w:r w:rsidR="00591F25" w:rsidRPr="003676AB">
        <w:rPr>
          <w:rFonts w:eastAsia="Calibri"/>
          <w:sz w:val="22"/>
          <w:szCs w:val="22"/>
        </w:rPr>
        <w:t xml:space="preserve">had the </w:t>
      </w:r>
      <w:r w:rsidRPr="003676AB">
        <w:rPr>
          <w:rFonts w:eastAsia="Calibri"/>
          <w:sz w:val="22"/>
          <w:szCs w:val="22"/>
        </w:rPr>
        <w:t>intention to reserve criminal law harmonisation to Title V of the Treaties</w:t>
      </w:r>
      <w:r w:rsidR="008F0316" w:rsidRPr="003676AB">
        <w:rPr>
          <w:rFonts w:eastAsia="Calibri"/>
          <w:sz w:val="22"/>
          <w:szCs w:val="22"/>
        </w:rPr>
        <w:t xml:space="preserve"> and extinguish the pre-Lisbon criminal law competence</w:t>
      </w:r>
      <w:r w:rsidRPr="003676AB">
        <w:rPr>
          <w:rFonts w:eastAsia="Calibri"/>
          <w:sz w:val="22"/>
          <w:szCs w:val="22"/>
        </w:rPr>
        <w:t>, they should have expressed this by more unambiguous wording.</w:t>
      </w:r>
      <w:r w:rsidR="008F0316" w:rsidRPr="003676AB">
        <w:rPr>
          <w:rStyle w:val="Fotnotsreferens"/>
          <w:rFonts w:eastAsia="Calibri"/>
          <w:sz w:val="22"/>
          <w:szCs w:val="22"/>
        </w:rPr>
        <w:footnoteReference w:id="112"/>
      </w:r>
      <w:r w:rsidR="008F0316" w:rsidRPr="003676AB">
        <w:rPr>
          <w:rFonts w:eastAsia="Calibri"/>
          <w:sz w:val="22"/>
          <w:szCs w:val="22"/>
          <w:vertAlign w:val="superscript"/>
        </w:rPr>
        <w:t xml:space="preserve"> </w:t>
      </w:r>
      <w:r w:rsidR="00406593" w:rsidRPr="003676AB">
        <w:rPr>
          <w:rFonts w:eastAsia="Calibri"/>
          <w:sz w:val="22"/>
          <w:szCs w:val="22"/>
        </w:rPr>
        <w:t xml:space="preserve"> </w:t>
      </w:r>
      <w:r w:rsidR="00214A6E" w:rsidRPr="003676AB">
        <w:rPr>
          <w:rFonts w:eastAsia="Calibri"/>
          <w:sz w:val="22"/>
          <w:szCs w:val="22"/>
        </w:rPr>
        <w:t>I</w:t>
      </w:r>
      <w:r w:rsidR="008F0316" w:rsidRPr="003676AB">
        <w:rPr>
          <w:rFonts w:eastAsia="Calibri"/>
          <w:sz w:val="22"/>
          <w:szCs w:val="22"/>
        </w:rPr>
        <w:t xml:space="preserve">t </w:t>
      </w:r>
      <w:r w:rsidR="00214A6E" w:rsidRPr="003676AB">
        <w:rPr>
          <w:rFonts w:eastAsia="Calibri"/>
          <w:sz w:val="22"/>
          <w:szCs w:val="22"/>
        </w:rPr>
        <w:t xml:space="preserve">therefore </w:t>
      </w:r>
      <w:r w:rsidR="008F0316" w:rsidRPr="003676AB">
        <w:rPr>
          <w:rFonts w:eastAsia="Calibri"/>
          <w:sz w:val="22"/>
          <w:szCs w:val="22"/>
        </w:rPr>
        <w:t>appears</w:t>
      </w:r>
      <w:r w:rsidR="00F31D3E" w:rsidRPr="003676AB">
        <w:rPr>
          <w:rFonts w:eastAsia="Calibri"/>
          <w:sz w:val="22"/>
          <w:szCs w:val="22"/>
        </w:rPr>
        <w:t xml:space="preserve"> unlikely</w:t>
      </w:r>
      <w:r w:rsidR="008F0316" w:rsidRPr="003676AB">
        <w:rPr>
          <w:rFonts w:eastAsia="Calibri"/>
          <w:sz w:val="22"/>
          <w:szCs w:val="22"/>
        </w:rPr>
        <w:t xml:space="preserve"> that the Court’s</w:t>
      </w:r>
      <w:r w:rsidR="00F31D3E" w:rsidRPr="003676AB">
        <w:rPr>
          <w:rFonts w:eastAsia="Calibri"/>
          <w:sz w:val="22"/>
          <w:szCs w:val="22"/>
        </w:rPr>
        <w:t xml:space="preserve"> application</w:t>
      </w:r>
      <w:r w:rsidR="008F0316" w:rsidRPr="003676AB">
        <w:rPr>
          <w:rFonts w:eastAsia="Calibri"/>
          <w:sz w:val="22"/>
          <w:szCs w:val="22"/>
        </w:rPr>
        <w:t xml:space="preserve"> </w:t>
      </w:r>
      <w:r w:rsidR="00214A6E" w:rsidRPr="003676AB">
        <w:rPr>
          <w:rFonts w:eastAsia="Calibri"/>
          <w:sz w:val="22"/>
          <w:szCs w:val="22"/>
        </w:rPr>
        <w:t xml:space="preserve">of its </w:t>
      </w:r>
      <w:r w:rsidR="00F31D3E" w:rsidRPr="003676AB">
        <w:rPr>
          <w:rFonts w:eastAsia="Calibri"/>
          <w:sz w:val="22"/>
          <w:szCs w:val="22"/>
        </w:rPr>
        <w:t>‘</w:t>
      </w:r>
      <w:r w:rsidR="008F0316" w:rsidRPr="003676AB">
        <w:rPr>
          <w:rFonts w:eastAsia="Calibri"/>
          <w:sz w:val="22"/>
          <w:szCs w:val="22"/>
        </w:rPr>
        <w:t>main aim</w:t>
      </w:r>
      <w:r w:rsidR="00F31D3E" w:rsidRPr="003676AB">
        <w:rPr>
          <w:rFonts w:eastAsia="Calibri"/>
          <w:sz w:val="22"/>
          <w:szCs w:val="22"/>
        </w:rPr>
        <w:t>’</w:t>
      </w:r>
      <w:r w:rsidR="008F0316" w:rsidRPr="003676AB">
        <w:rPr>
          <w:rFonts w:eastAsia="Calibri"/>
          <w:sz w:val="22"/>
          <w:szCs w:val="22"/>
        </w:rPr>
        <w:t xml:space="preserve"> doctrine </w:t>
      </w:r>
      <w:r w:rsidR="00F31D3E" w:rsidRPr="003676AB">
        <w:rPr>
          <w:rFonts w:eastAsia="Calibri"/>
          <w:sz w:val="22"/>
          <w:szCs w:val="22"/>
        </w:rPr>
        <w:t>would accept the presence of an exclusive legal basis for criminalisation measures if the ‘predominant’ component does not belong to the sphere of criminal law.</w:t>
      </w:r>
      <w:r w:rsidR="00F31D3E" w:rsidRPr="003676AB">
        <w:rPr>
          <w:rStyle w:val="Fotnotsreferens"/>
          <w:rFonts w:eastAsia="Calibri"/>
          <w:sz w:val="22"/>
          <w:szCs w:val="22"/>
        </w:rPr>
        <w:footnoteReference w:id="113"/>
      </w:r>
      <w:r w:rsidR="00F31D3E" w:rsidRPr="003676AB">
        <w:rPr>
          <w:rFonts w:eastAsia="Calibri"/>
          <w:sz w:val="22"/>
          <w:szCs w:val="22"/>
        </w:rPr>
        <w:t xml:space="preserve"> </w:t>
      </w:r>
      <w:r w:rsidR="00915B78" w:rsidRPr="003676AB">
        <w:rPr>
          <w:rFonts w:eastAsia="Calibri"/>
          <w:sz w:val="22"/>
          <w:szCs w:val="22"/>
        </w:rPr>
        <w:t>This reinforces the point that criminal law regulation containing decriminalisation provision</w:t>
      </w:r>
      <w:r w:rsidR="0011260F" w:rsidRPr="003676AB">
        <w:rPr>
          <w:rFonts w:eastAsia="Calibri"/>
          <w:sz w:val="22"/>
          <w:szCs w:val="22"/>
        </w:rPr>
        <w:t>s, such as that described above,</w:t>
      </w:r>
      <w:r w:rsidR="00915B78" w:rsidRPr="003676AB">
        <w:rPr>
          <w:rFonts w:eastAsia="Calibri"/>
          <w:sz w:val="22"/>
          <w:szCs w:val="22"/>
        </w:rPr>
        <w:t xml:space="preserve"> could be adopted under a non-AFSJ legal basis.</w:t>
      </w:r>
      <w:r w:rsidRPr="003676AB">
        <w:rPr>
          <w:rFonts w:eastAsia="Calibri"/>
          <w:sz w:val="22"/>
          <w:szCs w:val="22"/>
        </w:rPr>
        <w:t xml:space="preserve"> </w:t>
      </w:r>
    </w:p>
    <w:p w14:paraId="384768FE" w14:textId="1C98F508" w:rsidR="000061A1" w:rsidRPr="003676AB" w:rsidRDefault="00915B78" w:rsidP="009A2233">
      <w:pPr>
        <w:spacing w:after="200"/>
        <w:rPr>
          <w:rFonts w:eastAsia="Calibri"/>
          <w:sz w:val="22"/>
          <w:szCs w:val="22"/>
        </w:rPr>
      </w:pPr>
      <w:r w:rsidRPr="003676AB">
        <w:rPr>
          <w:rFonts w:eastAsia="Calibri"/>
          <w:sz w:val="22"/>
          <w:szCs w:val="22"/>
        </w:rPr>
        <w:t xml:space="preserve">Another </w:t>
      </w:r>
      <w:r w:rsidR="00F31D3E" w:rsidRPr="003676AB">
        <w:rPr>
          <w:rFonts w:eastAsia="Calibri"/>
          <w:sz w:val="22"/>
          <w:szCs w:val="22"/>
        </w:rPr>
        <w:t xml:space="preserve">potentially important </w:t>
      </w:r>
      <w:r w:rsidRPr="003676AB">
        <w:rPr>
          <w:rFonts w:eastAsia="Calibri"/>
          <w:sz w:val="22"/>
          <w:szCs w:val="22"/>
        </w:rPr>
        <w:t xml:space="preserve">limitation </w:t>
      </w:r>
      <w:r w:rsidR="0011260F" w:rsidRPr="003676AB">
        <w:rPr>
          <w:rFonts w:eastAsia="Calibri"/>
          <w:sz w:val="22"/>
          <w:szCs w:val="22"/>
        </w:rPr>
        <w:t xml:space="preserve">to </w:t>
      </w:r>
      <w:r w:rsidRPr="003676AB">
        <w:rPr>
          <w:rFonts w:eastAsia="Calibri"/>
          <w:sz w:val="22"/>
          <w:szCs w:val="22"/>
        </w:rPr>
        <w:t xml:space="preserve">the scope of </w:t>
      </w:r>
      <w:r w:rsidR="00F400B5" w:rsidRPr="003676AB">
        <w:rPr>
          <w:rFonts w:eastAsia="Calibri"/>
          <w:sz w:val="22"/>
          <w:szCs w:val="22"/>
        </w:rPr>
        <w:t>art.</w:t>
      </w:r>
      <w:r w:rsidR="00051C62" w:rsidRPr="003676AB">
        <w:rPr>
          <w:rFonts w:eastAsia="Calibri"/>
          <w:sz w:val="22"/>
          <w:szCs w:val="22"/>
        </w:rPr>
        <w:t xml:space="preserve"> 83(2) TFEU</w:t>
      </w:r>
      <w:r w:rsidRPr="003676AB">
        <w:rPr>
          <w:rFonts w:eastAsia="Calibri"/>
          <w:sz w:val="22"/>
          <w:szCs w:val="22"/>
        </w:rPr>
        <w:t xml:space="preserve"> is that </w:t>
      </w:r>
      <w:r w:rsidR="0011260F" w:rsidRPr="003676AB">
        <w:rPr>
          <w:rFonts w:eastAsia="Calibri"/>
          <w:sz w:val="22"/>
          <w:szCs w:val="22"/>
        </w:rPr>
        <w:t xml:space="preserve">it </w:t>
      </w:r>
      <w:r w:rsidR="00051C62" w:rsidRPr="003676AB">
        <w:rPr>
          <w:rFonts w:eastAsia="Calibri"/>
          <w:sz w:val="22"/>
          <w:szCs w:val="22"/>
        </w:rPr>
        <w:t xml:space="preserve">does not cover </w:t>
      </w:r>
      <w:r w:rsidR="0011260F" w:rsidRPr="003676AB">
        <w:rPr>
          <w:rFonts w:eastAsia="Calibri"/>
          <w:sz w:val="22"/>
          <w:szCs w:val="22"/>
        </w:rPr>
        <w:t xml:space="preserve">the </w:t>
      </w:r>
      <w:r w:rsidR="00051C62" w:rsidRPr="003676AB">
        <w:rPr>
          <w:rFonts w:eastAsia="Calibri"/>
          <w:sz w:val="22"/>
          <w:szCs w:val="22"/>
        </w:rPr>
        <w:t xml:space="preserve">criminalisation </w:t>
      </w:r>
      <w:r w:rsidR="0011260F" w:rsidRPr="003676AB">
        <w:rPr>
          <w:rFonts w:eastAsia="Calibri"/>
          <w:sz w:val="22"/>
          <w:szCs w:val="22"/>
        </w:rPr>
        <w:t xml:space="preserve">of conduct in </w:t>
      </w:r>
      <w:r w:rsidR="00051C62" w:rsidRPr="003676AB">
        <w:rPr>
          <w:rFonts w:eastAsia="Calibri"/>
          <w:sz w:val="22"/>
          <w:szCs w:val="22"/>
        </w:rPr>
        <w:t>fields that have not been subject to ‘harmonisation’ measures.</w:t>
      </w:r>
      <w:r w:rsidR="009363FD" w:rsidRPr="003676AB">
        <w:rPr>
          <w:rFonts w:eastAsia="Calibri"/>
          <w:sz w:val="22"/>
          <w:szCs w:val="22"/>
        </w:rPr>
        <w:t xml:space="preserve"> </w:t>
      </w:r>
      <w:r w:rsidR="0087539F" w:rsidRPr="003676AB">
        <w:rPr>
          <w:sz w:val="22"/>
          <w:szCs w:val="22"/>
        </w:rPr>
        <w:t xml:space="preserve">It is, for example, unclear whether </w:t>
      </w:r>
      <w:r w:rsidR="00F400B5" w:rsidRPr="003676AB">
        <w:rPr>
          <w:sz w:val="22"/>
          <w:szCs w:val="22"/>
        </w:rPr>
        <w:t>art.</w:t>
      </w:r>
      <w:r w:rsidR="0087539F" w:rsidRPr="003676AB">
        <w:rPr>
          <w:sz w:val="22"/>
          <w:szCs w:val="22"/>
        </w:rPr>
        <w:t xml:space="preserve"> 83(2) TFEU would allow for criminalisation </w:t>
      </w:r>
      <w:r w:rsidR="00F31D3E" w:rsidRPr="003676AB">
        <w:rPr>
          <w:sz w:val="22"/>
          <w:szCs w:val="22"/>
        </w:rPr>
        <w:t>where there is no previous harmonisation measure.</w:t>
      </w:r>
      <w:r w:rsidR="0087539F" w:rsidRPr="003676AB">
        <w:rPr>
          <w:sz w:val="22"/>
          <w:szCs w:val="22"/>
        </w:rPr>
        <w:t xml:space="preserve"> EU competition policy</w:t>
      </w:r>
      <w:r w:rsidR="00F31D3E" w:rsidRPr="003676AB">
        <w:rPr>
          <w:sz w:val="22"/>
          <w:szCs w:val="22"/>
        </w:rPr>
        <w:t xml:space="preserve"> is an illustrative example. Whilst</w:t>
      </w:r>
      <w:r w:rsidR="0087539F" w:rsidRPr="003676AB">
        <w:rPr>
          <w:rFonts w:eastAsia="Calibri"/>
          <w:sz w:val="22"/>
          <w:szCs w:val="22"/>
        </w:rPr>
        <w:t xml:space="preserve"> EU Competition law is one of the most harmonized and integrated areas of EU law’</w:t>
      </w:r>
      <w:r w:rsidR="004E0C6F" w:rsidRPr="003676AB">
        <w:rPr>
          <w:rFonts w:eastAsia="Calibri"/>
          <w:sz w:val="22"/>
          <w:szCs w:val="22"/>
        </w:rPr>
        <w:t>,</w:t>
      </w:r>
      <w:r w:rsidR="0087539F" w:rsidRPr="003676AB">
        <w:rPr>
          <w:rFonts w:eastAsia="Calibri"/>
          <w:sz w:val="22"/>
          <w:szCs w:val="22"/>
          <w:vertAlign w:val="superscript"/>
        </w:rPr>
        <w:footnoteReference w:id="114"/>
      </w:r>
      <w:r w:rsidR="0087539F" w:rsidRPr="003676AB">
        <w:rPr>
          <w:rFonts w:eastAsia="Calibri"/>
          <w:sz w:val="22"/>
          <w:szCs w:val="22"/>
        </w:rPr>
        <w:t xml:space="preserve"> there are no specific harmonization measures adopted in the field of EU competition law that </w:t>
      </w:r>
      <w:r w:rsidR="0011260F" w:rsidRPr="003676AB">
        <w:rPr>
          <w:rFonts w:eastAsia="Calibri"/>
          <w:sz w:val="22"/>
          <w:szCs w:val="22"/>
        </w:rPr>
        <w:t xml:space="preserve">would </w:t>
      </w:r>
      <w:r w:rsidR="0087539F" w:rsidRPr="003676AB">
        <w:rPr>
          <w:rFonts w:eastAsia="Calibri"/>
          <w:sz w:val="22"/>
          <w:szCs w:val="22"/>
        </w:rPr>
        <w:t xml:space="preserve">provide the necessary foundation for criminal law harmonization under </w:t>
      </w:r>
      <w:r w:rsidR="00635935" w:rsidRPr="003676AB">
        <w:rPr>
          <w:rFonts w:eastAsia="Calibri"/>
          <w:sz w:val="22"/>
          <w:szCs w:val="22"/>
        </w:rPr>
        <w:t xml:space="preserve">art. </w:t>
      </w:r>
      <w:r w:rsidR="0087539F" w:rsidRPr="003676AB">
        <w:rPr>
          <w:rFonts w:eastAsia="Calibri"/>
          <w:sz w:val="22"/>
          <w:szCs w:val="22"/>
        </w:rPr>
        <w:t>83(2) TFEU. Art</w:t>
      </w:r>
      <w:r w:rsidR="00C60FB1" w:rsidRPr="003676AB">
        <w:rPr>
          <w:rFonts w:eastAsia="Calibri"/>
          <w:sz w:val="22"/>
          <w:szCs w:val="22"/>
        </w:rPr>
        <w:t>.</w:t>
      </w:r>
      <w:r w:rsidR="0087539F" w:rsidRPr="003676AB">
        <w:rPr>
          <w:rFonts w:eastAsia="Calibri"/>
          <w:sz w:val="22"/>
          <w:szCs w:val="22"/>
        </w:rPr>
        <w:t xml:space="preserve"> 83(2) TFEU</w:t>
      </w:r>
      <w:r w:rsidR="00F31D3E" w:rsidRPr="003676AB">
        <w:rPr>
          <w:rFonts w:eastAsia="Calibri"/>
          <w:sz w:val="22"/>
          <w:szCs w:val="22"/>
        </w:rPr>
        <w:t xml:space="preserve"> appears to require</w:t>
      </w:r>
      <w:r w:rsidR="0087539F" w:rsidRPr="003676AB">
        <w:rPr>
          <w:rFonts w:eastAsia="Calibri"/>
          <w:sz w:val="22"/>
          <w:szCs w:val="22"/>
        </w:rPr>
        <w:t xml:space="preserve"> that </w:t>
      </w:r>
      <w:r w:rsidR="0087539F" w:rsidRPr="003676AB">
        <w:rPr>
          <w:rFonts w:eastAsia="Calibri"/>
          <w:iCs/>
          <w:sz w:val="22"/>
          <w:szCs w:val="22"/>
        </w:rPr>
        <w:t xml:space="preserve">prior harmonisation must have taken place through an ‘ordinary’ or ‘special’ legislative procedure. The problem is that harmonization of EU competition law has taken place primarily through the codification </w:t>
      </w:r>
      <w:r w:rsidR="0087539F" w:rsidRPr="003676AB">
        <w:rPr>
          <w:rFonts w:eastAsia="Calibri"/>
          <w:iCs/>
          <w:sz w:val="22"/>
          <w:szCs w:val="22"/>
        </w:rPr>
        <w:lastRenderedPageBreak/>
        <w:t xml:space="preserve">of substantive prohibitions contained in </w:t>
      </w:r>
      <w:r w:rsidR="00C60FB1" w:rsidRPr="003676AB">
        <w:rPr>
          <w:rFonts w:eastAsia="Calibri"/>
          <w:iCs/>
          <w:sz w:val="22"/>
          <w:szCs w:val="22"/>
        </w:rPr>
        <w:t>arts</w:t>
      </w:r>
      <w:r w:rsidR="0087539F" w:rsidRPr="003676AB">
        <w:rPr>
          <w:rFonts w:eastAsia="Calibri"/>
          <w:iCs/>
          <w:sz w:val="22"/>
          <w:szCs w:val="22"/>
        </w:rPr>
        <w:t xml:space="preserve"> 101 and 102 TFEU. Given that harmonization of the EU competition rules has taken place by the Treaties</w:t>
      </w:r>
      <w:r w:rsidR="00AB417C" w:rsidRPr="003676AB">
        <w:rPr>
          <w:rFonts w:eastAsia="Calibri"/>
          <w:iCs/>
          <w:sz w:val="22"/>
          <w:szCs w:val="22"/>
        </w:rPr>
        <w:t>,</w:t>
      </w:r>
      <w:r w:rsidR="0087539F" w:rsidRPr="003676AB">
        <w:rPr>
          <w:rFonts w:eastAsia="Calibri"/>
          <w:iCs/>
          <w:sz w:val="22"/>
          <w:szCs w:val="22"/>
          <w:vertAlign w:val="superscript"/>
        </w:rPr>
        <w:footnoteReference w:id="115"/>
      </w:r>
      <w:r w:rsidR="0087539F" w:rsidRPr="003676AB">
        <w:rPr>
          <w:rFonts w:eastAsia="Calibri"/>
          <w:iCs/>
          <w:sz w:val="22"/>
          <w:szCs w:val="22"/>
        </w:rPr>
        <w:t xml:space="preserve"> and not by means of a ‘legislative</w:t>
      </w:r>
      <w:r w:rsidR="00F31D3E" w:rsidRPr="003676AB">
        <w:rPr>
          <w:rFonts w:eastAsia="Calibri"/>
          <w:iCs/>
          <w:sz w:val="22"/>
          <w:szCs w:val="22"/>
        </w:rPr>
        <w:t xml:space="preserve"> act</w:t>
      </w:r>
      <w:r w:rsidR="0087539F" w:rsidRPr="003676AB">
        <w:rPr>
          <w:rFonts w:eastAsia="Calibri"/>
          <w:iCs/>
          <w:sz w:val="22"/>
          <w:szCs w:val="22"/>
        </w:rPr>
        <w:t>’</w:t>
      </w:r>
      <w:r w:rsidR="00F31D3E" w:rsidRPr="003676AB">
        <w:rPr>
          <w:rFonts w:eastAsia="Calibri"/>
          <w:iCs/>
          <w:sz w:val="22"/>
          <w:szCs w:val="22"/>
        </w:rPr>
        <w:t xml:space="preserve"> per se</w:t>
      </w:r>
      <w:r w:rsidR="0087539F" w:rsidRPr="003676AB">
        <w:rPr>
          <w:rFonts w:eastAsia="Calibri"/>
          <w:iCs/>
          <w:sz w:val="22"/>
          <w:szCs w:val="22"/>
        </w:rPr>
        <w:t xml:space="preserve"> within the meaning of </w:t>
      </w:r>
      <w:r w:rsidR="00C60FB1" w:rsidRPr="003676AB">
        <w:rPr>
          <w:rFonts w:eastAsia="Calibri"/>
          <w:iCs/>
          <w:sz w:val="22"/>
          <w:szCs w:val="22"/>
        </w:rPr>
        <w:t>art.</w:t>
      </w:r>
      <w:r w:rsidR="0087539F" w:rsidRPr="003676AB">
        <w:rPr>
          <w:rFonts w:eastAsia="Calibri"/>
          <w:iCs/>
          <w:sz w:val="22"/>
          <w:szCs w:val="22"/>
        </w:rPr>
        <w:t xml:space="preserve"> 289</w:t>
      </w:r>
      <w:r w:rsidR="004E0C6F" w:rsidRPr="003676AB">
        <w:rPr>
          <w:rFonts w:eastAsia="Calibri"/>
          <w:iCs/>
          <w:sz w:val="22"/>
          <w:szCs w:val="22"/>
        </w:rPr>
        <w:t xml:space="preserve"> (</w:t>
      </w:r>
      <w:r w:rsidR="00540765" w:rsidRPr="003676AB">
        <w:rPr>
          <w:rFonts w:eastAsia="Calibri"/>
          <w:iCs/>
          <w:sz w:val="22"/>
          <w:szCs w:val="22"/>
        </w:rPr>
        <w:t>1) -(</w:t>
      </w:r>
      <w:r w:rsidR="00F31D3E" w:rsidRPr="003676AB">
        <w:rPr>
          <w:rFonts w:eastAsia="Calibri"/>
          <w:iCs/>
          <w:sz w:val="22"/>
          <w:szCs w:val="22"/>
        </w:rPr>
        <w:t>3)</w:t>
      </w:r>
      <w:r w:rsidR="0087539F" w:rsidRPr="003676AB">
        <w:rPr>
          <w:rFonts w:eastAsia="Calibri"/>
          <w:iCs/>
          <w:sz w:val="22"/>
          <w:szCs w:val="22"/>
        </w:rPr>
        <w:t xml:space="preserve"> TFEU, the Union legisla</w:t>
      </w:r>
      <w:r w:rsidR="00F31D3E" w:rsidRPr="003676AB">
        <w:rPr>
          <w:rFonts w:eastAsia="Calibri"/>
          <w:iCs/>
          <w:sz w:val="22"/>
          <w:szCs w:val="22"/>
        </w:rPr>
        <w:t>tor cannot rely on this harmonis</w:t>
      </w:r>
      <w:r w:rsidR="0087539F" w:rsidRPr="003676AB">
        <w:rPr>
          <w:rFonts w:eastAsia="Calibri"/>
          <w:iCs/>
          <w:sz w:val="22"/>
          <w:szCs w:val="22"/>
        </w:rPr>
        <w:t xml:space="preserve">ation to trigger the competence in </w:t>
      </w:r>
      <w:r w:rsidR="00C60FB1" w:rsidRPr="003676AB">
        <w:rPr>
          <w:rFonts w:eastAsia="Calibri"/>
          <w:iCs/>
          <w:sz w:val="22"/>
          <w:szCs w:val="22"/>
        </w:rPr>
        <w:t>art.</w:t>
      </w:r>
      <w:r w:rsidR="0087539F" w:rsidRPr="003676AB">
        <w:rPr>
          <w:rFonts w:eastAsia="Calibri"/>
          <w:iCs/>
          <w:sz w:val="22"/>
          <w:szCs w:val="22"/>
        </w:rPr>
        <w:t xml:space="preserve"> 83(2) TFEU.</w:t>
      </w:r>
      <w:r w:rsidR="0087539F" w:rsidRPr="003676AB">
        <w:rPr>
          <w:rFonts w:eastAsia="Calibri"/>
          <w:iCs/>
          <w:sz w:val="22"/>
          <w:szCs w:val="22"/>
          <w:vertAlign w:val="superscript"/>
        </w:rPr>
        <w:footnoteReference w:id="116"/>
      </w:r>
      <w:r w:rsidR="00F31D3E" w:rsidRPr="003676AB">
        <w:rPr>
          <w:rFonts w:eastAsia="Calibri"/>
          <w:sz w:val="22"/>
          <w:szCs w:val="22"/>
          <w:vertAlign w:val="superscript"/>
        </w:rPr>
        <w:t xml:space="preserve"> </w:t>
      </w:r>
      <w:r w:rsidR="005F017C" w:rsidRPr="003676AB">
        <w:rPr>
          <w:rFonts w:eastAsia="Calibri"/>
          <w:sz w:val="22"/>
          <w:szCs w:val="22"/>
        </w:rPr>
        <w:t xml:space="preserve">Admittedly, </w:t>
      </w:r>
      <w:r w:rsidR="0087539F" w:rsidRPr="003676AB">
        <w:rPr>
          <w:rFonts w:eastAsia="Calibri"/>
          <w:iCs/>
          <w:sz w:val="22"/>
          <w:szCs w:val="22"/>
        </w:rPr>
        <w:t xml:space="preserve">some approximation of EU competition law has also taken place </w:t>
      </w:r>
      <w:r w:rsidR="0087539F" w:rsidRPr="003676AB">
        <w:rPr>
          <w:rFonts w:eastAsia="Calibri"/>
          <w:sz w:val="22"/>
          <w:szCs w:val="22"/>
        </w:rPr>
        <w:t xml:space="preserve">through secondary legislation, particularly based on the sectorial provision in </w:t>
      </w:r>
      <w:r w:rsidR="00C60FB1" w:rsidRPr="003676AB">
        <w:rPr>
          <w:rFonts w:eastAsia="Calibri"/>
          <w:sz w:val="22"/>
          <w:szCs w:val="22"/>
        </w:rPr>
        <w:t>art.</w:t>
      </w:r>
      <w:r w:rsidR="0087539F" w:rsidRPr="003676AB">
        <w:rPr>
          <w:rFonts w:eastAsia="Calibri"/>
          <w:sz w:val="22"/>
          <w:szCs w:val="22"/>
        </w:rPr>
        <w:t xml:space="preserve"> 103 TFEU.</w:t>
      </w:r>
      <w:r w:rsidR="005F017C" w:rsidRPr="003676AB">
        <w:rPr>
          <w:rFonts w:eastAsia="Calibri"/>
          <w:sz w:val="22"/>
          <w:szCs w:val="22"/>
        </w:rPr>
        <w:t xml:space="preserve"> The problem wit</w:t>
      </w:r>
      <w:r w:rsidR="00DA1DEC" w:rsidRPr="003676AB">
        <w:rPr>
          <w:rFonts w:eastAsia="Calibri"/>
          <w:sz w:val="22"/>
          <w:szCs w:val="22"/>
        </w:rPr>
        <w:t>h this kind of legislation, e</w:t>
      </w:r>
      <w:r w:rsidR="00C60FB1" w:rsidRPr="003676AB">
        <w:rPr>
          <w:rFonts w:eastAsia="Calibri"/>
          <w:sz w:val="22"/>
          <w:szCs w:val="22"/>
        </w:rPr>
        <w:t>.</w:t>
      </w:r>
      <w:r w:rsidR="00DA1DEC" w:rsidRPr="003676AB">
        <w:rPr>
          <w:rFonts w:eastAsia="Calibri"/>
          <w:sz w:val="22"/>
          <w:szCs w:val="22"/>
        </w:rPr>
        <w:t>g</w:t>
      </w:r>
      <w:r w:rsidR="00C60FB1" w:rsidRPr="003676AB">
        <w:rPr>
          <w:rFonts w:eastAsia="Calibri"/>
          <w:sz w:val="22"/>
          <w:szCs w:val="22"/>
        </w:rPr>
        <w:t>.</w:t>
      </w:r>
      <w:r w:rsidR="00DA1DEC" w:rsidRPr="003676AB">
        <w:rPr>
          <w:rFonts w:eastAsia="Calibri"/>
          <w:sz w:val="22"/>
          <w:szCs w:val="22"/>
        </w:rPr>
        <w:t xml:space="preserve"> Council </w:t>
      </w:r>
      <w:r w:rsidR="0087539F" w:rsidRPr="003676AB">
        <w:rPr>
          <w:rFonts w:eastAsia="Calibri"/>
          <w:sz w:val="22"/>
          <w:szCs w:val="22"/>
        </w:rPr>
        <w:t>Regulation 1/2003</w:t>
      </w:r>
      <w:r w:rsidR="0087539F" w:rsidRPr="003676AB">
        <w:rPr>
          <w:rFonts w:eastAsia="Calibri"/>
          <w:sz w:val="22"/>
          <w:szCs w:val="22"/>
          <w:vertAlign w:val="superscript"/>
        </w:rPr>
        <w:footnoteReference w:id="117"/>
      </w:r>
      <w:r w:rsidR="0087539F" w:rsidRPr="003676AB">
        <w:rPr>
          <w:rFonts w:eastAsia="Calibri"/>
          <w:sz w:val="22"/>
          <w:szCs w:val="22"/>
        </w:rPr>
        <w:t xml:space="preserve">, adopted </w:t>
      </w:r>
      <w:r w:rsidR="00CD6068" w:rsidRPr="003676AB">
        <w:rPr>
          <w:rFonts w:eastAsia="Calibri"/>
          <w:sz w:val="22"/>
          <w:szCs w:val="22"/>
        </w:rPr>
        <w:t xml:space="preserve">pursuant to </w:t>
      </w:r>
      <w:r w:rsidR="00C60FB1" w:rsidRPr="003676AB">
        <w:rPr>
          <w:rFonts w:eastAsia="Calibri"/>
          <w:sz w:val="22"/>
          <w:szCs w:val="22"/>
        </w:rPr>
        <w:t>art.</w:t>
      </w:r>
      <w:r w:rsidR="00F06F0B" w:rsidRPr="003676AB">
        <w:rPr>
          <w:rFonts w:eastAsia="Calibri"/>
          <w:sz w:val="22"/>
          <w:szCs w:val="22"/>
        </w:rPr>
        <w:t xml:space="preserve"> 103 TFEU</w:t>
      </w:r>
      <w:r w:rsidR="00DA1DEC" w:rsidRPr="003676AB">
        <w:rPr>
          <w:rFonts w:eastAsia="Calibri"/>
          <w:sz w:val="22"/>
          <w:szCs w:val="22"/>
        </w:rPr>
        <w:t xml:space="preserve"> </w:t>
      </w:r>
      <w:r w:rsidR="00F06F0B" w:rsidRPr="003676AB">
        <w:rPr>
          <w:rFonts w:eastAsia="Calibri"/>
          <w:sz w:val="22"/>
          <w:szCs w:val="22"/>
        </w:rPr>
        <w:t xml:space="preserve">is that this provision </w:t>
      </w:r>
      <w:r w:rsidR="0087539F" w:rsidRPr="003676AB">
        <w:rPr>
          <w:rFonts w:eastAsia="Calibri"/>
          <w:sz w:val="22"/>
          <w:szCs w:val="22"/>
        </w:rPr>
        <w:t>does not prescribe the use of the ‘ordinary’ or ‘special’ legislative proced</w:t>
      </w:r>
      <w:r w:rsidR="00F06F0B" w:rsidRPr="003676AB">
        <w:rPr>
          <w:rFonts w:eastAsia="Calibri"/>
          <w:sz w:val="22"/>
          <w:szCs w:val="22"/>
        </w:rPr>
        <w:t xml:space="preserve">ure for adoption of legislation. While it could be argued that </w:t>
      </w:r>
      <w:r w:rsidR="004E0C6F" w:rsidRPr="003676AB">
        <w:rPr>
          <w:rFonts w:eastAsia="Calibri"/>
          <w:sz w:val="22"/>
          <w:szCs w:val="22"/>
        </w:rPr>
        <w:t xml:space="preserve">in substantive terms </w:t>
      </w:r>
      <w:r w:rsidR="00C60FB1" w:rsidRPr="003676AB">
        <w:rPr>
          <w:rFonts w:eastAsia="Calibri"/>
          <w:sz w:val="22"/>
          <w:szCs w:val="22"/>
        </w:rPr>
        <w:t>art.</w:t>
      </w:r>
      <w:r w:rsidR="00F06F0B" w:rsidRPr="003676AB">
        <w:rPr>
          <w:rFonts w:eastAsia="Calibri"/>
          <w:sz w:val="22"/>
          <w:szCs w:val="22"/>
        </w:rPr>
        <w:t xml:space="preserve"> 103 TFEU must be considered a ‘special’ legislative procedure, the construction of the Treaties’ definitions of ‘legislative acts’ simply does not </w:t>
      </w:r>
      <w:r w:rsidR="00735CD7" w:rsidRPr="003676AB">
        <w:rPr>
          <w:rFonts w:eastAsia="Calibri"/>
          <w:sz w:val="22"/>
          <w:szCs w:val="22"/>
        </w:rPr>
        <w:t xml:space="preserve">allow for </w:t>
      </w:r>
      <w:r w:rsidR="00F06F0B" w:rsidRPr="003676AB">
        <w:rPr>
          <w:rFonts w:eastAsia="Calibri"/>
          <w:sz w:val="22"/>
          <w:szCs w:val="22"/>
        </w:rPr>
        <w:t>such a conclusion.</w:t>
      </w:r>
      <w:r w:rsidR="00F06F0B" w:rsidRPr="003676AB">
        <w:rPr>
          <w:rFonts w:eastAsia="Calibri"/>
          <w:sz w:val="22"/>
          <w:szCs w:val="22"/>
          <w:vertAlign w:val="superscript"/>
        </w:rPr>
        <w:footnoteReference w:id="118"/>
      </w:r>
      <w:r w:rsidR="00F06F0B" w:rsidRPr="003676AB">
        <w:rPr>
          <w:rFonts w:eastAsia="Calibri"/>
          <w:sz w:val="22"/>
          <w:szCs w:val="22"/>
        </w:rPr>
        <w:t xml:space="preserve"> Secondary legislation adopted based on </w:t>
      </w:r>
      <w:r w:rsidR="00C60FB1" w:rsidRPr="003676AB">
        <w:rPr>
          <w:rFonts w:eastAsia="Calibri"/>
          <w:sz w:val="22"/>
          <w:szCs w:val="22"/>
        </w:rPr>
        <w:t>art.</w:t>
      </w:r>
      <w:r w:rsidR="00F06F0B" w:rsidRPr="003676AB">
        <w:rPr>
          <w:rFonts w:eastAsia="Calibri"/>
          <w:sz w:val="22"/>
          <w:szCs w:val="22"/>
        </w:rPr>
        <w:t xml:space="preserve"> 103 TFEU cannot thus be used as a ‘harmonis</w:t>
      </w:r>
      <w:r w:rsidR="0087539F" w:rsidRPr="003676AB">
        <w:rPr>
          <w:rFonts w:eastAsia="Calibri"/>
          <w:sz w:val="22"/>
          <w:szCs w:val="22"/>
        </w:rPr>
        <w:t xml:space="preserve">ation’ measure for the purposes of </w:t>
      </w:r>
      <w:r w:rsidR="00C60FB1" w:rsidRPr="003676AB">
        <w:rPr>
          <w:rFonts w:eastAsia="Calibri"/>
          <w:sz w:val="22"/>
          <w:szCs w:val="22"/>
        </w:rPr>
        <w:t>art.</w:t>
      </w:r>
      <w:r w:rsidR="0087539F" w:rsidRPr="003676AB">
        <w:rPr>
          <w:rFonts w:eastAsia="Calibri"/>
          <w:sz w:val="22"/>
          <w:szCs w:val="22"/>
        </w:rPr>
        <w:t xml:space="preserve"> 83(2) TFEU. </w:t>
      </w:r>
      <w:proofErr w:type="gramStart"/>
      <w:r w:rsidR="00E000BA" w:rsidRPr="003676AB">
        <w:rPr>
          <w:rFonts w:eastAsia="Calibri"/>
          <w:sz w:val="22"/>
          <w:szCs w:val="22"/>
        </w:rPr>
        <w:t>In light of</w:t>
      </w:r>
      <w:proofErr w:type="gramEnd"/>
      <w:r w:rsidR="00E000BA" w:rsidRPr="003676AB">
        <w:rPr>
          <w:rFonts w:eastAsia="Calibri"/>
          <w:sz w:val="22"/>
          <w:szCs w:val="22"/>
        </w:rPr>
        <w:t xml:space="preserve"> these arguments</w:t>
      </w:r>
      <w:r w:rsidR="00C60272" w:rsidRPr="003676AB">
        <w:rPr>
          <w:rFonts w:eastAsia="Calibri"/>
          <w:sz w:val="22"/>
          <w:szCs w:val="22"/>
        </w:rPr>
        <w:t xml:space="preserve">, there is a reasonable </w:t>
      </w:r>
      <w:r w:rsidR="00E000BA" w:rsidRPr="003676AB">
        <w:rPr>
          <w:rFonts w:eastAsia="Calibri"/>
          <w:sz w:val="22"/>
          <w:szCs w:val="22"/>
        </w:rPr>
        <w:t xml:space="preserve">case </w:t>
      </w:r>
      <w:r w:rsidR="00C60272" w:rsidRPr="003676AB">
        <w:rPr>
          <w:rFonts w:eastAsia="Calibri"/>
          <w:sz w:val="22"/>
          <w:szCs w:val="22"/>
        </w:rPr>
        <w:t xml:space="preserve">to be made that </w:t>
      </w:r>
      <w:r w:rsidR="0032012E" w:rsidRPr="003676AB">
        <w:rPr>
          <w:rFonts w:eastAsia="Calibri"/>
          <w:sz w:val="22"/>
          <w:szCs w:val="22"/>
        </w:rPr>
        <w:t xml:space="preserve">it must be possible to adopt </w:t>
      </w:r>
      <w:r w:rsidR="00C60272" w:rsidRPr="003676AB">
        <w:rPr>
          <w:rFonts w:eastAsia="Calibri"/>
          <w:sz w:val="22"/>
          <w:szCs w:val="22"/>
        </w:rPr>
        <w:t>EU measures criminalising competition law infringements under legal b</w:t>
      </w:r>
      <w:r w:rsidR="000B64C3" w:rsidRPr="003676AB">
        <w:rPr>
          <w:rFonts w:eastAsia="Calibri"/>
          <w:sz w:val="22"/>
          <w:szCs w:val="22"/>
        </w:rPr>
        <w:t xml:space="preserve">ases </w:t>
      </w:r>
      <w:r w:rsidR="0032012E" w:rsidRPr="003676AB">
        <w:rPr>
          <w:rFonts w:eastAsia="Calibri"/>
          <w:sz w:val="22"/>
          <w:szCs w:val="22"/>
        </w:rPr>
        <w:t xml:space="preserve">other </w:t>
      </w:r>
      <w:r w:rsidR="000B64C3" w:rsidRPr="003676AB">
        <w:rPr>
          <w:rFonts w:eastAsia="Calibri"/>
          <w:sz w:val="22"/>
          <w:szCs w:val="22"/>
        </w:rPr>
        <w:t xml:space="preserve">than </w:t>
      </w:r>
      <w:r w:rsidR="00C60FB1" w:rsidRPr="003676AB">
        <w:rPr>
          <w:rFonts w:eastAsia="Calibri"/>
          <w:sz w:val="22"/>
          <w:szCs w:val="22"/>
        </w:rPr>
        <w:t>art.</w:t>
      </w:r>
      <w:r w:rsidR="000B64C3" w:rsidRPr="003676AB">
        <w:rPr>
          <w:rFonts w:eastAsia="Calibri"/>
          <w:sz w:val="22"/>
          <w:szCs w:val="22"/>
        </w:rPr>
        <w:t xml:space="preserve"> 83(2) TFEU, e</w:t>
      </w:r>
      <w:r w:rsidR="00C60FB1" w:rsidRPr="003676AB">
        <w:rPr>
          <w:rFonts w:eastAsia="Calibri"/>
          <w:sz w:val="22"/>
          <w:szCs w:val="22"/>
        </w:rPr>
        <w:t>.</w:t>
      </w:r>
      <w:r w:rsidR="000B64C3" w:rsidRPr="003676AB">
        <w:rPr>
          <w:rFonts w:eastAsia="Calibri"/>
          <w:sz w:val="22"/>
          <w:szCs w:val="22"/>
        </w:rPr>
        <w:t>g</w:t>
      </w:r>
      <w:r w:rsidR="00C60FB1" w:rsidRPr="003676AB">
        <w:rPr>
          <w:rFonts w:eastAsia="Calibri"/>
          <w:sz w:val="22"/>
          <w:szCs w:val="22"/>
        </w:rPr>
        <w:t>.</w:t>
      </w:r>
      <w:r w:rsidR="000B64C3" w:rsidRPr="003676AB">
        <w:rPr>
          <w:rFonts w:eastAsia="Calibri"/>
          <w:sz w:val="22"/>
          <w:szCs w:val="22"/>
        </w:rPr>
        <w:t xml:space="preserve"> </w:t>
      </w:r>
      <w:r w:rsidR="00C60FB1" w:rsidRPr="003676AB">
        <w:rPr>
          <w:rFonts w:eastAsia="Calibri"/>
          <w:sz w:val="22"/>
          <w:szCs w:val="22"/>
        </w:rPr>
        <w:t>art.</w:t>
      </w:r>
      <w:r w:rsidR="00F06F0B" w:rsidRPr="003676AB">
        <w:rPr>
          <w:rFonts w:eastAsia="Calibri"/>
          <w:sz w:val="22"/>
          <w:szCs w:val="22"/>
        </w:rPr>
        <w:t xml:space="preserve"> 114 TFEU</w:t>
      </w:r>
      <w:r w:rsidR="0087539F" w:rsidRPr="003676AB">
        <w:rPr>
          <w:rFonts w:eastAsia="Calibri"/>
          <w:sz w:val="22"/>
          <w:szCs w:val="22"/>
        </w:rPr>
        <w:t>.</w:t>
      </w:r>
      <w:r w:rsidR="000061A1" w:rsidRPr="003676AB">
        <w:rPr>
          <w:rStyle w:val="Fotnotsreferens"/>
          <w:rFonts w:eastAsia="Calibri"/>
          <w:sz w:val="22"/>
          <w:szCs w:val="22"/>
        </w:rPr>
        <w:footnoteReference w:id="119"/>
      </w:r>
      <w:r w:rsidR="0087539F" w:rsidRPr="003676AB">
        <w:rPr>
          <w:rFonts w:eastAsia="Calibri"/>
          <w:sz w:val="22"/>
          <w:szCs w:val="22"/>
        </w:rPr>
        <w:t xml:space="preserve"> </w:t>
      </w:r>
    </w:p>
    <w:p w14:paraId="74E6F1D7" w14:textId="0905CF47" w:rsidR="00662E79" w:rsidRPr="003676AB" w:rsidRDefault="000B64C3" w:rsidP="00A859F0">
      <w:pPr>
        <w:spacing w:after="200"/>
        <w:rPr>
          <w:rFonts w:eastAsia="Calibri"/>
          <w:sz w:val="22"/>
          <w:szCs w:val="22"/>
        </w:rPr>
      </w:pPr>
      <w:r w:rsidRPr="003676AB">
        <w:rPr>
          <w:rFonts w:eastAsia="Calibri"/>
          <w:sz w:val="22"/>
          <w:szCs w:val="22"/>
        </w:rPr>
        <w:t xml:space="preserve">In </w:t>
      </w:r>
      <w:r w:rsidR="0032012E" w:rsidRPr="003676AB">
        <w:rPr>
          <w:rFonts w:eastAsia="Calibri"/>
          <w:sz w:val="22"/>
          <w:szCs w:val="22"/>
        </w:rPr>
        <w:t>short</w:t>
      </w:r>
      <w:r w:rsidRPr="003676AB">
        <w:rPr>
          <w:rFonts w:eastAsia="Calibri"/>
          <w:sz w:val="22"/>
          <w:szCs w:val="22"/>
        </w:rPr>
        <w:t>, t</w:t>
      </w:r>
      <w:r w:rsidR="000061A1" w:rsidRPr="003676AB">
        <w:rPr>
          <w:rFonts w:eastAsia="Calibri"/>
          <w:sz w:val="22"/>
          <w:szCs w:val="22"/>
        </w:rPr>
        <w:t xml:space="preserve">his section suggests that there are </w:t>
      </w:r>
      <w:r w:rsidR="0032012E" w:rsidRPr="003676AB">
        <w:rPr>
          <w:rFonts w:eastAsia="Calibri"/>
          <w:sz w:val="22"/>
          <w:szCs w:val="22"/>
        </w:rPr>
        <w:t>provisos</w:t>
      </w:r>
      <w:r w:rsidR="00E20CC5" w:rsidRPr="003676AB">
        <w:rPr>
          <w:rFonts w:eastAsia="Calibri"/>
          <w:sz w:val="22"/>
          <w:szCs w:val="22"/>
        </w:rPr>
        <w:t xml:space="preserve"> (particularly relating to the limited scope of </w:t>
      </w:r>
      <w:r w:rsidR="008A258E" w:rsidRPr="003676AB">
        <w:rPr>
          <w:rFonts w:eastAsia="Calibri"/>
          <w:sz w:val="22"/>
          <w:szCs w:val="22"/>
        </w:rPr>
        <w:t>this provision</w:t>
      </w:r>
      <w:r w:rsidR="00E20CC5" w:rsidRPr="003676AB">
        <w:rPr>
          <w:rFonts w:eastAsia="Calibri"/>
          <w:sz w:val="22"/>
          <w:szCs w:val="22"/>
        </w:rPr>
        <w:t>)</w:t>
      </w:r>
      <w:r w:rsidR="0032012E" w:rsidRPr="003676AB">
        <w:rPr>
          <w:rFonts w:eastAsia="Calibri"/>
          <w:sz w:val="22"/>
          <w:szCs w:val="22"/>
        </w:rPr>
        <w:t xml:space="preserve"> </w:t>
      </w:r>
      <w:r w:rsidR="000061A1" w:rsidRPr="003676AB">
        <w:rPr>
          <w:rFonts w:eastAsia="Calibri"/>
          <w:sz w:val="22"/>
          <w:szCs w:val="22"/>
        </w:rPr>
        <w:t>to the</w:t>
      </w:r>
      <w:r w:rsidR="00C60FB1" w:rsidRPr="003676AB">
        <w:rPr>
          <w:rFonts w:eastAsia="Calibri"/>
          <w:sz w:val="22"/>
          <w:szCs w:val="22"/>
        </w:rPr>
        <w:t xml:space="preserve"> use of</w:t>
      </w:r>
      <w:r w:rsidR="000061A1" w:rsidRPr="003676AB">
        <w:rPr>
          <w:rFonts w:eastAsia="Calibri"/>
          <w:sz w:val="22"/>
          <w:szCs w:val="22"/>
        </w:rPr>
        <w:t xml:space="preserve"> </w:t>
      </w:r>
      <w:r w:rsidR="00E20CC5" w:rsidRPr="003676AB">
        <w:rPr>
          <w:rFonts w:eastAsia="Calibri"/>
          <w:sz w:val="22"/>
          <w:szCs w:val="22"/>
        </w:rPr>
        <w:t>art.</w:t>
      </w:r>
      <w:r w:rsidR="000061A1" w:rsidRPr="003676AB">
        <w:rPr>
          <w:rFonts w:eastAsia="Calibri"/>
          <w:sz w:val="22"/>
          <w:szCs w:val="22"/>
        </w:rPr>
        <w:t xml:space="preserve"> 83(2) TFEU for criminalization measures.</w:t>
      </w:r>
      <w:r w:rsidR="00E20CC5" w:rsidRPr="003676AB">
        <w:rPr>
          <w:rFonts w:eastAsia="Calibri"/>
          <w:sz w:val="22"/>
          <w:szCs w:val="22"/>
        </w:rPr>
        <w:t xml:space="preserve"> Whilst these limitations </w:t>
      </w:r>
      <w:r w:rsidR="008A258E" w:rsidRPr="003676AB">
        <w:rPr>
          <w:rFonts w:eastAsia="Calibri"/>
          <w:sz w:val="22"/>
          <w:szCs w:val="22"/>
        </w:rPr>
        <w:t>do</w:t>
      </w:r>
      <w:r w:rsidR="00E20CC5" w:rsidRPr="003676AB">
        <w:rPr>
          <w:rFonts w:eastAsia="Calibri"/>
          <w:sz w:val="22"/>
          <w:szCs w:val="22"/>
        </w:rPr>
        <w:t xml:space="preserve"> not challenge the main argument (which is that art. 83(2) TFEU is the preferred option for criminalisation measures) it </w:t>
      </w:r>
      <w:r w:rsidR="00AB417C" w:rsidRPr="003676AB">
        <w:rPr>
          <w:rFonts w:eastAsia="Calibri"/>
          <w:sz w:val="22"/>
          <w:szCs w:val="22"/>
        </w:rPr>
        <w:t>support</w:t>
      </w:r>
      <w:r w:rsidR="00E20CC5" w:rsidRPr="003676AB">
        <w:rPr>
          <w:rFonts w:eastAsia="Calibri"/>
          <w:sz w:val="22"/>
          <w:szCs w:val="22"/>
        </w:rPr>
        <w:t>s</w:t>
      </w:r>
      <w:r w:rsidR="00AB417C" w:rsidRPr="003676AB">
        <w:rPr>
          <w:rFonts w:eastAsia="Calibri"/>
          <w:sz w:val="22"/>
          <w:szCs w:val="22"/>
        </w:rPr>
        <w:t xml:space="preserve"> the existence </w:t>
      </w:r>
      <w:r w:rsidR="00A859F0" w:rsidRPr="003676AB">
        <w:rPr>
          <w:rFonts w:eastAsia="Calibri"/>
          <w:sz w:val="22"/>
          <w:szCs w:val="22"/>
        </w:rPr>
        <w:t xml:space="preserve">of an implicit criminal law competence under other legal bases of the Treaties when </w:t>
      </w:r>
      <w:r w:rsidR="00E20CC5" w:rsidRPr="003676AB">
        <w:rPr>
          <w:rFonts w:eastAsia="Calibri"/>
          <w:sz w:val="22"/>
          <w:szCs w:val="22"/>
        </w:rPr>
        <w:t>art.</w:t>
      </w:r>
      <w:r w:rsidR="00A859F0" w:rsidRPr="003676AB">
        <w:rPr>
          <w:rFonts w:eastAsia="Calibri"/>
          <w:sz w:val="22"/>
          <w:szCs w:val="22"/>
        </w:rPr>
        <w:t xml:space="preserve"> 83(2) TFEU</w:t>
      </w:r>
      <w:r w:rsidR="008A258E" w:rsidRPr="003676AB">
        <w:rPr>
          <w:rFonts w:eastAsia="Calibri"/>
          <w:sz w:val="22"/>
          <w:szCs w:val="22"/>
        </w:rPr>
        <w:t xml:space="preserve"> </w:t>
      </w:r>
      <w:r w:rsidR="00A859F0" w:rsidRPr="003676AB">
        <w:rPr>
          <w:rFonts w:eastAsia="Calibri"/>
          <w:sz w:val="22"/>
          <w:szCs w:val="22"/>
        </w:rPr>
        <w:t>is not available</w:t>
      </w:r>
      <w:r w:rsidR="002C6BB7" w:rsidRPr="003676AB">
        <w:rPr>
          <w:rFonts w:eastAsia="Calibri"/>
          <w:sz w:val="22"/>
          <w:szCs w:val="22"/>
        </w:rPr>
        <w:t xml:space="preserve">. </w:t>
      </w:r>
    </w:p>
    <w:p w14:paraId="5AD8CA2D" w14:textId="44127285" w:rsidR="0003320D" w:rsidRPr="003676AB" w:rsidRDefault="00320A29" w:rsidP="00CF4F6C">
      <w:pPr>
        <w:pStyle w:val="Rubrik1"/>
        <w:ind w:left="1300" w:hanging="1300"/>
        <w:jc w:val="both"/>
        <w:rPr>
          <w:rFonts w:eastAsia="Calibri"/>
          <w:b/>
          <w:sz w:val="22"/>
          <w:szCs w:val="22"/>
          <w:lang w:eastAsia="sv-SE"/>
        </w:rPr>
      </w:pPr>
      <w:r w:rsidRPr="003676AB">
        <w:rPr>
          <w:rFonts w:eastAsia="Calibri"/>
          <w:b/>
          <w:sz w:val="22"/>
          <w:szCs w:val="22"/>
          <w:lang w:eastAsia="sv-SE"/>
        </w:rPr>
        <w:t>Illustrating the Core Argument-</w:t>
      </w:r>
      <w:r w:rsidR="00A859F0" w:rsidRPr="003676AB">
        <w:rPr>
          <w:rFonts w:eastAsia="Calibri"/>
          <w:b/>
          <w:sz w:val="22"/>
          <w:szCs w:val="22"/>
          <w:lang w:eastAsia="sv-SE"/>
        </w:rPr>
        <w:t xml:space="preserve"> Conflicts between</w:t>
      </w:r>
      <w:r w:rsidRPr="003676AB">
        <w:rPr>
          <w:rFonts w:eastAsia="Calibri"/>
          <w:b/>
          <w:sz w:val="22"/>
          <w:szCs w:val="22"/>
          <w:lang w:eastAsia="sv-SE"/>
        </w:rPr>
        <w:t xml:space="preserve"> </w:t>
      </w:r>
      <w:r w:rsidR="00E20CC5" w:rsidRPr="003676AB">
        <w:rPr>
          <w:rFonts w:eastAsia="Calibri"/>
          <w:b/>
          <w:sz w:val="22"/>
          <w:szCs w:val="22"/>
          <w:lang w:eastAsia="sv-SE"/>
        </w:rPr>
        <w:t>art.</w:t>
      </w:r>
      <w:r w:rsidR="0003320D" w:rsidRPr="003676AB">
        <w:rPr>
          <w:rFonts w:eastAsia="Calibri"/>
          <w:b/>
          <w:sz w:val="22"/>
          <w:szCs w:val="22"/>
          <w:lang w:eastAsia="sv-SE"/>
        </w:rPr>
        <w:t xml:space="preserve"> 83(2) TFEU and</w:t>
      </w:r>
      <w:r w:rsidR="00FC72C0" w:rsidRPr="003676AB">
        <w:rPr>
          <w:rFonts w:eastAsia="Calibri"/>
          <w:b/>
          <w:sz w:val="22"/>
          <w:szCs w:val="22"/>
          <w:lang w:eastAsia="sv-SE"/>
        </w:rPr>
        <w:t xml:space="preserve"> some Selected L</w:t>
      </w:r>
      <w:r w:rsidR="002C6BB7" w:rsidRPr="003676AB">
        <w:rPr>
          <w:rFonts w:eastAsia="Calibri"/>
          <w:b/>
          <w:sz w:val="22"/>
          <w:szCs w:val="22"/>
          <w:lang w:eastAsia="sv-SE"/>
        </w:rPr>
        <w:t xml:space="preserve">egal </w:t>
      </w:r>
      <w:r w:rsidR="00FC72C0" w:rsidRPr="003676AB">
        <w:rPr>
          <w:rFonts w:eastAsia="Calibri"/>
          <w:b/>
          <w:sz w:val="22"/>
          <w:szCs w:val="22"/>
          <w:lang w:eastAsia="sv-SE"/>
        </w:rPr>
        <w:t>B</w:t>
      </w:r>
      <w:r w:rsidR="002C6BB7" w:rsidRPr="003676AB">
        <w:rPr>
          <w:rFonts w:eastAsia="Calibri"/>
          <w:b/>
          <w:sz w:val="22"/>
          <w:szCs w:val="22"/>
          <w:lang w:eastAsia="sv-SE"/>
        </w:rPr>
        <w:t>ases</w:t>
      </w:r>
      <w:bookmarkEnd w:id="3"/>
    </w:p>
    <w:p w14:paraId="58743B7E" w14:textId="5DADBBD8" w:rsidR="00CF4F6C" w:rsidRPr="003676AB" w:rsidRDefault="00A859F0" w:rsidP="00264273">
      <w:pPr>
        <w:pStyle w:val="Rubrik2"/>
        <w:spacing w:line="360" w:lineRule="auto"/>
        <w:rPr>
          <w:rFonts w:eastAsia="Calibri"/>
          <w:bCs w:val="0"/>
          <w:color w:val="auto"/>
          <w:sz w:val="22"/>
          <w:szCs w:val="22"/>
          <w:lang w:val="en-GB"/>
        </w:rPr>
      </w:pPr>
      <w:r w:rsidRPr="003676AB">
        <w:rPr>
          <w:rFonts w:eastAsia="Calibri"/>
          <w:bCs w:val="0"/>
          <w:color w:val="auto"/>
          <w:sz w:val="22"/>
          <w:szCs w:val="22"/>
          <w:lang w:val="en-GB"/>
        </w:rPr>
        <w:t xml:space="preserve">This section </w:t>
      </w:r>
      <w:r w:rsidR="00EE7F2C" w:rsidRPr="003676AB">
        <w:rPr>
          <w:rFonts w:eastAsia="Calibri"/>
          <w:bCs w:val="0"/>
          <w:color w:val="auto"/>
          <w:sz w:val="22"/>
          <w:szCs w:val="22"/>
          <w:lang w:val="en-GB"/>
        </w:rPr>
        <w:t xml:space="preserve">expands on </w:t>
      </w:r>
      <w:r w:rsidR="007C41F6" w:rsidRPr="003676AB">
        <w:rPr>
          <w:rFonts w:eastAsia="Calibri"/>
          <w:bCs w:val="0"/>
          <w:color w:val="auto"/>
          <w:sz w:val="22"/>
          <w:szCs w:val="22"/>
          <w:lang w:val="en-GB"/>
        </w:rPr>
        <w:t>the core argument by discussing</w:t>
      </w:r>
      <w:r w:rsidRPr="003676AB">
        <w:rPr>
          <w:rFonts w:eastAsia="Calibri"/>
          <w:bCs w:val="0"/>
          <w:color w:val="auto"/>
          <w:sz w:val="22"/>
          <w:szCs w:val="22"/>
          <w:lang w:val="en-GB"/>
        </w:rPr>
        <w:t xml:space="preserve"> legal basis </w:t>
      </w:r>
      <w:r w:rsidR="00F24713" w:rsidRPr="003676AB">
        <w:rPr>
          <w:rFonts w:eastAsia="Calibri"/>
          <w:bCs w:val="0"/>
          <w:color w:val="auto"/>
          <w:sz w:val="22"/>
          <w:szCs w:val="22"/>
          <w:lang w:val="en-GB"/>
        </w:rPr>
        <w:t xml:space="preserve">conflicts between </w:t>
      </w:r>
      <w:r w:rsidR="00264273" w:rsidRPr="003676AB">
        <w:rPr>
          <w:rFonts w:eastAsia="Calibri"/>
          <w:bCs w:val="0"/>
          <w:color w:val="auto"/>
          <w:sz w:val="22"/>
          <w:szCs w:val="22"/>
          <w:lang w:val="en-GB"/>
        </w:rPr>
        <w:t>a</w:t>
      </w:r>
      <w:r w:rsidR="00F24713" w:rsidRPr="003676AB">
        <w:rPr>
          <w:rFonts w:eastAsia="Calibri"/>
          <w:bCs w:val="0"/>
          <w:color w:val="auto"/>
          <w:sz w:val="22"/>
          <w:szCs w:val="22"/>
          <w:lang w:val="en-GB"/>
        </w:rPr>
        <w:t>rt</w:t>
      </w:r>
      <w:r w:rsidR="00264273" w:rsidRPr="003676AB">
        <w:rPr>
          <w:rFonts w:eastAsia="Calibri"/>
          <w:bCs w:val="0"/>
          <w:color w:val="auto"/>
          <w:sz w:val="22"/>
          <w:szCs w:val="22"/>
          <w:lang w:val="en-GB"/>
        </w:rPr>
        <w:t>.</w:t>
      </w:r>
      <w:r w:rsidRPr="003676AB">
        <w:rPr>
          <w:rFonts w:eastAsia="Calibri"/>
          <w:bCs w:val="0"/>
          <w:color w:val="auto"/>
          <w:sz w:val="22"/>
          <w:szCs w:val="22"/>
          <w:lang w:val="en-GB"/>
        </w:rPr>
        <w:t xml:space="preserve"> 8</w:t>
      </w:r>
      <w:r w:rsidR="00C73552" w:rsidRPr="003676AB">
        <w:rPr>
          <w:rFonts w:eastAsia="Calibri"/>
          <w:bCs w:val="0"/>
          <w:color w:val="auto"/>
          <w:sz w:val="22"/>
          <w:szCs w:val="22"/>
          <w:lang w:val="en-GB"/>
        </w:rPr>
        <w:t xml:space="preserve">3(2) TFEU and the most </w:t>
      </w:r>
      <w:r w:rsidR="0032012E" w:rsidRPr="003676AB">
        <w:rPr>
          <w:rFonts w:eastAsia="Calibri"/>
          <w:bCs w:val="0"/>
          <w:color w:val="auto"/>
          <w:sz w:val="22"/>
          <w:szCs w:val="22"/>
          <w:lang w:val="en-GB"/>
        </w:rPr>
        <w:t xml:space="preserve">appropriate alternative </w:t>
      </w:r>
      <w:r w:rsidRPr="003676AB">
        <w:rPr>
          <w:rFonts w:eastAsia="Calibri"/>
          <w:bCs w:val="0"/>
          <w:color w:val="auto"/>
          <w:sz w:val="22"/>
          <w:szCs w:val="22"/>
          <w:lang w:val="en-GB"/>
        </w:rPr>
        <w:t>legal bases for criminalisation</w:t>
      </w:r>
      <w:r w:rsidR="0032012E" w:rsidRPr="003676AB">
        <w:rPr>
          <w:rFonts w:eastAsia="Calibri"/>
          <w:bCs w:val="0"/>
          <w:color w:val="auto"/>
          <w:sz w:val="22"/>
          <w:szCs w:val="22"/>
          <w:lang w:val="en-GB"/>
        </w:rPr>
        <w:t xml:space="preserve"> measures</w:t>
      </w:r>
      <w:r w:rsidRPr="003676AB">
        <w:rPr>
          <w:rFonts w:eastAsia="Calibri"/>
          <w:bCs w:val="0"/>
          <w:color w:val="auto"/>
          <w:sz w:val="22"/>
          <w:szCs w:val="22"/>
          <w:lang w:val="en-GB"/>
        </w:rPr>
        <w:t xml:space="preserve">, </w:t>
      </w:r>
      <w:r w:rsidR="00264273" w:rsidRPr="003676AB">
        <w:rPr>
          <w:rFonts w:eastAsia="Calibri"/>
          <w:bCs w:val="0"/>
          <w:color w:val="auto"/>
          <w:sz w:val="22"/>
          <w:szCs w:val="22"/>
          <w:lang w:val="en-GB"/>
        </w:rPr>
        <w:t>art.</w:t>
      </w:r>
      <w:r w:rsidRPr="003676AB">
        <w:rPr>
          <w:rFonts w:eastAsia="Calibri"/>
          <w:bCs w:val="0"/>
          <w:color w:val="auto"/>
          <w:sz w:val="22"/>
          <w:szCs w:val="22"/>
          <w:lang w:val="en-GB"/>
        </w:rPr>
        <w:t xml:space="preserve"> 114 TFEU and </w:t>
      </w:r>
      <w:r w:rsidR="00264273" w:rsidRPr="003676AB">
        <w:rPr>
          <w:rFonts w:eastAsia="Calibri"/>
          <w:bCs w:val="0"/>
          <w:color w:val="auto"/>
          <w:sz w:val="22"/>
          <w:szCs w:val="22"/>
          <w:lang w:val="en-GB"/>
        </w:rPr>
        <w:t>art.</w:t>
      </w:r>
      <w:r w:rsidRPr="003676AB">
        <w:rPr>
          <w:rFonts w:eastAsia="Calibri"/>
          <w:bCs w:val="0"/>
          <w:color w:val="auto"/>
          <w:sz w:val="22"/>
          <w:szCs w:val="22"/>
          <w:lang w:val="en-GB"/>
        </w:rPr>
        <w:t xml:space="preserve"> 325 TFEU</w:t>
      </w:r>
      <w:r w:rsidR="00F24713" w:rsidRPr="003676AB">
        <w:rPr>
          <w:rFonts w:eastAsia="Calibri"/>
          <w:bCs w:val="0"/>
          <w:color w:val="auto"/>
          <w:sz w:val="22"/>
          <w:szCs w:val="22"/>
          <w:lang w:val="en-GB"/>
        </w:rPr>
        <w:t xml:space="preserve">. </w:t>
      </w:r>
      <w:r w:rsidR="001D56D3" w:rsidRPr="003676AB">
        <w:rPr>
          <w:rFonts w:eastAsia="Calibri"/>
          <w:bCs w:val="0"/>
          <w:color w:val="auto"/>
          <w:sz w:val="22"/>
          <w:szCs w:val="22"/>
          <w:lang w:val="en-GB"/>
        </w:rPr>
        <w:t>It argues that</w:t>
      </w:r>
      <w:r w:rsidR="00F24713" w:rsidRPr="003676AB">
        <w:rPr>
          <w:rFonts w:eastAsia="Calibri"/>
          <w:bCs w:val="0"/>
          <w:color w:val="auto"/>
          <w:sz w:val="22"/>
          <w:szCs w:val="22"/>
          <w:lang w:val="en-GB"/>
        </w:rPr>
        <w:t xml:space="preserve"> </w:t>
      </w:r>
      <w:r w:rsidR="0032012E" w:rsidRPr="003676AB">
        <w:rPr>
          <w:rFonts w:eastAsia="Calibri"/>
          <w:bCs w:val="0"/>
          <w:color w:val="auto"/>
          <w:sz w:val="22"/>
          <w:szCs w:val="22"/>
          <w:lang w:val="en-GB"/>
        </w:rPr>
        <w:t xml:space="preserve">while </w:t>
      </w:r>
      <w:r w:rsidR="00EE7F2C" w:rsidRPr="003676AB">
        <w:rPr>
          <w:rFonts w:eastAsia="Calibri"/>
          <w:bCs w:val="0"/>
          <w:color w:val="auto"/>
          <w:sz w:val="22"/>
          <w:szCs w:val="22"/>
          <w:lang w:val="en-GB"/>
        </w:rPr>
        <w:t xml:space="preserve">there </w:t>
      </w:r>
      <w:r w:rsidR="0032012E" w:rsidRPr="003676AB">
        <w:rPr>
          <w:rFonts w:eastAsia="Calibri"/>
          <w:bCs w:val="0"/>
          <w:color w:val="auto"/>
          <w:sz w:val="22"/>
          <w:szCs w:val="22"/>
          <w:lang w:val="en-GB"/>
        </w:rPr>
        <w:t xml:space="preserve">is </w:t>
      </w:r>
      <w:r w:rsidR="008A258E" w:rsidRPr="003676AB">
        <w:rPr>
          <w:rFonts w:eastAsia="Calibri"/>
          <w:bCs w:val="0"/>
          <w:color w:val="auto"/>
          <w:sz w:val="22"/>
          <w:szCs w:val="22"/>
          <w:lang w:val="en-GB"/>
        </w:rPr>
        <w:t>a narrow</w:t>
      </w:r>
      <w:r w:rsidR="00EE7F2C" w:rsidRPr="003676AB">
        <w:rPr>
          <w:rFonts w:eastAsia="Calibri"/>
          <w:bCs w:val="0"/>
          <w:color w:val="auto"/>
          <w:sz w:val="22"/>
          <w:szCs w:val="22"/>
          <w:lang w:val="en-GB"/>
        </w:rPr>
        <w:t xml:space="preserve"> scope for conflict between </w:t>
      </w:r>
      <w:r w:rsidR="00264273" w:rsidRPr="003676AB">
        <w:rPr>
          <w:rFonts w:eastAsia="Calibri"/>
          <w:bCs w:val="0"/>
          <w:color w:val="auto"/>
          <w:sz w:val="22"/>
          <w:szCs w:val="22"/>
          <w:lang w:val="en-GB"/>
        </w:rPr>
        <w:t>art.</w:t>
      </w:r>
      <w:r w:rsidR="007C41F6" w:rsidRPr="003676AB">
        <w:rPr>
          <w:rFonts w:eastAsia="Calibri"/>
          <w:bCs w:val="0"/>
          <w:color w:val="auto"/>
          <w:sz w:val="22"/>
          <w:szCs w:val="22"/>
          <w:lang w:val="en-GB"/>
        </w:rPr>
        <w:t xml:space="preserve"> 114 TFEU</w:t>
      </w:r>
      <w:r w:rsidR="00F24713" w:rsidRPr="003676AB">
        <w:rPr>
          <w:rFonts w:eastAsia="Calibri"/>
          <w:bCs w:val="0"/>
          <w:color w:val="auto"/>
          <w:sz w:val="22"/>
          <w:szCs w:val="22"/>
          <w:lang w:val="en-GB"/>
        </w:rPr>
        <w:t xml:space="preserve"> </w:t>
      </w:r>
      <w:r w:rsidR="007C41F6" w:rsidRPr="003676AB">
        <w:rPr>
          <w:rFonts w:eastAsia="Calibri"/>
          <w:bCs w:val="0"/>
          <w:color w:val="auto"/>
          <w:sz w:val="22"/>
          <w:szCs w:val="22"/>
          <w:lang w:val="en-GB"/>
        </w:rPr>
        <w:t>(</w:t>
      </w:r>
      <w:r w:rsidR="00F24713" w:rsidRPr="003676AB">
        <w:rPr>
          <w:rFonts w:eastAsia="Calibri"/>
          <w:bCs w:val="0"/>
          <w:color w:val="auto"/>
          <w:sz w:val="22"/>
          <w:szCs w:val="22"/>
          <w:lang w:val="en-GB"/>
        </w:rPr>
        <w:t>the general legal basis</w:t>
      </w:r>
      <w:r w:rsidR="007C41F6" w:rsidRPr="003676AB">
        <w:rPr>
          <w:rFonts w:eastAsia="Calibri"/>
          <w:bCs w:val="0"/>
          <w:color w:val="auto"/>
          <w:sz w:val="22"/>
          <w:szCs w:val="22"/>
          <w:lang w:val="en-GB"/>
        </w:rPr>
        <w:t>)</w:t>
      </w:r>
      <w:r w:rsidR="00F24713" w:rsidRPr="003676AB">
        <w:rPr>
          <w:rFonts w:eastAsia="Calibri"/>
          <w:bCs w:val="0"/>
          <w:color w:val="auto"/>
          <w:sz w:val="22"/>
          <w:szCs w:val="22"/>
          <w:lang w:val="en-GB"/>
        </w:rPr>
        <w:t xml:space="preserve"> and </w:t>
      </w:r>
      <w:r w:rsidR="00264273" w:rsidRPr="003676AB">
        <w:rPr>
          <w:rFonts w:eastAsia="Calibri"/>
          <w:bCs w:val="0"/>
          <w:color w:val="auto"/>
          <w:sz w:val="22"/>
          <w:szCs w:val="22"/>
          <w:lang w:val="en-GB"/>
        </w:rPr>
        <w:t>art.</w:t>
      </w:r>
      <w:r w:rsidR="00F24713" w:rsidRPr="003676AB">
        <w:rPr>
          <w:rFonts w:eastAsia="Calibri"/>
          <w:bCs w:val="0"/>
          <w:color w:val="auto"/>
          <w:sz w:val="22"/>
          <w:szCs w:val="22"/>
          <w:lang w:val="en-GB"/>
        </w:rPr>
        <w:t xml:space="preserve"> 83(2) TFEU (given the subsidiary nature of </w:t>
      </w:r>
      <w:r w:rsidR="00264273" w:rsidRPr="003676AB">
        <w:rPr>
          <w:rFonts w:eastAsia="Calibri"/>
          <w:bCs w:val="0"/>
          <w:color w:val="auto"/>
          <w:sz w:val="22"/>
          <w:szCs w:val="22"/>
          <w:lang w:val="en-GB"/>
        </w:rPr>
        <w:t>art.</w:t>
      </w:r>
      <w:r w:rsidR="00F24713" w:rsidRPr="003676AB">
        <w:rPr>
          <w:rFonts w:eastAsia="Calibri"/>
          <w:bCs w:val="0"/>
          <w:color w:val="auto"/>
          <w:sz w:val="22"/>
          <w:szCs w:val="22"/>
          <w:lang w:val="en-GB"/>
        </w:rPr>
        <w:t xml:space="preserve"> 114 TFEU)</w:t>
      </w:r>
      <w:r w:rsidR="0032012E" w:rsidRPr="003676AB">
        <w:rPr>
          <w:rFonts w:eastAsia="Calibri"/>
          <w:bCs w:val="0"/>
          <w:color w:val="auto"/>
          <w:sz w:val="22"/>
          <w:szCs w:val="22"/>
          <w:lang w:val="en-GB"/>
        </w:rPr>
        <w:t xml:space="preserve">, there is </w:t>
      </w:r>
      <w:r w:rsidR="0032012E" w:rsidRPr="003676AB">
        <w:rPr>
          <w:rFonts w:eastAsia="Calibri"/>
          <w:bCs w:val="0"/>
          <w:color w:val="auto"/>
          <w:sz w:val="22"/>
          <w:szCs w:val="22"/>
          <w:lang w:val="en-GB"/>
        </w:rPr>
        <w:lastRenderedPageBreak/>
        <w:t xml:space="preserve">greater </w:t>
      </w:r>
      <w:r w:rsidR="00063A53" w:rsidRPr="003676AB">
        <w:rPr>
          <w:rFonts w:eastAsia="Calibri"/>
          <w:bCs w:val="0"/>
          <w:color w:val="auto"/>
          <w:sz w:val="22"/>
          <w:szCs w:val="22"/>
          <w:lang w:val="en-GB"/>
        </w:rPr>
        <w:t xml:space="preserve">potential </w:t>
      </w:r>
      <w:r w:rsidR="00F24713" w:rsidRPr="003676AB">
        <w:rPr>
          <w:rFonts w:eastAsia="Calibri"/>
          <w:bCs w:val="0"/>
          <w:color w:val="auto"/>
          <w:sz w:val="22"/>
          <w:szCs w:val="22"/>
          <w:lang w:val="en-GB"/>
        </w:rPr>
        <w:t xml:space="preserve">for </w:t>
      </w:r>
      <w:r w:rsidR="008A258E" w:rsidRPr="003676AB">
        <w:rPr>
          <w:rFonts w:eastAsia="Calibri"/>
          <w:bCs w:val="0"/>
          <w:color w:val="auto"/>
          <w:sz w:val="22"/>
          <w:szCs w:val="22"/>
          <w:lang w:val="en-GB"/>
        </w:rPr>
        <w:t>struggles</w:t>
      </w:r>
      <w:r w:rsidR="00F24713" w:rsidRPr="003676AB">
        <w:rPr>
          <w:rFonts w:eastAsia="Calibri"/>
          <w:bCs w:val="0"/>
          <w:color w:val="auto"/>
          <w:sz w:val="22"/>
          <w:szCs w:val="22"/>
          <w:lang w:val="en-GB"/>
        </w:rPr>
        <w:t xml:space="preserve"> between </w:t>
      </w:r>
      <w:r w:rsidR="00264273" w:rsidRPr="003676AB">
        <w:rPr>
          <w:rFonts w:eastAsia="Calibri"/>
          <w:bCs w:val="0"/>
          <w:color w:val="auto"/>
          <w:sz w:val="22"/>
          <w:szCs w:val="22"/>
          <w:lang w:val="en-GB"/>
        </w:rPr>
        <w:t>art.</w:t>
      </w:r>
      <w:r w:rsidR="00F24713" w:rsidRPr="003676AB">
        <w:rPr>
          <w:rFonts w:eastAsia="Calibri"/>
          <w:bCs w:val="0"/>
          <w:color w:val="auto"/>
          <w:sz w:val="22"/>
          <w:szCs w:val="22"/>
          <w:lang w:val="en-GB"/>
        </w:rPr>
        <w:t xml:space="preserve"> 83(2) TFEU and </w:t>
      </w:r>
      <w:r w:rsidR="00264273" w:rsidRPr="003676AB">
        <w:rPr>
          <w:rFonts w:eastAsia="Calibri"/>
          <w:bCs w:val="0"/>
          <w:color w:val="auto"/>
          <w:sz w:val="22"/>
          <w:szCs w:val="22"/>
          <w:lang w:val="en-GB"/>
        </w:rPr>
        <w:t>art.</w:t>
      </w:r>
      <w:r w:rsidR="00F24713" w:rsidRPr="003676AB">
        <w:rPr>
          <w:rFonts w:eastAsia="Calibri"/>
          <w:bCs w:val="0"/>
          <w:color w:val="auto"/>
          <w:sz w:val="22"/>
          <w:szCs w:val="22"/>
          <w:lang w:val="en-GB"/>
        </w:rPr>
        <w:t xml:space="preserve"> 325 TFEU. We first consider the relationship between </w:t>
      </w:r>
      <w:r w:rsidR="00264273" w:rsidRPr="003676AB">
        <w:rPr>
          <w:rFonts w:eastAsia="Calibri"/>
          <w:bCs w:val="0"/>
          <w:color w:val="auto"/>
          <w:sz w:val="22"/>
          <w:szCs w:val="22"/>
          <w:lang w:val="en-GB"/>
        </w:rPr>
        <w:t>art.</w:t>
      </w:r>
      <w:r w:rsidR="00F24713" w:rsidRPr="003676AB">
        <w:rPr>
          <w:rFonts w:eastAsia="Calibri"/>
          <w:bCs w:val="0"/>
          <w:color w:val="auto"/>
          <w:sz w:val="22"/>
          <w:szCs w:val="22"/>
          <w:lang w:val="en-GB"/>
        </w:rPr>
        <w:t xml:space="preserve"> </w:t>
      </w:r>
      <w:r w:rsidR="0032012E" w:rsidRPr="003676AB">
        <w:rPr>
          <w:rFonts w:eastAsia="Calibri"/>
          <w:bCs w:val="0"/>
          <w:color w:val="auto"/>
          <w:sz w:val="22"/>
          <w:szCs w:val="22"/>
          <w:lang w:val="en-GB"/>
        </w:rPr>
        <w:t xml:space="preserve">83(2) TFEU and </w:t>
      </w:r>
      <w:r w:rsidR="00264273" w:rsidRPr="003676AB">
        <w:rPr>
          <w:rFonts w:eastAsia="Calibri"/>
          <w:bCs w:val="0"/>
          <w:color w:val="auto"/>
          <w:sz w:val="22"/>
          <w:szCs w:val="22"/>
          <w:lang w:val="en-GB"/>
        </w:rPr>
        <w:t>art.</w:t>
      </w:r>
      <w:r w:rsidR="0032012E" w:rsidRPr="003676AB">
        <w:rPr>
          <w:rFonts w:eastAsia="Calibri"/>
          <w:bCs w:val="0"/>
          <w:color w:val="auto"/>
          <w:sz w:val="22"/>
          <w:szCs w:val="22"/>
          <w:lang w:val="en-GB"/>
        </w:rPr>
        <w:t xml:space="preserve"> 114 TFEU before addressing the more problematic relationship between </w:t>
      </w:r>
      <w:r w:rsidR="00264273" w:rsidRPr="003676AB">
        <w:rPr>
          <w:rFonts w:eastAsia="Calibri"/>
          <w:bCs w:val="0"/>
          <w:color w:val="auto"/>
          <w:sz w:val="22"/>
          <w:szCs w:val="22"/>
          <w:lang w:val="en-GB"/>
        </w:rPr>
        <w:t>art</w:t>
      </w:r>
      <w:r w:rsidR="0032012E" w:rsidRPr="003676AB">
        <w:rPr>
          <w:rFonts w:eastAsia="Calibri"/>
          <w:bCs w:val="0"/>
          <w:color w:val="auto"/>
          <w:sz w:val="22"/>
          <w:szCs w:val="22"/>
          <w:lang w:val="en-GB"/>
        </w:rPr>
        <w:t>s 82(2) and 325 TFEU.</w:t>
      </w:r>
    </w:p>
    <w:bookmarkEnd w:id="4"/>
    <w:p w14:paraId="7484ADCB" w14:textId="317B0859" w:rsidR="002C6BB7" w:rsidRPr="003676AB" w:rsidRDefault="00CF4F6C" w:rsidP="00CF4F6C">
      <w:pPr>
        <w:ind w:left="1300" w:hanging="1300"/>
        <w:rPr>
          <w:rFonts w:eastAsia="Calibri"/>
          <w:i/>
          <w:sz w:val="22"/>
          <w:szCs w:val="22"/>
        </w:rPr>
      </w:pPr>
      <w:r w:rsidRPr="003676AB">
        <w:rPr>
          <w:rFonts w:eastAsia="Calibri"/>
          <w:i/>
          <w:sz w:val="22"/>
          <w:szCs w:val="22"/>
        </w:rPr>
        <w:t xml:space="preserve">Criminalisation for the benefit of the internal market- </w:t>
      </w:r>
      <w:r w:rsidR="00264273" w:rsidRPr="003676AB">
        <w:rPr>
          <w:rFonts w:eastAsia="Calibri"/>
          <w:i/>
          <w:sz w:val="22"/>
          <w:szCs w:val="22"/>
        </w:rPr>
        <w:t>art.</w:t>
      </w:r>
      <w:r w:rsidR="002C6BB7" w:rsidRPr="003676AB">
        <w:rPr>
          <w:rFonts w:eastAsia="Calibri"/>
          <w:i/>
          <w:sz w:val="22"/>
          <w:szCs w:val="22"/>
        </w:rPr>
        <w:t xml:space="preserve"> 114 vs </w:t>
      </w:r>
      <w:r w:rsidR="00264273" w:rsidRPr="003676AB">
        <w:rPr>
          <w:rFonts w:eastAsia="Calibri"/>
          <w:i/>
          <w:sz w:val="22"/>
          <w:szCs w:val="22"/>
        </w:rPr>
        <w:t>art.</w:t>
      </w:r>
      <w:r w:rsidR="002C6BB7" w:rsidRPr="003676AB">
        <w:rPr>
          <w:rFonts w:eastAsia="Calibri"/>
          <w:i/>
          <w:sz w:val="22"/>
          <w:szCs w:val="22"/>
        </w:rPr>
        <w:t xml:space="preserve"> 83(2) TFEU</w:t>
      </w:r>
    </w:p>
    <w:p w14:paraId="3B256FB7" w14:textId="796ACF5C" w:rsidR="00756C49" w:rsidRPr="003676AB" w:rsidRDefault="0032012E" w:rsidP="00CA358C">
      <w:pPr>
        <w:rPr>
          <w:rFonts w:eastAsia="Calibri"/>
          <w:sz w:val="22"/>
          <w:szCs w:val="22"/>
        </w:rPr>
      </w:pPr>
      <w:r w:rsidRPr="003676AB">
        <w:rPr>
          <w:rFonts w:eastAsia="Calibri"/>
          <w:sz w:val="22"/>
          <w:szCs w:val="22"/>
        </w:rPr>
        <w:t xml:space="preserve">Given its wide scope, </w:t>
      </w:r>
      <w:r w:rsidR="00264273" w:rsidRPr="003676AB">
        <w:rPr>
          <w:rFonts w:eastAsia="Calibri"/>
          <w:sz w:val="22"/>
          <w:szCs w:val="22"/>
        </w:rPr>
        <w:t>art.</w:t>
      </w:r>
      <w:r w:rsidR="007C41F6" w:rsidRPr="003676AB">
        <w:rPr>
          <w:rFonts w:eastAsia="Calibri"/>
          <w:sz w:val="22"/>
          <w:szCs w:val="22"/>
        </w:rPr>
        <w:t xml:space="preserve"> 114 TFEU is</w:t>
      </w:r>
      <w:r w:rsidR="001D29DC" w:rsidRPr="003676AB">
        <w:rPr>
          <w:rFonts w:eastAsia="Calibri"/>
          <w:sz w:val="22"/>
          <w:szCs w:val="22"/>
        </w:rPr>
        <w:t xml:space="preserve"> a</w:t>
      </w:r>
      <w:r w:rsidRPr="003676AB">
        <w:rPr>
          <w:rFonts w:eastAsia="Calibri"/>
          <w:sz w:val="22"/>
          <w:szCs w:val="22"/>
        </w:rPr>
        <w:t>n</w:t>
      </w:r>
      <w:r w:rsidR="00CA358C" w:rsidRPr="003676AB">
        <w:rPr>
          <w:rFonts w:eastAsia="Calibri"/>
          <w:sz w:val="22"/>
          <w:szCs w:val="22"/>
        </w:rPr>
        <w:t xml:space="preserve"> </w:t>
      </w:r>
      <w:r w:rsidR="007C41F6" w:rsidRPr="003676AB">
        <w:rPr>
          <w:rFonts w:eastAsia="Calibri"/>
          <w:sz w:val="22"/>
          <w:szCs w:val="22"/>
        </w:rPr>
        <w:t xml:space="preserve">important </w:t>
      </w:r>
      <w:r w:rsidRPr="003676AB">
        <w:rPr>
          <w:rFonts w:eastAsia="Calibri"/>
          <w:sz w:val="22"/>
          <w:szCs w:val="22"/>
        </w:rPr>
        <w:t xml:space="preserve">potential alternative </w:t>
      </w:r>
      <w:r w:rsidR="007C41F6" w:rsidRPr="003676AB">
        <w:rPr>
          <w:rFonts w:eastAsia="Calibri"/>
          <w:sz w:val="22"/>
          <w:szCs w:val="22"/>
        </w:rPr>
        <w:t xml:space="preserve">to </w:t>
      </w:r>
      <w:r w:rsidR="00264273" w:rsidRPr="003676AB">
        <w:rPr>
          <w:rFonts w:eastAsia="Calibri"/>
          <w:sz w:val="22"/>
          <w:szCs w:val="22"/>
        </w:rPr>
        <w:t>art.</w:t>
      </w:r>
      <w:r w:rsidR="007C41F6" w:rsidRPr="003676AB">
        <w:rPr>
          <w:rFonts w:eastAsia="Calibri"/>
          <w:sz w:val="22"/>
          <w:szCs w:val="22"/>
        </w:rPr>
        <w:t xml:space="preserve"> 83(2) TFEU</w:t>
      </w:r>
      <w:r w:rsidRPr="003676AB">
        <w:rPr>
          <w:rFonts w:eastAsia="Calibri"/>
          <w:sz w:val="22"/>
          <w:szCs w:val="22"/>
        </w:rPr>
        <w:t xml:space="preserve"> as a legal basis for criminalisation measures</w:t>
      </w:r>
      <w:r w:rsidR="007C41F6" w:rsidRPr="003676AB">
        <w:rPr>
          <w:rFonts w:eastAsia="Calibri"/>
          <w:sz w:val="22"/>
          <w:szCs w:val="22"/>
        </w:rPr>
        <w:t>.</w:t>
      </w:r>
      <w:r w:rsidR="003B531F" w:rsidRPr="003676AB">
        <w:rPr>
          <w:rFonts w:eastAsia="Calibri"/>
          <w:sz w:val="22"/>
          <w:szCs w:val="22"/>
        </w:rPr>
        <w:t xml:space="preserve"> It has been argued by </w:t>
      </w:r>
      <w:r w:rsidRPr="003676AB">
        <w:rPr>
          <w:rFonts w:eastAsia="Calibri"/>
          <w:sz w:val="22"/>
          <w:szCs w:val="22"/>
        </w:rPr>
        <w:t xml:space="preserve">both </w:t>
      </w:r>
      <w:r w:rsidR="003B531F" w:rsidRPr="003676AB">
        <w:rPr>
          <w:rFonts w:eastAsia="Calibri"/>
          <w:sz w:val="22"/>
          <w:szCs w:val="22"/>
        </w:rPr>
        <w:t>scholars and the EU legislator</w:t>
      </w:r>
      <w:r w:rsidR="006135EB" w:rsidRPr="003676AB">
        <w:rPr>
          <w:rFonts w:eastAsia="Calibri"/>
          <w:sz w:val="22"/>
          <w:szCs w:val="22"/>
        </w:rPr>
        <w:t xml:space="preserve"> </w:t>
      </w:r>
      <w:r w:rsidR="00CA358C" w:rsidRPr="003676AB">
        <w:rPr>
          <w:rFonts w:eastAsia="Calibri"/>
          <w:sz w:val="22"/>
          <w:szCs w:val="22"/>
        </w:rPr>
        <w:t>that this provision</w:t>
      </w:r>
      <w:r w:rsidR="003B531F" w:rsidRPr="003676AB">
        <w:rPr>
          <w:rFonts w:eastAsia="Calibri"/>
          <w:sz w:val="22"/>
          <w:szCs w:val="22"/>
        </w:rPr>
        <w:t xml:space="preserve"> constitute</w:t>
      </w:r>
      <w:r w:rsidR="00CA358C" w:rsidRPr="003676AB">
        <w:rPr>
          <w:rFonts w:eastAsia="Calibri"/>
          <w:sz w:val="22"/>
          <w:szCs w:val="22"/>
        </w:rPr>
        <w:t>s</w:t>
      </w:r>
      <w:r w:rsidR="00063A53" w:rsidRPr="003676AB">
        <w:rPr>
          <w:rFonts w:eastAsia="Calibri"/>
          <w:sz w:val="22"/>
          <w:szCs w:val="22"/>
        </w:rPr>
        <w:t xml:space="preserve"> a</w:t>
      </w:r>
      <w:r w:rsidRPr="003676AB">
        <w:rPr>
          <w:rFonts w:eastAsia="Calibri"/>
          <w:sz w:val="22"/>
          <w:szCs w:val="22"/>
        </w:rPr>
        <w:t xml:space="preserve"> legitimate </w:t>
      </w:r>
      <w:r w:rsidR="003B531F" w:rsidRPr="003676AB">
        <w:rPr>
          <w:rFonts w:eastAsia="Calibri"/>
          <w:sz w:val="22"/>
          <w:szCs w:val="22"/>
        </w:rPr>
        <w:t>legal basis for EU criminalization measures</w:t>
      </w:r>
      <w:r w:rsidR="005F25D7" w:rsidRPr="003676AB">
        <w:rPr>
          <w:rFonts w:eastAsia="Calibri"/>
          <w:sz w:val="22"/>
          <w:szCs w:val="22"/>
          <w:vertAlign w:val="superscript"/>
        </w:rPr>
        <w:footnoteReference w:id="120"/>
      </w:r>
      <w:r w:rsidR="000B64C3" w:rsidRPr="003676AB">
        <w:rPr>
          <w:rFonts w:eastAsia="Calibri"/>
          <w:sz w:val="22"/>
          <w:szCs w:val="22"/>
        </w:rPr>
        <w:t xml:space="preserve"> </w:t>
      </w:r>
      <w:r w:rsidR="00063A53" w:rsidRPr="003676AB">
        <w:rPr>
          <w:rFonts w:eastAsia="Calibri"/>
          <w:sz w:val="22"/>
          <w:szCs w:val="22"/>
        </w:rPr>
        <w:t>and it is true that</w:t>
      </w:r>
      <w:r w:rsidR="00264273" w:rsidRPr="003676AB">
        <w:rPr>
          <w:rFonts w:eastAsia="Calibri"/>
          <w:sz w:val="22"/>
          <w:szCs w:val="22"/>
        </w:rPr>
        <w:t xml:space="preserve"> the</w:t>
      </w:r>
      <w:r w:rsidR="00063A53" w:rsidRPr="003676AB">
        <w:rPr>
          <w:rFonts w:eastAsia="Calibri"/>
          <w:sz w:val="22"/>
          <w:szCs w:val="22"/>
        </w:rPr>
        <w:t xml:space="preserve"> </w:t>
      </w:r>
      <w:r w:rsidR="007C41F6" w:rsidRPr="003676AB">
        <w:rPr>
          <w:rFonts w:eastAsia="Calibri"/>
          <w:sz w:val="22"/>
          <w:szCs w:val="22"/>
        </w:rPr>
        <w:t xml:space="preserve">case for criminalization under </w:t>
      </w:r>
      <w:r w:rsidR="00264273" w:rsidRPr="003676AB">
        <w:rPr>
          <w:rFonts w:eastAsia="Calibri"/>
          <w:sz w:val="22"/>
          <w:szCs w:val="22"/>
        </w:rPr>
        <w:t>art.</w:t>
      </w:r>
      <w:r w:rsidR="007C41F6" w:rsidRPr="003676AB">
        <w:rPr>
          <w:rFonts w:eastAsia="Calibri"/>
          <w:sz w:val="22"/>
          <w:szCs w:val="22"/>
        </w:rPr>
        <w:t xml:space="preserve"> 114 TFEU is</w:t>
      </w:r>
      <w:r w:rsidR="005F25D7" w:rsidRPr="003676AB">
        <w:rPr>
          <w:rFonts w:eastAsia="Calibri"/>
          <w:sz w:val="22"/>
          <w:szCs w:val="22"/>
        </w:rPr>
        <w:t xml:space="preserve"> </w:t>
      </w:r>
      <w:r w:rsidR="007C41F6" w:rsidRPr="003676AB">
        <w:rPr>
          <w:rFonts w:eastAsia="Calibri"/>
          <w:sz w:val="22"/>
          <w:szCs w:val="22"/>
        </w:rPr>
        <w:t>compelling</w:t>
      </w:r>
      <w:r w:rsidR="00884065" w:rsidRPr="003676AB">
        <w:rPr>
          <w:rFonts w:eastAsia="Calibri"/>
          <w:sz w:val="22"/>
          <w:szCs w:val="22"/>
        </w:rPr>
        <w:t>.</w:t>
      </w:r>
      <w:r w:rsidR="005F25D7" w:rsidRPr="003676AB">
        <w:rPr>
          <w:rFonts w:eastAsia="Calibri"/>
          <w:sz w:val="22"/>
          <w:szCs w:val="22"/>
        </w:rPr>
        <w:t xml:space="preserve"> </w:t>
      </w:r>
      <w:proofErr w:type="spellStart"/>
      <w:r w:rsidR="007C41F6" w:rsidRPr="003676AB">
        <w:rPr>
          <w:rFonts w:eastAsiaTheme="minorEastAsia"/>
          <w:sz w:val="22"/>
          <w:szCs w:val="22"/>
          <w:lang w:eastAsia="en-GB"/>
        </w:rPr>
        <w:t>Sevenster</w:t>
      </w:r>
      <w:proofErr w:type="spellEnd"/>
      <w:r w:rsidR="007C41F6" w:rsidRPr="003676AB">
        <w:rPr>
          <w:rFonts w:eastAsiaTheme="minorEastAsia"/>
          <w:sz w:val="22"/>
          <w:szCs w:val="22"/>
          <w:lang w:eastAsia="en-GB"/>
        </w:rPr>
        <w:t xml:space="preserve"> has explained how concern for ‘Delaware effects’</w:t>
      </w:r>
      <w:r w:rsidR="00E841AD" w:rsidRPr="003676AB">
        <w:rPr>
          <w:rFonts w:eastAsiaTheme="minorEastAsia"/>
          <w:sz w:val="22"/>
          <w:szCs w:val="22"/>
          <w:lang w:eastAsia="en-GB"/>
        </w:rPr>
        <w:t xml:space="preserve"> </w:t>
      </w:r>
      <w:r w:rsidR="00CA358C" w:rsidRPr="003676AB">
        <w:rPr>
          <w:rFonts w:eastAsiaTheme="minorEastAsia"/>
          <w:sz w:val="22"/>
          <w:szCs w:val="22"/>
          <w:lang w:eastAsia="en-GB"/>
        </w:rPr>
        <w:t>(i</w:t>
      </w:r>
      <w:r w:rsidR="00264273" w:rsidRPr="003676AB">
        <w:rPr>
          <w:rFonts w:eastAsiaTheme="minorEastAsia"/>
          <w:sz w:val="22"/>
          <w:szCs w:val="22"/>
          <w:lang w:eastAsia="en-GB"/>
        </w:rPr>
        <w:t>.</w:t>
      </w:r>
      <w:r w:rsidR="00CA358C" w:rsidRPr="003676AB">
        <w:rPr>
          <w:rFonts w:eastAsiaTheme="minorEastAsia"/>
          <w:sz w:val="22"/>
          <w:szCs w:val="22"/>
          <w:lang w:eastAsia="en-GB"/>
        </w:rPr>
        <w:t>e</w:t>
      </w:r>
      <w:r w:rsidR="00264273" w:rsidRPr="003676AB">
        <w:rPr>
          <w:rFonts w:eastAsiaTheme="minorEastAsia"/>
          <w:sz w:val="22"/>
          <w:szCs w:val="22"/>
          <w:lang w:eastAsia="en-GB"/>
        </w:rPr>
        <w:t>.</w:t>
      </w:r>
      <w:r w:rsidR="00CA358C" w:rsidRPr="003676AB">
        <w:rPr>
          <w:rFonts w:eastAsiaTheme="minorEastAsia"/>
          <w:sz w:val="22"/>
          <w:szCs w:val="22"/>
          <w:lang w:eastAsia="en-GB"/>
        </w:rPr>
        <w:t xml:space="preserve"> that a state </w:t>
      </w:r>
      <w:r w:rsidRPr="003676AB">
        <w:rPr>
          <w:rFonts w:eastAsiaTheme="minorEastAsia"/>
          <w:sz w:val="22"/>
          <w:szCs w:val="22"/>
          <w:lang w:eastAsia="en-GB"/>
        </w:rPr>
        <w:t xml:space="preserve">wishing to </w:t>
      </w:r>
      <w:r w:rsidR="00CA358C" w:rsidRPr="003676AB">
        <w:rPr>
          <w:rFonts w:eastAsiaTheme="minorEastAsia"/>
          <w:sz w:val="22"/>
          <w:szCs w:val="22"/>
          <w:lang w:eastAsia="en-GB"/>
        </w:rPr>
        <w:t>create favourable conditions for compa</w:t>
      </w:r>
      <w:r w:rsidR="00E841AD" w:rsidRPr="003676AB">
        <w:rPr>
          <w:rFonts w:eastAsiaTheme="minorEastAsia"/>
          <w:sz w:val="22"/>
          <w:szCs w:val="22"/>
          <w:lang w:eastAsia="en-GB"/>
        </w:rPr>
        <w:t xml:space="preserve">nies may </w:t>
      </w:r>
      <w:r w:rsidRPr="003676AB">
        <w:rPr>
          <w:rFonts w:eastAsiaTheme="minorEastAsia"/>
          <w:sz w:val="22"/>
          <w:szCs w:val="22"/>
          <w:lang w:eastAsia="en-GB"/>
        </w:rPr>
        <w:t xml:space="preserve">adopt low regulatory </w:t>
      </w:r>
      <w:r w:rsidR="00E841AD" w:rsidRPr="003676AB">
        <w:rPr>
          <w:rFonts w:eastAsiaTheme="minorEastAsia"/>
          <w:sz w:val="22"/>
          <w:szCs w:val="22"/>
          <w:lang w:eastAsia="en-GB"/>
        </w:rPr>
        <w:t>standard</w:t>
      </w:r>
      <w:r w:rsidRPr="003676AB">
        <w:rPr>
          <w:rFonts w:eastAsiaTheme="minorEastAsia"/>
          <w:sz w:val="22"/>
          <w:szCs w:val="22"/>
          <w:lang w:eastAsia="en-GB"/>
        </w:rPr>
        <w:t>s, triggering</w:t>
      </w:r>
      <w:r w:rsidR="00E841AD" w:rsidRPr="003676AB">
        <w:rPr>
          <w:rFonts w:eastAsiaTheme="minorEastAsia"/>
          <w:sz w:val="22"/>
          <w:szCs w:val="22"/>
          <w:lang w:eastAsia="en-GB"/>
        </w:rPr>
        <w:t xml:space="preserve"> a race to the bottom</w:t>
      </w:r>
      <w:r w:rsidR="00E841AD" w:rsidRPr="003676AB">
        <w:rPr>
          <w:rFonts w:eastAsiaTheme="minorEastAsia"/>
          <w:sz w:val="22"/>
          <w:szCs w:val="22"/>
          <w:vertAlign w:val="superscript"/>
          <w:lang w:eastAsia="en-GB"/>
        </w:rPr>
        <w:footnoteReference w:id="121"/>
      </w:r>
      <w:r w:rsidR="00CA358C" w:rsidRPr="003676AB">
        <w:rPr>
          <w:rFonts w:eastAsiaTheme="minorEastAsia"/>
          <w:sz w:val="22"/>
          <w:szCs w:val="22"/>
          <w:lang w:eastAsia="en-GB"/>
        </w:rPr>
        <w:t xml:space="preserve">) </w:t>
      </w:r>
      <w:r w:rsidR="00743F68" w:rsidRPr="003676AB">
        <w:rPr>
          <w:rFonts w:eastAsiaTheme="minorEastAsia"/>
          <w:sz w:val="22"/>
          <w:szCs w:val="22"/>
          <w:lang w:eastAsia="en-GB"/>
        </w:rPr>
        <w:t xml:space="preserve">can justify the </w:t>
      </w:r>
      <w:r w:rsidR="007C41F6" w:rsidRPr="003676AB">
        <w:rPr>
          <w:rFonts w:eastAsiaTheme="minorEastAsia"/>
          <w:sz w:val="22"/>
          <w:szCs w:val="22"/>
          <w:lang w:eastAsia="en-GB"/>
        </w:rPr>
        <w:t>harmonization of criminal law. Such effects could</w:t>
      </w:r>
      <w:r w:rsidR="00AD4BFE" w:rsidRPr="003676AB">
        <w:rPr>
          <w:rFonts w:eastAsiaTheme="minorEastAsia"/>
          <w:sz w:val="22"/>
          <w:szCs w:val="22"/>
          <w:lang w:eastAsia="en-GB"/>
        </w:rPr>
        <w:t xml:space="preserve"> also</w:t>
      </w:r>
      <w:r w:rsidR="007C41F6" w:rsidRPr="003676AB">
        <w:rPr>
          <w:rFonts w:eastAsiaTheme="minorEastAsia"/>
          <w:sz w:val="22"/>
          <w:szCs w:val="22"/>
          <w:lang w:eastAsia="en-GB"/>
        </w:rPr>
        <w:t xml:space="preserve"> occur if </w:t>
      </w:r>
      <w:r w:rsidR="00716A94" w:rsidRPr="003676AB">
        <w:rPr>
          <w:rFonts w:eastAsiaTheme="minorEastAsia"/>
          <w:sz w:val="22"/>
          <w:szCs w:val="22"/>
          <w:lang w:eastAsia="en-GB"/>
        </w:rPr>
        <w:t xml:space="preserve">the underlying regulatory provisions </w:t>
      </w:r>
      <w:r w:rsidR="007C41F6" w:rsidRPr="003676AB">
        <w:rPr>
          <w:rFonts w:eastAsiaTheme="minorEastAsia"/>
          <w:sz w:val="22"/>
          <w:szCs w:val="22"/>
          <w:lang w:eastAsia="en-GB"/>
        </w:rPr>
        <w:t>were</w:t>
      </w:r>
      <w:r w:rsidR="00E841AD" w:rsidRPr="003676AB">
        <w:rPr>
          <w:rFonts w:eastAsiaTheme="minorEastAsia"/>
          <w:sz w:val="22"/>
          <w:szCs w:val="22"/>
          <w:lang w:eastAsia="en-GB"/>
        </w:rPr>
        <w:t xml:space="preserve"> similar</w:t>
      </w:r>
      <w:r w:rsidR="007C41F6" w:rsidRPr="003676AB">
        <w:rPr>
          <w:rFonts w:eastAsiaTheme="minorEastAsia"/>
          <w:sz w:val="22"/>
          <w:szCs w:val="22"/>
          <w:lang w:eastAsia="en-GB"/>
        </w:rPr>
        <w:t xml:space="preserve"> but the </w:t>
      </w:r>
      <w:r w:rsidR="00716A94" w:rsidRPr="003676AB">
        <w:rPr>
          <w:rFonts w:eastAsiaTheme="minorEastAsia"/>
          <w:sz w:val="22"/>
          <w:szCs w:val="22"/>
          <w:lang w:eastAsia="en-GB"/>
        </w:rPr>
        <w:t xml:space="preserve">criminal </w:t>
      </w:r>
      <w:r w:rsidR="007C41F6" w:rsidRPr="003676AB">
        <w:rPr>
          <w:rFonts w:eastAsiaTheme="minorEastAsia"/>
          <w:sz w:val="22"/>
          <w:szCs w:val="22"/>
          <w:lang w:eastAsia="en-GB"/>
        </w:rPr>
        <w:t>legislation in Member States diverge</w:t>
      </w:r>
      <w:r w:rsidR="00716A94" w:rsidRPr="003676AB">
        <w:rPr>
          <w:rFonts w:eastAsiaTheme="minorEastAsia"/>
          <w:sz w:val="22"/>
          <w:szCs w:val="22"/>
          <w:lang w:eastAsia="en-GB"/>
        </w:rPr>
        <w:t>d significantly</w:t>
      </w:r>
      <w:r w:rsidR="00884065" w:rsidRPr="003676AB">
        <w:rPr>
          <w:rFonts w:eastAsiaTheme="minorEastAsia"/>
          <w:sz w:val="22"/>
          <w:szCs w:val="22"/>
          <w:lang w:eastAsia="en-GB"/>
        </w:rPr>
        <w:t xml:space="preserve">. </w:t>
      </w:r>
      <w:r w:rsidR="00E841AD" w:rsidRPr="003676AB">
        <w:rPr>
          <w:rFonts w:ascii="Times-Roman" w:eastAsiaTheme="minorEastAsia" w:hAnsi="Times-Roman" w:cs="Times-Roman"/>
          <w:sz w:val="22"/>
          <w:szCs w:val="22"/>
          <w:lang w:eastAsia="en-GB"/>
        </w:rPr>
        <w:t>Th</w:t>
      </w:r>
      <w:r w:rsidR="00743F68" w:rsidRPr="003676AB">
        <w:rPr>
          <w:rFonts w:ascii="Times-Roman" w:eastAsiaTheme="minorEastAsia" w:hAnsi="Times-Roman" w:cs="Times-Roman"/>
          <w:sz w:val="22"/>
          <w:szCs w:val="22"/>
          <w:lang w:eastAsia="en-GB"/>
        </w:rPr>
        <w:t>e</w:t>
      </w:r>
      <w:r w:rsidR="00E841AD" w:rsidRPr="003676AB">
        <w:rPr>
          <w:rFonts w:ascii="Times-Roman" w:eastAsiaTheme="minorEastAsia" w:hAnsi="Times-Roman" w:cs="Times-Roman"/>
          <w:sz w:val="22"/>
          <w:szCs w:val="22"/>
          <w:lang w:eastAsia="en-GB"/>
        </w:rPr>
        <w:t xml:space="preserve">se </w:t>
      </w:r>
      <w:r w:rsidR="007C41F6" w:rsidRPr="003676AB">
        <w:rPr>
          <w:rFonts w:ascii="Times-Roman" w:eastAsiaTheme="minorEastAsia" w:hAnsi="Times-Roman" w:cs="Times-Roman"/>
          <w:sz w:val="22"/>
          <w:szCs w:val="22"/>
          <w:lang w:eastAsia="en-GB"/>
        </w:rPr>
        <w:t xml:space="preserve">divergences </w:t>
      </w:r>
      <w:r w:rsidR="00E841AD" w:rsidRPr="003676AB">
        <w:rPr>
          <w:rFonts w:ascii="Times-Roman" w:eastAsiaTheme="minorEastAsia" w:hAnsi="Times-Roman" w:cs="Times-Roman"/>
          <w:sz w:val="22"/>
          <w:szCs w:val="22"/>
          <w:lang w:eastAsia="en-GB"/>
        </w:rPr>
        <w:t xml:space="preserve">would </w:t>
      </w:r>
      <w:r w:rsidR="007C41F6" w:rsidRPr="003676AB">
        <w:rPr>
          <w:rFonts w:ascii="Times-Roman" w:eastAsiaTheme="minorEastAsia" w:hAnsi="Times-Roman" w:cs="Times-Roman"/>
          <w:sz w:val="22"/>
          <w:szCs w:val="22"/>
          <w:lang w:eastAsia="en-GB"/>
        </w:rPr>
        <w:t xml:space="preserve">create </w:t>
      </w:r>
      <w:r w:rsidR="00884065" w:rsidRPr="003676AB">
        <w:rPr>
          <w:rFonts w:ascii="Times-Roman" w:eastAsiaTheme="minorEastAsia" w:hAnsi="Times-Roman" w:cs="Times-Roman"/>
          <w:sz w:val="22"/>
          <w:szCs w:val="22"/>
          <w:lang w:eastAsia="en-GB"/>
        </w:rPr>
        <w:t>‘</w:t>
      </w:r>
      <w:r w:rsidR="007C41F6" w:rsidRPr="003676AB">
        <w:rPr>
          <w:rFonts w:ascii="Times-Roman" w:eastAsiaTheme="minorEastAsia" w:hAnsi="Times-Roman" w:cs="Times-Roman"/>
          <w:sz w:val="22"/>
          <w:szCs w:val="22"/>
          <w:lang w:eastAsia="en-GB"/>
        </w:rPr>
        <w:t xml:space="preserve">regulatory </w:t>
      </w:r>
      <w:proofErr w:type="gramStart"/>
      <w:r w:rsidR="007C41F6" w:rsidRPr="003676AB">
        <w:rPr>
          <w:rFonts w:ascii="Times-Roman" w:eastAsiaTheme="minorEastAsia" w:hAnsi="Times-Roman" w:cs="Times-Roman"/>
          <w:sz w:val="22"/>
          <w:szCs w:val="22"/>
          <w:lang w:eastAsia="en-GB"/>
        </w:rPr>
        <w:t>races</w:t>
      </w:r>
      <w:r w:rsidR="00884065" w:rsidRPr="003676AB">
        <w:rPr>
          <w:rFonts w:ascii="Times-Roman" w:eastAsiaTheme="minorEastAsia" w:hAnsi="Times-Roman" w:cs="Times-Roman"/>
          <w:sz w:val="22"/>
          <w:szCs w:val="22"/>
          <w:lang w:eastAsia="en-GB"/>
        </w:rPr>
        <w:t>’</w:t>
      </w:r>
      <w:proofErr w:type="gramEnd"/>
      <w:r w:rsidR="007C41F6" w:rsidRPr="003676AB">
        <w:rPr>
          <w:rFonts w:ascii="Times-Roman" w:eastAsiaTheme="minorEastAsia" w:hAnsi="Times-Roman" w:cs="Times-Roman"/>
          <w:sz w:val="22"/>
          <w:szCs w:val="22"/>
          <w:lang w:eastAsia="en-GB"/>
        </w:rPr>
        <w:t xml:space="preserve">. </w:t>
      </w:r>
      <w:r w:rsidR="007C41F6" w:rsidRPr="003676AB">
        <w:rPr>
          <w:rFonts w:eastAsiaTheme="minorEastAsia"/>
          <w:sz w:val="22"/>
          <w:szCs w:val="22"/>
          <w:lang w:eastAsia="en-GB"/>
        </w:rPr>
        <w:t>The assumption is that the Member State with the most lenient penal system would attract</w:t>
      </w:r>
      <w:r w:rsidR="007C41F6" w:rsidRPr="003676AB">
        <w:rPr>
          <w:rFonts w:eastAsiaTheme="minorEastAsia"/>
          <w:i/>
          <w:iCs/>
          <w:sz w:val="22"/>
          <w:szCs w:val="22"/>
          <w:lang w:eastAsia="en-GB"/>
        </w:rPr>
        <w:t xml:space="preserve"> </w:t>
      </w:r>
      <w:r w:rsidR="00716A94" w:rsidRPr="003676AB">
        <w:rPr>
          <w:rFonts w:eastAsiaTheme="minorEastAsia"/>
          <w:sz w:val="22"/>
          <w:szCs w:val="22"/>
          <w:lang w:eastAsia="en-GB"/>
        </w:rPr>
        <w:t xml:space="preserve">more investment from other Member States who would be obliged to adopt more lenient criminal law measures, </w:t>
      </w:r>
      <w:r w:rsidR="007C41F6" w:rsidRPr="003676AB">
        <w:rPr>
          <w:rFonts w:eastAsiaTheme="minorEastAsia"/>
          <w:sz w:val="22"/>
          <w:szCs w:val="22"/>
          <w:lang w:eastAsia="en-GB"/>
        </w:rPr>
        <w:t>trigger</w:t>
      </w:r>
      <w:r w:rsidR="00716A94" w:rsidRPr="003676AB">
        <w:rPr>
          <w:rFonts w:eastAsiaTheme="minorEastAsia"/>
          <w:sz w:val="22"/>
          <w:szCs w:val="22"/>
          <w:lang w:eastAsia="en-GB"/>
        </w:rPr>
        <w:t>ing</w:t>
      </w:r>
      <w:r w:rsidR="007C41F6" w:rsidRPr="003676AB">
        <w:rPr>
          <w:rFonts w:eastAsiaTheme="minorEastAsia"/>
          <w:sz w:val="22"/>
          <w:szCs w:val="22"/>
          <w:lang w:eastAsia="en-GB"/>
        </w:rPr>
        <w:t xml:space="preserve"> a race to the bottom. </w:t>
      </w:r>
      <w:r w:rsidR="00716A94" w:rsidRPr="003676AB">
        <w:rPr>
          <w:rFonts w:eastAsiaTheme="minorEastAsia"/>
          <w:sz w:val="22"/>
          <w:szCs w:val="22"/>
          <w:lang w:eastAsia="en-GB"/>
        </w:rPr>
        <w:t xml:space="preserve">A further extension of this argument is that Member States will be incentivised to laxly </w:t>
      </w:r>
      <w:r w:rsidR="007C41F6" w:rsidRPr="003676AB">
        <w:rPr>
          <w:rFonts w:eastAsiaTheme="minorEastAsia"/>
          <w:sz w:val="22"/>
          <w:szCs w:val="22"/>
          <w:lang w:eastAsia="en-GB"/>
        </w:rPr>
        <w:t xml:space="preserve">enforce </w:t>
      </w:r>
      <w:r w:rsidR="00716A94" w:rsidRPr="003676AB">
        <w:rPr>
          <w:rFonts w:eastAsiaTheme="minorEastAsia"/>
          <w:sz w:val="22"/>
          <w:szCs w:val="22"/>
          <w:lang w:eastAsia="en-GB"/>
        </w:rPr>
        <w:t xml:space="preserve">the </w:t>
      </w:r>
      <w:r w:rsidR="00884065" w:rsidRPr="003676AB">
        <w:rPr>
          <w:rFonts w:eastAsiaTheme="minorEastAsia"/>
          <w:sz w:val="22"/>
          <w:szCs w:val="22"/>
          <w:lang w:eastAsia="en-GB"/>
        </w:rPr>
        <w:t>common EU rules</w:t>
      </w:r>
      <w:r w:rsidR="00716A94" w:rsidRPr="003676AB">
        <w:rPr>
          <w:rFonts w:eastAsiaTheme="minorEastAsia"/>
          <w:sz w:val="22"/>
          <w:szCs w:val="22"/>
          <w:lang w:eastAsia="en-GB"/>
        </w:rPr>
        <w:t xml:space="preserve"> that have been adopted out of a desire to avoid placing their companies at a competitive disadvantage</w:t>
      </w:r>
      <w:r w:rsidR="00E841AD" w:rsidRPr="003676AB">
        <w:rPr>
          <w:rFonts w:eastAsiaTheme="minorEastAsia"/>
          <w:sz w:val="22"/>
          <w:szCs w:val="22"/>
          <w:vertAlign w:val="superscript"/>
          <w:lang w:eastAsia="en-GB"/>
        </w:rPr>
        <w:footnoteReference w:id="122"/>
      </w:r>
      <w:r w:rsidR="001D56D3" w:rsidRPr="003676AB">
        <w:rPr>
          <w:rFonts w:eastAsiaTheme="minorEastAsia"/>
          <w:sz w:val="22"/>
          <w:szCs w:val="22"/>
          <w:lang w:eastAsia="en-GB"/>
        </w:rPr>
        <w:t>,</w:t>
      </w:r>
      <w:r w:rsidR="00E841AD" w:rsidRPr="003676AB">
        <w:rPr>
          <w:rFonts w:eastAsia="Calibri"/>
          <w:sz w:val="22"/>
          <w:szCs w:val="22"/>
          <w:lang w:eastAsia="en-GB"/>
        </w:rPr>
        <w:t xml:space="preserve"> </w:t>
      </w:r>
      <w:r w:rsidR="00716A94" w:rsidRPr="003676AB">
        <w:rPr>
          <w:rFonts w:eastAsiaTheme="minorEastAsia"/>
          <w:sz w:val="22"/>
          <w:szCs w:val="22"/>
          <w:lang w:eastAsia="en-GB"/>
        </w:rPr>
        <w:t>leading to further</w:t>
      </w:r>
      <w:r w:rsidR="00CA358C" w:rsidRPr="003676AB">
        <w:rPr>
          <w:rFonts w:eastAsiaTheme="minorEastAsia"/>
          <w:sz w:val="22"/>
          <w:szCs w:val="22"/>
          <w:lang w:eastAsia="en-GB"/>
        </w:rPr>
        <w:t xml:space="preserve"> distortions of competition. </w:t>
      </w:r>
      <w:r w:rsidR="00716A94" w:rsidRPr="003676AB">
        <w:rPr>
          <w:rFonts w:eastAsiaTheme="minorEastAsia"/>
          <w:sz w:val="22"/>
          <w:szCs w:val="22"/>
          <w:lang w:eastAsia="en-GB"/>
        </w:rPr>
        <w:t>I</w:t>
      </w:r>
      <w:r w:rsidR="007C41F6" w:rsidRPr="003676AB">
        <w:rPr>
          <w:rFonts w:eastAsiaTheme="minorEastAsia"/>
          <w:sz w:val="22"/>
          <w:szCs w:val="22"/>
          <w:lang w:eastAsia="en-GB"/>
        </w:rPr>
        <w:t xml:space="preserve">n the absence of a common EU standard, </w:t>
      </w:r>
      <w:r w:rsidR="00716A94" w:rsidRPr="003676AB">
        <w:rPr>
          <w:rFonts w:eastAsiaTheme="minorEastAsia"/>
          <w:sz w:val="22"/>
          <w:szCs w:val="22"/>
          <w:lang w:eastAsia="en-GB"/>
        </w:rPr>
        <w:t xml:space="preserve">firms and individuals </w:t>
      </w:r>
      <w:r w:rsidR="007C41F6" w:rsidRPr="003676AB">
        <w:rPr>
          <w:rFonts w:eastAsiaTheme="minorEastAsia"/>
          <w:sz w:val="22"/>
          <w:szCs w:val="22"/>
          <w:lang w:eastAsia="en-GB"/>
        </w:rPr>
        <w:t xml:space="preserve">will be subject to different </w:t>
      </w:r>
      <w:r w:rsidR="00716A94" w:rsidRPr="003676AB">
        <w:rPr>
          <w:rFonts w:eastAsiaTheme="minorEastAsia"/>
          <w:sz w:val="22"/>
          <w:szCs w:val="22"/>
          <w:lang w:eastAsia="en-GB"/>
        </w:rPr>
        <w:t xml:space="preserve">compliance </w:t>
      </w:r>
      <w:r w:rsidR="007C41F6" w:rsidRPr="003676AB">
        <w:rPr>
          <w:rFonts w:eastAsiaTheme="minorEastAsia"/>
          <w:sz w:val="22"/>
          <w:szCs w:val="22"/>
          <w:lang w:eastAsia="en-GB"/>
        </w:rPr>
        <w:t xml:space="preserve">costs with different regulatory standards </w:t>
      </w:r>
      <w:r w:rsidR="00716A94" w:rsidRPr="003676AB">
        <w:rPr>
          <w:rFonts w:eastAsiaTheme="minorEastAsia"/>
          <w:sz w:val="22"/>
          <w:szCs w:val="22"/>
          <w:lang w:eastAsia="en-GB"/>
        </w:rPr>
        <w:t xml:space="preserve">putting </w:t>
      </w:r>
      <w:r w:rsidR="007C41F6" w:rsidRPr="003676AB">
        <w:rPr>
          <w:rFonts w:eastAsiaTheme="minorEastAsia"/>
          <w:sz w:val="22"/>
          <w:szCs w:val="22"/>
          <w:lang w:eastAsia="en-GB"/>
        </w:rPr>
        <w:t>firms in jurisdiction</w:t>
      </w:r>
      <w:r w:rsidR="00716A94" w:rsidRPr="003676AB">
        <w:rPr>
          <w:rFonts w:eastAsiaTheme="minorEastAsia"/>
          <w:sz w:val="22"/>
          <w:szCs w:val="22"/>
          <w:lang w:eastAsia="en-GB"/>
        </w:rPr>
        <w:t>s</w:t>
      </w:r>
      <w:r w:rsidR="007C41F6" w:rsidRPr="003676AB">
        <w:rPr>
          <w:rFonts w:eastAsiaTheme="minorEastAsia"/>
          <w:sz w:val="22"/>
          <w:szCs w:val="22"/>
          <w:lang w:eastAsia="en-GB"/>
        </w:rPr>
        <w:t xml:space="preserve"> with </w:t>
      </w:r>
      <w:r w:rsidR="00743F68" w:rsidRPr="003676AB">
        <w:rPr>
          <w:rFonts w:eastAsiaTheme="minorEastAsia"/>
          <w:sz w:val="22"/>
          <w:szCs w:val="22"/>
          <w:lang w:eastAsia="en-GB"/>
        </w:rPr>
        <w:t xml:space="preserve">more </w:t>
      </w:r>
      <w:r w:rsidR="007C41F6" w:rsidRPr="003676AB">
        <w:rPr>
          <w:rFonts w:eastAsiaTheme="minorEastAsia"/>
          <w:sz w:val="22"/>
          <w:szCs w:val="22"/>
          <w:lang w:eastAsia="en-GB"/>
        </w:rPr>
        <w:t xml:space="preserve">stringent regimes </w:t>
      </w:r>
      <w:r w:rsidR="00716A94" w:rsidRPr="003676AB">
        <w:rPr>
          <w:rFonts w:eastAsiaTheme="minorEastAsia"/>
          <w:sz w:val="22"/>
          <w:szCs w:val="22"/>
          <w:lang w:eastAsia="en-GB"/>
        </w:rPr>
        <w:t xml:space="preserve">at </w:t>
      </w:r>
      <w:r w:rsidR="00CA358C" w:rsidRPr="003676AB">
        <w:rPr>
          <w:rFonts w:eastAsiaTheme="minorEastAsia"/>
          <w:sz w:val="22"/>
          <w:szCs w:val="22"/>
          <w:lang w:eastAsia="en-GB"/>
        </w:rPr>
        <w:t xml:space="preserve">a competitive disadvantage. </w:t>
      </w:r>
      <w:r w:rsidR="007C41F6" w:rsidRPr="003676AB">
        <w:rPr>
          <w:rFonts w:eastAsiaTheme="minorEastAsia"/>
          <w:sz w:val="22"/>
          <w:szCs w:val="22"/>
          <w:lang w:eastAsia="en-GB"/>
        </w:rPr>
        <w:t>Firms under a criminalis</w:t>
      </w:r>
      <w:r w:rsidR="00716A94" w:rsidRPr="003676AB">
        <w:rPr>
          <w:rFonts w:eastAsiaTheme="minorEastAsia"/>
          <w:sz w:val="22"/>
          <w:szCs w:val="22"/>
          <w:lang w:eastAsia="en-GB"/>
        </w:rPr>
        <w:t>ed</w:t>
      </w:r>
      <w:r w:rsidR="007C41F6" w:rsidRPr="003676AB">
        <w:rPr>
          <w:rFonts w:eastAsiaTheme="minorEastAsia"/>
          <w:sz w:val="22"/>
          <w:szCs w:val="22"/>
          <w:lang w:eastAsia="en-GB"/>
        </w:rPr>
        <w:t xml:space="preserve"> regime</w:t>
      </w:r>
      <w:r w:rsidR="00CA358C" w:rsidRPr="003676AB">
        <w:rPr>
          <w:rFonts w:eastAsiaTheme="minorEastAsia"/>
          <w:sz w:val="22"/>
          <w:szCs w:val="22"/>
          <w:lang w:eastAsia="en-GB"/>
        </w:rPr>
        <w:t xml:space="preserve"> may be discouraged to enter into legitimate business activities and they may also</w:t>
      </w:r>
      <w:r w:rsidR="007C41F6" w:rsidRPr="003676AB">
        <w:rPr>
          <w:rFonts w:eastAsiaTheme="minorEastAsia"/>
          <w:sz w:val="22"/>
          <w:szCs w:val="22"/>
          <w:lang w:eastAsia="en-GB"/>
        </w:rPr>
        <w:t xml:space="preserve"> incur additional costs, e.g. costs for adopting internal compliance mechanisms and costs for advisors to ensure compliance with the relevant rules.</w:t>
      </w:r>
      <w:r w:rsidR="00E841AD" w:rsidRPr="003676AB">
        <w:rPr>
          <w:rFonts w:eastAsiaTheme="minorEastAsia"/>
          <w:sz w:val="22"/>
          <w:szCs w:val="22"/>
          <w:vertAlign w:val="superscript"/>
          <w:lang w:eastAsia="en-GB"/>
        </w:rPr>
        <w:footnoteReference w:id="123"/>
      </w:r>
      <w:r w:rsidR="00E841AD" w:rsidRPr="003676AB">
        <w:rPr>
          <w:rFonts w:eastAsiaTheme="minorEastAsia"/>
          <w:sz w:val="22"/>
          <w:szCs w:val="22"/>
          <w:lang w:eastAsia="en-GB"/>
        </w:rPr>
        <w:t xml:space="preserve"> </w:t>
      </w:r>
      <w:r w:rsidR="00E841AD" w:rsidRPr="003676AB">
        <w:rPr>
          <w:rFonts w:eastAsia="Calibri"/>
          <w:sz w:val="22"/>
          <w:szCs w:val="22"/>
          <w:lang w:eastAsia="en-GB"/>
        </w:rPr>
        <w:t xml:space="preserve">Weak criminal enforcement or loopholes in states’ criminal enforcement systems would on the other hand create ‘safe havens’ because </w:t>
      </w:r>
      <w:r w:rsidR="00E841AD" w:rsidRPr="003676AB">
        <w:rPr>
          <w:rFonts w:eastAsiaTheme="minorEastAsia"/>
          <w:sz w:val="22"/>
          <w:szCs w:val="22"/>
          <w:lang w:eastAsia="en-GB"/>
        </w:rPr>
        <w:t xml:space="preserve">potential perpetrators are provided with an incentive to identify and </w:t>
      </w:r>
      <w:r w:rsidR="00E841AD" w:rsidRPr="003676AB">
        <w:rPr>
          <w:rFonts w:eastAsiaTheme="minorEastAsia"/>
          <w:sz w:val="22"/>
          <w:szCs w:val="22"/>
          <w:lang w:eastAsia="en-GB"/>
        </w:rPr>
        <w:lastRenderedPageBreak/>
        <w:t>exploit those jurisdictions</w:t>
      </w:r>
      <w:r w:rsidR="00E841AD" w:rsidRPr="003676AB">
        <w:rPr>
          <w:rFonts w:ascii="Times-Roman" w:eastAsiaTheme="minorEastAsia" w:hAnsi="Times-Roman" w:cs="Times-Roman"/>
          <w:sz w:val="22"/>
          <w:szCs w:val="22"/>
          <w:lang w:eastAsia="en-GB"/>
        </w:rPr>
        <w:t>.</w:t>
      </w:r>
      <w:r w:rsidR="007C41F6" w:rsidRPr="003676AB">
        <w:rPr>
          <w:rFonts w:eastAsiaTheme="minorEastAsia"/>
          <w:sz w:val="22"/>
          <w:szCs w:val="22"/>
          <w:vertAlign w:val="superscript"/>
          <w:lang w:eastAsia="en-GB"/>
        </w:rPr>
        <w:t xml:space="preserve"> </w:t>
      </w:r>
      <w:r w:rsidR="004D78EC" w:rsidRPr="003676AB">
        <w:rPr>
          <w:rFonts w:eastAsiaTheme="minorEastAsia"/>
          <w:sz w:val="22"/>
          <w:szCs w:val="22"/>
          <w:lang w:eastAsia="en-GB"/>
        </w:rPr>
        <w:t xml:space="preserve">The idea </w:t>
      </w:r>
      <w:r w:rsidR="00716A94" w:rsidRPr="003676AB">
        <w:rPr>
          <w:rFonts w:eastAsiaTheme="minorEastAsia"/>
          <w:sz w:val="22"/>
          <w:szCs w:val="22"/>
          <w:lang w:eastAsia="en-GB"/>
        </w:rPr>
        <w:t>underpinning EU competence in the area is therefore that</w:t>
      </w:r>
      <w:r w:rsidR="001D56D3" w:rsidRPr="003676AB">
        <w:rPr>
          <w:rFonts w:eastAsiaTheme="minorEastAsia"/>
          <w:sz w:val="22"/>
          <w:szCs w:val="22"/>
          <w:lang w:eastAsia="en-GB"/>
        </w:rPr>
        <w:t xml:space="preserve"> </w:t>
      </w:r>
      <w:r w:rsidR="004D78EC" w:rsidRPr="003676AB">
        <w:rPr>
          <w:rFonts w:eastAsiaTheme="minorEastAsia"/>
          <w:sz w:val="22"/>
          <w:szCs w:val="22"/>
          <w:lang w:eastAsia="en-GB"/>
        </w:rPr>
        <w:t>h</w:t>
      </w:r>
      <w:r w:rsidR="007C41F6" w:rsidRPr="003676AB">
        <w:rPr>
          <w:rFonts w:eastAsiaTheme="minorEastAsia"/>
          <w:sz w:val="22"/>
          <w:szCs w:val="22"/>
          <w:lang w:eastAsia="en-GB"/>
        </w:rPr>
        <w:t>armonisation of</w:t>
      </w:r>
      <w:r w:rsidR="00E841AD" w:rsidRPr="003676AB">
        <w:rPr>
          <w:rFonts w:eastAsiaTheme="minorEastAsia"/>
          <w:sz w:val="22"/>
          <w:szCs w:val="22"/>
          <w:lang w:eastAsia="en-GB"/>
        </w:rPr>
        <w:t xml:space="preserve"> national</w:t>
      </w:r>
      <w:r w:rsidR="004D78EC" w:rsidRPr="003676AB">
        <w:rPr>
          <w:rFonts w:eastAsiaTheme="minorEastAsia"/>
          <w:sz w:val="22"/>
          <w:szCs w:val="22"/>
          <w:lang w:eastAsia="en-GB"/>
        </w:rPr>
        <w:t xml:space="preserve"> </w:t>
      </w:r>
      <w:r w:rsidR="00716A94" w:rsidRPr="003676AB">
        <w:rPr>
          <w:rFonts w:eastAsiaTheme="minorEastAsia"/>
          <w:sz w:val="22"/>
          <w:szCs w:val="22"/>
          <w:lang w:eastAsia="en-GB"/>
        </w:rPr>
        <w:t xml:space="preserve">criminal law in these areas </w:t>
      </w:r>
      <w:r w:rsidR="004D78EC" w:rsidRPr="003676AB">
        <w:rPr>
          <w:rFonts w:eastAsiaTheme="minorEastAsia"/>
          <w:sz w:val="22"/>
          <w:szCs w:val="22"/>
          <w:lang w:eastAsia="en-GB"/>
        </w:rPr>
        <w:t xml:space="preserve">could help to </w:t>
      </w:r>
      <w:r w:rsidR="00E841AD" w:rsidRPr="003676AB">
        <w:rPr>
          <w:rFonts w:eastAsiaTheme="minorEastAsia"/>
          <w:sz w:val="22"/>
          <w:szCs w:val="22"/>
          <w:lang w:eastAsia="en-GB"/>
        </w:rPr>
        <w:t>address some of these collective action problems</w:t>
      </w:r>
      <w:r w:rsidR="004D78EC" w:rsidRPr="003676AB">
        <w:rPr>
          <w:rStyle w:val="Fotnotsreferens"/>
          <w:rFonts w:eastAsiaTheme="minorEastAsia"/>
          <w:sz w:val="22"/>
          <w:szCs w:val="22"/>
          <w:lang w:eastAsia="en-GB"/>
        </w:rPr>
        <w:footnoteReference w:id="124"/>
      </w:r>
      <w:r w:rsidR="004D78EC" w:rsidRPr="003676AB">
        <w:rPr>
          <w:rFonts w:eastAsiaTheme="minorEastAsia"/>
          <w:sz w:val="22"/>
          <w:szCs w:val="22"/>
          <w:lang w:eastAsia="en-GB"/>
        </w:rPr>
        <w:t xml:space="preserve"> and reinforce the objective of creating and maintaining the internal market</w:t>
      </w:r>
      <w:r w:rsidR="00E841AD" w:rsidRPr="003676AB">
        <w:rPr>
          <w:rFonts w:eastAsiaTheme="minorEastAsia"/>
          <w:sz w:val="22"/>
          <w:szCs w:val="22"/>
          <w:lang w:eastAsia="en-GB"/>
        </w:rPr>
        <w:t>.</w:t>
      </w:r>
      <w:r w:rsidR="004D78EC" w:rsidRPr="003676AB">
        <w:rPr>
          <w:rFonts w:eastAsiaTheme="minorEastAsia"/>
          <w:sz w:val="22"/>
          <w:szCs w:val="22"/>
          <w:vertAlign w:val="superscript"/>
          <w:lang w:eastAsia="en-GB"/>
        </w:rPr>
        <w:footnoteReference w:id="125"/>
      </w:r>
      <w:r w:rsidR="00716A94" w:rsidRPr="003676AB">
        <w:rPr>
          <w:rFonts w:eastAsiaTheme="minorEastAsia"/>
          <w:sz w:val="22"/>
          <w:szCs w:val="22"/>
          <w:lang w:eastAsia="en-GB"/>
        </w:rPr>
        <w:t xml:space="preserve"> </w:t>
      </w:r>
    </w:p>
    <w:p w14:paraId="600AD5F5" w14:textId="3AE08444" w:rsidR="006D4F6E" w:rsidRPr="003676AB" w:rsidRDefault="004D78EC" w:rsidP="006D4F6E">
      <w:pPr>
        <w:rPr>
          <w:rFonts w:cs="EUAlbertina"/>
          <w:color w:val="000000"/>
          <w:sz w:val="22"/>
          <w:szCs w:val="22"/>
        </w:rPr>
      </w:pPr>
      <w:r w:rsidRPr="003676AB">
        <w:rPr>
          <w:rFonts w:eastAsia="Calibri"/>
          <w:sz w:val="22"/>
          <w:szCs w:val="22"/>
        </w:rPr>
        <w:t xml:space="preserve">Furthermore, legislative and judicial practice </w:t>
      </w:r>
      <w:r w:rsidR="0087784F" w:rsidRPr="003676AB">
        <w:rPr>
          <w:rFonts w:eastAsia="Calibri"/>
          <w:sz w:val="22"/>
          <w:szCs w:val="22"/>
        </w:rPr>
        <w:t xml:space="preserve">would </w:t>
      </w:r>
      <w:r w:rsidRPr="003676AB">
        <w:rPr>
          <w:rFonts w:eastAsia="Calibri"/>
          <w:sz w:val="22"/>
          <w:szCs w:val="22"/>
        </w:rPr>
        <w:t xml:space="preserve">suggest that this provision has been a </w:t>
      </w:r>
      <w:r w:rsidR="0087784F" w:rsidRPr="003676AB">
        <w:rPr>
          <w:rFonts w:eastAsia="Calibri"/>
          <w:sz w:val="22"/>
          <w:szCs w:val="22"/>
        </w:rPr>
        <w:t xml:space="preserve">key tool in promoting </w:t>
      </w:r>
      <w:r w:rsidRPr="003676AB">
        <w:rPr>
          <w:rFonts w:eastAsia="Calibri"/>
          <w:sz w:val="22"/>
          <w:szCs w:val="22"/>
        </w:rPr>
        <w:t>EU integration over sensitive national policies</w:t>
      </w:r>
      <w:r w:rsidR="002D44CE" w:rsidRPr="003676AB">
        <w:rPr>
          <w:rFonts w:eastAsia="Calibri"/>
          <w:sz w:val="22"/>
          <w:szCs w:val="22"/>
        </w:rPr>
        <w:t xml:space="preserve"> more generally</w:t>
      </w:r>
      <w:r w:rsidRPr="003676AB">
        <w:rPr>
          <w:rFonts w:eastAsia="Calibri"/>
          <w:sz w:val="22"/>
          <w:szCs w:val="22"/>
        </w:rPr>
        <w:t xml:space="preserve">. Whilst its scope is limited to the internal market, practice demonstrates that it is viewed by the EU institutions </w:t>
      </w:r>
      <w:r w:rsidR="00DC0EAF" w:rsidRPr="003676AB">
        <w:rPr>
          <w:rFonts w:eastAsia="Calibri"/>
          <w:sz w:val="22"/>
          <w:szCs w:val="22"/>
        </w:rPr>
        <w:t xml:space="preserve">as a </w:t>
      </w:r>
      <w:r w:rsidR="008B2122" w:rsidRPr="003676AB">
        <w:rPr>
          <w:rFonts w:eastAsia="Calibri"/>
          <w:sz w:val="22"/>
          <w:szCs w:val="22"/>
        </w:rPr>
        <w:t xml:space="preserve">more </w:t>
      </w:r>
      <w:r w:rsidR="00DC0EAF" w:rsidRPr="003676AB">
        <w:rPr>
          <w:rFonts w:eastAsia="Calibri"/>
          <w:sz w:val="22"/>
          <w:szCs w:val="22"/>
        </w:rPr>
        <w:t>general regulatory power</w:t>
      </w:r>
      <w:r w:rsidRPr="003676AB">
        <w:rPr>
          <w:rFonts w:cs="EUAlbertina"/>
          <w:color w:val="000000"/>
          <w:sz w:val="22"/>
          <w:szCs w:val="22"/>
        </w:rPr>
        <w:t>.</w:t>
      </w:r>
      <w:r w:rsidRPr="003676AB">
        <w:rPr>
          <w:rStyle w:val="Fotnotsreferens"/>
          <w:rFonts w:cs="EUAlbertina"/>
          <w:color w:val="000000"/>
          <w:sz w:val="22"/>
          <w:szCs w:val="22"/>
        </w:rPr>
        <w:footnoteReference w:id="126"/>
      </w:r>
      <w:r w:rsidR="002D44CE" w:rsidRPr="003676AB">
        <w:rPr>
          <w:rFonts w:cs="EUAlbertina"/>
          <w:color w:val="000000"/>
          <w:sz w:val="22"/>
          <w:szCs w:val="22"/>
        </w:rPr>
        <w:t xml:space="preserve"> </w:t>
      </w:r>
      <w:r w:rsidR="00DC0EAF" w:rsidRPr="003676AB">
        <w:rPr>
          <w:rFonts w:cs="EUAlbertina"/>
          <w:color w:val="000000"/>
          <w:sz w:val="22"/>
          <w:szCs w:val="22"/>
        </w:rPr>
        <w:t>Art</w:t>
      </w:r>
      <w:r w:rsidR="008B23B1" w:rsidRPr="003676AB">
        <w:rPr>
          <w:rFonts w:cs="EUAlbertina"/>
          <w:color w:val="000000"/>
          <w:sz w:val="22"/>
          <w:szCs w:val="22"/>
        </w:rPr>
        <w:t>.</w:t>
      </w:r>
      <w:r w:rsidR="00DC0EAF" w:rsidRPr="003676AB">
        <w:rPr>
          <w:rFonts w:cs="EUAlbertina"/>
          <w:color w:val="000000"/>
          <w:sz w:val="22"/>
          <w:szCs w:val="22"/>
        </w:rPr>
        <w:t xml:space="preserve"> 114 TFEU has also been given a broad interpretation in </w:t>
      </w:r>
      <w:r w:rsidR="002F4846" w:rsidRPr="003676AB">
        <w:rPr>
          <w:rFonts w:cs="EUAlbertina"/>
          <w:color w:val="000000"/>
          <w:sz w:val="22"/>
          <w:szCs w:val="22"/>
        </w:rPr>
        <w:t xml:space="preserve">the jurisprudence of the Court </w:t>
      </w:r>
      <w:proofErr w:type="gramStart"/>
      <w:r w:rsidR="002F4846" w:rsidRPr="003676AB">
        <w:rPr>
          <w:rFonts w:cs="EUAlbertina"/>
          <w:color w:val="000000"/>
          <w:sz w:val="22"/>
          <w:szCs w:val="22"/>
        </w:rPr>
        <w:t>in the area of</w:t>
      </w:r>
      <w:proofErr w:type="gramEnd"/>
      <w:r w:rsidR="002F4846" w:rsidRPr="003676AB">
        <w:rPr>
          <w:rFonts w:cs="EUAlbertina"/>
          <w:color w:val="000000"/>
          <w:sz w:val="22"/>
          <w:szCs w:val="22"/>
        </w:rPr>
        <w:t xml:space="preserve"> legal basis disputes</w:t>
      </w:r>
      <w:r w:rsidR="00DC0EAF" w:rsidRPr="003676AB">
        <w:rPr>
          <w:rFonts w:cs="EUAlbertina"/>
          <w:color w:val="000000"/>
          <w:sz w:val="22"/>
          <w:szCs w:val="22"/>
        </w:rPr>
        <w:t xml:space="preserve">. </w:t>
      </w:r>
      <w:r w:rsidR="008B2122" w:rsidRPr="003676AB">
        <w:rPr>
          <w:rFonts w:eastAsia="Calibri"/>
          <w:sz w:val="22"/>
          <w:szCs w:val="22"/>
        </w:rPr>
        <w:t>E</w:t>
      </w:r>
      <w:r w:rsidR="006D4F6E" w:rsidRPr="003676AB">
        <w:rPr>
          <w:rFonts w:eastAsia="Calibri"/>
          <w:sz w:val="22"/>
          <w:szCs w:val="22"/>
        </w:rPr>
        <w:t>arly case law</w:t>
      </w:r>
      <w:r w:rsidR="00DC0EAF" w:rsidRPr="003676AB">
        <w:rPr>
          <w:rFonts w:eastAsia="Calibri"/>
          <w:sz w:val="22"/>
          <w:szCs w:val="22"/>
        </w:rPr>
        <w:t xml:space="preserve"> </w:t>
      </w:r>
      <w:r w:rsidR="006D4F6E" w:rsidRPr="003676AB">
        <w:rPr>
          <w:rFonts w:eastAsia="Calibri"/>
          <w:sz w:val="22"/>
          <w:szCs w:val="22"/>
        </w:rPr>
        <w:t xml:space="preserve">suggested that </w:t>
      </w:r>
      <w:r w:rsidR="002F4846" w:rsidRPr="003676AB">
        <w:rPr>
          <w:rFonts w:eastAsia="Calibri"/>
          <w:sz w:val="22"/>
          <w:szCs w:val="22"/>
        </w:rPr>
        <w:t xml:space="preserve">it was only necessary to meet the conditions contained in </w:t>
      </w:r>
      <w:r w:rsidR="008B23B1" w:rsidRPr="003676AB">
        <w:rPr>
          <w:rFonts w:eastAsia="Calibri"/>
          <w:sz w:val="22"/>
          <w:szCs w:val="22"/>
        </w:rPr>
        <w:t>art.</w:t>
      </w:r>
      <w:r w:rsidR="002F4846" w:rsidRPr="003676AB">
        <w:rPr>
          <w:rFonts w:eastAsia="Calibri"/>
          <w:sz w:val="22"/>
          <w:szCs w:val="22"/>
        </w:rPr>
        <w:t xml:space="preserve"> 114 TFEU </w:t>
      </w:r>
      <w:proofErr w:type="gramStart"/>
      <w:r w:rsidR="002F4846" w:rsidRPr="003676AB">
        <w:rPr>
          <w:rFonts w:eastAsia="Calibri"/>
          <w:sz w:val="22"/>
          <w:szCs w:val="22"/>
        </w:rPr>
        <w:t>in order to</w:t>
      </w:r>
      <w:proofErr w:type="gramEnd"/>
      <w:r w:rsidR="002F4846" w:rsidRPr="003676AB">
        <w:rPr>
          <w:rFonts w:eastAsia="Calibri"/>
          <w:sz w:val="22"/>
          <w:szCs w:val="22"/>
        </w:rPr>
        <w:t xml:space="preserve"> give that provision priority over alternative, more specific legal bases</w:t>
      </w:r>
      <w:r w:rsidR="006D4F6E" w:rsidRPr="003676AB">
        <w:rPr>
          <w:rFonts w:eastAsia="Calibri"/>
          <w:sz w:val="22"/>
          <w:szCs w:val="22"/>
        </w:rPr>
        <w:t xml:space="preserve">. If the measure had a link to the internal market by removing </w:t>
      </w:r>
      <w:r w:rsidR="002F4846" w:rsidRPr="003676AB">
        <w:rPr>
          <w:rFonts w:eastAsia="Calibri"/>
          <w:sz w:val="22"/>
          <w:szCs w:val="22"/>
        </w:rPr>
        <w:t xml:space="preserve">either </w:t>
      </w:r>
      <w:proofErr w:type="gramStart"/>
      <w:r w:rsidR="006D4F6E" w:rsidRPr="003676AB">
        <w:rPr>
          <w:rFonts w:eastAsia="Calibri"/>
          <w:sz w:val="22"/>
          <w:szCs w:val="22"/>
        </w:rPr>
        <w:t>obstacles</w:t>
      </w:r>
      <w:proofErr w:type="gramEnd"/>
      <w:r w:rsidR="006D4F6E" w:rsidRPr="003676AB">
        <w:rPr>
          <w:rFonts w:eastAsia="Calibri"/>
          <w:sz w:val="22"/>
          <w:szCs w:val="22"/>
        </w:rPr>
        <w:t xml:space="preserve"> to trade or distortions of competition, </w:t>
      </w:r>
      <w:r w:rsidR="008B23B1" w:rsidRPr="003676AB">
        <w:rPr>
          <w:rFonts w:eastAsia="Calibri"/>
          <w:sz w:val="22"/>
          <w:szCs w:val="22"/>
        </w:rPr>
        <w:t>art.</w:t>
      </w:r>
      <w:r w:rsidR="006D4F6E" w:rsidRPr="003676AB">
        <w:rPr>
          <w:rFonts w:eastAsia="Calibri"/>
          <w:sz w:val="22"/>
          <w:szCs w:val="22"/>
        </w:rPr>
        <w:t xml:space="preserve"> 114 TFEU had priority over other legal bases. This </w:t>
      </w:r>
      <w:r w:rsidR="006625FE" w:rsidRPr="003676AB">
        <w:rPr>
          <w:rFonts w:eastAsia="Calibri"/>
          <w:sz w:val="22"/>
          <w:szCs w:val="22"/>
        </w:rPr>
        <w:t xml:space="preserve">same line of </w:t>
      </w:r>
      <w:r w:rsidR="006D4F6E" w:rsidRPr="003676AB">
        <w:rPr>
          <w:rFonts w:eastAsia="Calibri"/>
          <w:sz w:val="22"/>
          <w:szCs w:val="22"/>
        </w:rPr>
        <w:t xml:space="preserve">case law furthermore </w:t>
      </w:r>
      <w:r w:rsidR="006625FE" w:rsidRPr="003676AB">
        <w:rPr>
          <w:rFonts w:eastAsia="Calibri"/>
          <w:sz w:val="22"/>
          <w:szCs w:val="22"/>
        </w:rPr>
        <w:t xml:space="preserve">found </w:t>
      </w:r>
      <w:r w:rsidR="006D4F6E" w:rsidRPr="003676AB">
        <w:rPr>
          <w:rFonts w:eastAsia="Calibri"/>
          <w:sz w:val="22"/>
          <w:szCs w:val="22"/>
        </w:rPr>
        <w:t xml:space="preserve">that </w:t>
      </w:r>
      <w:r w:rsidR="008B23B1" w:rsidRPr="003676AB">
        <w:rPr>
          <w:rFonts w:eastAsia="Calibri"/>
          <w:sz w:val="22"/>
          <w:szCs w:val="22"/>
        </w:rPr>
        <w:t>art.</w:t>
      </w:r>
      <w:r w:rsidR="006D4F6E" w:rsidRPr="003676AB">
        <w:rPr>
          <w:rFonts w:eastAsia="Calibri"/>
          <w:sz w:val="22"/>
          <w:szCs w:val="22"/>
        </w:rPr>
        <w:t xml:space="preserve"> 114 TFEU should be given a </w:t>
      </w:r>
      <w:r w:rsidR="006625FE" w:rsidRPr="003676AB">
        <w:rPr>
          <w:rFonts w:eastAsia="Calibri"/>
          <w:sz w:val="22"/>
          <w:szCs w:val="22"/>
        </w:rPr>
        <w:t>wide scope;</w:t>
      </w:r>
      <w:r w:rsidR="006D4F6E" w:rsidRPr="003676AB">
        <w:rPr>
          <w:rFonts w:eastAsia="Calibri"/>
          <w:sz w:val="22"/>
          <w:szCs w:val="22"/>
        </w:rPr>
        <w:t xml:space="preserve"> </w:t>
      </w:r>
      <w:r w:rsidR="006625FE" w:rsidRPr="003676AB">
        <w:rPr>
          <w:rFonts w:eastAsia="Calibri"/>
          <w:sz w:val="22"/>
          <w:szCs w:val="22"/>
        </w:rPr>
        <w:t>any legislation</w:t>
      </w:r>
      <w:r w:rsidR="006D4F6E" w:rsidRPr="003676AB">
        <w:rPr>
          <w:rFonts w:eastAsia="Calibri"/>
          <w:sz w:val="22"/>
          <w:szCs w:val="22"/>
        </w:rPr>
        <w:t xml:space="preserve"> </w:t>
      </w:r>
      <w:r w:rsidR="006625FE" w:rsidRPr="003676AB">
        <w:rPr>
          <w:rFonts w:eastAsia="Calibri"/>
          <w:sz w:val="22"/>
          <w:szCs w:val="22"/>
        </w:rPr>
        <w:t xml:space="preserve">that </w:t>
      </w:r>
      <w:r w:rsidR="006D4F6E" w:rsidRPr="003676AB">
        <w:rPr>
          <w:rFonts w:eastAsia="Calibri"/>
          <w:sz w:val="22"/>
          <w:szCs w:val="22"/>
        </w:rPr>
        <w:t xml:space="preserve">was relevant for the competitive position of </w:t>
      </w:r>
      <w:r w:rsidR="006625FE" w:rsidRPr="003676AB">
        <w:rPr>
          <w:rFonts w:eastAsia="Calibri"/>
          <w:sz w:val="22"/>
          <w:szCs w:val="22"/>
        </w:rPr>
        <w:t>economic actors</w:t>
      </w:r>
      <w:r w:rsidR="006D4F6E" w:rsidRPr="003676AB">
        <w:rPr>
          <w:rFonts w:eastAsia="Calibri"/>
          <w:sz w:val="22"/>
          <w:szCs w:val="22"/>
        </w:rPr>
        <w:t xml:space="preserve"> fell within </w:t>
      </w:r>
      <w:r w:rsidR="006625FE" w:rsidRPr="003676AB">
        <w:rPr>
          <w:rFonts w:eastAsia="Calibri"/>
          <w:sz w:val="22"/>
          <w:szCs w:val="22"/>
        </w:rPr>
        <w:t xml:space="preserve">its </w:t>
      </w:r>
      <w:r w:rsidR="008B2122" w:rsidRPr="003676AB">
        <w:rPr>
          <w:rFonts w:eastAsia="Calibri"/>
          <w:sz w:val="22"/>
          <w:szCs w:val="22"/>
        </w:rPr>
        <w:t>scope</w:t>
      </w:r>
      <w:r w:rsidR="00DC0EAF" w:rsidRPr="003676AB">
        <w:rPr>
          <w:rFonts w:eastAsia="Calibri"/>
          <w:sz w:val="22"/>
          <w:szCs w:val="22"/>
        </w:rPr>
        <w:t>.</w:t>
      </w:r>
      <w:r w:rsidR="006D4F6E" w:rsidRPr="003676AB">
        <w:rPr>
          <w:rStyle w:val="Fotnotsreferens"/>
          <w:rFonts w:cs="EUAlbertina"/>
          <w:color w:val="000000"/>
          <w:sz w:val="22"/>
          <w:szCs w:val="22"/>
        </w:rPr>
        <w:footnoteReference w:id="127"/>
      </w:r>
    </w:p>
    <w:p w14:paraId="1ABEF9CA" w14:textId="20069768" w:rsidR="006D4F6E" w:rsidRPr="003676AB" w:rsidRDefault="006D4F6E" w:rsidP="006D4F6E">
      <w:pPr>
        <w:rPr>
          <w:rFonts w:eastAsia="Calibri"/>
          <w:sz w:val="22"/>
          <w:szCs w:val="22"/>
          <w:highlight w:val="yellow"/>
        </w:rPr>
      </w:pPr>
      <w:r w:rsidRPr="003676AB">
        <w:rPr>
          <w:rFonts w:eastAsia="Calibri"/>
          <w:i/>
          <w:sz w:val="22"/>
          <w:szCs w:val="22"/>
        </w:rPr>
        <w:t>Titanium Oxide</w:t>
      </w:r>
      <w:r w:rsidR="00DC0EAF" w:rsidRPr="003676AB">
        <w:rPr>
          <w:rFonts w:eastAsia="Calibri"/>
          <w:sz w:val="22"/>
          <w:szCs w:val="22"/>
        </w:rPr>
        <w:t xml:space="preserve"> </w:t>
      </w:r>
      <w:r w:rsidR="006625FE" w:rsidRPr="003676AB">
        <w:rPr>
          <w:rFonts w:eastAsia="Calibri"/>
          <w:sz w:val="22"/>
          <w:szCs w:val="22"/>
        </w:rPr>
        <w:t>is a good illustration</w:t>
      </w:r>
      <w:r w:rsidR="00DC0EAF" w:rsidRPr="003676AB">
        <w:rPr>
          <w:rFonts w:eastAsia="Calibri"/>
          <w:sz w:val="22"/>
          <w:szCs w:val="22"/>
        </w:rPr>
        <w:t xml:space="preserve"> </w:t>
      </w:r>
      <w:r w:rsidR="006625FE" w:rsidRPr="003676AB">
        <w:rPr>
          <w:rFonts w:eastAsia="Calibri"/>
          <w:sz w:val="22"/>
          <w:szCs w:val="22"/>
        </w:rPr>
        <w:t xml:space="preserve">of </w:t>
      </w:r>
      <w:r w:rsidR="00DC0EAF" w:rsidRPr="003676AB">
        <w:rPr>
          <w:rFonts w:eastAsia="Calibri"/>
          <w:sz w:val="22"/>
          <w:szCs w:val="22"/>
        </w:rPr>
        <w:t xml:space="preserve">this </w:t>
      </w:r>
      <w:r w:rsidR="006625FE" w:rsidRPr="003676AB">
        <w:rPr>
          <w:rFonts w:eastAsia="Calibri"/>
          <w:sz w:val="22"/>
          <w:szCs w:val="22"/>
        </w:rPr>
        <w:t xml:space="preserve">body </w:t>
      </w:r>
      <w:r w:rsidR="00DC0EAF" w:rsidRPr="003676AB">
        <w:rPr>
          <w:rFonts w:eastAsia="Calibri"/>
          <w:sz w:val="22"/>
          <w:szCs w:val="22"/>
        </w:rPr>
        <w:t>of case law.</w:t>
      </w:r>
      <w:r w:rsidR="006625FE" w:rsidRPr="003676AB">
        <w:rPr>
          <w:rFonts w:eastAsia="Calibri"/>
          <w:sz w:val="22"/>
          <w:szCs w:val="22"/>
        </w:rPr>
        <w:t xml:space="preserve"> In </w:t>
      </w:r>
      <w:r w:rsidR="006625FE" w:rsidRPr="003676AB">
        <w:rPr>
          <w:rFonts w:eastAsia="Calibri"/>
          <w:i/>
          <w:sz w:val="22"/>
          <w:szCs w:val="22"/>
        </w:rPr>
        <w:t>Titanium Oxide</w:t>
      </w:r>
      <w:r w:rsidRPr="003676AB">
        <w:rPr>
          <w:rFonts w:eastAsia="Calibri"/>
          <w:sz w:val="22"/>
          <w:szCs w:val="22"/>
        </w:rPr>
        <w:t xml:space="preserve"> the Waste Directive</w:t>
      </w:r>
      <w:r w:rsidR="006625FE" w:rsidRPr="003676AB">
        <w:rPr>
          <w:rFonts w:eastAsia="Calibri"/>
          <w:sz w:val="22"/>
          <w:szCs w:val="22"/>
        </w:rPr>
        <w:t xml:space="preserve"> was challenged on legal basis grounds.</w:t>
      </w:r>
      <w:r w:rsidRPr="003676AB">
        <w:rPr>
          <w:rFonts w:eastAsia="Calibri"/>
          <w:sz w:val="22"/>
          <w:szCs w:val="22"/>
          <w:vertAlign w:val="superscript"/>
        </w:rPr>
        <w:footnoteReference w:id="128"/>
      </w:r>
      <w:r w:rsidRPr="003676AB">
        <w:rPr>
          <w:rFonts w:eastAsia="Calibri"/>
          <w:sz w:val="22"/>
          <w:szCs w:val="22"/>
        </w:rPr>
        <w:t xml:space="preserve"> </w:t>
      </w:r>
      <w:r w:rsidR="006625FE" w:rsidRPr="003676AB">
        <w:rPr>
          <w:rFonts w:eastAsia="Calibri"/>
          <w:sz w:val="22"/>
          <w:szCs w:val="22"/>
        </w:rPr>
        <w:t xml:space="preserve">In </w:t>
      </w:r>
      <w:r w:rsidR="00BE7698" w:rsidRPr="003676AB">
        <w:rPr>
          <w:rFonts w:eastAsia="Calibri"/>
          <w:sz w:val="22"/>
          <w:szCs w:val="22"/>
        </w:rPr>
        <w:t xml:space="preserve">contesting </w:t>
      </w:r>
      <w:r w:rsidR="006625FE" w:rsidRPr="003676AB">
        <w:rPr>
          <w:rFonts w:eastAsia="Calibri"/>
          <w:sz w:val="22"/>
          <w:szCs w:val="22"/>
        </w:rPr>
        <w:t xml:space="preserve">the choice of legal basis, namely </w:t>
      </w:r>
      <w:r w:rsidR="008B23B1" w:rsidRPr="003676AB">
        <w:rPr>
          <w:rFonts w:eastAsia="Calibri"/>
          <w:sz w:val="22"/>
          <w:szCs w:val="22"/>
        </w:rPr>
        <w:t>art.</w:t>
      </w:r>
      <w:r w:rsidR="006625FE" w:rsidRPr="003676AB">
        <w:rPr>
          <w:rFonts w:eastAsia="Calibri"/>
          <w:sz w:val="22"/>
          <w:szCs w:val="22"/>
        </w:rPr>
        <w:t xml:space="preserve"> 192 TFEU, </w:t>
      </w:r>
      <w:r w:rsidRPr="003676AB">
        <w:rPr>
          <w:rFonts w:eastAsia="Calibri"/>
          <w:sz w:val="22"/>
          <w:szCs w:val="22"/>
        </w:rPr>
        <w:t xml:space="preserve">the Commission </w:t>
      </w:r>
      <w:r w:rsidR="006625FE" w:rsidRPr="003676AB">
        <w:rPr>
          <w:rFonts w:eastAsia="Calibri"/>
          <w:sz w:val="22"/>
          <w:szCs w:val="22"/>
        </w:rPr>
        <w:t xml:space="preserve">argued </w:t>
      </w:r>
      <w:r w:rsidRPr="003676AB">
        <w:rPr>
          <w:rFonts w:eastAsia="Calibri"/>
          <w:sz w:val="22"/>
          <w:szCs w:val="22"/>
        </w:rPr>
        <w:t>that the directive should have been</w:t>
      </w:r>
      <w:r w:rsidR="00BE7698" w:rsidRPr="003676AB">
        <w:rPr>
          <w:rFonts w:eastAsia="Calibri"/>
          <w:sz w:val="22"/>
          <w:szCs w:val="22"/>
        </w:rPr>
        <w:t xml:space="preserve"> adopted under </w:t>
      </w:r>
      <w:r w:rsidR="008B23B1" w:rsidRPr="003676AB">
        <w:rPr>
          <w:rFonts w:eastAsia="Calibri"/>
          <w:sz w:val="22"/>
          <w:szCs w:val="22"/>
        </w:rPr>
        <w:t>art.</w:t>
      </w:r>
      <w:r w:rsidR="00BE7698" w:rsidRPr="003676AB">
        <w:rPr>
          <w:rFonts w:eastAsia="Calibri"/>
          <w:sz w:val="22"/>
          <w:szCs w:val="22"/>
        </w:rPr>
        <w:t xml:space="preserve"> 114 TFEU </w:t>
      </w:r>
      <w:proofErr w:type="gramStart"/>
      <w:r w:rsidR="00BE7698" w:rsidRPr="003676AB">
        <w:rPr>
          <w:rFonts w:eastAsia="Calibri"/>
          <w:sz w:val="22"/>
          <w:szCs w:val="22"/>
        </w:rPr>
        <w:t>on the basis of</w:t>
      </w:r>
      <w:proofErr w:type="gramEnd"/>
      <w:r w:rsidR="00BE7698" w:rsidRPr="003676AB">
        <w:rPr>
          <w:rFonts w:eastAsia="Calibri"/>
          <w:sz w:val="22"/>
          <w:szCs w:val="22"/>
        </w:rPr>
        <w:t xml:space="preserve"> its characterisation as</w:t>
      </w:r>
      <w:r w:rsidRPr="003676AB">
        <w:rPr>
          <w:rFonts w:eastAsia="Calibri"/>
          <w:sz w:val="22"/>
          <w:szCs w:val="22"/>
        </w:rPr>
        <w:t xml:space="preserve"> an internal market measure. </w:t>
      </w:r>
      <w:r w:rsidR="00DC0EAF" w:rsidRPr="003676AB">
        <w:rPr>
          <w:rFonts w:eastAsia="Calibri"/>
          <w:sz w:val="22"/>
          <w:szCs w:val="22"/>
        </w:rPr>
        <w:t>The Court initially found</w:t>
      </w:r>
      <w:r w:rsidRPr="003676AB">
        <w:rPr>
          <w:rFonts w:eastAsia="Calibri"/>
          <w:sz w:val="22"/>
          <w:szCs w:val="22"/>
        </w:rPr>
        <w:t xml:space="preserve"> that the Waste Directive was </w:t>
      </w:r>
      <w:r w:rsidR="00BE7698" w:rsidRPr="003676AB">
        <w:rPr>
          <w:rFonts w:eastAsia="Calibri"/>
          <w:sz w:val="22"/>
          <w:szCs w:val="22"/>
        </w:rPr>
        <w:t xml:space="preserve">equally </w:t>
      </w:r>
      <w:r w:rsidRPr="003676AB">
        <w:rPr>
          <w:rFonts w:eastAsia="Calibri"/>
          <w:sz w:val="22"/>
          <w:szCs w:val="22"/>
        </w:rPr>
        <w:t xml:space="preserve">concerned with environmental protection and the internal market. </w:t>
      </w:r>
      <w:r w:rsidR="00BE7698" w:rsidRPr="003676AB">
        <w:rPr>
          <w:rFonts w:eastAsia="Calibri"/>
          <w:sz w:val="22"/>
          <w:szCs w:val="22"/>
        </w:rPr>
        <w:t>T</w:t>
      </w:r>
      <w:r w:rsidRPr="003676AB">
        <w:rPr>
          <w:rFonts w:eastAsia="Calibri"/>
          <w:sz w:val="22"/>
          <w:szCs w:val="22"/>
        </w:rPr>
        <w:t xml:space="preserve">he normal solution to </w:t>
      </w:r>
      <w:r w:rsidR="00BE7698" w:rsidRPr="003676AB">
        <w:rPr>
          <w:rFonts w:eastAsia="Calibri"/>
          <w:sz w:val="22"/>
          <w:szCs w:val="22"/>
        </w:rPr>
        <w:t xml:space="preserve">such a </w:t>
      </w:r>
      <w:r w:rsidRPr="003676AB">
        <w:rPr>
          <w:rFonts w:eastAsia="Calibri"/>
          <w:sz w:val="22"/>
          <w:szCs w:val="22"/>
        </w:rPr>
        <w:t xml:space="preserve">problem would be to adopt the Directive </w:t>
      </w:r>
      <w:r w:rsidR="00BE7698" w:rsidRPr="003676AB">
        <w:rPr>
          <w:rFonts w:eastAsia="Calibri"/>
          <w:sz w:val="22"/>
          <w:szCs w:val="22"/>
        </w:rPr>
        <w:t xml:space="preserve">on </w:t>
      </w:r>
      <w:r w:rsidRPr="003676AB">
        <w:rPr>
          <w:rFonts w:eastAsia="Calibri"/>
          <w:sz w:val="22"/>
          <w:szCs w:val="22"/>
        </w:rPr>
        <w:t>a dual legal basis</w:t>
      </w:r>
      <w:r w:rsidR="00E649A6" w:rsidRPr="003676AB">
        <w:rPr>
          <w:rFonts w:eastAsia="Calibri"/>
          <w:sz w:val="22"/>
          <w:szCs w:val="22"/>
        </w:rPr>
        <w:t>. This</w:t>
      </w:r>
      <w:r w:rsidR="00BE7698" w:rsidRPr="003676AB">
        <w:rPr>
          <w:rFonts w:eastAsia="Calibri"/>
          <w:sz w:val="22"/>
          <w:szCs w:val="22"/>
        </w:rPr>
        <w:t xml:space="preserve"> however was impossible, </w:t>
      </w:r>
      <w:r w:rsidRPr="003676AB">
        <w:rPr>
          <w:rFonts w:eastAsia="Calibri"/>
          <w:sz w:val="22"/>
          <w:szCs w:val="22"/>
        </w:rPr>
        <w:t xml:space="preserve">since </w:t>
      </w:r>
      <w:r w:rsidR="00E52F70" w:rsidRPr="003676AB">
        <w:rPr>
          <w:rFonts w:eastAsia="Calibri"/>
          <w:sz w:val="22"/>
          <w:szCs w:val="22"/>
        </w:rPr>
        <w:t>arts</w:t>
      </w:r>
      <w:r w:rsidRPr="003676AB">
        <w:rPr>
          <w:rFonts w:eastAsia="Calibri"/>
          <w:sz w:val="22"/>
          <w:szCs w:val="22"/>
        </w:rPr>
        <w:t xml:space="preserve"> 114 TFEU and 192 TFEU provided for incompatible decision-making procedures. The Court</w:t>
      </w:r>
      <w:r w:rsidR="00E649A6" w:rsidRPr="003676AB">
        <w:rPr>
          <w:rFonts w:eastAsia="Calibri"/>
          <w:sz w:val="22"/>
          <w:szCs w:val="22"/>
        </w:rPr>
        <w:t>,</w:t>
      </w:r>
      <w:r w:rsidRPr="003676AB">
        <w:rPr>
          <w:rFonts w:eastAsia="Calibri"/>
          <w:sz w:val="22"/>
          <w:szCs w:val="22"/>
        </w:rPr>
        <w:t xml:space="preserve"> having reviewed the aim and the content of the measure, found that environmental protection should be integrated into leg</w:t>
      </w:r>
      <w:r w:rsidR="00E649A6" w:rsidRPr="003676AB">
        <w:rPr>
          <w:rFonts w:eastAsia="Calibri"/>
          <w:sz w:val="22"/>
          <w:szCs w:val="22"/>
        </w:rPr>
        <w:t xml:space="preserve">islation under </w:t>
      </w:r>
      <w:r w:rsidR="00E52F70" w:rsidRPr="003676AB">
        <w:rPr>
          <w:rFonts w:eastAsia="Calibri"/>
          <w:sz w:val="22"/>
          <w:szCs w:val="22"/>
        </w:rPr>
        <w:t>art.</w:t>
      </w:r>
      <w:r w:rsidR="00E649A6" w:rsidRPr="003676AB">
        <w:rPr>
          <w:rFonts w:eastAsia="Calibri"/>
          <w:sz w:val="22"/>
          <w:szCs w:val="22"/>
        </w:rPr>
        <w:t xml:space="preserve"> 114 TFEU and on this basis</w:t>
      </w:r>
      <w:r w:rsidRPr="003676AB">
        <w:rPr>
          <w:rFonts w:eastAsia="Calibri"/>
          <w:sz w:val="22"/>
          <w:szCs w:val="22"/>
        </w:rPr>
        <w:t xml:space="preserve"> </w:t>
      </w:r>
      <w:r w:rsidR="00694DCB" w:rsidRPr="003676AB">
        <w:rPr>
          <w:rFonts w:eastAsia="Calibri"/>
          <w:sz w:val="22"/>
          <w:szCs w:val="22"/>
        </w:rPr>
        <w:t xml:space="preserve">this provision </w:t>
      </w:r>
      <w:r w:rsidRPr="003676AB">
        <w:rPr>
          <w:rFonts w:eastAsia="Calibri"/>
          <w:sz w:val="22"/>
          <w:szCs w:val="22"/>
        </w:rPr>
        <w:t>was the more appropriate legal basis.</w:t>
      </w:r>
      <w:r w:rsidRPr="003676AB">
        <w:rPr>
          <w:rFonts w:eastAsia="Calibri"/>
          <w:sz w:val="22"/>
          <w:szCs w:val="22"/>
          <w:vertAlign w:val="superscript"/>
        </w:rPr>
        <w:footnoteReference w:id="129"/>
      </w:r>
      <w:r w:rsidRPr="003676AB">
        <w:rPr>
          <w:rFonts w:eastAsia="Calibri"/>
          <w:sz w:val="22"/>
          <w:szCs w:val="22"/>
        </w:rPr>
        <w:t xml:space="preserve"> </w:t>
      </w:r>
    </w:p>
    <w:p w14:paraId="2B816F6F" w14:textId="5F6DFD88" w:rsidR="006D4F6E" w:rsidRPr="003676AB" w:rsidRDefault="00DC0EAF" w:rsidP="006D4F6E">
      <w:pPr>
        <w:rPr>
          <w:rFonts w:eastAsia="Calibri"/>
          <w:sz w:val="22"/>
          <w:szCs w:val="22"/>
        </w:rPr>
      </w:pPr>
      <w:r w:rsidRPr="003676AB">
        <w:rPr>
          <w:rFonts w:eastAsia="Calibri"/>
          <w:sz w:val="22"/>
          <w:szCs w:val="22"/>
        </w:rPr>
        <w:lastRenderedPageBreak/>
        <w:t xml:space="preserve">It is apparent </w:t>
      </w:r>
      <w:r w:rsidR="008B2122" w:rsidRPr="003676AB">
        <w:rPr>
          <w:rFonts w:eastAsia="Calibri"/>
          <w:sz w:val="22"/>
          <w:szCs w:val="22"/>
        </w:rPr>
        <w:t xml:space="preserve">that </w:t>
      </w:r>
      <w:r w:rsidRPr="003676AB">
        <w:rPr>
          <w:rFonts w:eastAsia="Calibri"/>
          <w:sz w:val="22"/>
          <w:szCs w:val="22"/>
        </w:rPr>
        <w:t xml:space="preserve">the Court interpreted the concept </w:t>
      </w:r>
      <w:r w:rsidR="00E649A6" w:rsidRPr="003676AB">
        <w:rPr>
          <w:rFonts w:eastAsia="Calibri"/>
          <w:sz w:val="22"/>
          <w:szCs w:val="22"/>
        </w:rPr>
        <w:t xml:space="preserve">of the </w:t>
      </w:r>
      <w:r w:rsidR="006D4F6E" w:rsidRPr="003676AB">
        <w:rPr>
          <w:rFonts w:eastAsia="Calibri"/>
          <w:sz w:val="22"/>
          <w:szCs w:val="22"/>
        </w:rPr>
        <w:t>internal market</w:t>
      </w:r>
      <w:r w:rsidRPr="003676AB">
        <w:rPr>
          <w:rFonts w:eastAsia="Calibri"/>
          <w:sz w:val="22"/>
          <w:szCs w:val="22"/>
        </w:rPr>
        <w:t xml:space="preserve"> broadly </w:t>
      </w:r>
      <w:proofErr w:type="gramStart"/>
      <w:r w:rsidR="00E649A6" w:rsidRPr="003676AB">
        <w:rPr>
          <w:rFonts w:eastAsia="Calibri"/>
          <w:sz w:val="22"/>
          <w:szCs w:val="22"/>
        </w:rPr>
        <w:t>in order to</w:t>
      </w:r>
      <w:proofErr w:type="gramEnd"/>
      <w:r w:rsidR="00E649A6" w:rsidRPr="003676AB">
        <w:rPr>
          <w:rFonts w:eastAsia="Calibri"/>
          <w:sz w:val="22"/>
          <w:szCs w:val="22"/>
        </w:rPr>
        <w:t xml:space="preserve"> give </w:t>
      </w:r>
      <w:r w:rsidR="00694DCB" w:rsidRPr="003676AB">
        <w:rPr>
          <w:rFonts w:eastAsia="Calibri"/>
          <w:sz w:val="22"/>
          <w:szCs w:val="22"/>
        </w:rPr>
        <w:t>art.</w:t>
      </w:r>
      <w:r w:rsidRPr="003676AB">
        <w:rPr>
          <w:rFonts w:eastAsia="Calibri"/>
          <w:sz w:val="22"/>
          <w:szCs w:val="22"/>
        </w:rPr>
        <w:t xml:space="preserve"> 114 TFEU priority over </w:t>
      </w:r>
      <w:r w:rsidR="00694DCB" w:rsidRPr="003676AB">
        <w:rPr>
          <w:rFonts w:eastAsia="Calibri"/>
          <w:sz w:val="22"/>
          <w:szCs w:val="22"/>
        </w:rPr>
        <w:t>art.</w:t>
      </w:r>
      <w:r w:rsidRPr="003676AB">
        <w:rPr>
          <w:rFonts w:eastAsia="Calibri"/>
          <w:sz w:val="22"/>
          <w:szCs w:val="22"/>
        </w:rPr>
        <w:t xml:space="preserve"> 192 TFEU. It is clear that harmonisation of obligations concerning the </w:t>
      </w:r>
      <w:r w:rsidR="006D4F6E" w:rsidRPr="003676AB">
        <w:rPr>
          <w:rFonts w:eastAsia="Calibri"/>
          <w:sz w:val="22"/>
          <w:szCs w:val="22"/>
        </w:rPr>
        <w:t>treatment of waste from the titanium dioxide production process</w:t>
      </w:r>
      <w:r w:rsidRPr="003676AB">
        <w:rPr>
          <w:rFonts w:eastAsia="Calibri"/>
          <w:sz w:val="22"/>
          <w:szCs w:val="22"/>
        </w:rPr>
        <w:t xml:space="preserve"> was a measure which was</w:t>
      </w:r>
      <w:r w:rsidR="00C91C77" w:rsidRPr="003676AB">
        <w:rPr>
          <w:rFonts w:eastAsia="Calibri"/>
          <w:sz w:val="22"/>
          <w:szCs w:val="22"/>
        </w:rPr>
        <w:t xml:space="preserve"> primarily</w:t>
      </w:r>
      <w:r w:rsidRPr="003676AB">
        <w:rPr>
          <w:rFonts w:eastAsia="Calibri"/>
          <w:sz w:val="22"/>
          <w:szCs w:val="22"/>
        </w:rPr>
        <w:t xml:space="preserve"> envisaged to enhance environmental protection.</w:t>
      </w:r>
      <w:r w:rsidR="00C91C77" w:rsidRPr="003676AB">
        <w:rPr>
          <w:rStyle w:val="Fotnotsreferens"/>
          <w:rFonts w:eastAsia="Calibri"/>
          <w:sz w:val="22"/>
          <w:szCs w:val="22"/>
        </w:rPr>
        <w:footnoteReference w:id="130"/>
      </w:r>
      <w:r w:rsidRPr="003676AB">
        <w:rPr>
          <w:rFonts w:eastAsia="Calibri"/>
          <w:sz w:val="22"/>
          <w:szCs w:val="22"/>
        </w:rPr>
        <w:t xml:space="preserve"> The Court, however, emphasis</w:t>
      </w:r>
      <w:r w:rsidR="00E649A6" w:rsidRPr="003676AB">
        <w:rPr>
          <w:rFonts w:eastAsia="Calibri"/>
          <w:sz w:val="22"/>
          <w:szCs w:val="22"/>
        </w:rPr>
        <w:t>ed</w:t>
      </w:r>
      <w:r w:rsidRPr="003676AB">
        <w:rPr>
          <w:rFonts w:eastAsia="Calibri"/>
          <w:sz w:val="22"/>
          <w:szCs w:val="22"/>
        </w:rPr>
        <w:t xml:space="preserve"> the </w:t>
      </w:r>
      <w:r w:rsidR="00E649A6" w:rsidRPr="003676AB">
        <w:rPr>
          <w:rFonts w:eastAsia="Calibri"/>
          <w:sz w:val="22"/>
          <w:szCs w:val="22"/>
        </w:rPr>
        <w:t xml:space="preserve">effect of the </w:t>
      </w:r>
      <w:r w:rsidRPr="003676AB">
        <w:rPr>
          <w:rFonts w:eastAsia="Calibri"/>
          <w:sz w:val="22"/>
          <w:szCs w:val="22"/>
        </w:rPr>
        <w:t>measure</w:t>
      </w:r>
      <w:r w:rsidR="00E649A6" w:rsidRPr="003676AB">
        <w:rPr>
          <w:rFonts w:eastAsia="Calibri"/>
          <w:sz w:val="22"/>
          <w:szCs w:val="22"/>
        </w:rPr>
        <w:t xml:space="preserve"> on </w:t>
      </w:r>
      <w:r w:rsidRPr="003676AB">
        <w:rPr>
          <w:rFonts w:eastAsia="Calibri"/>
          <w:sz w:val="22"/>
          <w:szCs w:val="22"/>
        </w:rPr>
        <w:t>the internal market by underlining that harmonisation</w:t>
      </w:r>
      <w:r w:rsidR="006D4F6E" w:rsidRPr="003676AB">
        <w:rPr>
          <w:rFonts w:eastAsia="Calibri"/>
          <w:sz w:val="22"/>
          <w:szCs w:val="22"/>
        </w:rPr>
        <w:t xml:space="preserve"> </w:t>
      </w:r>
      <w:r w:rsidR="00E649A6" w:rsidRPr="003676AB">
        <w:rPr>
          <w:rFonts w:eastAsia="Calibri"/>
          <w:sz w:val="22"/>
          <w:szCs w:val="22"/>
        </w:rPr>
        <w:t xml:space="preserve">would </w:t>
      </w:r>
      <w:r w:rsidR="006D4F6E" w:rsidRPr="003676AB">
        <w:rPr>
          <w:rFonts w:eastAsia="Calibri"/>
          <w:sz w:val="22"/>
          <w:szCs w:val="22"/>
        </w:rPr>
        <w:t>equalise competitive conditions for firms in the titanium oxide business.</w:t>
      </w:r>
      <w:r w:rsidR="006D4F6E" w:rsidRPr="003676AB">
        <w:rPr>
          <w:rFonts w:eastAsia="Calibri"/>
          <w:sz w:val="22"/>
          <w:szCs w:val="22"/>
          <w:vertAlign w:val="superscript"/>
        </w:rPr>
        <w:footnoteReference w:id="131"/>
      </w:r>
      <w:r w:rsidRPr="003676AB">
        <w:rPr>
          <w:rFonts w:eastAsia="Calibri"/>
          <w:sz w:val="22"/>
          <w:szCs w:val="22"/>
        </w:rPr>
        <w:t xml:space="preserve"> It also </w:t>
      </w:r>
      <w:r w:rsidR="00E649A6" w:rsidRPr="003676AB">
        <w:rPr>
          <w:rFonts w:eastAsia="Calibri"/>
          <w:sz w:val="22"/>
          <w:szCs w:val="22"/>
        </w:rPr>
        <w:t xml:space="preserve">invoked </w:t>
      </w:r>
      <w:r w:rsidR="00694DCB" w:rsidRPr="003676AB">
        <w:rPr>
          <w:rFonts w:eastAsia="Calibri"/>
          <w:sz w:val="22"/>
          <w:szCs w:val="22"/>
        </w:rPr>
        <w:t>art.</w:t>
      </w:r>
      <w:r w:rsidRPr="003676AB">
        <w:rPr>
          <w:rFonts w:eastAsia="Calibri"/>
          <w:sz w:val="22"/>
          <w:szCs w:val="22"/>
        </w:rPr>
        <w:t xml:space="preserve"> 11 TFEU </w:t>
      </w:r>
      <w:r w:rsidR="00E649A6" w:rsidRPr="003676AB">
        <w:rPr>
          <w:rFonts w:eastAsia="Calibri"/>
          <w:sz w:val="22"/>
          <w:szCs w:val="22"/>
        </w:rPr>
        <w:t xml:space="preserve">as </w:t>
      </w:r>
      <w:r w:rsidR="00C91C77" w:rsidRPr="003676AB">
        <w:rPr>
          <w:rFonts w:eastAsia="Calibri"/>
          <w:sz w:val="22"/>
          <w:szCs w:val="22"/>
        </w:rPr>
        <w:t>support</w:t>
      </w:r>
      <w:r w:rsidR="00540765" w:rsidRPr="003676AB">
        <w:rPr>
          <w:rFonts w:eastAsia="Calibri"/>
          <w:sz w:val="22"/>
          <w:szCs w:val="22"/>
        </w:rPr>
        <w:t xml:space="preserve"> of</w:t>
      </w:r>
      <w:r w:rsidR="00C91C77" w:rsidRPr="003676AB">
        <w:rPr>
          <w:rFonts w:eastAsia="Calibri"/>
          <w:sz w:val="22"/>
          <w:szCs w:val="22"/>
        </w:rPr>
        <w:t xml:space="preserve"> this </w:t>
      </w:r>
      <w:r w:rsidR="00E649A6" w:rsidRPr="003676AB">
        <w:rPr>
          <w:rFonts w:eastAsia="Calibri"/>
          <w:sz w:val="22"/>
          <w:szCs w:val="22"/>
        </w:rPr>
        <w:t xml:space="preserve">broad understanding of </w:t>
      </w:r>
      <w:r w:rsidR="00C91C77" w:rsidRPr="003676AB">
        <w:rPr>
          <w:rFonts w:eastAsia="Calibri"/>
          <w:sz w:val="22"/>
          <w:szCs w:val="22"/>
        </w:rPr>
        <w:t>the internal market by holding that the Treaties</w:t>
      </w:r>
      <w:r w:rsidR="006D4F6E" w:rsidRPr="003676AB">
        <w:rPr>
          <w:rFonts w:eastAsia="Calibri"/>
          <w:sz w:val="22"/>
          <w:szCs w:val="22"/>
        </w:rPr>
        <w:t xml:space="preserve"> had provided that environmental protection should be integrated into the </w:t>
      </w:r>
      <w:r w:rsidR="00C91C77" w:rsidRPr="003676AB">
        <w:rPr>
          <w:rFonts w:eastAsia="Calibri"/>
          <w:sz w:val="22"/>
          <w:szCs w:val="22"/>
        </w:rPr>
        <w:t>policies of the internal market</w:t>
      </w:r>
      <w:r w:rsidR="006D4F6E" w:rsidRPr="003676AB">
        <w:rPr>
          <w:rFonts w:eastAsia="Calibri"/>
          <w:sz w:val="22"/>
          <w:szCs w:val="22"/>
        </w:rPr>
        <w:t>.</w:t>
      </w:r>
      <w:r w:rsidR="006D4F6E" w:rsidRPr="003676AB">
        <w:rPr>
          <w:rFonts w:eastAsia="Calibri"/>
          <w:sz w:val="22"/>
          <w:szCs w:val="22"/>
          <w:vertAlign w:val="superscript"/>
        </w:rPr>
        <w:footnoteReference w:id="132"/>
      </w:r>
    </w:p>
    <w:p w14:paraId="2EF7C20F" w14:textId="06A555D6" w:rsidR="0003320D" w:rsidRPr="003676AB" w:rsidRDefault="00007323" w:rsidP="0003320D">
      <w:pPr>
        <w:rPr>
          <w:rFonts w:eastAsia="Calibri"/>
          <w:sz w:val="22"/>
          <w:szCs w:val="22"/>
          <w:highlight w:val="yellow"/>
        </w:rPr>
      </w:pPr>
      <w:r w:rsidRPr="003676AB">
        <w:rPr>
          <w:rFonts w:eastAsia="Calibri"/>
          <w:sz w:val="22"/>
          <w:szCs w:val="22"/>
        </w:rPr>
        <w:t xml:space="preserve">Based on </w:t>
      </w:r>
      <w:r w:rsidR="00A546CB" w:rsidRPr="003676AB">
        <w:rPr>
          <w:rFonts w:eastAsia="Calibri"/>
          <w:sz w:val="22"/>
          <w:szCs w:val="22"/>
        </w:rPr>
        <w:t xml:space="preserve">this </w:t>
      </w:r>
      <w:r w:rsidR="00E649A6" w:rsidRPr="003676AB">
        <w:rPr>
          <w:rFonts w:eastAsia="Calibri"/>
          <w:sz w:val="22"/>
          <w:szCs w:val="22"/>
        </w:rPr>
        <w:t xml:space="preserve">expansive interpretation </w:t>
      </w:r>
      <w:r w:rsidR="00A546CB" w:rsidRPr="003676AB">
        <w:rPr>
          <w:rFonts w:eastAsia="Calibri"/>
          <w:sz w:val="22"/>
          <w:szCs w:val="22"/>
        </w:rPr>
        <w:t>of the internal market</w:t>
      </w:r>
      <w:r w:rsidR="00031D1D" w:rsidRPr="003676AB">
        <w:rPr>
          <w:rFonts w:eastAsia="Calibri"/>
          <w:sz w:val="22"/>
          <w:szCs w:val="22"/>
        </w:rPr>
        <w:t>,</w:t>
      </w:r>
      <w:r w:rsidR="00A546CB" w:rsidRPr="003676AB">
        <w:rPr>
          <w:rFonts w:eastAsia="Calibri"/>
          <w:sz w:val="22"/>
          <w:szCs w:val="22"/>
        </w:rPr>
        <w:t xml:space="preserve"> </w:t>
      </w:r>
      <w:proofErr w:type="spellStart"/>
      <w:r w:rsidR="00CD6068" w:rsidRPr="003676AB">
        <w:rPr>
          <w:rFonts w:eastAsia="Calibri"/>
          <w:sz w:val="22"/>
          <w:szCs w:val="22"/>
        </w:rPr>
        <w:t>Herlin-</w:t>
      </w:r>
      <w:r w:rsidR="00A546CB" w:rsidRPr="003676AB">
        <w:rPr>
          <w:rFonts w:eastAsia="Calibri"/>
          <w:sz w:val="22"/>
          <w:szCs w:val="22"/>
        </w:rPr>
        <w:t>Kar</w:t>
      </w:r>
      <w:r w:rsidR="00CD6068" w:rsidRPr="003676AB">
        <w:rPr>
          <w:rFonts w:eastAsia="Calibri"/>
          <w:sz w:val="22"/>
          <w:szCs w:val="22"/>
        </w:rPr>
        <w:t>n</w:t>
      </w:r>
      <w:r w:rsidR="00A546CB" w:rsidRPr="003676AB">
        <w:rPr>
          <w:rFonts w:eastAsia="Calibri"/>
          <w:sz w:val="22"/>
          <w:szCs w:val="22"/>
        </w:rPr>
        <w:t>ell</w:t>
      </w:r>
      <w:proofErr w:type="spellEnd"/>
      <w:r w:rsidR="00A546CB" w:rsidRPr="003676AB">
        <w:rPr>
          <w:rFonts w:eastAsia="Calibri"/>
          <w:sz w:val="22"/>
          <w:szCs w:val="22"/>
        </w:rPr>
        <w:t xml:space="preserve"> has proposed that </w:t>
      </w:r>
      <w:r w:rsidR="00BB0AE1" w:rsidRPr="003676AB">
        <w:rPr>
          <w:rFonts w:eastAsia="Calibri"/>
          <w:sz w:val="22"/>
          <w:szCs w:val="22"/>
        </w:rPr>
        <w:t xml:space="preserve">for the purposes of the Commission’s Market Abuse Crimes Proposal (which was proposed under the latter provision) </w:t>
      </w:r>
      <w:r w:rsidR="00694DCB" w:rsidRPr="003676AB">
        <w:rPr>
          <w:rFonts w:eastAsia="Calibri"/>
          <w:sz w:val="22"/>
          <w:szCs w:val="22"/>
        </w:rPr>
        <w:t>art.</w:t>
      </w:r>
      <w:r w:rsidR="00A546CB" w:rsidRPr="003676AB">
        <w:rPr>
          <w:rFonts w:eastAsia="Calibri"/>
          <w:sz w:val="22"/>
          <w:szCs w:val="22"/>
        </w:rPr>
        <w:t xml:space="preserve"> 114 TFEU </w:t>
      </w:r>
      <w:r w:rsidR="0003320D" w:rsidRPr="003676AB">
        <w:rPr>
          <w:rFonts w:eastAsia="Calibri"/>
          <w:sz w:val="22"/>
          <w:szCs w:val="22"/>
        </w:rPr>
        <w:t>should take pre</w:t>
      </w:r>
      <w:r w:rsidR="003F06FF" w:rsidRPr="003676AB">
        <w:rPr>
          <w:rFonts w:eastAsia="Calibri"/>
          <w:sz w:val="22"/>
          <w:szCs w:val="22"/>
        </w:rPr>
        <w:t xml:space="preserve">cedence over </w:t>
      </w:r>
      <w:r w:rsidR="00694DCB" w:rsidRPr="003676AB">
        <w:rPr>
          <w:rFonts w:eastAsia="Calibri"/>
          <w:sz w:val="22"/>
          <w:szCs w:val="22"/>
        </w:rPr>
        <w:t>art.</w:t>
      </w:r>
      <w:r w:rsidR="003F06FF" w:rsidRPr="003676AB">
        <w:rPr>
          <w:rFonts w:eastAsia="Calibri"/>
          <w:sz w:val="22"/>
          <w:szCs w:val="22"/>
        </w:rPr>
        <w:t xml:space="preserve"> 83(2) TFEU.</w:t>
      </w:r>
      <w:r w:rsidR="00110540" w:rsidRPr="003676AB">
        <w:rPr>
          <w:rStyle w:val="Fotnotsreferens"/>
          <w:rFonts w:eastAsia="Calibri"/>
          <w:sz w:val="22"/>
          <w:szCs w:val="22"/>
        </w:rPr>
        <w:footnoteReference w:id="133"/>
      </w:r>
      <w:r w:rsidR="003F06FF" w:rsidRPr="003676AB">
        <w:rPr>
          <w:rFonts w:eastAsia="Calibri"/>
          <w:sz w:val="22"/>
          <w:szCs w:val="22"/>
        </w:rPr>
        <w:t xml:space="preserve"> She argues that the use of </w:t>
      </w:r>
      <w:r w:rsidR="00694DCB" w:rsidRPr="003676AB">
        <w:rPr>
          <w:rFonts w:eastAsia="Calibri"/>
          <w:sz w:val="22"/>
          <w:szCs w:val="22"/>
        </w:rPr>
        <w:t>art.</w:t>
      </w:r>
      <w:r w:rsidR="003F06FF" w:rsidRPr="003676AB">
        <w:rPr>
          <w:rFonts w:eastAsia="Calibri"/>
          <w:sz w:val="22"/>
          <w:szCs w:val="22"/>
        </w:rPr>
        <w:t xml:space="preserve"> 83(2) TFEU</w:t>
      </w:r>
      <w:r w:rsidR="0003320D" w:rsidRPr="003676AB">
        <w:rPr>
          <w:rFonts w:eastAsia="Calibri"/>
          <w:sz w:val="22"/>
          <w:szCs w:val="22"/>
        </w:rPr>
        <w:t xml:space="preserve"> </w:t>
      </w:r>
      <w:r w:rsidR="003F06FF" w:rsidRPr="003676AB">
        <w:rPr>
          <w:rFonts w:eastAsia="Calibri"/>
          <w:sz w:val="22"/>
          <w:szCs w:val="22"/>
        </w:rPr>
        <w:t xml:space="preserve">for the </w:t>
      </w:r>
      <w:r w:rsidR="00A546CB" w:rsidRPr="003676AB">
        <w:rPr>
          <w:rFonts w:eastAsia="Calibri"/>
          <w:sz w:val="22"/>
          <w:szCs w:val="22"/>
        </w:rPr>
        <w:t>Market Abuse Crimes Proposal</w:t>
      </w:r>
      <w:r w:rsidR="003F06FF" w:rsidRPr="003676AB">
        <w:rPr>
          <w:rFonts w:eastAsia="Calibri"/>
          <w:sz w:val="22"/>
          <w:szCs w:val="22"/>
        </w:rPr>
        <w:t xml:space="preserve"> </w:t>
      </w:r>
      <w:r w:rsidR="00BB0AE1" w:rsidRPr="003676AB">
        <w:rPr>
          <w:rFonts w:eastAsia="Calibri"/>
          <w:sz w:val="22"/>
          <w:szCs w:val="22"/>
        </w:rPr>
        <w:t xml:space="preserve">would </w:t>
      </w:r>
      <w:r w:rsidR="0003320D" w:rsidRPr="003676AB">
        <w:rPr>
          <w:rFonts w:eastAsia="Calibri"/>
          <w:sz w:val="22"/>
          <w:szCs w:val="22"/>
        </w:rPr>
        <w:t xml:space="preserve">undermine the limits </w:t>
      </w:r>
      <w:r w:rsidR="00BB0AE1" w:rsidRPr="003676AB">
        <w:rPr>
          <w:rFonts w:eastAsia="Calibri"/>
          <w:sz w:val="22"/>
          <w:szCs w:val="22"/>
        </w:rPr>
        <w:t xml:space="preserve">imposed on the </w:t>
      </w:r>
      <w:r w:rsidR="0003320D" w:rsidRPr="003676AB">
        <w:rPr>
          <w:rFonts w:eastAsia="Calibri"/>
          <w:sz w:val="22"/>
          <w:szCs w:val="22"/>
        </w:rPr>
        <w:t>Union</w:t>
      </w:r>
      <w:r w:rsidR="00BB0AE1" w:rsidRPr="003676AB">
        <w:rPr>
          <w:rFonts w:eastAsia="Calibri"/>
          <w:sz w:val="22"/>
          <w:szCs w:val="22"/>
        </w:rPr>
        <w:t>’s</w:t>
      </w:r>
      <w:r w:rsidR="0003320D" w:rsidRPr="003676AB">
        <w:rPr>
          <w:rFonts w:eastAsia="Calibri"/>
          <w:sz w:val="22"/>
          <w:szCs w:val="22"/>
        </w:rPr>
        <w:t xml:space="preserve"> criminal law harmonisation</w:t>
      </w:r>
      <w:r w:rsidR="00BB0AE1" w:rsidRPr="003676AB">
        <w:rPr>
          <w:rFonts w:eastAsia="Calibri"/>
          <w:sz w:val="22"/>
          <w:szCs w:val="22"/>
        </w:rPr>
        <w:t xml:space="preserve"> competence</w:t>
      </w:r>
      <w:r w:rsidR="0003320D" w:rsidRPr="003676AB">
        <w:rPr>
          <w:rFonts w:eastAsia="Calibri"/>
          <w:sz w:val="22"/>
          <w:szCs w:val="22"/>
        </w:rPr>
        <w:t>. This is because</w:t>
      </w:r>
      <w:r w:rsidR="00BB0AE1" w:rsidRPr="003676AB">
        <w:rPr>
          <w:rFonts w:eastAsia="Calibri"/>
          <w:sz w:val="22"/>
          <w:szCs w:val="22"/>
        </w:rPr>
        <w:t xml:space="preserve">, unlike </w:t>
      </w:r>
      <w:r w:rsidR="00694DCB" w:rsidRPr="003676AB">
        <w:rPr>
          <w:rFonts w:eastAsia="Calibri"/>
          <w:sz w:val="22"/>
          <w:szCs w:val="22"/>
        </w:rPr>
        <w:t>art.</w:t>
      </w:r>
      <w:r w:rsidR="00BB0AE1" w:rsidRPr="003676AB">
        <w:rPr>
          <w:rFonts w:eastAsia="Calibri"/>
          <w:sz w:val="22"/>
          <w:szCs w:val="22"/>
        </w:rPr>
        <w:t xml:space="preserve"> 114 TFEU, </w:t>
      </w:r>
      <w:r w:rsidR="00694DCB" w:rsidRPr="003676AB">
        <w:rPr>
          <w:rFonts w:eastAsia="Calibri"/>
          <w:sz w:val="22"/>
          <w:szCs w:val="22"/>
        </w:rPr>
        <w:t>art.</w:t>
      </w:r>
      <w:r w:rsidR="00BB0AE1" w:rsidRPr="003676AB">
        <w:rPr>
          <w:rFonts w:eastAsia="Calibri"/>
          <w:sz w:val="22"/>
          <w:szCs w:val="22"/>
        </w:rPr>
        <w:t xml:space="preserve"> 83(2) TFEU contains no </w:t>
      </w:r>
      <w:r w:rsidR="0003320D" w:rsidRPr="003676AB">
        <w:rPr>
          <w:rFonts w:eastAsia="Calibri"/>
          <w:sz w:val="22"/>
          <w:szCs w:val="22"/>
        </w:rPr>
        <w:t>‘market creation’</w:t>
      </w:r>
      <w:r w:rsidR="00BB0AE1" w:rsidRPr="003676AB">
        <w:rPr>
          <w:rFonts w:eastAsia="Calibri"/>
          <w:sz w:val="22"/>
          <w:szCs w:val="22"/>
        </w:rPr>
        <w:t xml:space="preserve"> condition</w:t>
      </w:r>
      <w:r w:rsidR="0003320D" w:rsidRPr="003676AB">
        <w:rPr>
          <w:rFonts w:eastAsia="Calibri"/>
          <w:sz w:val="22"/>
          <w:szCs w:val="22"/>
        </w:rPr>
        <w:t>.</w:t>
      </w:r>
      <w:r w:rsidR="0003320D" w:rsidRPr="003676AB">
        <w:rPr>
          <w:rFonts w:eastAsia="Calibri"/>
          <w:sz w:val="22"/>
          <w:szCs w:val="22"/>
          <w:vertAlign w:val="superscript"/>
        </w:rPr>
        <w:t xml:space="preserve"> </w:t>
      </w:r>
      <w:r w:rsidR="00A546CB" w:rsidRPr="003676AB">
        <w:rPr>
          <w:rFonts w:eastAsia="Calibri"/>
          <w:sz w:val="22"/>
          <w:szCs w:val="22"/>
        </w:rPr>
        <w:t>S</w:t>
      </w:r>
      <w:r w:rsidR="0003320D" w:rsidRPr="003676AB">
        <w:rPr>
          <w:rFonts w:eastAsia="Calibri"/>
          <w:sz w:val="22"/>
          <w:szCs w:val="22"/>
        </w:rPr>
        <w:t>he</w:t>
      </w:r>
      <w:r w:rsidR="00A546CB" w:rsidRPr="003676AB">
        <w:rPr>
          <w:rFonts w:eastAsia="Calibri"/>
          <w:sz w:val="22"/>
          <w:szCs w:val="22"/>
        </w:rPr>
        <w:t xml:space="preserve"> further</w:t>
      </w:r>
      <w:r w:rsidR="003F06FF" w:rsidRPr="003676AB">
        <w:rPr>
          <w:rFonts w:eastAsia="Calibri"/>
          <w:sz w:val="22"/>
          <w:szCs w:val="22"/>
        </w:rPr>
        <w:t xml:space="preserve"> suggests that</w:t>
      </w:r>
      <w:r w:rsidR="0003320D" w:rsidRPr="003676AB">
        <w:rPr>
          <w:rFonts w:eastAsia="Calibri"/>
          <w:sz w:val="22"/>
          <w:szCs w:val="22"/>
        </w:rPr>
        <w:t xml:space="preserve"> the </w:t>
      </w:r>
      <w:r w:rsidR="00923A66" w:rsidRPr="003676AB">
        <w:rPr>
          <w:rFonts w:eastAsia="Calibri"/>
          <w:sz w:val="22"/>
          <w:szCs w:val="22"/>
        </w:rPr>
        <w:t>Market Abuse Crimes Proposal is</w:t>
      </w:r>
      <w:r w:rsidR="0003320D" w:rsidRPr="003676AB">
        <w:rPr>
          <w:rFonts w:eastAsia="Calibri"/>
          <w:sz w:val="22"/>
          <w:szCs w:val="22"/>
        </w:rPr>
        <w:t xml:space="preserve"> an ‘internal market’ measure aim</w:t>
      </w:r>
      <w:r w:rsidR="008B2122" w:rsidRPr="003676AB">
        <w:rPr>
          <w:rFonts w:eastAsia="Calibri"/>
          <w:sz w:val="22"/>
          <w:szCs w:val="22"/>
        </w:rPr>
        <w:t>ed</w:t>
      </w:r>
      <w:r w:rsidR="0003320D" w:rsidRPr="003676AB">
        <w:rPr>
          <w:rFonts w:eastAsia="Calibri"/>
          <w:sz w:val="22"/>
          <w:szCs w:val="22"/>
        </w:rPr>
        <w:t xml:space="preserve"> </w:t>
      </w:r>
      <w:r w:rsidR="00BB0AE1" w:rsidRPr="003676AB">
        <w:rPr>
          <w:rFonts w:eastAsia="Calibri"/>
          <w:sz w:val="22"/>
          <w:szCs w:val="22"/>
        </w:rPr>
        <w:t>at the prevention of</w:t>
      </w:r>
      <w:r w:rsidR="0003320D" w:rsidRPr="003676AB">
        <w:rPr>
          <w:rFonts w:eastAsia="Calibri"/>
          <w:sz w:val="22"/>
          <w:szCs w:val="22"/>
        </w:rPr>
        <w:t xml:space="preserve"> market failures in the form of manipulative practices that lead to an inefficient allocation of resources and </w:t>
      </w:r>
      <w:r w:rsidR="00BB0AE1" w:rsidRPr="003676AB">
        <w:rPr>
          <w:rFonts w:eastAsia="Calibri"/>
          <w:sz w:val="22"/>
          <w:szCs w:val="22"/>
        </w:rPr>
        <w:t xml:space="preserve">to prevent future risks </w:t>
      </w:r>
      <w:r w:rsidR="00D50CB9" w:rsidRPr="003676AB">
        <w:rPr>
          <w:rFonts w:eastAsia="Calibri"/>
          <w:sz w:val="22"/>
          <w:szCs w:val="22"/>
        </w:rPr>
        <w:t>associated with integration</w:t>
      </w:r>
      <w:r w:rsidR="0003320D" w:rsidRPr="003676AB">
        <w:rPr>
          <w:rFonts w:eastAsia="Calibri"/>
          <w:sz w:val="22"/>
          <w:szCs w:val="22"/>
        </w:rPr>
        <w:t xml:space="preserve">. </w:t>
      </w:r>
      <w:r w:rsidR="003F06FF" w:rsidRPr="003676AB">
        <w:rPr>
          <w:rFonts w:eastAsia="Calibri"/>
          <w:sz w:val="22"/>
          <w:szCs w:val="22"/>
        </w:rPr>
        <w:t xml:space="preserve">Such a measure should, if one follows the Court’s </w:t>
      </w:r>
      <w:r w:rsidR="0003320D" w:rsidRPr="003676AB">
        <w:rPr>
          <w:rFonts w:eastAsia="Calibri"/>
          <w:sz w:val="22"/>
          <w:szCs w:val="22"/>
        </w:rPr>
        <w:t>case</w:t>
      </w:r>
      <w:r w:rsidR="00C61AB7" w:rsidRPr="003676AB">
        <w:rPr>
          <w:rFonts w:eastAsia="Calibri"/>
          <w:sz w:val="22"/>
          <w:szCs w:val="22"/>
        </w:rPr>
        <w:t xml:space="preserve"> </w:t>
      </w:r>
      <w:r w:rsidR="0003320D" w:rsidRPr="003676AB">
        <w:rPr>
          <w:rFonts w:eastAsia="Calibri"/>
          <w:sz w:val="22"/>
          <w:szCs w:val="22"/>
        </w:rPr>
        <w:t>law</w:t>
      </w:r>
      <w:r w:rsidR="00923A66" w:rsidRPr="003676AB">
        <w:rPr>
          <w:rFonts w:eastAsia="Calibri"/>
          <w:sz w:val="22"/>
          <w:szCs w:val="22"/>
        </w:rPr>
        <w:t xml:space="preserve"> on </w:t>
      </w:r>
      <w:r w:rsidR="00694DCB" w:rsidRPr="003676AB">
        <w:rPr>
          <w:rFonts w:eastAsia="Calibri"/>
          <w:sz w:val="22"/>
          <w:szCs w:val="22"/>
        </w:rPr>
        <w:t>art.</w:t>
      </w:r>
      <w:r w:rsidR="00923A66" w:rsidRPr="003676AB">
        <w:rPr>
          <w:rFonts w:eastAsia="Calibri"/>
          <w:sz w:val="22"/>
          <w:szCs w:val="22"/>
        </w:rPr>
        <w:t xml:space="preserve"> 114 TFEU</w:t>
      </w:r>
      <w:r w:rsidR="00045C38" w:rsidRPr="003676AB">
        <w:rPr>
          <w:rFonts w:eastAsia="Calibri"/>
          <w:sz w:val="22"/>
          <w:szCs w:val="22"/>
        </w:rPr>
        <w:t xml:space="preserve">, particularly the </w:t>
      </w:r>
      <w:r w:rsidR="00045C38" w:rsidRPr="003676AB">
        <w:rPr>
          <w:rFonts w:eastAsia="Calibri"/>
          <w:i/>
          <w:sz w:val="22"/>
          <w:szCs w:val="22"/>
        </w:rPr>
        <w:t>Tobacco Advertising II</w:t>
      </w:r>
      <w:r w:rsidR="00031D1D" w:rsidRPr="003676AB">
        <w:rPr>
          <w:rFonts w:eastAsia="Calibri"/>
          <w:sz w:val="22"/>
          <w:szCs w:val="22"/>
          <w:vertAlign w:val="superscript"/>
        </w:rPr>
        <w:footnoteReference w:id="134"/>
      </w:r>
      <w:r w:rsidR="00045C38" w:rsidRPr="003676AB">
        <w:rPr>
          <w:rFonts w:eastAsia="Calibri"/>
          <w:sz w:val="22"/>
          <w:szCs w:val="22"/>
        </w:rPr>
        <w:t xml:space="preserve"> judgment</w:t>
      </w:r>
      <w:r w:rsidR="0083348E" w:rsidRPr="003676AB">
        <w:rPr>
          <w:rFonts w:eastAsia="Calibri"/>
          <w:sz w:val="22"/>
          <w:szCs w:val="22"/>
        </w:rPr>
        <w:t>, be adopted pursuant to the internal market provision</w:t>
      </w:r>
      <w:r w:rsidR="0003320D" w:rsidRPr="003676AB">
        <w:rPr>
          <w:rFonts w:eastAsia="Calibri"/>
          <w:sz w:val="22"/>
          <w:szCs w:val="22"/>
        </w:rPr>
        <w:t>.</w:t>
      </w:r>
      <w:r w:rsidR="0003320D" w:rsidRPr="003676AB">
        <w:rPr>
          <w:rFonts w:eastAsia="Calibri"/>
          <w:sz w:val="22"/>
          <w:szCs w:val="22"/>
          <w:vertAlign w:val="superscript"/>
        </w:rPr>
        <w:footnoteReference w:id="135"/>
      </w:r>
    </w:p>
    <w:p w14:paraId="7AAEDF9E" w14:textId="14141230" w:rsidR="0003320D" w:rsidRPr="003676AB" w:rsidRDefault="00045C38" w:rsidP="0003320D">
      <w:pPr>
        <w:rPr>
          <w:rFonts w:eastAsia="Calibri"/>
          <w:sz w:val="22"/>
          <w:szCs w:val="22"/>
        </w:rPr>
      </w:pPr>
      <w:r w:rsidRPr="003676AB">
        <w:rPr>
          <w:rFonts w:eastAsia="Calibri"/>
          <w:sz w:val="22"/>
          <w:szCs w:val="22"/>
        </w:rPr>
        <w:t xml:space="preserve">Whilst </w:t>
      </w:r>
      <w:proofErr w:type="spellStart"/>
      <w:r w:rsidRPr="003676AB">
        <w:rPr>
          <w:rFonts w:eastAsia="Calibri"/>
          <w:sz w:val="22"/>
          <w:szCs w:val="22"/>
        </w:rPr>
        <w:t>Herlin</w:t>
      </w:r>
      <w:proofErr w:type="spellEnd"/>
      <w:r w:rsidRPr="003676AB">
        <w:rPr>
          <w:rFonts w:eastAsia="Calibri"/>
          <w:sz w:val="22"/>
          <w:szCs w:val="22"/>
        </w:rPr>
        <w:t xml:space="preserve"> </w:t>
      </w:r>
      <w:proofErr w:type="spellStart"/>
      <w:r w:rsidRPr="003676AB">
        <w:rPr>
          <w:rFonts w:eastAsia="Calibri"/>
          <w:sz w:val="22"/>
          <w:szCs w:val="22"/>
        </w:rPr>
        <w:t>Karnell</w:t>
      </w:r>
      <w:r w:rsidR="00923A66" w:rsidRPr="003676AB">
        <w:rPr>
          <w:rFonts w:eastAsia="Calibri"/>
          <w:sz w:val="22"/>
          <w:szCs w:val="22"/>
        </w:rPr>
        <w:t>’s</w:t>
      </w:r>
      <w:proofErr w:type="spellEnd"/>
      <w:r w:rsidR="00923A66" w:rsidRPr="003676AB">
        <w:rPr>
          <w:rFonts w:eastAsia="Calibri"/>
          <w:sz w:val="22"/>
          <w:szCs w:val="22"/>
        </w:rPr>
        <w:t xml:space="preserve"> argument on the broad scope of</w:t>
      </w:r>
      <w:r w:rsidRPr="003676AB">
        <w:rPr>
          <w:rFonts w:eastAsia="Calibri"/>
          <w:sz w:val="22"/>
          <w:szCs w:val="22"/>
        </w:rPr>
        <w:t xml:space="preserve"> </w:t>
      </w:r>
      <w:r w:rsidR="00486DD8" w:rsidRPr="003676AB">
        <w:rPr>
          <w:rFonts w:eastAsia="Calibri"/>
          <w:sz w:val="22"/>
          <w:szCs w:val="22"/>
        </w:rPr>
        <w:t>art.</w:t>
      </w:r>
      <w:r w:rsidRPr="003676AB">
        <w:rPr>
          <w:rFonts w:eastAsia="Calibri"/>
          <w:sz w:val="22"/>
          <w:szCs w:val="22"/>
        </w:rPr>
        <w:t xml:space="preserve"> 114 TFEU</w:t>
      </w:r>
      <w:r w:rsidR="00923A66" w:rsidRPr="003676AB">
        <w:rPr>
          <w:rFonts w:eastAsia="Calibri"/>
          <w:sz w:val="22"/>
          <w:szCs w:val="22"/>
        </w:rPr>
        <w:t xml:space="preserve"> is compelling, it does not </w:t>
      </w:r>
      <w:r w:rsidR="008B2122" w:rsidRPr="003676AB">
        <w:rPr>
          <w:rFonts w:eastAsia="Calibri"/>
          <w:sz w:val="22"/>
          <w:szCs w:val="22"/>
        </w:rPr>
        <w:t xml:space="preserve">sufficiently </w:t>
      </w:r>
      <w:r w:rsidR="009310F4" w:rsidRPr="003676AB">
        <w:rPr>
          <w:rFonts w:eastAsia="Calibri"/>
          <w:sz w:val="22"/>
          <w:szCs w:val="22"/>
        </w:rPr>
        <w:t xml:space="preserve">explain </w:t>
      </w:r>
      <w:r w:rsidR="00923A66" w:rsidRPr="003676AB">
        <w:rPr>
          <w:rFonts w:eastAsia="Calibri"/>
          <w:sz w:val="22"/>
          <w:szCs w:val="22"/>
        </w:rPr>
        <w:t>why this provision</w:t>
      </w:r>
      <w:r w:rsidRPr="003676AB">
        <w:rPr>
          <w:rFonts w:eastAsia="Calibri"/>
          <w:sz w:val="22"/>
          <w:szCs w:val="22"/>
        </w:rPr>
        <w:t xml:space="preserve"> </w:t>
      </w:r>
      <w:r w:rsidR="00923A66" w:rsidRPr="003676AB">
        <w:rPr>
          <w:rFonts w:eastAsia="Calibri"/>
          <w:sz w:val="22"/>
          <w:szCs w:val="22"/>
        </w:rPr>
        <w:t xml:space="preserve">should </w:t>
      </w:r>
      <w:r w:rsidRPr="003676AB">
        <w:rPr>
          <w:rFonts w:eastAsia="Calibri"/>
          <w:sz w:val="22"/>
          <w:szCs w:val="22"/>
        </w:rPr>
        <w:t xml:space="preserve">be preferred over </w:t>
      </w:r>
      <w:r w:rsidR="00486DD8" w:rsidRPr="003676AB">
        <w:rPr>
          <w:rFonts w:eastAsia="Calibri"/>
          <w:sz w:val="22"/>
          <w:szCs w:val="22"/>
        </w:rPr>
        <w:t>art.</w:t>
      </w:r>
      <w:r w:rsidRPr="003676AB">
        <w:rPr>
          <w:rFonts w:eastAsia="Calibri"/>
          <w:sz w:val="22"/>
          <w:szCs w:val="22"/>
        </w:rPr>
        <w:t xml:space="preserve"> 83(2) TFEU.</w:t>
      </w:r>
      <w:r w:rsidR="0003320D" w:rsidRPr="003676AB">
        <w:rPr>
          <w:rFonts w:eastAsia="Calibri"/>
          <w:sz w:val="22"/>
          <w:szCs w:val="22"/>
        </w:rPr>
        <w:t xml:space="preserve"> </w:t>
      </w:r>
      <w:r w:rsidRPr="003676AB">
        <w:rPr>
          <w:rFonts w:eastAsia="Calibri"/>
          <w:sz w:val="22"/>
          <w:szCs w:val="22"/>
        </w:rPr>
        <w:t>F</w:t>
      </w:r>
      <w:r w:rsidR="009310F4" w:rsidRPr="003676AB">
        <w:rPr>
          <w:rFonts w:eastAsia="Calibri"/>
          <w:sz w:val="22"/>
          <w:szCs w:val="22"/>
        </w:rPr>
        <w:t>irstly</w:t>
      </w:r>
      <w:r w:rsidR="000239F8" w:rsidRPr="003676AB">
        <w:rPr>
          <w:rFonts w:eastAsia="Calibri"/>
          <w:sz w:val="22"/>
          <w:szCs w:val="22"/>
        </w:rPr>
        <w:t xml:space="preserve">, </w:t>
      </w:r>
      <w:r w:rsidRPr="003676AB">
        <w:rPr>
          <w:rFonts w:eastAsia="Calibri"/>
          <w:sz w:val="22"/>
          <w:szCs w:val="22"/>
        </w:rPr>
        <w:t>the</w:t>
      </w:r>
      <w:r w:rsidR="00923A66" w:rsidRPr="003676AB">
        <w:rPr>
          <w:rFonts w:eastAsia="Calibri"/>
          <w:sz w:val="22"/>
          <w:szCs w:val="22"/>
        </w:rPr>
        <w:t xml:space="preserve"> </w:t>
      </w:r>
      <w:r w:rsidR="0003320D" w:rsidRPr="003676AB">
        <w:rPr>
          <w:rFonts w:eastAsia="Calibri"/>
          <w:i/>
          <w:sz w:val="22"/>
          <w:szCs w:val="22"/>
        </w:rPr>
        <w:t>Tobacco Advertising II</w:t>
      </w:r>
      <w:r w:rsidRPr="003676AB">
        <w:rPr>
          <w:rFonts w:eastAsia="Calibri"/>
          <w:sz w:val="22"/>
          <w:szCs w:val="22"/>
        </w:rPr>
        <w:t xml:space="preserve"> judgment is </w:t>
      </w:r>
      <w:r w:rsidR="00B7556E" w:rsidRPr="003676AB">
        <w:rPr>
          <w:rFonts w:eastAsia="Calibri"/>
          <w:sz w:val="22"/>
          <w:szCs w:val="22"/>
        </w:rPr>
        <w:t>of limited use in</w:t>
      </w:r>
      <w:r w:rsidR="009310F4" w:rsidRPr="003676AB">
        <w:rPr>
          <w:rFonts w:eastAsia="Calibri"/>
          <w:sz w:val="22"/>
          <w:szCs w:val="22"/>
        </w:rPr>
        <w:t xml:space="preserve"> demonstrating that </w:t>
      </w:r>
      <w:r w:rsidR="00A8160F" w:rsidRPr="003676AB">
        <w:rPr>
          <w:rFonts w:eastAsia="Calibri"/>
          <w:sz w:val="22"/>
          <w:szCs w:val="22"/>
        </w:rPr>
        <w:t>art.</w:t>
      </w:r>
      <w:r w:rsidR="009310F4" w:rsidRPr="003676AB">
        <w:rPr>
          <w:rFonts w:eastAsia="Calibri"/>
          <w:sz w:val="22"/>
          <w:szCs w:val="22"/>
        </w:rPr>
        <w:t xml:space="preserve"> 114 TFEU should have priority over </w:t>
      </w:r>
      <w:r w:rsidR="00A8160F" w:rsidRPr="003676AB">
        <w:rPr>
          <w:rFonts w:eastAsia="Calibri"/>
          <w:sz w:val="22"/>
          <w:szCs w:val="22"/>
        </w:rPr>
        <w:t>art.</w:t>
      </w:r>
      <w:r w:rsidR="009310F4" w:rsidRPr="003676AB">
        <w:rPr>
          <w:rFonts w:eastAsia="Calibri"/>
          <w:sz w:val="22"/>
          <w:szCs w:val="22"/>
        </w:rPr>
        <w:t xml:space="preserve"> 83(2) TFEU</w:t>
      </w:r>
      <w:r w:rsidR="0003320D" w:rsidRPr="003676AB">
        <w:rPr>
          <w:rFonts w:eastAsia="Calibri"/>
          <w:sz w:val="22"/>
          <w:szCs w:val="22"/>
        </w:rPr>
        <w:t xml:space="preserve">. </w:t>
      </w:r>
      <w:r w:rsidR="009310F4" w:rsidRPr="003676AB">
        <w:rPr>
          <w:rFonts w:eastAsia="Calibri"/>
          <w:sz w:val="22"/>
          <w:szCs w:val="22"/>
        </w:rPr>
        <w:t xml:space="preserve">In </w:t>
      </w:r>
      <w:r w:rsidR="009310F4" w:rsidRPr="003676AB">
        <w:rPr>
          <w:rFonts w:eastAsia="Calibri"/>
          <w:i/>
          <w:sz w:val="22"/>
          <w:szCs w:val="22"/>
        </w:rPr>
        <w:t>Tobacco Advertising II</w:t>
      </w:r>
      <w:r w:rsidR="009310F4" w:rsidRPr="003676AB">
        <w:rPr>
          <w:rFonts w:eastAsia="Calibri"/>
          <w:sz w:val="22"/>
          <w:szCs w:val="22"/>
        </w:rPr>
        <w:t xml:space="preserve"> n</w:t>
      </w:r>
      <w:r w:rsidR="00923A66" w:rsidRPr="003676AB">
        <w:rPr>
          <w:rFonts w:eastAsia="Calibri"/>
          <w:sz w:val="22"/>
          <w:szCs w:val="22"/>
        </w:rPr>
        <w:t xml:space="preserve">o </w:t>
      </w:r>
      <w:r w:rsidRPr="003676AB">
        <w:rPr>
          <w:rFonts w:eastAsia="Calibri"/>
          <w:sz w:val="22"/>
          <w:szCs w:val="22"/>
        </w:rPr>
        <w:t xml:space="preserve">alternative </w:t>
      </w:r>
      <w:r w:rsidR="0003320D" w:rsidRPr="003676AB">
        <w:rPr>
          <w:rFonts w:eastAsia="Calibri"/>
          <w:sz w:val="22"/>
          <w:szCs w:val="22"/>
        </w:rPr>
        <w:t xml:space="preserve">legal basis </w:t>
      </w:r>
      <w:r w:rsidR="00923A66" w:rsidRPr="003676AB">
        <w:rPr>
          <w:rFonts w:eastAsia="Calibri"/>
          <w:sz w:val="22"/>
          <w:szCs w:val="22"/>
        </w:rPr>
        <w:t>was proposed</w:t>
      </w:r>
      <w:r w:rsidR="00B7556E" w:rsidRPr="003676AB">
        <w:rPr>
          <w:rFonts w:eastAsia="Calibri"/>
          <w:sz w:val="22"/>
          <w:szCs w:val="22"/>
        </w:rPr>
        <w:t>,</w:t>
      </w:r>
      <w:r w:rsidR="00923A66" w:rsidRPr="003676AB">
        <w:rPr>
          <w:rFonts w:eastAsia="Calibri"/>
          <w:sz w:val="22"/>
          <w:szCs w:val="22"/>
        </w:rPr>
        <w:t xml:space="preserve"> t</w:t>
      </w:r>
      <w:r w:rsidR="0003320D" w:rsidRPr="003676AB">
        <w:rPr>
          <w:rFonts w:eastAsia="Calibri"/>
          <w:sz w:val="22"/>
          <w:szCs w:val="22"/>
        </w:rPr>
        <w:t xml:space="preserve">his case </w:t>
      </w:r>
      <w:r w:rsidR="009310F4" w:rsidRPr="003676AB">
        <w:rPr>
          <w:rFonts w:eastAsia="Calibri"/>
          <w:sz w:val="22"/>
          <w:szCs w:val="22"/>
        </w:rPr>
        <w:t xml:space="preserve">did not concern a choice between two alternative legal bases but rather </w:t>
      </w:r>
      <w:r w:rsidR="0003320D" w:rsidRPr="003676AB">
        <w:rPr>
          <w:rFonts w:eastAsia="Calibri"/>
          <w:sz w:val="22"/>
          <w:szCs w:val="22"/>
        </w:rPr>
        <w:t xml:space="preserve">whether the Union had a competence </w:t>
      </w:r>
      <w:r w:rsidR="0003320D" w:rsidRPr="003676AB">
        <w:rPr>
          <w:rFonts w:eastAsia="Calibri"/>
          <w:i/>
          <w:sz w:val="22"/>
          <w:szCs w:val="22"/>
        </w:rPr>
        <w:t>at all</w:t>
      </w:r>
      <w:r w:rsidR="0003320D" w:rsidRPr="003676AB">
        <w:rPr>
          <w:rFonts w:eastAsia="Calibri"/>
          <w:sz w:val="22"/>
          <w:szCs w:val="22"/>
        </w:rPr>
        <w:t xml:space="preserve"> to adopt the measure under the Treaties.</w:t>
      </w:r>
      <w:r w:rsidR="0003320D" w:rsidRPr="003676AB">
        <w:rPr>
          <w:rFonts w:eastAsia="Calibri"/>
          <w:sz w:val="22"/>
          <w:szCs w:val="22"/>
          <w:vertAlign w:val="superscript"/>
        </w:rPr>
        <w:footnoteReference w:id="136"/>
      </w:r>
      <w:r w:rsidR="0003320D" w:rsidRPr="003676AB">
        <w:rPr>
          <w:rFonts w:eastAsia="Calibri"/>
          <w:sz w:val="22"/>
          <w:szCs w:val="22"/>
        </w:rPr>
        <w:t xml:space="preserve"> It is well</w:t>
      </w:r>
      <w:r w:rsidR="00550596" w:rsidRPr="003676AB">
        <w:rPr>
          <w:rFonts w:eastAsia="Calibri"/>
          <w:sz w:val="22"/>
          <w:szCs w:val="22"/>
        </w:rPr>
        <w:t>-</w:t>
      </w:r>
      <w:r w:rsidR="0003320D" w:rsidRPr="003676AB">
        <w:rPr>
          <w:rFonts w:eastAsia="Calibri"/>
          <w:sz w:val="22"/>
          <w:szCs w:val="22"/>
        </w:rPr>
        <w:t xml:space="preserve">known that the Court </w:t>
      </w:r>
      <w:r w:rsidR="005E5AAD" w:rsidRPr="003676AB">
        <w:rPr>
          <w:rFonts w:eastAsia="Calibri"/>
          <w:sz w:val="22"/>
          <w:szCs w:val="22"/>
        </w:rPr>
        <w:t xml:space="preserve">is </w:t>
      </w:r>
      <w:r w:rsidR="0003320D" w:rsidRPr="003676AB">
        <w:rPr>
          <w:rFonts w:eastAsia="Calibri"/>
          <w:sz w:val="22"/>
          <w:szCs w:val="22"/>
        </w:rPr>
        <w:t xml:space="preserve">inclined to give a broad interpretation of </w:t>
      </w:r>
      <w:r w:rsidR="00A8160F" w:rsidRPr="003676AB">
        <w:rPr>
          <w:rFonts w:eastAsia="Calibri"/>
          <w:sz w:val="22"/>
          <w:szCs w:val="22"/>
        </w:rPr>
        <w:t>art.</w:t>
      </w:r>
      <w:r w:rsidR="0003320D" w:rsidRPr="003676AB">
        <w:rPr>
          <w:rFonts w:eastAsia="Calibri"/>
          <w:sz w:val="22"/>
          <w:szCs w:val="22"/>
        </w:rPr>
        <w:t xml:space="preserve"> 114 TFEU if the </w:t>
      </w:r>
      <w:r w:rsidR="005E5AAD" w:rsidRPr="003676AB">
        <w:rPr>
          <w:rFonts w:eastAsia="Calibri"/>
          <w:sz w:val="22"/>
          <w:szCs w:val="22"/>
        </w:rPr>
        <w:t xml:space="preserve">question relates to </w:t>
      </w:r>
      <w:r w:rsidR="0003320D" w:rsidRPr="003676AB">
        <w:rPr>
          <w:rFonts w:eastAsia="Calibri"/>
          <w:sz w:val="22"/>
          <w:szCs w:val="22"/>
        </w:rPr>
        <w:t>whether the Union</w:t>
      </w:r>
      <w:r w:rsidR="00923A66" w:rsidRPr="003676AB">
        <w:rPr>
          <w:rFonts w:eastAsia="Calibri"/>
          <w:sz w:val="22"/>
          <w:szCs w:val="22"/>
        </w:rPr>
        <w:t xml:space="preserve"> lacks competence to act</w:t>
      </w:r>
      <w:r w:rsidR="005E5AAD" w:rsidRPr="003676AB">
        <w:rPr>
          <w:rFonts w:eastAsia="Calibri"/>
          <w:sz w:val="22"/>
          <w:szCs w:val="22"/>
        </w:rPr>
        <w:t xml:space="preserve"> in the first place</w:t>
      </w:r>
      <w:r w:rsidR="0003320D" w:rsidRPr="003676AB">
        <w:rPr>
          <w:rFonts w:eastAsia="Calibri"/>
          <w:sz w:val="22"/>
          <w:szCs w:val="22"/>
        </w:rPr>
        <w:t>.</w:t>
      </w:r>
      <w:r w:rsidR="0003320D" w:rsidRPr="003676AB">
        <w:rPr>
          <w:rFonts w:eastAsia="Calibri"/>
          <w:sz w:val="22"/>
          <w:szCs w:val="22"/>
          <w:vertAlign w:val="superscript"/>
        </w:rPr>
        <w:footnoteReference w:id="137"/>
      </w:r>
      <w:r w:rsidR="0003320D" w:rsidRPr="003676AB">
        <w:rPr>
          <w:rFonts w:eastAsia="Calibri"/>
          <w:sz w:val="22"/>
          <w:szCs w:val="22"/>
        </w:rPr>
        <w:t xml:space="preserve"> It appears unlikely</w:t>
      </w:r>
      <w:r w:rsidR="005E5AAD" w:rsidRPr="003676AB">
        <w:rPr>
          <w:rFonts w:eastAsia="Calibri"/>
          <w:sz w:val="22"/>
          <w:szCs w:val="22"/>
        </w:rPr>
        <w:t xml:space="preserve"> </w:t>
      </w:r>
      <w:r w:rsidR="0003320D" w:rsidRPr="003676AB">
        <w:rPr>
          <w:rFonts w:eastAsia="Calibri"/>
          <w:sz w:val="22"/>
          <w:szCs w:val="22"/>
        </w:rPr>
        <w:t xml:space="preserve">that the Court </w:t>
      </w:r>
      <w:r w:rsidR="005E5AAD" w:rsidRPr="003676AB">
        <w:rPr>
          <w:rFonts w:eastAsia="Calibri"/>
          <w:sz w:val="22"/>
          <w:szCs w:val="22"/>
        </w:rPr>
        <w:t xml:space="preserve">would see the same necessity </w:t>
      </w:r>
      <w:r w:rsidR="0003320D" w:rsidRPr="003676AB">
        <w:rPr>
          <w:rFonts w:eastAsia="Calibri"/>
          <w:sz w:val="22"/>
          <w:szCs w:val="22"/>
        </w:rPr>
        <w:t xml:space="preserve">to give a </w:t>
      </w:r>
      <w:r w:rsidR="005E5AAD" w:rsidRPr="003676AB">
        <w:rPr>
          <w:rFonts w:eastAsia="Calibri"/>
          <w:sz w:val="22"/>
          <w:szCs w:val="22"/>
        </w:rPr>
        <w:t xml:space="preserve">similarly </w:t>
      </w:r>
      <w:r w:rsidR="0003320D" w:rsidRPr="003676AB">
        <w:rPr>
          <w:rFonts w:eastAsia="Calibri"/>
          <w:sz w:val="22"/>
          <w:szCs w:val="22"/>
        </w:rPr>
        <w:t xml:space="preserve">broad </w:t>
      </w:r>
      <w:r w:rsidR="0003320D" w:rsidRPr="003676AB">
        <w:rPr>
          <w:rFonts w:eastAsia="Calibri"/>
          <w:sz w:val="22"/>
          <w:szCs w:val="22"/>
        </w:rPr>
        <w:lastRenderedPageBreak/>
        <w:t>interpretati</w:t>
      </w:r>
      <w:r w:rsidR="005E5AAD" w:rsidRPr="003676AB">
        <w:rPr>
          <w:rFonts w:eastAsia="Calibri"/>
          <w:sz w:val="22"/>
          <w:szCs w:val="22"/>
        </w:rPr>
        <w:t xml:space="preserve">on of </w:t>
      </w:r>
      <w:r w:rsidR="00B4447A" w:rsidRPr="003676AB">
        <w:rPr>
          <w:rFonts w:eastAsia="Calibri"/>
          <w:sz w:val="22"/>
          <w:szCs w:val="22"/>
        </w:rPr>
        <w:t>art.</w:t>
      </w:r>
      <w:r w:rsidR="005E5AAD" w:rsidRPr="003676AB">
        <w:rPr>
          <w:rFonts w:eastAsia="Calibri"/>
          <w:sz w:val="22"/>
          <w:szCs w:val="22"/>
        </w:rPr>
        <w:t xml:space="preserve"> 114 TFEU when there is no question of whether the </w:t>
      </w:r>
      <w:r w:rsidR="0003320D" w:rsidRPr="003676AB">
        <w:rPr>
          <w:rFonts w:eastAsia="Calibri"/>
          <w:sz w:val="22"/>
          <w:szCs w:val="22"/>
        </w:rPr>
        <w:t>Union</w:t>
      </w:r>
      <w:r w:rsidR="005E5AAD" w:rsidRPr="003676AB">
        <w:rPr>
          <w:rFonts w:eastAsia="Calibri"/>
          <w:sz w:val="22"/>
          <w:szCs w:val="22"/>
        </w:rPr>
        <w:t xml:space="preserve"> has competence to act but rather </w:t>
      </w:r>
      <w:r w:rsidR="00D43C55" w:rsidRPr="003676AB">
        <w:rPr>
          <w:rFonts w:eastAsia="Calibri"/>
          <w:sz w:val="22"/>
          <w:szCs w:val="22"/>
        </w:rPr>
        <w:t xml:space="preserve">of under which </w:t>
      </w:r>
      <w:r w:rsidR="005E5AAD" w:rsidRPr="003676AB">
        <w:rPr>
          <w:rFonts w:eastAsia="Calibri"/>
          <w:sz w:val="22"/>
          <w:szCs w:val="22"/>
        </w:rPr>
        <w:t>basis the Union has a competence to act</w:t>
      </w:r>
      <w:r w:rsidR="0003320D" w:rsidRPr="003676AB">
        <w:rPr>
          <w:rFonts w:eastAsia="Calibri"/>
          <w:sz w:val="22"/>
          <w:szCs w:val="22"/>
        </w:rPr>
        <w:t>.</w:t>
      </w:r>
      <w:r w:rsidR="00547EC0" w:rsidRPr="003676AB">
        <w:rPr>
          <w:rStyle w:val="Fotnotsreferens"/>
          <w:rFonts w:eastAsia="Calibri"/>
          <w:sz w:val="22"/>
          <w:szCs w:val="22"/>
        </w:rPr>
        <w:footnoteReference w:id="138"/>
      </w:r>
    </w:p>
    <w:p w14:paraId="7EFA83DF" w14:textId="020E22C6" w:rsidR="00AD732D" w:rsidRPr="003676AB" w:rsidRDefault="005B002C" w:rsidP="0003320D">
      <w:pPr>
        <w:rPr>
          <w:rFonts w:eastAsia="Calibri"/>
          <w:sz w:val="22"/>
          <w:szCs w:val="22"/>
        </w:rPr>
      </w:pPr>
      <w:r w:rsidRPr="003676AB">
        <w:rPr>
          <w:rFonts w:eastAsia="Calibri"/>
          <w:sz w:val="22"/>
          <w:szCs w:val="22"/>
        </w:rPr>
        <w:t xml:space="preserve">This brings us to the most important </w:t>
      </w:r>
      <w:r w:rsidR="00D32EFA" w:rsidRPr="003676AB">
        <w:rPr>
          <w:rFonts w:eastAsia="Calibri"/>
          <w:sz w:val="22"/>
          <w:szCs w:val="22"/>
        </w:rPr>
        <w:t xml:space="preserve">constraint </w:t>
      </w:r>
      <w:r w:rsidR="006E48EA" w:rsidRPr="003676AB">
        <w:rPr>
          <w:rFonts w:eastAsia="Calibri"/>
          <w:sz w:val="22"/>
          <w:szCs w:val="22"/>
        </w:rPr>
        <w:t xml:space="preserve">on </w:t>
      </w:r>
      <w:r w:rsidR="00D32EFA" w:rsidRPr="003676AB">
        <w:rPr>
          <w:rFonts w:eastAsia="Calibri"/>
          <w:sz w:val="22"/>
          <w:szCs w:val="22"/>
        </w:rPr>
        <w:t xml:space="preserve">the exercise of law-making powers </w:t>
      </w:r>
      <w:r w:rsidR="00941B87" w:rsidRPr="003676AB">
        <w:rPr>
          <w:rFonts w:eastAsia="Calibri"/>
          <w:sz w:val="22"/>
          <w:szCs w:val="22"/>
        </w:rPr>
        <w:t xml:space="preserve">under </w:t>
      </w:r>
      <w:r w:rsidR="008F6C12" w:rsidRPr="003676AB">
        <w:rPr>
          <w:rFonts w:eastAsia="Calibri"/>
          <w:sz w:val="22"/>
          <w:szCs w:val="22"/>
        </w:rPr>
        <w:t>art.</w:t>
      </w:r>
      <w:r w:rsidR="00941B87" w:rsidRPr="003676AB">
        <w:rPr>
          <w:rFonts w:eastAsia="Calibri"/>
          <w:sz w:val="22"/>
          <w:szCs w:val="22"/>
        </w:rPr>
        <w:t xml:space="preserve"> 114 TFEU. </w:t>
      </w:r>
      <w:r w:rsidRPr="003676AB">
        <w:rPr>
          <w:rFonts w:eastAsia="Calibri"/>
          <w:sz w:val="22"/>
          <w:szCs w:val="22"/>
        </w:rPr>
        <w:t>The expression, ‘save where otherwise provided in the Treaties’</w:t>
      </w:r>
      <w:r w:rsidRPr="003676AB">
        <w:rPr>
          <w:rStyle w:val="Fotnotsreferens"/>
          <w:rFonts w:eastAsia="Calibri"/>
          <w:sz w:val="22"/>
          <w:szCs w:val="22"/>
        </w:rPr>
        <w:footnoteReference w:id="139"/>
      </w:r>
      <w:r w:rsidR="00D32EFA" w:rsidRPr="003676AB">
        <w:rPr>
          <w:rFonts w:eastAsia="Calibri"/>
          <w:sz w:val="22"/>
          <w:szCs w:val="22"/>
        </w:rPr>
        <w:t xml:space="preserve"> </w:t>
      </w:r>
      <w:r w:rsidR="00AD732D" w:rsidRPr="003676AB">
        <w:rPr>
          <w:rFonts w:eastAsia="Calibri"/>
          <w:sz w:val="22"/>
          <w:szCs w:val="22"/>
        </w:rPr>
        <w:t xml:space="preserve">seems to indicate </w:t>
      </w:r>
      <w:r w:rsidRPr="003676AB">
        <w:rPr>
          <w:rFonts w:eastAsia="Calibri"/>
          <w:sz w:val="22"/>
          <w:szCs w:val="22"/>
        </w:rPr>
        <w:t xml:space="preserve">that </w:t>
      </w:r>
      <w:r w:rsidR="008F6C12" w:rsidRPr="003676AB">
        <w:rPr>
          <w:rFonts w:eastAsia="Calibri"/>
          <w:sz w:val="22"/>
          <w:szCs w:val="22"/>
        </w:rPr>
        <w:t>art.</w:t>
      </w:r>
      <w:r w:rsidR="00D32EFA" w:rsidRPr="003676AB">
        <w:rPr>
          <w:rFonts w:eastAsia="Calibri"/>
          <w:sz w:val="22"/>
          <w:szCs w:val="22"/>
        </w:rPr>
        <w:t xml:space="preserve"> 114 TFEU</w:t>
      </w:r>
      <w:r w:rsidR="00AD732D" w:rsidRPr="003676AB">
        <w:rPr>
          <w:rFonts w:eastAsia="Calibri"/>
          <w:sz w:val="22"/>
          <w:szCs w:val="22"/>
        </w:rPr>
        <w:t xml:space="preserve"> is a subordinate</w:t>
      </w:r>
      <w:r w:rsidRPr="003676AB">
        <w:rPr>
          <w:rFonts w:eastAsia="Calibri"/>
          <w:sz w:val="22"/>
          <w:szCs w:val="22"/>
        </w:rPr>
        <w:t xml:space="preserve"> legal basis</w:t>
      </w:r>
      <w:r w:rsidR="00AD732D" w:rsidRPr="003676AB">
        <w:rPr>
          <w:rFonts w:eastAsia="Calibri"/>
          <w:sz w:val="22"/>
          <w:szCs w:val="22"/>
        </w:rPr>
        <w:t xml:space="preserve">. The wording suggests that it is to be used only in the absence of another </w:t>
      </w:r>
      <w:r w:rsidR="006E48EA" w:rsidRPr="003676AB">
        <w:rPr>
          <w:rFonts w:eastAsia="Calibri"/>
          <w:sz w:val="22"/>
          <w:szCs w:val="22"/>
        </w:rPr>
        <w:t xml:space="preserve">more </w:t>
      </w:r>
      <w:r w:rsidR="00AD732D" w:rsidRPr="003676AB">
        <w:rPr>
          <w:rFonts w:eastAsia="Calibri"/>
          <w:sz w:val="22"/>
          <w:szCs w:val="22"/>
        </w:rPr>
        <w:t>appropriate</w:t>
      </w:r>
      <w:r w:rsidR="006E48EA" w:rsidRPr="003676AB">
        <w:rPr>
          <w:rFonts w:eastAsia="Calibri"/>
          <w:sz w:val="22"/>
          <w:szCs w:val="22"/>
        </w:rPr>
        <w:t>,</w:t>
      </w:r>
      <w:r w:rsidR="00AD732D" w:rsidRPr="003676AB">
        <w:rPr>
          <w:rFonts w:eastAsia="Calibri"/>
          <w:sz w:val="22"/>
          <w:szCs w:val="22"/>
        </w:rPr>
        <w:t xml:space="preserve"> specific legal basis (such as </w:t>
      </w:r>
      <w:r w:rsidR="008F6C12" w:rsidRPr="003676AB">
        <w:rPr>
          <w:rFonts w:eastAsia="Calibri"/>
          <w:sz w:val="22"/>
          <w:szCs w:val="22"/>
        </w:rPr>
        <w:t>art.</w:t>
      </w:r>
      <w:r w:rsidR="00AD732D" w:rsidRPr="003676AB">
        <w:rPr>
          <w:rFonts w:eastAsia="Calibri"/>
          <w:sz w:val="22"/>
          <w:szCs w:val="22"/>
        </w:rPr>
        <w:t xml:space="preserve"> 83(2) TFEU)</w:t>
      </w:r>
      <w:r w:rsidRPr="003676AB">
        <w:rPr>
          <w:rFonts w:eastAsia="Calibri"/>
          <w:sz w:val="22"/>
          <w:szCs w:val="22"/>
        </w:rPr>
        <w:t>.</w:t>
      </w:r>
      <w:r w:rsidRPr="003676AB">
        <w:rPr>
          <w:rStyle w:val="Fotnotsreferens"/>
          <w:rFonts w:eastAsia="Calibri"/>
          <w:sz w:val="22"/>
          <w:szCs w:val="22"/>
        </w:rPr>
        <w:footnoteReference w:id="140"/>
      </w:r>
      <w:r w:rsidR="00DC0EAF" w:rsidRPr="003676AB">
        <w:rPr>
          <w:rFonts w:eastAsia="Calibri"/>
          <w:sz w:val="22"/>
          <w:szCs w:val="22"/>
        </w:rPr>
        <w:t xml:space="preserve"> </w:t>
      </w:r>
      <w:r w:rsidR="00681C50" w:rsidRPr="003676AB">
        <w:rPr>
          <w:rFonts w:eastAsia="Calibri"/>
          <w:sz w:val="22"/>
          <w:szCs w:val="22"/>
        </w:rPr>
        <w:t>Whil</w:t>
      </w:r>
      <w:r w:rsidR="006E48EA" w:rsidRPr="003676AB">
        <w:rPr>
          <w:rFonts w:eastAsia="Calibri"/>
          <w:sz w:val="22"/>
          <w:szCs w:val="22"/>
        </w:rPr>
        <w:t>e</w:t>
      </w:r>
      <w:r w:rsidR="00681C50" w:rsidRPr="003676AB">
        <w:rPr>
          <w:rFonts w:eastAsia="Calibri"/>
          <w:sz w:val="22"/>
          <w:szCs w:val="22"/>
        </w:rPr>
        <w:t xml:space="preserve"> the </w:t>
      </w:r>
      <w:r w:rsidR="00681C50" w:rsidRPr="003676AB">
        <w:rPr>
          <w:rFonts w:eastAsia="Calibri"/>
          <w:i/>
          <w:sz w:val="22"/>
          <w:szCs w:val="22"/>
        </w:rPr>
        <w:t>Titanium Dioxide</w:t>
      </w:r>
      <w:r w:rsidR="00681C50" w:rsidRPr="003676AB">
        <w:rPr>
          <w:rFonts w:eastAsia="Calibri"/>
          <w:sz w:val="22"/>
          <w:szCs w:val="22"/>
        </w:rPr>
        <w:t xml:space="preserve"> judgment, as discussed</w:t>
      </w:r>
      <w:r w:rsidR="00AD732D" w:rsidRPr="003676AB">
        <w:rPr>
          <w:rFonts w:eastAsia="Calibri"/>
          <w:sz w:val="22"/>
          <w:szCs w:val="22"/>
        </w:rPr>
        <w:t xml:space="preserve"> above</w:t>
      </w:r>
      <w:r w:rsidR="00681C50" w:rsidRPr="003676AB">
        <w:rPr>
          <w:rFonts w:eastAsia="Calibri"/>
          <w:sz w:val="22"/>
          <w:szCs w:val="22"/>
        </w:rPr>
        <w:t xml:space="preserve">, </w:t>
      </w:r>
      <w:r w:rsidR="00D43C55" w:rsidRPr="003676AB">
        <w:rPr>
          <w:rFonts w:eastAsia="Calibri"/>
          <w:sz w:val="22"/>
          <w:szCs w:val="22"/>
        </w:rPr>
        <w:t xml:space="preserve">raised </w:t>
      </w:r>
      <w:r w:rsidR="00681C50" w:rsidRPr="003676AB">
        <w:rPr>
          <w:rFonts w:eastAsia="Calibri"/>
          <w:sz w:val="22"/>
          <w:szCs w:val="22"/>
        </w:rPr>
        <w:t>doubt</w:t>
      </w:r>
      <w:r w:rsidR="006E48EA" w:rsidRPr="003676AB">
        <w:rPr>
          <w:rFonts w:eastAsia="Calibri"/>
          <w:sz w:val="22"/>
          <w:szCs w:val="22"/>
        </w:rPr>
        <w:t>s</w:t>
      </w:r>
      <w:r w:rsidR="00681C50" w:rsidRPr="003676AB">
        <w:rPr>
          <w:rFonts w:eastAsia="Calibri"/>
          <w:sz w:val="22"/>
          <w:szCs w:val="22"/>
        </w:rPr>
        <w:t xml:space="preserve"> on the significance of this limitation, subsequent case law </w:t>
      </w:r>
      <w:r w:rsidR="00AD732D" w:rsidRPr="003676AB">
        <w:rPr>
          <w:rFonts w:eastAsia="Calibri"/>
          <w:sz w:val="22"/>
          <w:szCs w:val="22"/>
        </w:rPr>
        <w:t xml:space="preserve">on legal basis has reverted to </w:t>
      </w:r>
      <w:r w:rsidR="006E48EA" w:rsidRPr="003676AB">
        <w:rPr>
          <w:rFonts w:eastAsia="Calibri"/>
          <w:sz w:val="22"/>
          <w:szCs w:val="22"/>
        </w:rPr>
        <w:t xml:space="preserve">a </w:t>
      </w:r>
      <w:r w:rsidR="00A41B47" w:rsidRPr="003676AB">
        <w:rPr>
          <w:rFonts w:eastAsia="Calibri"/>
          <w:sz w:val="22"/>
          <w:szCs w:val="22"/>
        </w:rPr>
        <w:t>narrower</w:t>
      </w:r>
      <w:r w:rsidR="00681C50" w:rsidRPr="003676AB">
        <w:rPr>
          <w:rFonts w:eastAsia="Calibri"/>
          <w:sz w:val="22"/>
          <w:szCs w:val="22"/>
        </w:rPr>
        <w:t xml:space="preserve"> reading of </w:t>
      </w:r>
      <w:r w:rsidR="008F6C12" w:rsidRPr="003676AB">
        <w:rPr>
          <w:rFonts w:eastAsia="Calibri"/>
          <w:sz w:val="22"/>
          <w:szCs w:val="22"/>
        </w:rPr>
        <w:t>art.</w:t>
      </w:r>
      <w:r w:rsidR="00681C50" w:rsidRPr="003676AB">
        <w:rPr>
          <w:rFonts w:eastAsia="Calibri"/>
          <w:sz w:val="22"/>
          <w:szCs w:val="22"/>
        </w:rPr>
        <w:t xml:space="preserve"> 114 TFEU</w:t>
      </w:r>
      <w:r w:rsidR="0003320D" w:rsidRPr="003676AB">
        <w:rPr>
          <w:rFonts w:eastAsia="Calibri"/>
          <w:sz w:val="22"/>
          <w:szCs w:val="22"/>
        </w:rPr>
        <w:t>.</w:t>
      </w:r>
      <w:r w:rsidR="0003320D" w:rsidRPr="003676AB">
        <w:rPr>
          <w:rFonts w:eastAsia="Calibri"/>
          <w:sz w:val="22"/>
          <w:szCs w:val="22"/>
          <w:vertAlign w:val="superscript"/>
        </w:rPr>
        <w:footnoteReference w:id="141"/>
      </w:r>
      <w:r w:rsidR="0003320D" w:rsidRPr="003676AB">
        <w:rPr>
          <w:rFonts w:eastAsia="Calibri"/>
          <w:sz w:val="22"/>
          <w:szCs w:val="22"/>
        </w:rPr>
        <w:t xml:space="preserve"> </w:t>
      </w:r>
    </w:p>
    <w:p w14:paraId="37A79A9B" w14:textId="1FFE28C5" w:rsidR="0003320D" w:rsidRPr="003676AB" w:rsidRDefault="0003320D" w:rsidP="0003320D">
      <w:pPr>
        <w:rPr>
          <w:rFonts w:eastAsia="Calibri"/>
          <w:sz w:val="22"/>
          <w:szCs w:val="22"/>
        </w:rPr>
      </w:pPr>
      <w:r w:rsidRPr="003676AB">
        <w:rPr>
          <w:rFonts w:eastAsia="Calibri"/>
          <w:i/>
          <w:sz w:val="22"/>
          <w:szCs w:val="22"/>
        </w:rPr>
        <w:t>Commission v Council</w:t>
      </w:r>
      <w:r w:rsidRPr="003676AB">
        <w:rPr>
          <w:rFonts w:eastAsia="Calibri"/>
          <w:sz w:val="22"/>
          <w:szCs w:val="22"/>
          <w:vertAlign w:val="superscript"/>
        </w:rPr>
        <w:footnoteReference w:id="142"/>
      </w:r>
      <w:r w:rsidR="00B7556E" w:rsidRPr="003676AB">
        <w:rPr>
          <w:rFonts w:eastAsia="Calibri"/>
          <w:i/>
          <w:sz w:val="22"/>
          <w:szCs w:val="22"/>
        </w:rPr>
        <w:t xml:space="preserve"> </w:t>
      </w:r>
      <w:r w:rsidR="00B7556E" w:rsidRPr="003676AB">
        <w:rPr>
          <w:rFonts w:eastAsia="Calibri"/>
          <w:sz w:val="22"/>
          <w:szCs w:val="22"/>
        </w:rPr>
        <w:t xml:space="preserve">is particularly </w:t>
      </w:r>
      <w:r w:rsidR="00833870" w:rsidRPr="003676AB">
        <w:rPr>
          <w:rFonts w:eastAsia="Calibri"/>
          <w:sz w:val="22"/>
          <w:szCs w:val="22"/>
        </w:rPr>
        <w:t>clear in demonstrating</w:t>
      </w:r>
      <w:r w:rsidR="00B7556E" w:rsidRPr="003676AB">
        <w:rPr>
          <w:rFonts w:eastAsia="Calibri"/>
          <w:sz w:val="22"/>
          <w:szCs w:val="22"/>
        </w:rPr>
        <w:t xml:space="preserve"> the secondary nature of </w:t>
      </w:r>
      <w:r w:rsidR="008F6C12" w:rsidRPr="003676AB">
        <w:rPr>
          <w:rFonts w:eastAsia="Calibri"/>
          <w:sz w:val="22"/>
          <w:szCs w:val="22"/>
        </w:rPr>
        <w:t>art.</w:t>
      </w:r>
      <w:r w:rsidR="00B7556E" w:rsidRPr="003676AB">
        <w:rPr>
          <w:rFonts w:eastAsia="Calibri"/>
          <w:sz w:val="22"/>
          <w:szCs w:val="22"/>
        </w:rPr>
        <w:t xml:space="preserve"> 114 TFEU.</w:t>
      </w:r>
      <w:r w:rsidRPr="003676AB">
        <w:rPr>
          <w:rFonts w:eastAsia="Calibri"/>
          <w:sz w:val="22"/>
          <w:szCs w:val="22"/>
        </w:rPr>
        <w:t xml:space="preserve"> </w:t>
      </w:r>
      <w:r w:rsidR="00833870" w:rsidRPr="003676AB">
        <w:rPr>
          <w:rFonts w:eastAsia="Calibri"/>
          <w:sz w:val="22"/>
          <w:szCs w:val="22"/>
        </w:rPr>
        <w:t>T</w:t>
      </w:r>
      <w:r w:rsidRPr="003676AB">
        <w:rPr>
          <w:rFonts w:eastAsia="Calibri"/>
          <w:sz w:val="22"/>
          <w:szCs w:val="22"/>
        </w:rPr>
        <w:t>he Commission argued that the directive on the recovery of indirect taxes</w:t>
      </w:r>
      <w:r w:rsidR="00E63022" w:rsidRPr="003676AB">
        <w:rPr>
          <w:rFonts w:eastAsia="Calibri"/>
          <w:sz w:val="22"/>
          <w:szCs w:val="22"/>
        </w:rPr>
        <w:t>,</w:t>
      </w:r>
      <w:r w:rsidRPr="003676AB">
        <w:rPr>
          <w:rFonts w:eastAsia="Calibri"/>
          <w:sz w:val="22"/>
          <w:szCs w:val="22"/>
          <w:vertAlign w:val="superscript"/>
        </w:rPr>
        <w:footnoteReference w:id="143"/>
      </w:r>
      <w:r w:rsidRPr="003676AB">
        <w:rPr>
          <w:rFonts w:eastAsia="Calibri"/>
          <w:sz w:val="22"/>
          <w:szCs w:val="22"/>
        </w:rPr>
        <w:t xml:space="preserve"> which had been </w:t>
      </w:r>
      <w:r w:rsidR="00941B87" w:rsidRPr="003676AB">
        <w:rPr>
          <w:rFonts w:eastAsia="Calibri"/>
          <w:sz w:val="22"/>
          <w:szCs w:val="22"/>
        </w:rPr>
        <w:t xml:space="preserve">based on </w:t>
      </w:r>
      <w:r w:rsidR="008F6C12" w:rsidRPr="003676AB">
        <w:rPr>
          <w:rFonts w:eastAsia="Calibri"/>
          <w:sz w:val="22"/>
          <w:szCs w:val="22"/>
        </w:rPr>
        <w:t>arts</w:t>
      </w:r>
      <w:r w:rsidRPr="003676AB">
        <w:rPr>
          <w:rFonts w:eastAsia="Calibri"/>
          <w:sz w:val="22"/>
          <w:szCs w:val="22"/>
        </w:rPr>
        <w:t xml:space="preserve"> 113 TFEU and 115 TFEU, should</w:t>
      </w:r>
      <w:r w:rsidR="003B1656" w:rsidRPr="003676AB">
        <w:rPr>
          <w:rFonts w:eastAsia="Calibri"/>
          <w:sz w:val="22"/>
          <w:szCs w:val="22"/>
        </w:rPr>
        <w:t xml:space="preserve"> instead</w:t>
      </w:r>
      <w:r w:rsidRPr="003676AB">
        <w:rPr>
          <w:rFonts w:eastAsia="Calibri"/>
          <w:sz w:val="22"/>
          <w:szCs w:val="22"/>
        </w:rPr>
        <w:t xml:space="preserve"> have been adopted</w:t>
      </w:r>
      <w:r w:rsidR="003B1656" w:rsidRPr="003676AB">
        <w:rPr>
          <w:rFonts w:eastAsia="Calibri"/>
          <w:sz w:val="22"/>
          <w:szCs w:val="22"/>
        </w:rPr>
        <w:t xml:space="preserve"> solely</w:t>
      </w:r>
      <w:r w:rsidRPr="003676AB">
        <w:rPr>
          <w:rFonts w:eastAsia="Calibri"/>
          <w:sz w:val="22"/>
          <w:szCs w:val="22"/>
        </w:rPr>
        <w:t xml:space="preserve"> </w:t>
      </w:r>
      <w:r w:rsidR="00941B87" w:rsidRPr="003676AB">
        <w:rPr>
          <w:rFonts w:eastAsia="Calibri"/>
          <w:sz w:val="22"/>
          <w:szCs w:val="22"/>
        </w:rPr>
        <w:t xml:space="preserve">under the provision of </w:t>
      </w:r>
      <w:r w:rsidR="008F6C12" w:rsidRPr="003676AB">
        <w:rPr>
          <w:rFonts w:eastAsia="Calibri"/>
          <w:sz w:val="22"/>
          <w:szCs w:val="22"/>
        </w:rPr>
        <w:t>art.</w:t>
      </w:r>
      <w:r w:rsidRPr="003676AB">
        <w:rPr>
          <w:rFonts w:eastAsia="Calibri"/>
          <w:sz w:val="22"/>
          <w:szCs w:val="22"/>
        </w:rPr>
        <w:t xml:space="preserve"> 114 TFEU, as it was primarily an </w:t>
      </w:r>
      <w:r w:rsidR="00923D93" w:rsidRPr="003676AB">
        <w:rPr>
          <w:rFonts w:eastAsia="Calibri"/>
          <w:sz w:val="22"/>
          <w:szCs w:val="22"/>
        </w:rPr>
        <w:t>‘</w:t>
      </w:r>
      <w:r w:rsidRPr="003676AB">
        <w:rPr>
          <w:rFonts w:eastAsia="Calibri"/>
          <w:sz w:val="22"/>
          <w:szCs w:val="22"/>
        </w:rPr>
        <w:t>internal market</w:t>
      </w:r>
      <w:r w:rsidR="00923D93" w:rsidRPr="003676AB">
        <w:rPr>
          <w:rFonts w:eastAsia="Calibri"/>
          <w:sz w:val="22"/>
          <w:szCs w:val="22"/>
        </w:rPr>
        <w:t>’</w:t>
      </w:r>
      <w:r w:rsidRPr="003676AB">
        <w:rPr>
          <w:rFonts w:eastAsia="Calibri"/>
          <w:sz w:val="22"/>
          <w:szCs w:val="22"/>
        </w:rPr>
        <w:t xml:space="preserve"> measure. The Court</w:t>
      </w:r>
      <w:r w:rsidR="00DB4100" w:rsidRPr="003676AB">
        <w:rPr>
          <w:rFonts w:eastAsia="Calibri"/>
          <w:sz w:val="22"/>
          <w:szCs w:val="22"/>
        </w:rPr>
        <w:t xml:space="preserve"> </w:t>
      </w:r>
      <w:r w:rsidR="00833870" w:rsidRPr="003676AB">
        <w:rPr>
          <w:rFonts w:eastAsia="Calibri"/>
          <w:sz w:val="22"/>
          <w:szCs w:val="22"/>
        </w:rPr>
        <w:t xml:space="preserve">rejected </w:t>
      </w:r>
      <w:r w:rsidR="00DB4100" w:rsidRPr="003676AB">
        <w:rPr>
          <w:rFonts w:eastAsia="Calibri"/>
          <w:sz w:val="22"/>
          <w:szCs w:val="22"/>
        </w:rPr>
        <w:t>the Commission’s argument</w:t>
      </w:r>
      <w:r w:rsidR="00833870" w:rsidRPr="003676AB">
        <w:rPr>
          <w:rFonts w:eastAsia="Calibri"/>
          <w:sz w:val="22"/>
          <w:szCs w:val="22"/>
        </w:rPr>
        <w:t>,</w:t>
      </w:r>
      <w:r w:rsidR="00A37A4E" w:rsidRPr="003676AB">
        <w:rPr>
          <w:rFonts w:eastAsia="Calibri"/>
          <w:sz w:val="22"/>
          <w:szCs w:val="22"/>
        </w:rPr>
        <w:t xml:space="preserve"> </w:t>
      </w:r>
      <w:r w:rsidRPr="003676AB">
        <w:rPr>
          <w:rFonts w:eastAsia="Calibri"/>
          <w:sz w:val="22"/>
          <w:szCs w:val="22"/>
        </w:rPr>
        <w:t>emphasis</w:t>
      </w:r>
      <w:r w:rsidR="00833870" w:rsidRPr="003676AB">
        <w:rPr>
          <w:rFonts w:eastAsia="Calibri"/>
          <w:sz w:val="22"/>
          <w:szCs w:val="22"/>
        </w:rPr>
        <w:t>ing</w:t>
      </w:r>
      <w:r w:rsidRPr="003676AB">
        <w:rPr>
          <w:rFonts w:eastAsia="Calibri"/>
          <w:sz w:val="22"/>
          <w:szCs w:val="22"/>
        </w:rPr>
        <w:t xml:space="preserve"> that the very wording of </w:t>
      </w:r>
      <w:r w:rsidR="00BE47B1" w:rsidRPr="003676AB">
        <w:rPr>
          <w:rFonts w:eastAsia="Calibri"/>
          <w:sz w:val="22"/>
          <w:szCs w:val="22"/>
        </w:rPr>
        <w:t>art.</w:t>
      </w:r>
      <w:r w:rsidRPr="003676AB">
        <w:rPr>
          <w:rFonts w:eastAsia="Calibri"/>
          <w:sz w:val="22"/>
          <w:szCs w:val="22"/>
        </w:rPr>
        <w:t xml:space="preserve"> 114 TFEU provided that that article should only be applied if the Treaty does not provide otherwise. If the Treaty contains a more specific provision that</w:t>
      </w:r>
      <w:r w:rsidR="00A31788" w:rsidRPr="003676AB">
        <w:rPr>
          <w:rFonts w:eastAsia="Calibri"/>
          <w:sz w:val="22"/>
          <w:szCs w:val="22"/>
        </w:rPr>
        <w:t xml:space="preserve"> can</w:t>
      </w:r>
      <w:r w:rsidRPr="003676AB">
        <w:rPr>
          <w:rFonts w:eastAsia="Calibri"/>
          <w:sz w:val="22"/>
          <w:szCs w:val="22"/>
        </w:rPr>
        <w:t xml:space="preserve"> </w:t>
      </w:r>
      <w:r w:rsidR="00A31788" w:rsidRPr="003676AB">
        <w:rPr>
          <w:rFonts w:eastAsia="Calibri"/>
          <w:sz w:val="22"/>
          <w:szCs w:val="22"/>
        </w:rPr>
        <w:t>constitute</w:t>
      </w:r>
      <w:r w:rsidRPr="003676AB">
        <w:rPr>
          <w:rFonts w:eastAsia="Calibri"/>
          <w:sz w:val="22"/>
          <w:szCs w:val="22"/>
        </w:rPr>
        <w:t xml:space="preserve"> the legal basis for the</w:t>
      </w:r>
      <w:r w:rsidR="00A31788" w:rsidRPr="003676AB">
        <w:rPr>
          <w:rFonts w:eastAsia="Calibri"/>
          <w:sz w:val="22"/>
          <w:szCs w:val="22"/>
        </w:rPr>
        <w:t xml:space="preserve"> </w:t>
      </w:r>
      <w:r w:rsidRPr="003676AB">
        <w:rPr>
          <w:rFonts w:eastAsia="Calibri"/>
          <w:sz w:val="22"/>
          <w:szCs w:val="22"/>
        </w:rPr>
        <w:t xml:space="preserve">Directive, it must be </w:t>
      </w:r>
      <w:r w:rsidR="00833870" w:rsidRPr="003676AB">
        <w:rPr>
          <w:rFonts w:eastAsia="Calibri"/>
          <w:sz w:val="22"/>
          <w:szCs w:val="22"/>
        </w:rPr>
        <w:t xml:space="preserve">based </w:t>
      </w:r>
      <w:r w:rsidRPr="003676AB">
        <w:rPr>
          <w:rFonts w:eastAsia="Calibri"/>
          <w:sz w:val="22"/>
          <w:szCs w:val="22"/>
        </w:rPr>
        <w:t>on such a provision.</w:t>
      </w:r>
      <w:r w:rsidR="00A31788" w:rsidRPr="003676AB">
        <w:rPr>
          <w:rFonts w:eastAsia="Calibri"/>
          <w:sz w:val="22"/>
          <w:szCs w:val="22"/>
        </w:rPr>
        <w:t xml:space="preserve"> Art</w:t>
      </w:r>
      <w:r w:rsidR="00BE47B1" w:rsidRPr="003676AB">
        <w:rPr>
          <w:rFonts w:eastAsia="Calibri"/>
          <w:sz w:val="22"/>
          <w:szCs w:val="22"/>
        </w:rPr>
        <w:t>.</w:t>
      </w:r>
      <w:r w:rsidR="00A31788" w:rsidRPr="003676AB">
        <w:rPr>
          <w:rFonts w:eastAsia="Calibri"/>
          <w:sz w:val="22"/>
          <w:szCs w:val="22"/>
        </w:rPr>
        <w:t xml:space="preserve"> 113 TFEU constitute</w:t>
      </w:r>
      <w:r w:rsidR="00A37A4E" w:rsidRPr="003676AB">
        <w:rPr>
          <w:rFonts w:eastAsia="Calibri"/>
          <w:sz w:val="22"/>
          <w:szCs w:val="22"/>
        </w:rPr>
        <w:t>d</w:t>
      </w:r>
      <w:r w:rsidR="00A31788" w:rsidRPr="003676AB">
        <w:rPr>
          <w:rFonts w:eastAsia="Calibri"/>
          <w:sz w:val="22"/>
          <w:szCs w:val="22"/>
        </w:rPr>
        <w:t xml:space="preserve"> such a </w:t>
      </w:r>
      <w:proofErr w:type="spellStart"/>
      <w:r w:rsidR="00A31788" w:rsidRPr="003676AB">
        <w:rPr>
          <w:rFonts w:eastAsia="Calibri"/>
          <w:i/>
          <w:sz w:val="22"/>
          <w:szCs w:val="22"/>
        </w:rPr>
        <w:t>lex</w:t>
      </w:r>
      <w:proofErr w:type="spellEnd"/>
      <w:r w:rsidR="00A31788" w:rsidRPr="003676AB">
        <w:rPr>
          <w:rFonts w:eastAsia="Calibri"/>
          <w:i/>
          <w:sz w:val="22"/>
          <w:szCs w:val="22"/>
        </w:rPr>
        <w:t xml:space="preserve"> </w:t>
      </w:r>
      <w:proofErr w:type="spellStart"/>
      <w:r w:rsidR="00A31788" w:rsidRPr="003676AB">
        <w:rPr>
          <w:rFonts w:eastAsia="Calibri"/>
          <w:i/>
          <w:sz w:val="22"/>
          <w:szCs w:val="22"/>
        </w:rPr>
        <w:t>specialis</w:t>
      </w:r>
      <w:proofErr w:type="spellEnd"/>
      <w:r w:rsidR="00A31788" w:rsidRPr="003676AB">
        <w:rPr>
          <w:rFonts w:eastAsia="Calibri"/>
          <w:sz w:val="22"/>
          <w:szCs w:val="22"/>
        </w:rPr>
        <w:t xml:space="preserve"> with</w:t>
      </w:r>
      <w:r w:rsidR="00CD6068" w:rsidRPr="003676AB">
        <w:rPr>
          <w:rFonts w:eastAsia="Calibri"/>
          <w:sz w:val="22"/>
          <w:szCs w:val="22"/>
        </w:rPr>
        <w:t xml:space="preserve"> reference to</w:t>
      </w:r>
      <w:r w:rsidRPr="003676AB">
        <w:rPr>
          <w:rFonts w:eastAsia="Calibri"/>
          <w:sz w:val="22"/>
          <w:szCs w:val="22"/>
        </w:rPr>
        <w:t xml:space="preserve"> harmonisation of legislation concerning turnover taxes, excise duties and other forms</w:t>
      </w:r>
      <w:r w:rsidR="00D3509F" w:rsidRPr="003676AB">
        <w:rPr>
          <w:rFonts w:eastAsia="Calibri"/>
          <w:sz w:val="22"/>
          <w:szCs w:val="22"/>
        </w:rPr>
        <w:t xml:space="preserve"> of indirect taxation. </w:t>
      </w:r>
      <w:r w:rsidR="00DB4100" w:rsidRPr="003676AB">
        <w:rPr>
          <w:rFonts w:eastAsia="Calibri"/>
          <w:sz w:val="22"/>
          <w:szCs w:val="22"/>
        </w:rPr>
        <w:t>T</w:t>
      </w:r>
      <w:r w:rsidRPr="003676AB">
        <w:rPr>
          <w:rFonts w:eastAsia="Calibri"/>
          <w:sz w:val="22"/>
          <w:szCs w:val="22"/>
        </w:rPr>
        <w:t>he</w:t>
      </w:r>
      <w:r w:rsidR="00A37A4E" w:rsidRPr="003676AB">
        <w:rPr>
          <w:rFonts w:eastAsia="Calibri"/>
          <w:sz w:val="22"/>
          <w:szCs w:val="22"/>
        </w:rPr>
        <w:t xml:space="preserve"> Court</w:t>
      </w:r>
      <w:r w:rsidR="00DB4100" w:rsidRPr="003676AB">
        <w:rPr>
          <w:rFonts w:eastAsia="Calibri"/>
          <w:sz w:val="22"/>
          <w:szCs w:val="22"/>
        </w:rPr>
        <w:t xml:space="preserve"> furthermore</w:t>
      </w:r>
      <w:r w:rsidR="00A37A4E" w:rsidRPr="003676AB">
        <w:rPr>
          <w:rFonts w:eastAsia="Calibri"/>
          <w:sz w:val="22"/>
          <w:szCs w:val="22"/>
        </w:rPr>
        <w:t xml:space="preserve"> found that the predominant component of</w:t>
      </w:r>
      <w:r w:rsidRPr="003676AB">
        <w:rPr>
          <w:rFonts w:eastAsia="Calibri"/>
          <w:sz w:val="22"/>
          <w:szCs w:val="22"/>
        </w:rPr>
        <w:t xml:space="preserve"> the Directive </w:t>
      </w:r>
      <w:r w:rsidR="00A37A4E" w:rsidRPr="003676AB">
        <w:rPr>
          <w:rFonts w:eastAsia="Calibri"/>
          <w:sz w:val="22"/>
          <w:szCs w:val="22"/>
        </w:rPr>
        <w:t>related to</w:t>
      </w:r>
      <w:r w:rsidR="00DB4100" w:rsidRPr="003676AB">
        <w:rPr>
          <w:rFonts w:eastAsia="Calibri"/>
          <w:sz w:val="22"/>
          <w:szCs w:val="22"/>
        </w:rPr>
        <w:t xml:space="preserve"> ‘fiscal</w:t>
      </w:r>
      <w:r w:rsidR="00A37A4E" w:rsidRPr="003676AB">
        <w:rPr>
          <w:rFonts w:eastAsia="Calibri"/>
          <w:sz w:val="22"/>
          <w:szCs w:val="22"/>
        </w:rPr>
        <w:t xml:space="preserve"> provisions</w:t>
      </w:r>
      <w:r w:rsidR="00DB4100" w:rsidRPr="003676AB">
        <w:rPr>
          <w:rFonts w:eastAsia="Calibri"/>
          <w:sz w:val="22"/>
          <w:szCs w:val="22"/>
        </w:rPr>
        <w:t>’</w:t>
      </w:r>
      <w:r w:rsidR="00AE0C4D" w:rsidRPr="003676AB">
        <w:rPr>
          <w:rFonts w:eastAsia="Calibri"/>
          <w:sz w:val="22"/>
          <w:szCs w:val="22"/>
        </w:rPr>
        <w:t>,</w:t>
      </w:r>
      <w:r w:rsidR="00DB4100" w:rsidRPr="003676AB">
        <w:rPr>
          <w:rFonts w:eastAsia="Calibri"/>
          <w:sz w:val="22"/>
          <w:szCs w:val="22"/>
        </w:rPr>
        <w:t xml:space="preserve"> </w:t>
      </w:r>
      <w:r w:rsidR="00AE0C4D" w:rsidRPr="003676AB">
        <w:rPr>
          <w:rFonts w:eastAsia="Calibri"/>
          <w:sz w:val="22"/>
          <w:szCs w:val="22"/>
        </w:rPr>
        <w:t xml:space="preserve">the </w:t>
      </w:r>
      <w:r w:rsidR="00DB4100" w:rsidRPr="003676AB">
        <w:rPr>
          <w:rFonts w:eastAsia="Calibri"/>
          <w:sz w:val="22"/>
          <w:szCs w:val="22"/>
        </w:rPr>
        <w:t xml:space="preserve">harmonisation </w:t>
      </w:r>
      <w:r w:rsidR="00AE0C4D" w:rsidRPr="003676AB">
        <w:rPr>
          <w:rFonts w:eastAsia="Calibri"/>
          <w:sz w:val="22"/>
          <w:szCs w:val="22"/>
        </w:rPr>
        <w:t xml:space="preserve">of which </w:t>
      </w:r>
      <w:r w:rsidR="00DB4100" w:rsidRPr="003676AB">
        <w:rPr>
          <w:rFonts w:eastAsia="Calibri"/>
          <w:sz w:val="22"/>
          <w:szCs w:val="22"/>
        </w:rPr>
        <w:t xml:space="preserve">was excluded under </w:t>
      </w:r>
      <w:r w:rsidR="00BE47B1" w:rsidRPr="003676AB">
        <w:rPr>
          <w:rFonts w:eastAsia="Calibri"/>
          <w:sz w:val="22"/>
          <w:szCs w:val="22"/>
        </w:rPr>
        <w:t>art.</w:t>
      </w:r>
      <w:r w:rsidR="00DB4100" w:rsidRPr="003676AB">
        <w:rPr>
          <w:rFonts w:eastAsia="Calibri"/>
          <w:sz w:val="22"/>
          <w:szCs w:val="22"/>
        </w:rPr>
        <w:t xml:space="preserve"> 114 (2) TFEU. Art</w:t>
      </w:r>
      <w:r w:rsidR="00BE47B1" w:rsidRPr="003676AB">
        <w:rPr>
          <w:rFonts w:eastAsia="Calibri"/>
          <w:sz w:val="22"/>
          <w:szCs w:val="22"/>
        </w:rPr>
        <w:t>.</w:t>
      </w:r>
      <w:r w:rsidR="00DB4100" w:rsidRPr="003676AB">
        <w:rPr>
          <w:rFonts w:eastAsia="Calibri"/>
          <w:sz w:val="22"/>
          <w:szCs w:val="22"/>
        </w:rPr>
        <w:t xml:space="preserve"> 114 TFEU could not </w:t>
      </w:r>
      <w:r w:rsidR="00AE0C4D" w:rsidRPr="003676AB">
        <w:rPr>
          <w:rFonts w:eastAsia="Calibri"/>
          <w:sz w:val="22"/>
          <w:szCs w:val="22"/>
        </w:rPr>
        <w:t xml:space="preserve">therefore </w:t>
      </w:r>
      <w:r w:rsidR="00DB4100" w:rsidRPr="003676AB">
        <w:rPr>
          <w:rFonts w:eastAsia="Calibri"/>
          <w:sz w:val="22"/>
          <w:szCs w:val="22"/>
        </w:rPr>
        <w:t>constitute the legal basis for the directive</w:t>
      </w:r>
      <w:r w:rsidRPr="003676AB">
        <w:rPr>
          <w:rFonts w:eastAsia="Calibri"/>
          <w:sz w:val="22"/>
          <w:szCs w:val="22"/>
        </w:rPr>
        <w:t>.</w:t>
      </w:r>
      <w:r w:rsidRPr="003676AB">
        <w:rPr>
          <w:rFonts w:eastAsia="Calibri"/>
          <w:sz w:val="22"/>
          <w:szCs w:val="22"/>
          <w:vertAlign w:val="superscript"/>
        </w:rPr>
        <w:footnoteReference w:id="144"/>
      </w:r>
    </w:p>
    <w:p w14:paraId="0CC054A8" w14:textId="22E650C1" w:rsidR="00D213B6" w:rsidRPr="003676AB" w:rsidRDefault="0003320D" w:rsidP="0003320D">
      <w:pPr>
        <w:rPr>
          <w:rFonts w:eastAsia="Calibri"/>
          <w:sz w:val="22"/>
          <w:szCs w:val="22"/>
        </w:rPr>
      </w:pPr>
      <w:r w:rsidRPr="003676AB">
        <w:rPr>
          <w:rFonts w:eastAsia="Calibri"/>
          <w:sz w:val="22"/>
          <w:szCs w:val="22"/>
        </w:rPr>
        <w:t>This</w:t>
      </w:r>
      <w:r w:rsidR="00DB4100" w:rsidRPr="003676AB">
        <w:rPr>
          <w:rFonts w:eastAsia="Calibri"/>
          <w:sz w:val="22"/>
          <w:szCs w:val="22"/>
        </w:rPr>
        <w:t xml:space="preserve"> judgment and subsequent case law from the Court </w:t>
      </w:r>
      <w:r w:rsidR="00AE0C4D" w:rsidRPr="003676AB">
        <w:rPr>
          <w:rFonts w:eastAsia="Calibri"/>
          <w:sz w:val="22"/>
          <w:szCs w:val="22"/>
        </w:rPr>
        <w:t xml:space="preserve">demonstrates </w:t>
      </w:r>
      <w:r w:rsidR="00923D93" w:rsidRPr="003676AB">
        <w:rPr>
          <w:rFonts w:eastAsia="Calibri"/>
          <w:sz w:val="22"/>
          <w:szCs w:val="22"/>
        </w:rPr>
        <w:t xml:space="preserve">the </w:t>
      </w:r>
      <w:r w:rsidR="00833870" w:rsidRPr="003676AB">
        <w:rPr>
          <w:rFonts w:eastAsia="Calibri"/>
          <w:sz w:val="22"/>
          <w:szCs w:val="22"/>
        </w:rPr>
        <w:t xml:space="preserve">limited scope </w:t>
      </w:r>
      <w:r w:rsidR="00DB4100" w:rsidRPr="003676AB">
        <w:rPr>
          <w:rFonts w:eastAsia="Calibri"/>
          <w:sz w:val="22"/>
          <w:szCs w:val="22"/>
        </w:rPr>
        <w:t>of Art</w:t>
      </w:r>
      <w:r w:rsidR="00BE47B1" w:rsidRPr="003676AB">
        <w:rPr>
          <w:rFonts w:eastAsia="Calibri"/>
          <w:sz w:val="22"/>
          <w:szCs w:val="22"/>
        </w:rPr>
        <w:t>.</w:t>
      </w:r>
      <w:r w:rsidR="00DB4100" w:rsidRPr="003676AB">
        <w:rPr>
          <w:rFonts w:eastAsia="Calibri"/>
          <w:sz w:val="22"/>
          <w:szCs w:val="22"/>
        </w:rPr>
        <w:t xml:space="preserve"> 114 TFEU in legal basis disputes</w:t>
      </w:r>
      <w:r w:rsidRPr="003676AB">
        <w:rPr>
          <w:rFonts w:eastAsia="Calibri"/>
          <w:sz w:val="22"/>
          <w:szCs w:val="22"/>
        </w:rPr>
        <w:t>.</w:t>
      </w:r>
      <w:r w:rsidRPr="003676AB">
        <w:rPr>
          <w:color w:val="000000"/>
          <w:sz w:val="22"/>
          <w:szCs w:val="22"/>
        </w:rPr>
        <w:t xml:space="preserve"> </w:t>
      </w:r>
      <w:r w:rsidR="00923D93" w:rsidRPr="003676AB">
        <w:rPr>
          <w:rFonts w:eastAsia="Calibri"/>
          <w:sz w:val="22"/>
          <w:szCs w:val="22"/>
        </w:rPr>
        <w:t>T</w:t>
      </w:r>
      <w:r w:rsidR="00D213B6" w:rsidRPr="003676AB">
        <w:rPr>
          <w:rFonts w:eastAsia="Calibri"/>
          <w:sz w:val="22"/>
          <w:szCs w:val="22"/>
        </w:rPr>
        <w:t>he</w:t>
      </w:r>
      <w:r w:rsidR="00DB4100" w:rsidRPr="003676AB">
        <w:rPr>
          <w:rFonts w:eastAsia="Calibri"/>
          <w:sz w:val="22"/>
          <w:szCs w:val="22"/>
        </w:rPr>
        <w:t xml:space="preserve"> Court will not accept </w:t>
      </w:r>
      <w:r w:rsidR="004C17B1" w:rsidRPr="003676AB">
        <w:rPr>
          <w:rFonts w:eastAsia="Calibri"/>
          <w:sz w:val="22"/>
          <w:szCs w:val="22"/>
        </w:rPr>
        <w:t>a</w:t>
      </w:r>
      <w:r w:rsidR="00DB4100" w:rsidRPr="003676AB">
        <w:rPr>
          <w:rFonts w:eastAsia="Calibri"/>
          <w:sz w:val="22"/>
          <w:szCs w:val="22"/>
        </w:rPr>
        <w:t>rt</w:t>
      </w:r>
      <w:r w:rsidR="00BE47B1" w:rsidRPr="003676AB">
        <w:rPr>
          <w:rFonts w:eastAsia="Calibri"/>
          <w:sz w:val="22"/>
          <w:szCs w:val="22"/>
        </w:rPr>
        <w:t>.</w:t>
      </w:r>
      <w:r w:rsidR="00DB4100" w:rsidRPr="003676AB">
        <w:rPr>
          <w:rFonts w:eastAsia="Calibri"/>
          <w:sz w:val="22"/>
          <w:szCs w:val="22"/>
        </w:rPr>
        <w:t xml:space="preserve"> 114 TFEU </w:t>
      </w:r>
      <w:r w:rsidR="00AE0C4D" w:rsidRPr="003676AB">
        <w:rPr>
          <w:rFonts w:eastAsia="Calibri"/>
          <w:sz w:val="22"/>
          <w:szCs w:val="22"/>
        </w:rPr>
        <w:t xml:space="preserve">as the legal basis for </w:t>
      </w:r>
      <w:r w:rsidR="00923D93" w:rsidRPr="003676AB">
        <w:rPr>
          <w:rFonts w:eastAsia="Calibri"/>
          <w:sz w:val="22"/>
          <w:szCs w:val="22"/>
        </w:rPr>
        <w:t>a</w:t>
      </w:r>
      <w:r w:rsidR="00DB4100" w:rsidRPr="003676AB">
        <w:rPr>
          <w:rFonts w:eastAsia="Calibri"/>
          <w:sz w:val="22"/>
          <w:szCs w:val="22"/>
        </w:rPr>
        <w:t xml:space="preserve"> proposed</w:t>
      </w:r>
      <w:r w:rsidR="00923D93" w:rsidRPr="003676AB">
        <w:rPr>
          <w:rFonts w:eastAsia="Calibri"/>
          <w:sz w:val="22"/>
          <w:szCs w:val="22"/>
        </w:rPr>
        <w:t xml:space="preserve"> legislative</w:t>
      </w:r>
      <w:r w:rsidR="00DB4100" w:rsidRPr="003676AB">
        <w:rPr>
          <w:rFonts w:eastAsia="Calibri"/>
          <w:sz w:val="22"/>
          <w:szCs w:val="22"/>
        </w:rPr>
        <w:t xml:space="preserve"> measure if another</w:t>
      </w:r>
      <w:r w:rsidR="00AE0C4D" w:rsidRPr="003676AB">
        <w:rPr>
          <w:rFonts w:eastAsia="Calibri"/>
          <w:sz w:val="22"/>
          <w:szCs w:val="22"/>
        </w:rPr>
        <w:t xml:space="preserve">, </w:t>
      </w:r>
      <w:r w:rsidR="00833870" w:rsidRPr="003676AB">
        <w:rPr>
          <w:rFonts w:eastAsia="Calibri"/>
          <w:sz w:val="22"/>
          <w:szCs w:val="22"/>
        </w:rPr>
        <w:t xml:space="preserve">more </w:t>
      </w:r>
      <w:r w:rsidR="00DB4100" w:rsidRPr="003676AB">
        <w:rPr>
          <w:rFonts w:eastAsia="Calibri"/>
          <w:sz w:val="22"/>
          <w:szCs w:val="22"/>
        </w:rPr>
        <w:t>specific legal basis is available.</w:t>
      </w:r>
      <w:r w:rsidR="00D213B6" w:rsidRPr="003676AB">
        <w:rPr>
          <w:rFonts w:eastAsia="Calibri"/>
          <w:sz w:val="22"/>
          <w:szCs w:val="22"/>
        </w:rPr>
        <w:t xml:space="preserve"> </w:t>
      </w:r>
      <w:r w:rsidR="00924385" w:rsidRPr="003676AB">
        <w:rPr>
          <w:rFonts w:eastAsia="Calibri"/>
          <w:sz w:val="22"/>
          <w:szCs w:val="22"/>
        </w:rPr>
        <w:t xml:space="preserve">It </w:t>
      </w:r>
      <w:r w:rsidR="00E453E3" w:rsidRPr="003676AB">
        <w:rPr>
          <w:rFonts w:eastAsia="Calibri"/>
          <w:sz w:val="22"/>
          <w:szCs w:val="22"/>
        </w:rPr>
        <w:t>will</w:t>
      </w:r>
      <w:r w:rsidR="00D213B6" w:rsidRPr="003676AB">
        <w:rPr>
          <w:rFonts w:eastAsia="Calibri"/>
          <w:sz w:val="22"/>
          <w:szCs w:val="22"/>
        </w:rPr>
        <w:t xml:space="preserve"> still</w:t>
      </w:r>
      <w:r w:rsidR="00DB4100" w:rsidRPr="003676AB">
        <w:rPr>
          <w:rFonts w:eastAsia="Calibri"/>
          <w:sz w:val="22"/>
          <w:szCs w:val="22"/>
        </w:rPr>
        <w:t xml:space="preserve"> apply the</w:t>
      </w:r>
      <w:r w:rsidR="00E453E3" w:rsidRPr="003676AB">
        <w:rPr>
          <w:rFonts w:eastAsia="Calibri"/>
          <w:sz w:val="22"/>
          <w:szCs w:val="22"/>
        </w:rPr>
        <w:t xml:space="preserve"> ‘predominant purpose’ test</w:t>
      </w:r>
      <w:r w:rsidR="00AE0C4D" w:rsidRPr="003676AB">
        <w:rPr>
          <w:rFonts w:eastAsia="Calibri"/>
          <w:sz w:val="22"/>
          <w:szCs w:val="22"/>
        </w:rPr>
        <w:t>,</w:t>
      </w:r>
      <w:r w:rsidR="00E453E3" w:rsidRPr="003676AB">
        <w:rPr>
          <w:rFonts w:eastAsia="Calibri"/>
          <w:sz w:val="22"/>
          <w:szCs w:val="22"/>
        </w:rPr>
        <w:t xml:space="preserve"> which may favour </w:t>
      </w:r>
      <w:r w:rsidR="004C17B1" w:rsidRPr="003676AB">
        <w:rPr>
          <w:rFonts w:eastAsia="Calibri"/>
          <w:sz w:val="22"/>
          <w:szCs w:val="22"/>
        </w:rPr>
        <w:t>a</w:t>
      </w:r>
      <w:r w:rsidR="00E453E3" w:rsidRPr="003676AB">
        <w:rPr>
          <w:rFonts w:eastAsia="Calibri"/>
          <w:sz w:val="22"/>
          <w:szCs w:val="22"/>
        </w:rPr>
        <w:t>rt</w:t>
      </w:r>
      <w:r w:rsidR="00BE47B1" w:rsidRPr="003676AB">
        <w:rPr>
          <w:rFonts w:eastAsia="Calibri"/>
          <w:sz w:val="22"/>
          <w:szCs w:val="22"/>
        </w:rPr>
        <w:t>.</w:t>
      </w:r>
      <w:r w:rsidR="00E453E3" w:rsidRPr="003676AB">
        <w:rPr>
          <w:rFonts w:eastAsia="Calibri"/>
          <w:sz w:val="22"/>
          <w:szCs w:val="22"/>
        </w:rPr>
        <w:t xml:space="preserve"> 114 TFEU for genuine internal market measures</w:t>
      </w:r>
      <w:r w:rsidR="00924385" w:rsidRPr="003676AB">
        <w:rPr>
          <w:rFonts w:eastAsia="Calibri"/>
          <w:sz w:val="22"/>
          <w:szCs w:val="22"/>
        </w:rPr>
        <w:t>. The Court</w:t>
      </w:r>
      <w:r w:rsidR="00D137FA" w:rsidRPr="003676AB">
        <w:rPr>
          <w:rFonts w:eastAsia="Calibri"/>
          <w:sz w:val="22"/>
          <w:szCs w:val="22"/>
        </w:rPr>
        <w:t xml:space="preserve"> has</w:t>
      </w:r>
      <w:r w:rsidR="00D213B6" w:rsidRPr="003676AB">
        <w:rPr>
          <w:rFonts w:eastAsia="Calibri"/>
          <w:sz w:val="22"/>
          <w:szCs w:val="22"/>
        </w:rPr>
        <w:t>, however,</w:t>
      </w:r>
      <w:r w:rsidR="00E453E3" w:rsidRPr="003676AB">
        <w:rPr>
          <w:rFonts w:eastAsia="Calibri"/>
          <w:sz w:val="22"/>
          <w:szCs w:val="22"/>
        </w:rPr>
        <w:t xml:space="preserve"> taken a step back from</w:t>
      </w:r>
      <w:r w:rsidR="00923D93" w:rsidRPr="003676AB">
        <w:rPr>
          <w:rFonts w:eastAsia="Calibri"/>
          <w:sz w:val="22"/>
          <w:szCs w:val="22"/>
        </w:rPr>
        <w:t xml:space="preserve"> </w:t>
      </w:r>
      <w:r w:rsidR="00923D93" w:rsidRPr="003676AB">
        <w:rPr>
          <w:rFonts w:eastAsia="Calibri"/>
          <w:i/>
          <w:sz w:val="22"/>
          <w:szCs w:val="22"/>
        </w:rPr>
        <w:t>Titanium Dioxide</w:t>
      </w:r>
      <w:r w:rsidR="00923D93" w:rsidRPr="003676AB">
        <w:rPr>
          <w:rFonts w:eastAsia="Calibri"/>
          <w:sz w:val="22"/>
          <w:szCs w:val="22"/>
        </w:rPr>
        <w:t xml:space="preserve"> and</w:t>
      </w:r>
      <w:r w:rsidR="00E453E3" w:rsidRPr="003676AB">
        <w:rPr>
          <w:rFonts w:eastAsia="Calibri"/>
          <w:sz w:val="22"/>
          <w:szCs w:val="22"/>
        </w:rPr>
        <w:t xml:space="preserve"> </w:t>
      </w:r>
      <w:r w:rsidR="00923D93" w:rsidRPr="003676AB">
        <w:rPr>
          <w:rFonts w:eastAsia="Calibri"/>
          <w:sz w:val="22"/>
          <w:szCs w:val="22"/>
        </w:rPr>
        <w:t xml:space="preserve">its broad </w:t>
      </w:r>
      <w:r w:rsidR="00833870" w:rsidRPr="003676AB">
        <w:rPr>
          <w:rFonts w:eastAsia="Calibri"/>
          <w:sz w:val="22"/>
          <w:szCs w:val="22"/>
        </w:rPr>
        <w:t xml:space="preserve">interpretation of this </w:t>
      </w:r>
      <w:r w:rsidR="00923D93" w:rsidRPr="003676AB">
        <w:rPr>
          <w:rFonts w:eastAsia="Calibri"/>
          <w:sz w:val="22"/>
          <w:szCs w:val="22"/>
        </w:rPr>
        <w:t>provision</w:t>
      </w:r>
      <w:r w:rsidR="00E453E3" w:rsidRPr="003676AB">
        <w:rPr>
          <w:rFonts w:eastAsia="Calibri"/>
          <w:sz w:val="22"/>
          <w:szCs w:val="22"/>
        </w:rPr>
        <w:t xml:space="preserve">. It is not inclined to give preference to </w:t>
      </w:r>
      <w:r w:rsidR="004C17B1" w:rsidRPr="003676AB">
        <w:rPr>
          <w:rFonts w:eastAsia="Calibri"/>
          <w:sz w:val="22"/>
          <w:szCs w:val="22"/>
        </w:rPr>
        <w:t>a</w:t>
      </w:r>
      <w:r w:rsidR="00E453E3" w:rsidRPr="003676AB">
        <w:rPr>
          <w:rFonts w:eastAsia="Calibri"/>
          <w:sz w:val="22"/>
          <w:szCs w:val="22"/>
        </w:rPr>
        <w:t>rt</w:t>
      </w:r>
      <w:r w:rsidR="00BE47B1" w:rsidRPr="003676AB">
        <w:rPr>
          <w:rFonts w:eastAsia="Calibri"/>
          <w:sz w:val="22"/>
          <w:szCs w:val="22"/>
        </w:rPr>
        <w:t>.</w:t>
      </w:r>
      <w:r w:rsidR="00E453E3" w:rsidRPr="003676AB">
        <w:rPr>
          <w:rFonts w:eastAsia="Calibri"/>
          <w:sz w:val="22"/>
          <w:szCs w:val="22"/>
        </w:rPr>
        <w:t xml:space="preserve"> 114 TFEU if it</w:t>
      </w:r>
      <w:r w:rsidR="00DB4100" w:rsidRPr="003676AB">
        <w:rPr>
          <w:rFonts w:eastAsia="Calibri"/>
          <w:sz w:val="22"/>
          <w:szCs w:val="22"/>
        </w:rPr>
        <w:t xml:space="preserve"> finds that the</w:t>
      </w:r>
      <w:r w:rsidR="00923D93" w:rsidRPr="003676AB">
        <w:rPr>
          <w:rFonts w:eastAsia="Calibri"/>
          <w:sz w:val="22"/>
          <w:szCs w:val="22"/>
        </w:rPr>
        <w:t xml:space="preserve"> EU</w:t>
      </w:r>
      <w:r w:rsidR="00DB4100" w:rsidRPr="003676AB">
        <w:rPr>
          <w:rFonts w:eastAsia="Calibri"/>
          <w:sz w:val="22"/>
          <w:szCs w:val="22"/>
        </w:rPr>
        <w:t xml:space="preserve"> </w:t>
      </w:r>
      <w:r w:rsidRPr="003676AB">
        <w:rPr>
          <w:rFonts w:eastAsia="Calibri"/>
          <w:sz w:val="22"/>
          <w:szCs w:val="22"/>
        </w:rPr>
        <w:t>measure is adopted</w:t>
      </w:r>
      <w:r w:rsidR="00E453E3" w:rsidRPr="003676AB">
        <w:rPr>
          <w:rFonts w:eastAsia="Calibri"/>
          <w:sz w:val="22"/>
          <w:szCs w:val="22"/>
        </w:rPr>
        <w:t xml:space="preserve"> </w:t>
      </w:r>
      <w:r w:rsidRPr="003676AB">
        <w:rPr>
          <w:rFonts w:eastAsia="Calibri"/>
          <w:sz w:val="22"/>
          <w:szCs w:val="22"/>
        </w:rPr>
        <w:t>with the</w:t>
      </w:r>
      <w:r w:rsidR="00924385" w:rsidRPr="003676AB">
        <w:rPr>
          <w:rFonts w:eastAsia="Calibri"/>
          <w:sz w:val="22"/>
          <w:szCs w:val="22"/>
        </w:rPr>
        <w:t xml:space="preserve"> primary</w:t>
      </w:r>
      <w:r w:rsidRPr="003676AB">
        <w:rPr>
          <w:rFonts w:eastAsia="Calibri"/>
          <w:sz w:val="22"/>
          <w:szCs w:val="22"/>
        </w:rPr>
        <w:t xml:space="preserve"> </w:t>
      </w:r>
      <w:r w:rsidRPr="003676AB">
        <w:rPr>
          <w:rFonts w:eastAsia="Calibri"/>
          <w:sz w:val="22"/>
          <w:szCs w:val="22"/>
        </w:rPr>
        <w:lastRenderedPageBreak/>
        <w:t>aim of protecting another Union objective such as the environment, consumer policy or the Union’s common commercial policy</w:t>
      </w:r>
      <w:r w:rsidRPr="003676AB">
        <w:rPr>
          <w:sz w:val="22"/>
          <w:szCs w:val="22"/>
        </w:rPr>
        <w:t>.</w:t>
      </w:r>
      <w:r w:rsidR="00924385" w:rsidRPr="003676AB">
        <w:rPr>
          <w:rFonts w:eastAsia="Calibri"/>
          <w:sz w:val="22"/>
          <w:szCs w:val="22"/>
        </w:rPr>
        <w:t xml:space="preserve"> </w:t>
      </w:r>
      <w:r w:rsidRPr="003676AB">
        <w:rPr>
          <w:rFonts w:eastAsia="Calibri"/>
          <w:sz w:val="22"/>
          <w:szCs w:val="22"/>
        </w:rPr>
        <w:t>Art</w:t>
      </w:r>
      <w:r w:rsidR="008B0CBF" w:rsidRPr="003676AB">
        <w:rPr>
          <w:rFonts w:eastAsia="Calibri"/>
          <w:sz w:val="22"/>
          <w:szCs w:val="22"/>
        </w:rPr>
        <w:t>.</w:t>
      </w:r>
      <w:r w:rsidRPr="003676AB">
        <w:rPr>
          <w:rFonts w:eastAsia="Calibri"/>
          <w:sz w:val="22"/>
          <w:szCs w:val="22"/>
        </w:rPr>
        <w:t xml:space="preserve"> 114 TFEU</w:t>
      </w:r>
      <w:r w:rsidR="00E453E3" w:rsidRPr="003676AB">
        <w:rPr>
          <w:rFonts w:eastAsia="Calibri"/>
          <w:sz w:val="22"/>
          <w:szCs w:val="22"/>
        </w:rPr>
        <w:t xml:space="preserve"> can only</w:t>
      </w:r>
      <w:r w:rsidRPr="003676AB">
        <w:rPr>
          <w:rFonts w:eastAsia="Calibri"/>
          <w:sz w:val="22"/>
          <w:szCs w:val="22"/>
        </w:rPr>
        <w:t xml:space="preserve"> have priority over another legal basis</w:t>
      </w:r>
      <w:r w:rsidR="00E453E3" w:rsidRPr="003676AB">
        <w:rPr>
          <w:rFonts w:eastAsia="Calibri"/>
          <w:sz w:val="22"/>
          <w:szCs w:val="22"/>
        </w:rPr>
        <w:t xml:space="preserve"> if</w:t>
      </w:r>
      <w:r w:rsidRPr="003676AB">
        <w:rPr>
          <w:rFonts w:eastAsia="Calibri"/>
          <w:sz w:val="22"/>
          <w:szCs w:val="22"/>
        </w:rPr>
        <w:t xml:space="preserve"> the proposed measure</w:t>
      </w:r>
      <w:r w:rsidR="00E453E3" w:rsidRPr="003676AB">
        <w:rPr>
          <w:rFonts w:eastAsia="Calibri"/>
          <w:sz w:val="22"/>
          <w:szCs w:val="22"/>
        </w:rPr>
        <w:t xml:space="preserve"> has a demonstrable connection to the internal market</w:t>
      </w:r>
      <w:r w:rsidR="00833870" w:rsidRPr="003676AB">
        <w:rPr>
          <w:rFonts w:eastAsia="Calibri"/>
          <w:sz w:val="22"/>
          <w:szCs w:val="22"/>
        </w:rPr>
        <w:t>;</w:t>
      </w:r>
      <w:r w:rsidR="00E453E3" w:rsidRPr="003676AB">
        <w:rPr>
          <w:rFonts w:eastAsia="Calibri"/>
          <w:sz w:val="22"/>
          <w:szCs w:val="22"/>
        </w:rPr>
        <w:t xml:space="preserve"> the link cannot be</w:t>
      </w:r>
      <w:r w:rsidR="00C215D7" w:rsidRPr="003676AB">
        <w:rPr>
          <w:rFonts w:eastAsia="Calibri"/>
          <w:sz w:val="22"/>
          <w:szCs w:val="22"/>
        </w:rPr>
        <w:t xml:space="preserve"> incidental</w:t>
      </w:r>
      <w:r w:rsidRPr="003676AB">
        <w:rPr>
          <w:rFonts w:eastAsia="Calibri"/>
          <w:sz w:val="22"/>
          <w:szCs w:val="22"/>
        </w:rPr>
        <w:t>.</w:t>
      </w:r>
      <w:r w:rsidRPr="003676AB">
        <w:rPr>
          <w:rFonts w:eastAsia="Calibri"/>
          <w:sz w:val="22"/>
          <w:szCs w:val="22"/>
          <w:vertAlign w:val="superscript"/>
        </w:rPr>
        <w:footnoteReference w:id="145"/>
      </w:r>
      <w:r w:rsidRPr="003676AB">
        <w:rPr>
          <w:rFonts w:eastAsia="Calibri"/>
          <w:sz w:val="22"/>
          <w:szCs w:val="22"/>
        </w:rPr>
        <w:t xml:space="preserve"> </w:t>
      </w:r>
    </w:p>
    <w:p w14:paraId="28E280CC" w14:textId="0E3C5F4D" w:rsidR="0003320D" w:rsidRPr="003676AB" w:rsidRDefault="004B6D57" w:rsidP="0003320D">
      <w:pPr>
        <w:rPr>
          <w:rFonts w:eastAsia="Calibri"/>
          <w:sz w:val="22"/>
          <w:szCs w:val="22"/>
        </w:rPr>
      </w:pPr>
      <w:r w:rsidRPr="003676AB">
        <w:rPr>
          <w:rFonts w:eastAsia="Calibri"/>
          <w:sz w:val="22"/>
          <w:szCs w:val="22"/>
        </w:rPr>
        <w:t>T</w:t>
      </w:r>
      <w:r w:rsidR="00924385" w:rsidRPr="003676AB">
        <w:rPr>
          <w:rFonts w:eastAsia="Calibri"/>
          <w:sz w:val="22"/>
          <w:szCs w:val="22"/>
        </w:rPr>
        <w:t xml:space="preserve">his </w:t>
      </w:r>
      <w:r w:rsidR="008B0CBF" w:rsidRPr="003676AB">
        <w:rPr>
          <w:rFonts w:eastAsia="Calibri"/>
          <w:sz w:val="22"/>
          <w:szCs w:val="22"/>
        </w:rPr>
        <w:t>sub</w:t>
      </w:r>
      <w:r w:rsidR="00924385" w:rsidRPr="003676AB">
        <w:rPr>
          <w:rFonts w:eastAsia="Calibri"/>
          <w:sz w:val="22"/>
          <w:szCs w:val="22"/>
        </w:rPr>
        <w:t>section</w:t>
      </w:r>
      <w:r w:rsidRPr="003676AB">
        <w:rPr>
          <w:rFonts w:eastAsia="Calibri"/>
          <w:sz w:val="22"/>
          <w:szCs w:val="22"/>
        </w:rPr>
        <w:t xml:space="preserve"> </w:t>
      </w:r>
      <w:r w:rsidR="00833870" w:rsidRPr="003676AB">
        <w:rPr>
          <w:rFonts w:eastAsia="Calibri"/>
          <w:sz w:val="22"/>
          <w:szCs w:val="22"/>
        </w:rPr>
        <w:t xml:space="preserve">has argued </w:t>
      </w:r>
      <w:r w:rsidR="00924385" w:rsidRPr="003676AB">
        <w:rPr>
          <w:rFonts w:eastAsia="Calibri"/>
          <w:sz w:val="22"/>
          <w:szCs w:val="22"/>
        </w:rPr>
        <w:t xml:space="preserve">that </w:t>
      </w:r>
      <w:r w:rsidR="008B0CBF" w:rsidRPr="003676AB">
        <w:rPr>
          <w:rFonts w:eastAsia="Calibri"/>
          <w:sz w:val="22"/>
          <w:szCs w:val="22"/>
        </w:rPr>
        <w:t>art.</w:t>
      </w:r>
      <w:r w:rsidR="00924385" w:rsidRPr="003676AB">
        <w:rPr>
          <w:rFonts w:eastAsia="Calibri"/>
          <w:sz w:val="22"/>
          <w:szCs w:val="22"/>
        </w:rPr>
        <w:t xml:space="preserve"> 114 TFEU is only to be used as a legal basis when other specific legal bases, such as </w:t>
      </w:r>
      <w:r w:rsidR="008B0CBF" w:rsidRPr="003676AB">
        <w:rPr>
          <w:rFonts w:eastAsia="Calibri"/>
          <w:sz w:val="22"/>
          <w:szCs w:val="22"/>
        </w:rPr>
        <w:t>art.</w:t>
      </w:r>
      <w:r w:rsidR="00924385" w:rsidRPr="003676AB">
        <w:rPr>
          <w:rFonts w:eastAsia="Calibri"/>
          <w:sz w:val="22"/>
          <w:szCs w:val="22"/>
        </w:rPr>
        <w:t xml:space="preserve"> 83(2) TFEU, cannot be employed</w:t>
      </w:r>
      <w:r w:rsidRPr="003676AB">
        <w:rPr>
          <w:rFonts w:eastAsia="Calibri"/>
          <w:sz w:val="22"/>
          <w:szCs w:val="22"/>
        </w:rPr>
        <w:t xml:space="preserve"> for a proposed EU measure</w:t>
      </w:r>
      <w:r w:rsidR="00924385" w:rsidRPr="003676AB">
        <w:rPr>
          <w:rFonts w:eastAsia="Calibri"/>
          <w:sz w:val="22"/>
          <w:szCs w:val="22"/>
        </w:rPr>
        <w:t xml:space="preserve">. </w:t>
      </w:r>
      <w:r w:rsidR="00AD732D" w:rsidRPr="003676AB">
        <w:rPr>
          <w:rFonts w:eastAsia="Calibri"/>
          <w:sz w:val="22"/>
          <w:szCs w:val="22"/>
        </w:rPr>
        <w:t xml:space="preserve">In addition to the principled arguments discussed above relating to the telos of </w:t>
      </w:r>
      <w:r w:rsidR="008B0CBF" w:rsidRPr="003676AB">
        <w:rPr>
          <w:rFonts w:eastAsia="Calibri"/>
          <w:sz w:val="22"/>
          <w:szCs w:val="22"/>
        </w:rPr>
        <w:t>art.</w:t>
      </w:r>
      <w:r w:rsidR="00AD732D" w:rsidRPr="003676AB">
        <w:rPr>
          <w:rFonts w:eastAsia="Calibri"/>
          <w:sz w:val="22"/>
          <w:szCs w:val="22"/>
        </w:rPr>
        <w:t xml:space="preserve"> 83(2) TFEU and the structure of the Treaties</w:t>
      </w:r>
      <w:r w:rsidR="00AD732D" w:rsidRPr="003676AB">
        <w:rPr>
          <w:rFonts w:eastAsia="Calibri"/>
          <w:sz w:val="22"/>
          <w:szCs w:val="22"/>
          <w:vertAlign w:val="superscript"/>
        </w:rPr>
        <w:footnoteReference w:id="146"/>
      </w:r>
      <w:r w:rsidR="00D617F0" w:rsidRPr="003676AB">
        <w:rPr>
          <w:rFonts w:eastAsia="Calibri"/>
          <w:sz w:val="22"/>
          <w:szCs w:val="22"/>
        </w:rPr>
        <w:t>,</w:t>
      </w:r>
      <w:r w:rsidR="00AD732D" w:rsidRPr="003676AB">
        <w:rPr>
          <w:rFonts w:eastAsia="Calibri"/>
          <w:sz w:val="22"/>
          <w:szCs w:val="22"/>
        </w:rPr>
        <w:t xml:space="preserve"> there is compelling textual support for preferring this provision over </w:t>
      </w:r>
      <w:r w:rsidR="008B0CBF" w:rsidRPr="003676AB">
        <w:rPr>
          <w:rFonts w:eastAsia="Calibri"/>
          <w:sz w:val="22"/>
          <w:szCs w:val="22"/>
        </w:rPr>
        <w:t>art.</w:t>
      </w:r>
      <w:r w:rsidR="00AD732D" w:rsidRPr="003676AB">
        <w:rPr>
          <w:rFonts w:eastAsia="Calibri"/>
          <w:sz w:val="22"/>
          <w:szCs w:val="22"/>
        </w:rPr>
        <w:t xml:space="preserve"> 114 TFEU fo</w:t>
      </w:r>
      <w:r w:rsidR="00924385" w:rsidRPr="003676AB">
        <w:rPr>
          <w:rFonts w:eastAsia="Calibri"/>
          <w:sz w:val="22"/>
          <w:szCs w:val="22"/>
        </w:rPr>
        <w:t xml:space="preserve">r EU </w:t>
      </w:r>
      <w:r w:rsidRPr="003676AB">
        <w:rPr>
          <w:rFonts w:eastAsia="Calibri"/>
          <w:sz w:val="22"/>
          <w:szCs w:val="22"/>
        </w:rPr>
        <w:t>directives containing clear ‘criminal law’ obligations</w:t>
      </w:r>
      <w:r w:rsidR="0003320D" w:rsidRPr="003676AB">
        <w:rPr>
          <w:rFonts w:eastAsia="Calibri"/>
          <w:sz w:val="22"/>
          <w:szCs w:val="22"/>
        </w:rPr>
        <w:t>.</w:t>
      </w:r>
      <w:r w:rsidR="00941B87" w:rsidRPr="003676AB">
        <w:rPr>
          <w:rStyle w:val="Fotnotsreferens"/>
          <w:rFonts w:eastAsia="Calibri"/>
          <w:sz w:val="22"/>
          <w:szCs w:val="22"/>
        </w:rPr>
        <w:footnoteReference w:id="147"/>
      </w:r>
    </w:p>
    <w:p w14:paraId="1473CA9C" w14:textId="0B3839B1" w:rsidR="008D44CB" w:rsidRPr="003676AB" w:rsidRDefault="004B6D57" w:rsidP="00CF4F6C">
      <w:pPr>
        <w:ind w:left="1300" w:hanging="1300"/>
        <w:rPr>
          <w:rFonts w:eastAsia="Calibri"/>
          <w:i/>
          <w:sz w:val="22"/>
          <w:szCs w:val="22"/>
        </w:rPr>
      </w:pPr>
      <w:bookmarkStart w:id="9" w:name="_Toc470022112"/>
      <w:r w:rsidRPr="003676AB">
        <w:rPr>
          <w:rFonts w:eastAsia="Calibri"/>
          <w:i/>
          <w:sz w:val="22"/>
          <w:szCs w:val="22"/>
        </w:rPr>
        <w:t>T</w:t>
      </w:r>
      <w:r w:rsidR="0003320D" w:rsidRPr="003676AB">
        <w:rPr>
          <w:rFonts w:eastAsia="Calibri"/>
          <w:i/>
          <w:sz w:val="22"/>
          <w:szCs w:val="22"/>
        </w:rPr>
        <w:t>he</w:t>
      </w:r>
      <w:r w:rsidR="007C66BE" w:rsidRPr="003676AB">
        <w:rPr>
          <w:rFonts w:eastAsia="Calibri"/>
          <w:i/>
          <w:sz w:val="22"/>
          <w:szCs w:val="22"/>
        </w:rPr>
        <w:t xml:space="preserve"> Fight Against Fraud</w:t>
      </w:r>
      <w:r w:rsidR="00941B87" w:rsidRPr="003676AB">
        <w:rPr>
          <w:rFonts w:eastAsia="Calibri"/>
          <w:i/>
          <w:sz w:val="22"/>
          <w:szCs w:val="22"/>
        </w:rPr>
        <w:t>-</w:t>
      </w:r>
      <w:r w:rsidR="00CF4F6C" w:rsidRPr="003676AB">
        <w:rPr>
          <w:rFonts w:eastAsia="Calibri"/>
          <w:i/>
          <w:sz w:val="22"/>
          <w:szCs w:val="22"/>
        </w:rPr>
        <w:t xml:space="preserve"> </w:t>
      </w:r>
      <w:r w:rsidR="008B0CBF" w:rsidRPr="003676AB">
        <w:rPr>
          <w:rFonts w:eastAsia="Calibri"/>
          <w:i/>
          <w:sz w:val="22"/>
          <w:szCs w:val="22"/>
        </w:rPr>
        <w:t>art.</w:t>
      </w:r>
      <w:r w:rsidR="00CF4F6C" w:rsidRPr="003676AB">
        <w:rPr>
          <w:rFonts w:eastAsia="Calibri"/>
          <w:i/>
          <w:sz w:val="22"/>
          <w:szCs w:val="22"/>
        </w:rPr>
        <w:t xml:space="preserve"> 83(2) TFEU vs </w:t>
      </w:r>
      <w:r w:rsidR="008B0CBF" w:rsidRPr="003676AB">
        <w:rPr>
          <w:rFonts w:eastAsia="Calibri"/>
          <w:i/>
          <w:sz w:val="22"/>
          <w:szCs w:val="22"/>
        </w:rPr>
        <w:t>art.</w:t>
      </w:r>
      <w:r w:rsidR="00CF4F6C" w:rsidRPr="003676AB">
        <w:rPr>
          <w:rFonts w:eastAsia="Calibri"/>
          <w:i/>
          <w:sz w:val="22"/>
          <w:szCs w:val="22"/>
        </w:rPr>
        <w:t xml:space="preserve"> 325 TFEU</w:t>
      </w:r>
      <w:r w:rsidR="00941B87" w:rsidRPr="003676AB">
        <w:rPr>
          <w:rFonts w:eastAsia="Calibri"/>
          <w:i/>
          <w:sz w:val="22"/>
          <w:szCs w:val="22"/>
        </w:rPr>
        <w:t xml:space="preserve"> </w:t>
      </w:r>
      <w:bookmarkEnd w:id="9"/>
    </w:p>
    <w:p w14:paraId="3B9F5C9F" w14:textId="32FCF9E4" w:rsidR="00F0051F" w:rsidRPr="003676AB" w:rsidRDefault="0003320D" w:rsidP="0003320D">
      <w:pPr>
        <w:rPr>
          <w:sz w:val="22"/>
          <w:szCs w:val="22"/>
        </w:rPr>
      </w:pPr>
      <w:r w:rsidRPr="003676AB">
        <w:rPr>
          <w:sz w:val="22"/>
          <w:szCs w:val="22"/>
        </w:rPr>
        <w:t xml:space="preserve">This </w:t>
      </w:r>
      <w:r w:rsidR="00513C24" w:rsidRPr="003676AB">
        <w:rPr>
          <w:sz w:val="22"/>
          <w:szCs w:val="22"/>
        </w:rPr>
        <w:t>sub</w:t>
      </w:r>
      <w:r w:rsidRPr="003676AB">
        <w:rPr>
          <w:sz w:val="22"/>
          <w:szCs w:val="22"/>
        </w:rPr>
        <w:t xml:space="preserve">section considers the legal basis of the recent PIF </w:t>
      </w:r>
      <w:r w:rsidR="00C60129" w:rsidRPr="003676AB">
        <w:rPr>
          <w:sz w:val="22"/>
          <w:szCs w:val="22"/>
        </w:rPr>
        <w:t>P</w:t>
      </w:r>
      <w:r w:rsidR="003547AF" w:rsidRPr="003676AB">
        <w:rPr>
          <w:sz w:val="22"/>
          <w:szCs w:val="22"/>
        </w:rPr>
        <w:t xml:space="preserve">roposal </w:t>
      </w:r>
      <w:r w:rsidRPr="003676AB">
        <w:rPr>
          <w:sz w:val="22"/>
          <w:szCs w:val="22"/>
        </w:rPr>
        <w:t>on criminal</w:t>
      </w:r>
      <w:r w:rsidR="00854D87" w:rsidRPr="003676AB">
        <w:rPr>
          <w:sz w:val="22"/>
          <w:szCs w:val="22"/>
        </w:rPr>
        <w:t>isa</w:t>
      </w:r>
      <w:r w:rsidRPr="003676AB">
        <w:rPr>
          <w:sz w:val="22"/>
          <w:szCs w:val="22"/>
        </w:rPr>
        <w:t xml:space="preserve">tion of fraud against the EU’s budget. </w:t>
      </w:r>
      <w:r w:rsidR="004B6D57" w:rsidRPr="003676AB">
        <w:rPr>
          <w:sz w:val="22"/>
          <w:szCs w:val="22"/>
        </w:rPr>
        <w:t xml:space="preserve">It </w:t>
      </w:r>
      <w:r w:rsidRPr="003676AB">
        <w:rPr>
          <w:sz w:val="22"/>
          <w:szCs w:val="22"/>
        </w:rPr>
        <w:t>constitutes a</w:t>
      </w:r>
      <w:r w:rsidR="00586139" w:rsidRPr="003676AB">
        <w:rPr>
          <w:sz w:val="22"/>
          <w:szCs w:val="22"/>
        </w:rPr>
        <w:t xml:space="preserve"> </w:t>
      </w:r>
      <w:r w:rsidR="00BB0E0C" w:rsidRPr="003676AB">
        <w:rPr>
          <w:sz w:val="22"/>
          <w:szCs w:val="22"/>
        </w:rPr>
        <w:t xml:space="preserve">particularly relevant </w:t>
      </w:r>
      <w:r w:rsidRPr="003676AB">
        <w:rPr>
          <w:sz w:val="22"/>
          <w:szCs w:val="22"/>
        </w:rPr>
        <w:t xml:space="preserve">case study as </w:t>
      </w:r>
      <w:r w:rsidR="00BB0E0C" w:rsidRPr="003676AB">
        <w:rPr>
          <w:sz w:val="22"/>
          <w:szCs w:val="22"/>
        </w:rPr>
        <w:t xml:space="preserve">it exposes the </w:t>
      </w:r>
      <w:r w:rsidR="0076422B" w:rsidRPr="003676AB">
        <w:rPr>
          <w:sz w:val="22"/>
          <w:szCs w:val="22"/>
        </w:rPr>
        <w:t xml:space="preserve">divergence in opinion </w:t>
      </w:r>
      <w:r w:rsidRPr="003676AB">
        <w:rPr>
          <w:sz w:val="22"/>
          <w:szCs w:val="22"/>
        </w:rPr>
        <w:t xml:space="preserve">on the </w:t>
      </w:r>
      <w:r w:rsidR="006F4CDF" w:rsidRPr="003676AB">
        <w:rPr>
          <w:sz w:val="22"/>
          <w:szCs w:val="22"/>
        </w:rPr>
        <w:t xml:space="preserve">changed </w:t>
      </w:r>
      <w:r w:rsidRPr="003676AB">
        <w:rPr>
          <w:sz w:val="22"/>
          <w:szCs w:val="22"/>
        </w:rPr>
        <w:t>constitutional landscape of EU criminal law after Lisbon</w:t>
      </w:r>
      <w:r w:rsidR="00BB0E0C" w:rsidRPr="003676AB">
        <w:rPr>
          <w:sz w:val="22"/>
          <w:szCs w:val="22"/>
        </w:rPr>
        <w:t xml:space="preserve"> highlighted in the introduction</w:t>
      </w:r>
      <w:r w:rsidRPr="003676AB">
        <w:rPr>
          <w:sz w:val="22"/>
          <w:szCs w:val="22"/>
        </w:rPr>
        <w:t>.</w:t>
      </w:r>
      <w:r w:rsidR="00586139" w:rsidRPr="003676AB">
        <w:rPr>
          <w:sz w:val="22"/>
          <w:szCs w:val="22"/>
        </w:rPr>
        <w:t xml:space="preserve"> The</w:t>
      </w:r>
      <w:r w:rsidRPr="003676AB">
        <w:rPr>
          <w:sz w:val="22"/>
          <w:szCs w:val="22"/>
        </w:rPr>
        <w:t xml:space="preserve"> Commission has suggested that the PIF </w:t>
      </w:r>
      <w:r w:rsidR="006E5F6F" w:rsidRPr="003676AB">
        <w:rPr>
          <w:sz w:val="22"/>
          <w:szCs w:val="22"/>
        </w:rPr>
        <w:t>P</w:t>
      </w:r>
      <w:r w:rsidR="003547AF" w:rsidRPr="003676AB">
        <w:rPr>
          <w:sz w:val="22"/>
          <w:szCs w:val="22"/>
        </w:rPr>
        <w:t xml:space="preserve">roposal </w:t>
      </w:r>
      <w:r w:rsidR="00424E81" w:rsidRPr="003676AB">
        <w:rPr>
          <w:sz w:val="22"/>
          <w:szCs w:val="22"/>
        </w:rPr>
        <w:t>should</w:t>
      </w:r>
      <w:r w:rsidRPr="003676AB">
        <w:rPr>
          <w:sz w:val="22"/>
          <w:szCs w:val="22"/>
        </w:rPr>
        <w:t xml:space="preserve"> be adopted</w:t>
      </w:r>
      <w:r w:rsidR="00CD6068" w:rsidRPr="003676AB">
        <w:rPr>
          <w:sz w:val="22"/>
          <w:szCs w:val="22"/>
        </w:rPr>
        <w:t xml:space="preserve"> under</w:t>
      </w:r>
      <w:r w:rsidRPr="003676AB">
        <w:rPr>
          <w:sz w:val="22"/>
          <w:szCs w:val="22"/>
        </w:rPr>
        <w:t xml:space="preserve"> </w:t>
      </w:r>
      <w:r w:rsidR="008B0CBF" w:rsidRPr="003676AB">
        <w:rPr>
          <w:sz w:val="22"/>
          <w:szCs w:val="22"/>
        </w:rPr>
        <w:t>art.</w:t>
      </w:r>
      <w:r w:rsidR="00586139" w:rsidRPr="003676AB">
        <w:rPr>
          <w:sz w:val="22"/>
          <w:szCs w:val="22"/>
        </w:rPr>
        <w:t xml:space="preserve"> 325 TFEU</w:t>
      </w:r>
      <w:r w:rsidR="00BB0E0C" w:rsidRPr="003676AB">
        <w:rPr>
          <w:sz w:val="22"/>
          <w:szCs w:val="22"/>
        </w:rPr>
        <w:t>,</w:t>
      </w:r>
      <w:r w:rsidR="00DD4F01" w:rsidRPr="003676AB">
        <w:rPr>
          <w:sz w:val="22"/>
          <w:szCs w:val="22"/>
        </w:rPr>
        <w:t xml:space="preserve"> whil</w:t>
      </w:r>
      <w:r w:rsidR="006F4CDF" w:rsidRPr="003676AB">
        <w:rPr>
          <w:sz w:val="22"/>
          <w:szCs w:val="22"/>
        </w:rPr>
        <w:t>e</w:t>
      </w:r>
      <w:r w:rsidR="00DD4F01" w:rsidRPr="003676AB">
        <w:rPr>
          <w:sz w:val="22"/>
          <w:szCs w:val="22"/>
        </w:rPr>
        <w:t xml:space="preserve"> the Parliament and the Council</w:t>
      </w:r>
      <w:r w:rsidR="00E2189D" w:rsidRPr="003676AB">
        <w:rPr>
          <w:sz w:val="22"/>
          <w:szCs w:val="22"/>
        </w:rPr>
        <w:t xml:space="preserve"> Legal Service (CLS) </w:t>
      </w:r>
      <w:r w:rsidR="00BB0E0C" w:rsidRPr="003676AB">
        <w:rPr>
          <w:sz w:val="22"/>
          <w:szCs w:val="22"/>
        </w:rPr>
        <w:t xml:space="preserve">have </w:t>
      </w:r>
      <w:r w:rsidR="00E2189D" w:rsidRPr="003676AB">
        <w:rPr>
          <w:sz w:val="22"/>
          <w:szCs w:val="22"/>
        </w:rPr>
        <w:t xml:space="preserve">instead argued </w:t>
      </w:r>
      <w:r w:rsidR="00DD4F01" w:rsidRPr="003676AB">
        <w:rPr>
          <w:sz w:val="22"/>
          <w:szCs w:val="22"/>
        </w:rPr>
        <w:t xml:space="preserve">in favour of </w:t>
      </w:r>
      <w:r w:rsidR="008B0CBF" w:rsidRPr="003676AB">
        <w:rPr>
          <w:sz w:val="22"/>
          <w:szCs w:val="22"/>
        </w:rPr>
        <w:t>art.</w:t>
      </w:r>
      <w:r w:rsidR="00DD4F01" w:rsidRPr="003676AB">
        <w:rPr>
          <w:sz w:val="22"/>
          <w:szCs w:val="22"/>
        </w:rPr>
        <w:t xml:space="preserve"> 83(2) TFEU as the</w:t>
      </w:r>
      <w:r w:rsidR="006F4CDF" w:rsidRPr="003676AB">
        <w:rPr>
          <w:sz w:val="22"/>
          <w:szCs w:val="22"/>
        </w:rPr>
        <w:t>ir</w:t>
      </w:r>
      <w:r w:rsidR="00DD4F01" w:rsidRPr="003676AB">
        <w:rPr>
          <w:sz w:val="22"/>
          <w:szCs w:val="22"/>
        </w:rPr>
        <w:t xml:space="preserve"> preferred legal basis</w:t>
      </w:r>
      <w:r w:rsidR="00586139" w:rsidRPr="003676AB">
        <w:rPr>
          <w:sz w:val="22"/>
          <w:szCs w:val="22"/>
        </w:rPr>
        <w:t>.</w:t>
      </w:r>
      <w:r w:rsidRPr="003676AB">
        <w:rPr>
          <w:sz w:val="22"/>
          <w:szCs w:val="22"/>
          <w:vertAlign w:val="superscript"/>
        </w:rPr>
        <w:footnoteReference w:id="148"/>
      </w:r>
      <w:r w:rsidR="004B6D57" w:rsidRPr="003676AB">
        <w:rPr>
          <w:sz w:val="22"/>
          <w:szCs w:val="22"/>
        </w:rPr>
        <w:t xml:space="preserve"> </w:t>
      </w:r>
      <w:r w:rsidRPr="003676AB">
        <w:rPr>
          <w:sz w:val="22"/>
          <w:szCs w:val="22"/>
        </w:rPr>
        <w:t xml:space="preserve">It is clear from </w:t>
      </w:r>
      <w:r w:rsidR="0076422B" w:rsidRPr="003676AB">
        <w:rPr>
          <w:sz w:val="22"/>
          <w:szCs w:val="22"/>
        </w:rPr>
        <w:t xml:space="preserve">its </w:t>
      </w:r>
      <w:r w:rsidRPr="003676AB">
        <w:rPr>
          <w:sz w:val="22"/>
          <w:szCs w:val="22"/>
        </w:rPr>
        <w:t xml:space="preserve">wording that </w:t>
      </w:r>
      <w:r w:rsidR="008B0CBF" w:rsidRPr="003676AB">
        <w:rPr>
          <w:sz w:val="22"/>
          <w:szCs w:val="22"/>
        </w:rPr>
        <w:t>art.</w:t>
      </w:r>
      <w:r w:rsidRPr="003676AB">
        <w:rPr>
          <w:sz w:val="22"/>
          <w:szCs w:val="22"/>
        </w:rPr>
        <w:t xml:space="preserve"> 325 TFEU does not explicitly </w:t>
      </w:r>
      <w:r w:rsidR="0076422B" w:rsidRPr="003676AB">
        <w:rPr>
          <w:sz w:val="22"/>
          <w:szCs w:val="22"/>
        </w:rPr>
        <w:t xml:space="preserve">contain a </w:t>
      </w:r>
      <w:r w:rsidRPr="003676AB">
        <w:rPr>
          <w:sz w:val="22"/>
          <w:szCs w:val="22"/>
        </w:rPr>
        <w:t>criminal law competence</w:t>
      </w:r>
      <w:r w:rsidR="0076422B" w:rsidRPr="003676AB">
        <w:rPr>
          <w:sz w:val="22"/>
          <w:szCs w:val="22"/>
        </w:rPr>
        <w:t>,</w:t>
      </w:r>
      <w:r w:rsidRPr="003676AB">
        <w:rPr>
          <w:sz w:val="22"/>
          <w:szCs w:val="22"/>
        </w:rPr>
        <w:t xml:space="preserve"> </w:t>
      </w:r>
      <w:r w:rsidR="0076422B" w:rsidRPr="003676AB">
        <w:rPr>
          <w:sz w:val="22"/>
          <w:szCs w:val="22"/>
        </w:rPr>
        <w:t xml:space="preserve">comparable to that contained in </w:t>
      </w:r>
      <w:r w:rsidR="008B0CBF" w:rsidRPr="003676AB">
        <w:rPr>
          <w:sz w:val="22"/>
          <w:szCs w:val="22"/>
        </w:rPr>
        <w:t>art.</w:t>
      </w:r>
      <w:r w:rsidR="00DA0E44" w:rsidRPr="003676AB">
        <w:rPr>
          <w:sz w:val="22"/>
          <w:szCs w:val="22"/>
        </w:rPr>
        <w:t xml:space="preserve"> 83 TFEU.</w:t>
      </w:r>
      <w:r w:rsidR="004B6D57" w:rsidRPr="003676AB">
        <w:rPr>
          <w:rStyle w:val="Fotnotsreferens"/>
          <w:sz w:val="22"/>
          <w:szCs w:val="22"/>
        </w:rPr>
        <w:footnoteReference w:id="149"/>
      </w:r>
      <w:r w:rsidR="00DA0E44" w:rsidRPr="003676AB">
        <w:rPr>
          <w:sz w:val="22"/>
          <w:szCs w:val="22"/>
        </w:rPr>
        <w:t xml:space="preserve"> </w:t>
      </w:r>
      <w:r w:rsidR="0076422B" w:rsidRPr="003676AB">
        <w:rPr>
          <w:sz w:val="22"/>
          <w:szCs w:val="22"/>
        </w:rPr>
        <w:t>T</w:t>
      </w:r>
      <w:r w:rsidRPr="003676AB">
        <w:rPr>
          <w:sz w:val="22"/>
          <w:szCs w:val="22"/>
        </w:rPr>
        <w:t xml:space="preserve">he </w:t>
      </w:r>
      <w:r w:rsidR="0078150A" w:rsidRPr="003676AB">
        <w:rPr>
          <w:sz w:val="22"/>
          <w:szCs w:val="22"/>
        </w:rPr>
        <w:t xml:space="preserve">question </w:t>
      </w:r>
      <w:r w:rsidR="0076422B" w:rsidRPr="003676AB">
        <w:rPr>
          <w:sz w:val="22"/>
          <w:szCs w:val="22"/>
        </w:rPr>
        <w:t xml:space="preserve">therefore arises of </w:t>
      </w:r>
      <w:r w:rsidR="0078150A" w:rsidRPr="003676AB">
        <w:rPr>
          <w:sz w:val="22"/>
          <w:szCs w:val="22"/>
        </w:rPr>
        <w:t xml:space="preserve">whether it is </w:t>
      </w:r>
      <w:r w:rsidRPr="003676AB">
        <w:rPr>
          <w:sz w:val="22"/>
          <w:szCs w:val="22"/>
        </w:rPr>
        <w:t xml:space="preserve">possible to invoke the Court’s pre-Lisbon case law on implied criminal law competence to employ </w:t>
      </w:r>
      <w:r w:rsidR="008B0CBF" w:rsidRPr="003676AB">
        <w:rPr>
          <w:sz w:val="22"/>
          <w:szCs w:val="22"/>
        </w:rPr>
        <w:t>art.</w:t>
      </w:r>
      <w:r w:rsidRPr="003676AB">
        <w:rPr>
          <w:sz w:val="22"/>
          <w:szCs w:val="22"/>
        </w:rPr>
        <w:t xml:space="preserve"> 325 TFEU for criminal</w:t>
      </w:r>
      <w:r w:rsidR="00854D87" w:rsidRPr="003676AB">
        <w:rPr>
          <w:sz w:val="22"/>
          <w:szCs w:val="22"/>
        </w:rPr>
        <w:t>isa</w:t>
      </w:r>
      <w:r w:rsidRPr="003676AB">
        <w:rPr>
          <w:sz w:val="22"/>
          <w:szCs w:val="22"/>
        </w:rPr>
        <w:t>tion measures.</w:t>
      </w:r>
      <w:r w:rsidRPr="003676AB">
        <w:rPr>
          <w:sz w:val="22"/>
          <w:szCs w:val="22"/>
          <w:vertAlign w:val="superscript"/>
        </w:rPr>
        <w:footnoteReference w:id="150"/>
      </w:r>
      <w:r w:rsidR="00663F5F" w:rsidRPr="003676AB">
        <w:rPr>
          <w:sz w:val="22"/>
          <w:szCs w:val="22"/>
        </w:rPr>
        <w:t xml:space="preserve"> It seems </w:t>
      </w:r>
      <w:r w:rsidR="0078150A" w:rsidRPr="003676AB">
        <w:rPr>
          <w:sz w:val="22"/>
          <w:szCs w:val="22"/>
        </w:rPr>
        <w:t>clear</w:t>
      </w:r>
      <w:r w:rsidR="00663F5F" w:rsidRPr="003676AB">
        <w:rPr>
          <w:sz w:val="22"/>
          <w:szCs w:val="22"/>
        </w:rPr>
        <w:t xml:space="preserve"> that the PIF Proposal legal basis debate is ultimately a </w:t>
      </w:r>
      <w:r w:rsidR="0076422B" w:rsidRPr="003676AB">
        <w:rPr>
          <w:sz w:val="22"/>
          <w:szCs w:val="22"/>
        </w:rPr>
        <w:t xml:space="preserve">conflict </w:t>
      </w:r>
      <w:r w:rsidR="00663F5F" w:rsidRPr="003676AB">
        <w:rPr>
          <w:sz w:val="22"/>
          <w:szCs w:val="22"/>
        </w:rPr>
        <w:t xml:space="preserve">between the Union and the Member States rather than an inter-institutional </w:t>
      </w:r>
      <w:r w:rsidR="0076422B" w:rsidRPr="003676AB">
        <w:rPr>
          <w:sz w:val="22"/>
          <w:szCs w:val="22"/>
        </w:rPr>
        <w:t>dispute</w:t>
      </w:r>
      <w:r w:rsidR="00663F5F" w:rsidRPr="003676AB">
        <w:rPr>
          <w:sz w:val="22"/>
          <w:szCs w:val="22"/>
        </w:rPr>
        <w:t>.</w:t>
      </w:r>
      <w:r w:rsidR="0076422B" w:rsidRPr="003676AB">
        <w:rPr>
          <w:rStyle w:val="Fotnotsreferens"/>
          <w:sz w:val="22"/>
          <w:szCs w:val="22"/>
        </w:rPr>
        <w:footnoteReference w:id="151"/>
      </w:r>
      <w:r w:rsidR="00663F5F" w:rsidRPr="003676AB">
        <w:rPr>
          <w:sz w:val="22"/>
          <w:szCs w:val="22"/>
        </w:rPr>
        <w:t xml:space="preserve"> The question of legal basis for this proposal thus brings into </w:t>
      </w:r>
      <w:r w:rsidR="0078150A" w:rsidRPr="003676AB">
        <w:rPr>
          <w:sz w:val="22"/>
          <w:szCs w:val="22"/>
        </w:rPr>
        <w:t xml:space="preserve">sharp relief </w:t>
      </w:r>
      <w:r w:rsidR="00663F5F" w:rsidRPr="003676AB">
        <w:rPr>
          <w:sz w:val="22"/>
          <w:szCs w:val="22"/>
        </w:rPr>
        <w:t>the federal dimension of EU criminal law after Lisbon. The u</w:t>
      </w:r>
      <w:r w:rsidR="00502684" w:rsidRPr="003676AB">
        <w:rPr>
          <w:sz w:val="22"/>
          <w:szCs w:val="22"/>
        </w:rPr>
        <w:t xml:space="preserve">ltimate choice is likely to act as a precedent </w:t>
      </w:r>
      <w:r w:rsidR="00663F5F" w:rsidRPr="003676AB">
        <w:rPr>
          <w:sz w:val="22"/>
          <w:szCs w:val="22"/>
        </w:rPr>
        <w:t xml:space="preserve">and contribute to </w:t>
      </w:r>
      <w:r w:rsidR="00502684" w:rsidRPr="003676AB">
        <w:rPr>
          <w:sz w:val="22"/>
          <w:szCs w:val="22"/>
        </w:rPr>
        <w:t xml:space="preserve">the future division of power </w:t>
      </w:r>
      <w:r w:rsidR="00663F5F" w:rsidRPr="003676AB">
        <w:rPr>
          <w:sz w:val="22"/>
          <w:szCs w:val="22"/>
        </w:rPr>
        <w:t xml:space="preserve">between Member States and the Union in the field of </w:t>
      </w:r>
      <w:r w:rsidR="00663F5F" w:rsidRPr="003676AB">
        <w:rPr>
          <w:sz w:val="22"/>
          <w:szCs w:val="22"/>
        </w:rPr>
        <w:lastRenderedPageBreak/>
        <w:t>criminal law.</w:t>
      </w:r>
      <w:r w:rsidR="00DA0E44" w:rsidRPr="003676AB">
        <w:rPr>
          <w:sz w:val="22"/>
          <w:szCs w:val="22"/>
        </w:rPr>
        <w:t xml:space="preserve"> </w:t>
      </w:r>
      <w:r w:rsidR="006A41CB" w:rsidRPr="003676AB">
        <w:rPr>
          <w:sz w:val="22"/>
          <w:szCs w:val="22"/>
        </w:rPr>
        <w:t xml:space="preserve">Choosing </w:t>
      </w:r>
      <w:r w:rsidR="00D617F0" w:rsidRPr="003676AB">
        <w:rPr>
          <w:sz w:val="22"/>
          <w:szCs w:val="22"/>
        </w:rPr>
        <w:t>art.</w:t>
      </w:r>
      <w:r w:rsidR="006A41CB" w:rsidRPr="003676AB">
        <w:rPr>
          <w:sz w:val="22"/>
          <w:szCs w:val="22"/>
        </w:rPr>
        <w:t xml:space="preserve"> 83(2) TFEU as a legal basis for the PIF Proposal would reinforce the Member States’ </w:t>
      </w:r>
      <w:r w:rsidR="0078150A" w:rsidRPr="003676AB">
        <w:rPr>
          <w:sz w:val="22"/>
          <w:szCs w:val="22"/>
        </w:rPr>
        <w:t xml:space="preserve">desire </w:t>
      </w:r>
      <w:r w:rsidR="006A41CB" w:rsidRPr="003676AB">
        <w:rPr>
          <w:sz w:val="22"/>
          <w:szCs w:val="22"/>
        </w:rPr>
        <w:t>to limit criminal law cooperation to</w:t>
      </w:r>
      <w:r w:rsidR="00EC6D65" w:rsidRPr="003676AB">
        <w:rPr>
          <w:sz w:val="22"/>
          <w:szCs w:val="22"/>
        </w:rPr>
        <w:t xml:space="preserve"> Title V of the Treaties.</w:t>
      </w:r>
      <w:r w:rsidR="00663F5F" w:rsidRPr="003676AB">
        <w:rPr>
          <w:rStyle w:val="Fotnotsreferens"/>
          <w:sz w:val="22"/>
          <w:szCs w:val="22"/>
        </w:rPr>
        <w:footnoteReference w:id="152"/>
      </w:r>
      <w:r w:rsidR="00663F5F" w:rsidRPr="003676AB">
        <w:rPr>
          <w:sz w:val="22"/>
          <w:szCs w:val="22"/>
        </w:rPr>
        <w:t xml:space="preserve"> </w:t>
      </w:r>
      <w:r w:rsidR="00B05BC8" w:rsidRPr="003676AB">
        <w:rPr>
          <w:sz w:val="22"/>
          <w:szCs w:val="22"/>
        </w:rPr>
        <w:t>In such a scenario Member States would</w:t>
      </w:r>
      <w:r w:rsidR="00086328" w:rsidRPr="003676AB">
        <w:rPr>
          <w:sz w:val="22"/>
          <w:szCs w:val="22"/>
        </w:rPr>
        <w:t xml:space="preserve"> be able to trigger the</w:t>
      </w:r>
      <w:r w:rsidR="000B6AE0" w:rsidRPr="003676AB">
        <w:rPr>
          <w:sz w:val="22"/>
          <w:szCs w:val="22"/>
        </w:rPr>
        <w:t xml:space="preserve"> emergency brake</w:t>
      </w:r>
      <w:r w:rsidR="00633300" w:rsidRPr="003676AB">
        <w:rPr>
          <w:sz w:val="22"/>
          <w:szCs w:val="22"/>
        </w:rPr>
        <w:t xml:space="preserve"> (in contrast to </w:t>
      </w:r>
      <w:r w:rsidR="00D617F0" w:rsidRPr="003676AB">
        <w:rPr>
          <w:sz w:val="22"/>
          <w:szCs w:val="22"/>
        </w:rPr>
        <w:t>art.</w:t>
      </w:r>
      <w:r w:rsidR="000B6AE0" w:rsidRPr="003676AB">
        <w:rPr>
          <w:sz w:val="22"/>
          <w:szCs w:val="22"/>
        </w:rPr>
        <w:t xml:space="preserve"> 325 TFEU where the Council decides by qualified majority</w:t>
      </w:r>
      <w:r w:rsidR="00633300" w:rsidRPr="003676AB">
        <w:rPr>
          <w:sz w:val="22"/>
          <w:szCs w:val="22"/>
        </w:rPr>
        <w:t xml:space="preserve"> and there is no possibility to veto legislation)</w:t>
      </w:r>
      <w:r w:rsidR="000B6AE0" w:rsidRPr="003676AB">
        <w:rPr>
          <w:sz w:val="22"/>
          <w:szCs w:val="22"/>
        </w:rPr>
        <w:t xml:space="preserve">. </w:t>
      </w:r>
      <w:r w:rsidR="00B05BC8" w:rsidRPr="003676AB">
        <w:rPr>
          <w:sz w:val="22"/>
          <w:szCs w:val="22"/>
        </w:rPr>
        <w:t xml:space="preserve">The opt-outs of the UK, Ireland and Denmark would also be applicable if </w:t>
      </w:r>
      <w:r w:rsidR="00D617F0" w:rsidRPr="003676AB">
        <w:rPr>
          <w:sz w:val="22"/>
          <w:szCs w:val="22"/>
        </w:rPr>
        <w:t>art.</w:t>
      </w:r>
      <w:r w:rsidR="00B05BC8" w:rsidRPr="003676AB">
        <w:rPr>
          <w:sz w:val="22"/>
          <w:szCs w:val="22"/>
        </w:rPr>
        <w:t xml:space="preserve"> 83 TFEU is used as a legal basis whil</w:t>
      </w:r>
      <w:r w:rsidR="00DD42C0" w:rsidRPr="003676AB">
        <w:rPr>
          <w:sz w:val="22"/>
          <w:szCs w:val="22"/>
        </w:rPr>
        <w:t>e</w:t>
      </w:r>
      <w:r w:rsidR="00B05BC8" w:rsidRPr="003676AB">
        <w:rPr>
          <w:sz w:val="22"/>
          <w:szCs w:val="22"/>
        </w:rPr>
        <w:t xml:space="preserve"> those rights could not be triggered if </w:t>
      </w:r>
      <w:r w:rsidR="00D617F0" w:rsidRPr="003676AB">
        <w:rPr>
          <w:sz w:val="22"/>
          <w:szCs w:val="22"/>
        </w:rPr>
        <w:t>art.</w:t>
      </w:r>
      <w:r w:rsidR="00B05BC8" w:rsidRPr="003676AB">
        <w:rPr>
          <w:sz w:val="22"/>
          <w:szCs w:val="22"/>
        </w:rPr>
        <w:t xml:space="preserve"> 325 TFEU is used for the proposal. </w:t>
      </w:r>
      <w:r w:rsidR="00F0051F" w:rsidRPr="003676AB">
        <w:rPr>
          <w:sz w:val="22"/>
          <w:szCs w:val="22"/>
        </w:rPr>
        <w:t>Furth</w:t>
      </w:r>
      <w:r w:rsidR="00633300" w:rsidRPr="003676AB">
        <w:rPr>
          <w:sz w:val="22"/>
          <w:szCs w:val="22"/>
        </w:rPr>
        <w:t xml:space="preserve">ermore, the </w:t>
      </w:r>
      <w:r w:rsidR="00DD42C0" w:rsidRPr="003676AB">
        <w:rPr>
          <w:sz w:val="22"/>
          <w:szCs w:val="22"/>
        </w:rPr>
        <w:t xml:space="preserve">conditions </w:t>
      </w:r>
      <w:r w:rsidR="00633300" w:rsidRPr="003676AB">
        <w:rPr>
          <w:sz w:val="22"/>
          <w:szCs w:val="22"/>
        </w:rPr>
        <w:t xml:space="preserve">for </w:t>
      </w:r>
      <w:r w:rsidR="00DD42C0" w:rsidRPr="003676AB">
        <w:rPr>
          <w:sz w:val="22"/>
          <w:szCs w:val="22"/>
        </w:rPr>
        <w:t xml:space="preserve">using </w:t>
      </w:r>
      <w:r w:rsidR="00D617F0" w:rsidRPr="003676AB">
        <w:rPr>
          <w:sz w:val="22"/>
          <w:szCs w:val="22"/>
        </w:rPr>
        <w:t>art.</w:t>
      </w:r>
      <w:r w:rsidR="00F0051F" w:rsidRPr="003676AB">
        <w:rPr>
          <w:sz w:val="22"/>
          <w:szCs w:val="22"/>
        </w:rPr>
        <w:t xml:space="preserve"> 83(2) TFEU, </w:t>
      </w:r>
      <w:r w:rsidR="00DD42C0" w:rsidRPr="003676AB">
        <w:rPr>
          <w:sz w:val="22"/>
          <w:szCs w:val="22"/>
        </w:rPr>
        <w:t xml:space="preserve">namely </w:t>
      </w:r>
      <w:r w:rsidR="00F0051F" w:rsidRPr="003676AB">
        <w:rPr>
          <w:sz w:val="22"/>
          <w:szCs w:val="22"/>
        </w:rPr>
        <w:t>that criminal laws must be ‘essential’ and that there must exist previous ‘harmonisation’ measures</w:t>
      </w:r>
      <w:r w:rsidR="00633300" w:rsidRPr="003676AB">
        <w:rPr>
          <w:rStyle w:val="Fotnotsreferens"/>
          <w:sz w:val="22"/>
          <w:szCs w:val="22"/>
        </w:rPr>
        <w:footnoteReference w:id="153"/>
      </w:r>
      <w:r w:rsidR="00B05BC8" w:rsidRPr="003676AB">
        <w:rPr>
          <w:sz w:val="22"/>
          <w:szCs w:val="22"/>
        </w:rPr>
        <w:t>, would</w:t>
      </w:r>
      <w:r w:rsidR="00633300" w:rsidRPr="003676AB">
        <w:rPr>
          <w:sz w:val="22"/>
          <w:szCs w:val="22"/>
        </w:rPr>
        <w:t xml:space="preserve"> not</w:t>
      </w:r>
      <w:r w:rsidR="00C66319" w:rsidRPr="003676AB">
        <w:rPr>
          <w:sz w:val="22"/>
          <w:szCs w:val="22"/>
        </w:rPr>
        <w:t xml:space="preserve"> be applicable</w:t>
      </w:r>
      <w:r w:rsidR="00633300" w:rsidRPr="003676AB">
        <w:rPr>
          <w:sz w:val="22"/>
          <w:szCs w:val="22"/>
        </w:rPr>
        <w:t xml:space="preserve"> if </w:t>
      </w:r>
      <w:r w:rsidR="00D617F0" w:rsidRPr="003676AB">
        <w:rPr>
          <w:sz w:val="22"/>
          <w:szCs w:val="22"/>
        </w:rPr>
        <w:t>art.</w:t>
      </w:r>
      <w:r w:rsidR="009A0AA0" w:rsidRPr="003676AB">
        <w:rPr>
          <w:sz w:val="22"/>
          <w:szCs w:val="22"/>
        </w:rPr>
        <w:t xml:space="preserve"> 325 TFEU</w:t>
      </w:r>
      <w:r w:rsidR="00DD42C0" w:rsidRPr="003676AB">
        <w:rPr>
          <w:sz w:val="22"/>
          <w:szCs w:val="22"/>
        </w:rPr>
        <w:t xml:space="preserve"> was employed</w:t>
      </w:r>
      <w:r w:rsidR="00633300" w:rsidRPr="003676AB">
        <w:rPr>
          <w:sz w:val="22"/>
          <w:szCs w:val="22"/>
        </w:rPr>
        <w:t>.</w:t>
      </w:r>
      <w:r w:rsidR="00633300" w:rsidRPr="003676AB">
        <w:rPr>
          <w:rStyle w:val="Fotnotsreferens"/>
          <w:sz w:val="22"/>
          <w:szCs w:val="22"/>
        </w:rPr>
        <w:footnoteReference w:id="154"/>
      </w:r>
      <w:r w:rsidR="00D212C7" w:rsidRPr="003676AB">
        <w:rPr>
          <w:sz w:val="22"/>
          <w:szCs w:val="22"/>
        </w:rPr>
        <w:t xml:space="preserve"> </w:t>
      </w:r>
    </w:p>
    <w:p w14:paraId="6BB11182" w14:textId="0969BC54" w:rsidR="008D44CB" w:rsidRPr="003676AB" w:rsidRDefault="0023086F" w:rsidP="00C442DA">
      <w:pPr>
        <w:rPr>
          <w:rFonts w:ascii="TimesNewRoman" w:hAnsi="TimesNewRoman" w:cs="TimesNewRoman"/>
          <w:color w:val="000000"/>
          <w:sz w:val="22"/>
          <w:szCs w:val="22"/>
        </w:rPr>
      </w:pPr>
      <w:r w:rsidRPr="003676AB">
        <w:rPr>
          <w:sz w:val="22"/>
          <w:szCs w:val="22"/>
        </w:rPr>
        <w:t>The EU institutions’ arguments with respect to the legal basis of the proposal must also be understoo</w:t>
      </w:r>
      <w:r w:rsidR="00C66319" w:rsidRPr="003676AB">
        <w:rPr>
          <w:sz w:val="22"/>
          <w:szCs w:val="22"/>
        </w:rPr>
        <w:t>d within this federal context. T</w:t>
      </w:r>
      <w:r w:rsidRPr="003676AB">
        <w:rPr>
          <w:sz w:val="22"/>
          <w:szCs w:val="22"/>
        </w:rPr>
        <w:t>he EU institutions</w:t>
      </w:r>
      <w:r w:rsidR="00C66319" w:rsidRPr="003676AB">
        <w:rPr>
          <w:sz w:val="22"/>
          <w:szCs w:val="22"/>
        </w:rPr>
        <w:t xml:space="preserve"> </w:t>
      </w:r>
      <w:r w:rsidRPr="003676AB">
        <w:rPr>
          <w:sz w:val="22"/>
          <w:szCs w:val="22"/>
        </w:rPr>
        <w:t xml:space="preserve">agreed that the fight against fraud is </w:t>
      </w:r>
      <w:r w:rsidR="0003320D" w:rsidRPr="003676AB">
        <w:rPr>
          <w:rFonts w:ascii="TimesNewRoman" w:hAnsi="TimesNewRoman" w:cs="TimesNewRoman"/>
          <w:color w:val="000000"/>
          <w:sz w:val="22"/>
          <w:szCs w:val="22"/>
        </w:rPr>
        <w:t>a key strategic interest for the EU institutions</w:t>
      </w:r>
      <w:r w:rsidRPr="003676AB">
        <w:rPr>
          <w:rFonts w:ascii="TimesNewRoman" w:hAnsi="TimesNewRoman" w:cs="TimesNewRoman"/>
          <w:color w:val="000000"/>
          <w:sz w:val="22"/>
          <w:szCs w:val="22"/>
        </w:rPr>
        <w:t>,</w:t>
      </w:r>
      <w:r w:rsidR="00C66319" w:rsidRPr="003676AB">
        <w:rPr>
          <w:rFonts w:ascii="TimesNewRoman" w:hAnsi="TimesNewRoman" w:cs="TimesNewRoman"/>
          <w:color w:val="000000"/>
          <w:sz w:val="22"/>
          <w:szCs w:val="22"/>
        </w:rPr>
        <w:t xml:space="preserve"> that the current amounts of fraud were unacceptable and</w:t>
      </w:r>
      <w:r w:rsidRPr="003676AB">
        <w:rPr>
          <w:rFonts w:ascii="TimesNewRoman" w:hAnsi="TimesNewRoman" w:cs="TimesNewRoman"/>
          <w:color w:val="000000"/>
          <w:sz w:val="22"/>
          <w:szCs w:val="22"/>
        </w:rPr>
        <w:t xml:space="preserve"> that the</w:t>
      </w:r>
      <w:r w:rsidR="00C66319" w:rsidRPr="003676AB">
        <w:rPr>
          <w:rFonts w:ascii="TimesNewRoman" w:hAnsi="TimesNewRoman" w:cs="TimesNewRoman"/>
          <w:color w:val="000000"/>
          <w:sz w:val="22"/>
          <w:szCs w:val="22"/>
        </w:rPr>
        <w:t xml:space="preserve"> current</w:t>
      </w:r>
      <w:r w:rsidR="00B05BC8" w:rsidRPr="003676AB">
        <w:rPr>
          <w:rFonts w:ascii="TimesNewRoman" w:hAnsi="TimesNewRoman" w:cs="TimesNewRoman"/>
          <w:color w:val="000000"/>
          <w:sz w:val="22"/>
          <w:szCs w:val="22"/>
        </w:rPr>
        <w:t xml:space="preserve"> and planned national and EU measures in this field</w:t>
      </w:r>
      <w:r w:rsidRPr="003676AB">
        <w:rPr>
          <w:rFonts w:ascii="TimesNewRoman" w:hAnsi="TimesNewRoman" w:cs="TimesNewRoman"/>
          <w:color w:val="000000"/>
          <w:sz w:val="22"/>
          <w:szCs w:val="22"/>
        </w:rPr>
        <w:t xml:space="preserve"> </w:t>
      </w:r>
      <w:r w:rsidR="00C66319" w:rsidRPr="003676AB">
        <w:rPr>
          <w:rFonts w:ascii="TimesNewRoman" w:hAnsi="TimesNewRoman" w:cs="TimesNewRoman"/>
          <w:color w:val="000000"/>
          <w:sz w:val="22"/>
          <w:szCs w:val="22"/>
        </w:rPr>
        <w:t xml:space="preserve">were insufficient </w:t>
      </w:r>
      <w:r w:rsidR="00B40BF5" w:rsidRPr="003676AB">
        <w:rPr>
          <w:rFonts w:ascii="TimesNewRoman" w:hAnsi="TimesNewRoman" w:cs="TimesNewRoman"/>
          <w:color w:val="000000"/>
          <w:sz w:val="22"/>
          <w:szCs w:val="22"/>
        </w:rPr>
        <w:t>to ensure the</w:t>
      </w:r>
      <w:r w:rsidR="00C66319" w:rsidRPr="003676AB">
        <w:rPr>
          <w:rFonts w:ascii="TimesNewRoman" w:hAnsi="TimesNewRoman" w:cs="TimesNewRoman"/>
          <w:color w:val="000000"/>
          <w:sz w:val="22"/>
          <w:szCs w:val="22"/>
        </w:rPr>
        <w:t xml:space="preserve"> effective protection of the Union’s financial interests.</w:t>
      </w:r>
      <w:r w:rsidRPr="003676AB">
        <w:rPr>
          <w:rStyle w:val="Fotnotsreferens"/>
          <w:sz w:val="22"/>
          <w:szCs w:val="22"/>
        </w:rPr>
        <w:footnoteReference w:id="155"/>
      </w:r>
      <w:r w:rsidRPr="003676AB">
        <w:rPr>
          <w:rStyle w:val="Fotnotsreferens"/>
          <w:sz w:val="22"/>
          <w:szCs w:val="22"/>
        </w:rPr>
        <w:t xml:space="preserve"> </w:t>
      </w:r>
      <w:r w:rsidR="00B40BF5" w:rsidRPr="003676AB">
        <w:rPr>
          <w:rFonts w:ascii="TimesNewRoman" w:hAnsi="TimesNewRoman" w:cs="TimesNewRoman"/>
          <w:color w:val="000000"/>
          <w:sz w:val="22"/>
          <w:szCs w:val="22"/>
        </w:rPr>
        <w:t xml:space="preserve">They could </w:t>
      </w:r>
      <w:r w:rsidRPr="003676AB">
        <w:rPr>
          <w:rFonts w:ascii="TimesNewRoman" w:hAnsi="TimesNewRoman" w:cs="TimesNewRoman"/>
          <w:color w:val="000000"/>
          <w:sz w:val="22"/>
          <w:szCs w:val="22"/>
        </w:rPr>
        <w:t xml:space="preserve">not </w:t>
      </w:r>
      <w:r w:rsidR="00B40BF5" w:rsidRPr="003676AB">
        <w:rPr>
          <w:rFonts w:ascii="TimesNewRoman" w:hAnsi="TimesNewRoman" w:cs="TimesNewRoman"/>
          <w:color w:val="000000"/>
          <w:sz w:val="22"/>
          <w:szCs w:val="22"/>
        </w:rPr>
        <w:t xml:space="preserve">however </w:t>
      </w:r>
      <w:r w:rsidRPr="003676AB">
        <w:rPr>
          <w:rFonts w:ascii="TimesNewRoman" w:hAnsi="TimesNewRoman" w:cs="TimesNewRoman"/>
          <w:color w:val="000000"/>
          <w:sz w:val="22"/>
          <w:szCs w:val="22"/>
        </w:rPr>
        <w:t>agree on what legal basis this measure shoul</w:t>
      </w:r>
      <w:r w:rsidR="00C442DA" w:rsidRPr="003676AB">
        <w:rPr>
          <w:rFonts w:ascii="TimesNewRoman" w:hAnsi="TimesNewRoman" w:cs="TimesNewRoman"/>
          <w:color w:val="000000"/>
          <w:sz w:val="22"/>
          <w:szCs w:val="22"/>
        </w:rPr>
        <w:t>d be based. The Commission</w:t>
      </w:r>
      <w:r w:rsidR="008C50A5" w:rsidRPr="003676AB">
        <w:rPr>
          <w:rFonts w:ascii="TimesNewRoman" w:hAnsi="TimesNewRoman" w:cs="TimesNewRoman"/>
          <w:color w:val="000000"/>
          <w:sz w:val="22"/>
          <w:szCs w:val="22"/>
        </w:rPr>
        <w:t xml:space="preserve"> </w:t>
      </w:r>
      <w:r w:rsidR="00C442DA" w:rsidRPr="003676AB">
        <w:rPr>
          <w:rFonts w:ascii="TimesNewRoman" w:hAnsi="TimesNewRoman" w:cs="TimesNewRoman"/>
          <w:color w:val="000000"/>
          <w:sz w:val="22"/>
          <w:szCs w:val="22"/>
        </w:rPr>
        <w:t>argued</w:t>
      </w:r>
      <w:r w:rsidRPr="003676AB">
        <w:rPr>
          <w:rFonts w:ascii="TimesNewRoman" w:hAnsi="TimesNewRoman" w:cs="TimesNewRoman"/>
          <w:color w:val="000000"/>
          <w:sz w:val="22"/>
          <w:szCs w:val="22"/>
        </w:rPr>
        <w:t xml:space="preserve"> for the more centralise</w:t>
      </w:r>
      <w:r w:rsidR="00C442DA" w:rsidRPr="003676AB">
        <w:rPr>
          <w:rFonts w:ascii="TimesNewRoman" w:hAnsi="TimesNewRoman" w:cs="TimesNewRoman"/>
          <w:color w:val="000000"/>
          <w:sz w:val="22"/>
          <w:szCs w:val="22"/>
        </w:rPr>
        <w:t>d</w:t>
      </w:r>
      <w:r w:rsidR="003F63B9" w:rsidRPr="003676AB">
        <w:rPr>
          <w:rFonts w:ascii="TimesNewRoman" w:hAnsi="TimesNewRoman" w:cs="TimesNewRoman"/>
          <w:color w:val="000000"/>
          <w:sz w:val="22"/>
          <w:szCs w:val="22"/>
        </w:rPr>
        <w:t xml:space="preserve"> and Union-friendly</w:t>
      </w:r>
      <w:r w:rsidR="00C66319" w:rsidRPr="003676AB">
        <w:rPr>
          <w:rFonts w:ascii="TimesNewRoman" w:hAnsi="TimesNewRoman" w:cs="TimesNewRoman"/>
          <w:color w:val="000000"/>
          <w:sz w:val="22"/>
          <w:szCs w:val="22"/>
        </w:rPr>
        <w:t xml:space="preserve"> </w:t>
      </w:r>
      <w:r w:rsidR="006F4CDF" w:rsidRPr="003676AB">
        <w:rPr>
          <w:rFonts w:ascii="TimesNewRoman" w:hAnsi="TimesNewRoman" w:cs="TimesNewRoman"/>
          <w:color w:val="000000"/>
          <w:sz w:val="22"/>
          <w:szCs w:val="22"/>
        </w:rPr>
        <w:t xml:space="preserve">policy-specific </w:t>
      </w:r>
      <w:r w:rsidRPr="003676AB">
        <w:rPr>
          <w:rFonts w:ascii="TimesNewRoman" w:hAnsi="TimesNewRoman" w:cs="TimesNewRoman"/>
          <w:color w:val="000000"/>
          <w:sz w:val="22"/>
          <w:szCs w:val="22"/>
        </w:rPr>
        <w:t xml:space="preserve">competence </w:t>
      </w:r>
      <w:r w:rsidR="006F4CDF" w:rsidRPr="003676AB">
        <w:rPr>
          <w:rFonts w:ascii="TimesNewRoman" w:hAnsi="TimesNewRoman" w:cs="TimesNewRoman"/>
          <w:color w:val="000000"/>
          <w:sz w:val="22"/>
          <w:szCs w:val="22"/>
        </w:rPr>
        <w:t xml:space="preserve">contained </w:t>
      </w:r>
      <w:r w:rsidRPr="003676AB">
        <w:rPr>
          <w:rFonts w:ascii="TimesNewRoman" w:hAnsi="TimesNewRoman" w:cs="TimesNewRoman"/>
          <w:color w:val="000000"/>
          <w:sz w:val="22"/>
          <w:szCs w:val="22"/>
        </w:rPr>
        <w:t xml:space="preserve">in </w:t>
      </w:r>
      <w:r w:rsidR="00D617F0" w:rsidRPr="003676AB">
        <w:rPr>
          <w:rFonts w:ascii="TimesNewRoman" w:hAnsi="TimesNewRoman" w:cs="TimesNewRoman"/>
          <w:color w:val="000000"/>
          <w:sz w:val="22"/>
          <w:szCs w:val="22"/>
        </w:rPr>
        <w:t>art.</w:t>
      </w:r>
      <w:r w:rsidRPr="003676AB">
        <w:rPr>
          <w:rFonts w:ascii="TimesNewRoman" w:hAnsi="TimesNewRoman" w:cs="TimesNewRoman"/>
          <w:color w:val="000000"/>
          <w:sz w:val="22"/>
          <w:szCs w:val="22"/>
        </w:rPr>
        <w:t xml:space="preserve"> 325 TFEU</w:t>
      </w:r>
      <w:r w:rsidR="008C50A5" w:rsidRPr="003676AB">
        <w:rPr>
          <w:rFonts w:ascii="TimesNewRoman" w:hAnsi="TimesNewRoman" w:cs="TimesNewRoman"/>
          <w:color w:val="000000"/>
          <w:sz w:val="22"/>
          <w:szCs w:val="22"/>
        </w:rPr>
        <w:t>. It claimed</w:t>
      </w:r>
      <w:r w:rsidRPr="003676AB">
        <w:rPr>
          <w:rFonts w:ascii="TimesNewRoman" w:hAnsi="TimesNewRoman" w:cs="TimesNewRoman"/>
          <w:color w:val="000000"/>
          <w:sz w:val="22"/>
          <w:szCs w:val="22"/>
        </w:rPr>
        <w:t xml:space="preserve"> that th</w:t>
      </w:r>
      <w:r w:rsidR="00C442DA" w:rsidRPr="003676AB">
        <w:rPr>
          <w:rFonts w:ascii="TimesNewRoman" w:hAnsi="TimesNewRoman" w:cs="TimesNewRoman"/>
          <w:color w:val="000000"/>
          <w:sz w:val="22"/>
          <w:szCs w:val="22"/>
        </w:rPr>
        <w:t>is</w:t>
      </w:r>
      <w:r w:rsidR="008C50A5" w:rsidRPr="003676AB">
        <w:rPr>
          <w:rFonts w:ascii="TimesNewRoman" w:hAnsi="TimesNewRoman" w:cs="TimesNewRoman"/>
          <w:color w:val="000000"/>
          <w:sz w:val="22"/>
          <w:szCs w:val="22"/>
        </w:rPr>
        <w:t xml:space="preserve"> provision provided the Union with a broad</w:t>
      </w:r>
      <w:r w:rsidR="00C442DA" w:rsidRPr="003676AB">
        <w:rPr>
          <w:rFonts w:ascii="TimesNewRoman" w:hAnsi="TimesNewRoman" w:cs="TimesNewRoman"/>
          <w:color w:val="000000"/>
          <w:sz w:val="22"/>
          <w:szCs w:val="22"/>
        </w:rPr>
        <w:t xml:space="preserve"> competence</w:t>
      </w:r>
      <w:r w:rsidR="008C50A5" w:rsidRPr="003676AB">
        <w:rPr>
          <w:rFonts w:ascii="TimesNewRoman" w:hAnsi="TimesNewRoman" w:cs="TimesNewRoman"/>
          <w:color w:val="000000"/>
          <w:sz w:val="22"/>
          <w:szCs w:val="22"/>
        </w:rPr>
        <w:t xml:space="preserve"> </w:t>
      </w:r>
      <w:r w:rsidR="0003320D" w:rsidRPr="003676AB">
        <w:rPr>
          <w:sz w:val="22"/>
          <w:szCs w:val="22"/>
        </w:rPr>
        <w:t>to enact</w:t>
      </w:r>
      <w:r w:rsidR="008C50A5" w:rsidRPr="003676AB">
        <w:rPr>
          <w:sz w:val="22"/>
          <w:szCs w:val="22"/>
        </w:rPr>
        <w:t xml:space="preserve"> any ‘measure</w:t>
      </w:r>
      <w:r w:rsidR="0003320D" w:rsidRPr="003676AB">
        <w:rPr>
          <w:sz w:val="22"/>
          <w:szCs w:val="22"/>
        </w:rPr>
        <w:t>’</w:t>
      </w:r>
      <w:r w:rsidR="00B05BC8" w:rsidRPr="003676AB">
        <w:rPr>
          <w:sz w:val="22"/>
          <w:szCs w:val="22"/>
        </w:rPr>
        <w:t xml:space="preserve"> (</w:t>
      </w:r>
      <w:r w:rsidR="008C50A5" w:rsidRPr="003676AB">
        <w:rPr>
          <w:sz w:val="22"/>
          <w:szCs w:val="22"/>
        </w:rPr>
        <w:t>criminal or non-criminal</w:t>
      </w:r>
      <w:r w:rsidR="00B05BC8" w:rsidRPr="003676AB">
        <w:rPr>
          <w:sz w:val="22"/>
          <w:szCs w:val="22"/>
        </w:rPr>
        <w:t>)</w:t>
      </w:r>
      <w:r w:rsidR="008C50A5" w:rsidRPr="003676AB">
        <w:rPr>
          <w:sz w:val="22"/>
          <w:szCs w:val="22"/>
        </w:rPr>
        <w:t>,</w:t>
      </w:r>
      <w:r w:rsidR="0003320D" w:rsidRPr="003676AB">
        <w:rPr>
          <w:sz w:val="22"/>
          <w:szCs w:val="22"/>
        </w:rPr>
        <w:t xml:space="preserve"> against </w:t>
      </w:r>
      <w:r w:rsidR="008C50A5" w:rsidRPr="003676AB">
        <w:rPr>
          <w:sz w:val="22"/>
          <w:szCs w:val="22"/>
        </w:rPr>
        <w:t>illegal activities a</w:t>
      </w:r>
      <w:r w:rsidR="0003320D" w:rsidRPr="003676AB">
        <w:rPr>
          <w:sz w:val="22"/>
          <w:szCs w:val="22"/>
        </w:rPr>
        <w:t>ffecting the Union’s financial interests which ‘act as a deterre</w:t>
      </w:r>
      <w:r w:rsidR="00B05BC8" w:rsidRPr="003676AB">
        <w:rPr>
          <w:sz w:val="22"/>
          <w:szCs w:val="22"/>
        </w:rPr>
        <w:t>nt’ and ‘afford effective</w:t>
      </w:r>
      <w:r w:rsidR="0003320D" w:rsidRPr="003676AB">
        <w:rPr>
          <w:sz w:val="22"/>
          <w:szCs w:val="22"/>
        </w:rPr>
        <w:t xml:space="preserve"> protection’.</w:t>
      </w:r>
      <w:r w:rsidR="0003320D" w:rsidRPr="003676AB">
        <w:rPr>
          <w:sz w:val="22"/>
          <w:szCs w:val="22"/>
          <w:vertAlign w:val="superscript"/>
        </w:rPr>
        <w:footnoteReference w:id="156"/>
      </w:r>
      <w:r w:rsidR="0003320D" w:rsidRPr="003676AB">
        <w:rPr>
          <w:sz w:val="22"/>
          <w:szCs w:val="22"/>
        </w:rPr>
        <w:t xml:space="preserve"> </w:t>
      </w:r>
      <w:r w:rsidR="009F2E85" w:rsidRPr="003676AB">
        <w:rPr>
          <w:sz w:val="22"/>
          <w:szCs w:val="22"/>
        </w:rPr>
        <w:t xml:space="preserve">In line </w:t>
      </w:r>
      <w:r w:rsidR="008C50A5" w:rsidRPr="003676AB">
        <w:rPr>
          <w:sz w:val="22"/>
          <w:szCs w:val="22"/>
        </w:rPr>
        <w:t xml:space="preserve">with this expansive interpretation of </w:t>
      </w:r>
      <w:r w:rsidR="00D617F0" w:rsidRPr="003676AB">
        <w:rPr>
          <w:sz w:val="22"/>
          <w:szCs w:val="22"/>
        </w:rPr>
        <w:t>art.</w:t>
      </w:r>
      <w:r w:rsidR="008C50A5" w:rsidRPr="003676AB">
        <w:rPr>
          <w:sz w:val="22"/>
          <w:szCs w:val="22"/>
        </w:rPr>
        <w:t xml:space="preserve"> 325 TFEU</w:t>
      </w:r>
      <w:r w:rsidR="009F2E85" w:rsidRPr="003676AB">
        <w:rPr>
          <w:sz w:val="22"/>
          <w:szCs w:val="22"/>
        </w:rPr>
        <w:t>,</w:t>
      </w:r>
      <w:r w:rsidR="008C50A5" w:rsidRPr="003676AB">
        <w:rPr>
          <w:sz w:val="22"/>
          <w:szCs w:val="22"/>
        </w:rPr>
        <w:t xml:space="preserve"> it </w:t>
      </w:r>
      <w:r w:rsidR="009F2E85" w:rsidRPr="003676AB">
        <w:rPr>
          <w:sz w:val="22"/>
          <w:szCs w:val="22"/>
        </w:rPr>
        <w:t xml:space="preserve">maintained </w:t>
      </w:r>
      <w:r w:rsidR="00C442DA" w:rsidRPr="003676AB">
        <w:rPr>
          <w:sz w:val="22"/>
          <w:szCs w:val="22"/>
        </w:rPr>
        <w:t>that the term ‘fraud</w:t>
      </w:r>
      <w:r w:rsidR="00B05BC8" w:rsidRPr="003676AB">
        <w:rPr>
          <w:sz w:val="22"/>
          <w:szCs w:val="22"/>
        </w:rPr>
        <w:t xml:space="preserve">’ in this provision must </w:t>
      </w:r>
      <w:r w:rsidR="00C442DA" w:rsidRPr="003676AB">
        <w:rPr>
          <w:sz w:val="22"/>
          <w:szCs w:val="22"/>
        </w:rPr>
        <w:t xml:space="preserve">also </w:t>
      </w:r>
      <w:r w:rsidR="009F2E85" w:rsidRPr="003676AB">
        <w:rPr>
          <w:sz w:val="22"/>
          <w:szCs w:val="22"/>
        </w:rPr>
        <w:t xml:space="preserve">encompass </w:t>
      </w:r>
      <w:r w:rsidR="0003320D" w:rsidRPr="003676AB">
        <w:rPr>
          <w:sz w:val="22"/>
          <w:szCs w:val="22"/>
        </w:rPr>
        <w:t>fraud-related criminal offences.</w:t>
      </w:r>
      <w:r w:rsidR="00DC0706" w:rsidRPr="003676AB">
        <w:rPr>
          <w:sz w:val="22"/>
          <w:szCs w:val="22"/>
        </w:rPr>
        <w:t xml:space="preserve"> It claimed </w:t>
      </w:r>
      <w:r w:rsidR="00C442DA" w:rsidRPr="003676AB">
        <w:rPr>
          <w:sz w:val="22"/>
          <w:szCs w:val="22"/>
        </w:rPr>
        <w:t>that criminal law</w:t>
      </w:r>
      <w:r w:rsidR="009F2E85" w:rsidRPr="003676AB">
        <w:rPr>
          <w:sz w:val="22"/>
          <w:szCs w:val="22"/>
        </w:rPr>
        <w:t>,</w:t>
      </w:r>
      <w:r w:rsidR="00C442DA" w:rsidRPr="003676AB">
        <w:rPr>
          <w:sz w:val="22"/>
          <w:szCs w:val="22"/>
        </w:rPr>
        <w:t xml:space="preserve"> </w:t>
      </w:r>
      <w:proofErr w:type="gramStart"/>
      <w:r w:rsidR="00C442DA" w:rsidRPr="003676AB">
        <w:rPr>
          <w:sz w:val="22"/>
          <w:szCs w:val="22"/>
        </w:rPr>
        <w:t xml:space="preserve">by </w:t>
      </w:r>
      <w:r w:rsidR="009F2E85" w:rsidRPr="003676AB">
        <w:rPr>
          <w:sz w:val="22"/>
          <w:szCs w:val="22"/>
        </w:rPr>
        <w:t>virtue of</w:t>
      </w:r>
      <w:proofErr w:type="gramEnd"/>
      <w:r w:rsidR="009F2E85" w:rsidRPr="003676AB">
        <w:rPr>
          <w:sz w:val="22"/>
          <w:szCs w:val="22"/>
        </w:rPr>
        <w:t xml:space="preserve"> </w:t>
      </w:r>
      <w:r w:rsidR="00C442DA" w:rsidRPr="003676AB">
        <w:rPr>
          <w:sz w:val="22"/>
          <w:szCs w:val="22"/>
        </w:rPr>
        <w:t>its communicative and social dimension</w:t>
      </w:r>
      <w:r w:rsidR="009F2E85" w:rsidRPr="003676AB">
        <w:rPr>
          <w:sz w:val="22"/>
          <w:szCs w:val="22"/>
        </w:rPr>
        <w:t>,</w:t>
      </w:r>
      <w:r w:rsidR="00C442DA" w:rsidRPr="003676AB">
        <w:rPr>
          <w:sz w:val="22"/>
          <w:szCs w:val="22"/>
        </w:rPr>
        <w:t xml:space="preserve"> is the ultimate </w:t>
      </w:r>
      <w:r w:rsidR="00DC0706" w:rsidRPr="003676AB">
        <w:rPr>
          <w:sz w:val="22"/>
          <w:szCs w:val="22"/>
        </w:rPr>
        <w:t>‘</w:t>
      </w:r>
      <w:r w:rsidR="00C442DA" w:rsidRPr="003676AB">
        <w:rPr>
          <w:sz w:val="22"/>
          <w:szCs w:val="22"/>
        </w:rPr>
        <w:t>deterrent</w:t>
      </w:r>
      <w:r w:rsidR="00DC0706" w:rsidRPr="003676AB">
        <w:rPr>
          <w:sz w:val="22"/>
          <w:szCs w:val="22"/>
        </w:rPr>
        <w:t>’</w:t>
      </w:r>
      <w:r w:rsidR="00C442DA" w:rsidRPr="003676AB">
        <w:rPr>
          <w:sz w:val="22"/>
          <w:szCs w:val="22"/>
        </w:rPr>
        <w:t xml:space="preserve"> </w:t>
      </w:r>
      <w:r w:rsidR="009F2E85" w:rsidRPr="003676AB">
        <w:rPr>
          <w:sz w:val="22"/>
          <w:szCs w:val="22"/>
        </w:rPr>
        <w:t xml:space="preserve">to </w:t>
      </w:r>
      <w:r w:rsidR="00C442DA" w:rsidRPr="003676AB">
        <w:rPr>
          <w:sz w:val="22"/>
          <w:szCs w:val="22"/>
        </w:rPr>
        <w:t>dissuad</w:t>
      </w:r>
      <w:r w:rsidR="009F2E85" w:rsidRPr="003676AB">
        <w:rPr>
          <w:sz w:val="22"/>
          <w:szCs w:val="22"/>
        </w:rPr>
        <w:t>e</w:t>
      </w:r>
      <w:r w:rsidR="00C442DA" w:rsidRPr="003676AB">
        <w:rPr>
          <w:sz w:val="22"/>
          <w:szCs w:val="22"/>
        </w:rPr>
        <w:t xml:space="preserve"> offenders from being </w:t>
      </w:r>
      <w:r w:rsidR="009F2E85" w:rsidRPr="003676AB">
        <w:rPr>
          <w:sz w:val="22"/>
          <w:szCs w:val="22"/>
        </w:rPr>
        <w:t xml:space="preserve">engaging </w:t>
      </w:r>
      <w:r w:rsidR="00C442DA" w:rsidRPr="003676AB">
        <w:rPr>
          <w:sz w:val="22"/>
          <w:szCs w:val="22"/>
        </w:rPr>
        <w:t xml:space="preserve">in illegal </w:t>
      </w:r>
      <w:r w:rsidR="0003320D" w:rsidRPr="003676AB">
        <w:rPr>
          <w:sz w:val="22"/>
          <w:szCs w:val="22"/>
        </w:rPr>
        <w:t>activities affecting the Union’s financial interests.</w:t>
      </w:r>
      <w:r w:rsidR="00DC0706" w:rsidRPr="003676AB">
        <w:rPr>
          <w:sz w:val="22"/>
          <w:szCs w:val="22"/>
        </w:rPr>
        <w:t xml:space="preserve"> M</w:t>
      </w:r>
      <w:r w:rsidR="00C442DA" w:rsidRPr="003676AB">
        <w:rPr>
          <w:sz w:val="22"/>
          <w:szCs w:val="22"/>
        </w:rPr>
        <w:t xml:space="preserve">ore interestingly </w:t>
      </w:r>
      <w:r w:rsidR="00DC0706" w:rsidRPr="003676AB">
        <w:rPr>
          <w:sz w:val="22"/>
          <w:szCs w:val="22"/>
        </w:rPr>
        <w:t>from a</w:t>
      </w:r>
      <w:r w:rsidR="00C442DA" w:rsidRPr="003676AB">
        <w:rPr>
          <w:sz w:val="22"/>
          <w:szCs w:val="22"/>
        </w:rPr>
        <w:t xml:space="preserve"> federal point of view</w:t>
      </w:r>
      <w:r w:rsidR="009F2E85" w:rsidRPr="003676AB">
        <w:rPr>
          <w:sz w:val="22"/>
          <w:szCs w:val="22"/>
        </w:rPr>
        <w:t>,</w:t>
      </w:r>
      <w:r w:rsidR="00C442DA" w:rsidRPr="003676AB">
        <w:rPr>
          <w:sz w:val="22"/>
          <w:szCs w:val="22"/>
        </w:rPr>
        <w:t xml:space="preserve"> the Commission emphasised the advantages from a Union perspective of using </w:t>
      </w:r>
      <w:r w:rsidR="00D617F0" w:rsidRPr="003676AB">
        <w:rPr>
          <w:sz w:val="22"/>
          <w:szCs w:val="22"/>
        </w:rPr>
        <w:t>art.</w:t>
      </w:r>
      <w:r w:rsidR="007A4734" w:rsidRPr="003676AB">
        <w:rPr>
          <w:sz w:val="22"/>
          <w:szCs w:val="22"/>
        </w:rPr>
        <w:t xml:space="preserve"> 325 TFEU</w:t>
      </w:r>
      <w:r w:rsidR="00C442DA" w:rsidRPr="003676AB">
        <w:rPr>
          <w:sz w:val="22"/>
          <w:szCs w:val="22"/>
        </w:rPr>
        <w:t xml:space="preserve"> as this provision would </w:t>
      </w:r>
      <w:r w:rsidR="009F2E85" w:rsidRPr="003676AB">
        <w:rPr>
          <w:sz w:val="22"/>
          <w:szCs w:val="22"/>
        </w:rPr>
        <w:t>prevent the use of the Title V opt-outs</w:t>
      </w:r>
      <w:r w:rsidR="0003320D" w:rsidRPr="003676AB">
        <w:rPr>
          <w:sz w:val="22"/>
          <w:szCs w:val="22"/>
        </w:rPr>
        <w:t>.</w:t>
      </w:r>
      <w:r w:rsidR="0003320D" w:rsidRPr="003676AB">
        <w:rPr>
          <w:rFonts w:ascii="TimesNewRoman" w:hAnsi="TimesNewRoman" w:cs="TimesNewRoman"/>
          <w:sz w:val="22"/>
          <w:szCs w:val="22"/>
          <w:vertAlign w:val="superscript"/>
        </w:rPr>
        <w:footnoteReference w:id="157"/>
      </w:r>
      <w:r w:rsidR="0003320D" w:rsidRPr="003676AB">
        <w:rPr>
          <w:rFonts w:ascii="TimesNewRoman" w:hAnsi="TimesNewRoman" w:cs="TimesNewRoman"/>
          <w:sz w:val="22"/>
          <w:szCs w:val="22"/>
        </w:rPr>
        <w:t xml:space="preserve"> </w:t>
      </w:r>
    </w:p>
    <w:p w14:paraId="39F9ACBF" w14:textId="1FA324F9" w:rsidR="008D44CB" w:rsidRPr="003676AB" w:rsidRDefault="009D24A1" w:rsidP="0003320D">
      <w:pPr>
        <w:autoSpaceDE w:val="0"/>
        <w:autoSpaceDN w:val="0"/>
        <w:adjustRightInd w:val="0"/>
        <w:spacing w:after="0"/>
        <w:rPr>
          <w:sz w:val="22"/>
          <w:szCs w:val="22"/>
        </w:rPr>
      </w:pPr>
      <w:r w:rsidRPr="003676AB">
        <w:rPr>
          <w:sz w:val="22"/>
          <w:szCs w:val="22"/>
        </w:rPr>
        <w:lastRenderedPageBreak/>
        <w:t>T</w:t>
      </w:r>
      <w:r w:rsidR="0003320D" w:rsidRPr="003676AB">
        <w:rPr>
          <w:sz w:val="22"/>
          <w:szCs w:val="22"/>
        </w:rPr>
        <w:t xml:space="preserve">he </w:t>
      </w:r>
      <w:r w:rsidR="00E2189D" w:rsidRPr="003676AB">
        <w:rPr>
          <w:sz w:val="22"/>
          <w:szCs w:val="22"/>
        </w:rPr>
        <w:t>CLS</w:t>
      </w:r>
      <w:r w:rsidR="0003320D" w:rsidRPr="003676AB">
        <w:rPr>
          <w:sz w:val="22"/>
          <w:szCs w:val="22"/>
        </w:rPr>
        <w:t xml:space="preserve"> and the Parliament</w:t>
      </w:r>
      <w:r w:rsidRPr="003676AB">
        <w:rPr>
          <w:sz w:val="22"/>
          <w:szCs w:val="22"/>
        </w:rPr>
        <w:t xml:space="preserve"> took a </w:t>
      </w:r>
      <w:r w:rsidR="008C50A5" w:rsidRPr="003676AB">
        <w:rPr>
          <w:sz w:val="22"/>
          <w:szCs w:val="22"/>
        </w:rPr>
        <w:t>narrower</w:t>
      </w:r>
      <w:r w:rsidRPr="003676AB">
        <w:rPr>
          <w:sz w:val="22"/>
          <w:szCs w:val="22"/>
        </w:rPr>
        <w:t xml:space="preserve"> approach to </w:t>
      </w:r>
      <w:r w:rsidR="007C0B5D" w:rsidRPr="003676AB">
        <w:rPr>
          <w:sz w:val="22"/>
          <w:szCs w:val="22"/>
        </w:rPr>
        <w:t>art.</w:t>
      </w:r>
      <w:r w:rsidRPr="003676AB">
        <w:rPr>
          <w:sz w:val="22"/>
          <w:szCs w:val="22"/>
        </w:rPr>
        <w:t xml:space="preserve"> 325 TFEU and instead </w:t>
      </w:r>
      <w:r w:rsidR="00DA77F4" w:rsidRPr="003676AB">
        <w:rPr>
          <w:sz w:val="22"/>
          <w:szCs w:val="22"/>
        </w:rPr>
        <w:t xml:space="preserve">proposed </w:t>
      </w:r>
      <w:r w:rsidRPr="003676AB">
        <w:rPr>
          <w:sz w:val="22"/>
          <w:szCs w:val="22"/>
        </w:rPr>
        <w:t>the more Member State-friendly</w:t>
      </w:r>
      <w:r w:rsidR="0003320D" w:rsidRPr="003676AB">
        <w:rPr>
          <w:sz w:val="22"/>
          <w:szCs w:val="22"/>
        </w:rPr>
        <w:t xml:space="preserve"> </w:t>
      </w:r>
      <w:r w:rsidR="007C0B5D" w:rsidRPr="003676AB">
        <w:rPr>
          <w:sz w:val="22"/>
          <w:szCs w:val="22"/>
        </w:rPr>
        <w:t>art.</w:t>
      </w:r>
      <w:r w:rsidR="0003320D" w:rsidRPr="003676AB">
        <w:rPr>
          <w:sz w:val="22"/>
          <w:szCs w:val="22"/>
        </w:rPr>
        <w:t xml:space="preserve"> 83(2) TFEU.</w:t>
      </w:r>
      <w:r w:rsidRPr="003676AB">
        <w:rPr>
          <w:sz w:val="22"/>
          <w:szCs w:val="22"/>
        </w:rPr>
        <w:t xml:space="preserve"> </w:t>
      </w:r>
      <w:r w:rsidR="00DA77F4" w:rsidRPr="003676AB">
        <w:rPr>
          <w:sz w:val="22"/>
          <w:szCs w:val="22"/>
        </w:rPr>
        <w:t xml:space="preserve">They argued that </w:t>
      </w:r>
      <w:r w:rsidRPr="003676AB">
        <w:rPr>
          <w:sz w:val="22"/>
          <w:szCs w:val="22"/>
        </w:rPr>
        <w:t xml:space="preserve">that the conditions of </w:t>
      </w:r>
      <w:r w:rsidR="007C0B5D" w:rsidRPr="003676AB">
        <w:rPr>
          <w:sz w:val="22"/>
          <w:szCs w:val="22"/>
        </w:rPr>
        <w:t>art.</w:t>
      </w:r>
      <w:r w:rsidRPr="003676AB">
        <w:rPr>
          <w:sz w:val="22"/>
          <w:szCs w:val="22"/>
        </w:rPr>
        <w:t xml:space="preserve"> 83(2) TFEU were satisfied. </w:t>
      </w:r>
      <w:r w:rsidR="00DA77F4" w:rsidRPr="003676AB">
        <w:rPr>
          <w:sz w:val="22"/>
          <w:szCs w:val="22"/>
        </w:rPr>
        <w:t>T</w:t>
      </w:r>
      <w:r w:rsidR="00A11B12" w:rsidRPr="003676AB">
        <w:rPr>
          <w:sz w:val="22"/>
          <w:szCs w:val="22"/>
        </w:rPr>
        <w:t>he PIF Proposal</w:t>
      </w:r>
      <w:r w:rsidRPr="003676AB">
        <w:rPr>
          <w:sz w:val="22"/>
          <w:szCs w:val="22"/>
        </w:rPr>
        <w:t xml:space="preserve"> </w:t>
      </w:r>
      <w:r w:rsidR="0003320D" w:rsidRPr="003676AB">
        <w:rPr>
          <w:sz w:val="22"/>
          <w:szCs w:val="22"/>
        </w:rPr>
        <w:t>intended</w:t>
      </w:r>
      <w:r w:rsidR="00A11B12" w:rsidRPr="003676AB">
        <w:rPr>
          <w:sz w:val="22"/>
          <w:szCs w:val="22"/>
        </w:rPr>
        <w:t xml:space="preserve"> </w:t>
      </w:r>
      <w:r w:rsidR="0003320D" w:rsidRPr="003676AB">
        <w:rPr>
          <w:sz w:val="22"/>
          <w:szCs w:val="22"/>
        </w:rPr>
        <w:t>to ensure the ‘effective implementation of a Union policy’</w:t>
      </w:r>
      <w:r w:rsidR="00DA77F4" w:rsidRPr="003676AB">
        <w:rPr>
          <w:sz w:val="22"/>
          <w:szCs w:val="22"/>
        </w:rPr>
        <w:t>,</w:t>
      </w:r>
      <w:r w:rsidR="00DC0706" w:rsidRPr="003676AB">
        <w:rPr>
          <w:rStyle w:val="Fotnotsreferens"/>
          <w:sz w:val="22"/>
          <w:szCs w:val="22"/>
        </w:rPr>
        <w:footnoteReference w:id="158"/>
      </w:r>
      <w:r w:rsidR="0003320D" w:rsidRPr="003676AB">
        <w:rPr>
          <w:sz w:val="22"/>
          <w:szCs w:val="22"/>
        </w:rPr>
        <w:t xml:space="preserve"> </w:t>
      </w:r>
      <w:r w:rsidR="00854D87" w:rsidRPr="003676AB">
        <w:rPr>
          <w:sz w:val="22"/>
          <w:szCs w:val="22"/>
        </w:rPr>
        <w:t>i</w:t>
      </w:r>
      <w:r w:rsidR="007C0B5D" w:rsidRPr="003676AB">
        <w:rPr>
          <w:sz w:val="22"/>
          <w:szCs w:val="22"/>
        </w:rPr>
        <w:t>.</w:t>
      </w:r>
      <w:r w:rsidR="00854D87" w:rsidRPr="003676AB">
        <w:rPr>
          <w:sz w:val="22"/>
          <w:szCs w:val="22"/>
        </w:rPr>
        <w:t>e</w:t>
      </w:r>
      <w:r w:rsidR="007C0B5D" w:rsidRPr="003676AB">
        <w:rPr>
          <w:sz w:val="22"/>
          <w:szCs w:val="22"/>
        </w:rPr>
        <w:t>.</w:t>
      </w:r>
      <w:r w:rsidR="0003320D" w:rsidRPr="003676AB">
        <w:rPr>
          <w:sz w:val="22"/>
          <w:szCs w:val="22"/>
        </w:rPr>
        <w:t xml:space="preserve"> the protection of the E</w:t>
      </w:r>
      <w:r w:rsidR="008B635C" w:rsidRPr="003676AB">
        <w:rPr>
          <w:sz w:val="22"/>
          <w:szCs w:val="22"/>
        </w:rPr>
        <w:t>U’s financial interests</w:t>
      </w:r>
      <w:r w:rsidR="00DA77F4" w:rsidRPr="003676AB">
        <w:rPr>
          <w:sz w:val="22"/>
          <w:szCs w:val="22"/>
        </w:rPr>
        <w:t xml:space="preserve">. Furthermore, </w:t>
      </w:r>
      <w:r w:rsidR="00A11B12" w:rsidRPr="003676AB">
        <w:rPr>
          <w:sz w:val="22"/>
          <w:szCs w:val="22"/>
        </w:rPr>
        <w:t>the proposal</w:t>
      </w:r>
      <w:r w:rsidR="0003320D" w:rsidRPr="003676AB">
        <w:rPr>
          <w:sz w:val="22"/>
          <w:szCs w:val="22"/>
        </w:rPr>
        <w:t xml:space="preserve"> </w:t>
      </w:r>
      <w:r w:rsidR="00AD048A" w:rsidRPr="003676AB">
        <w:rPr>
          <w:sz w:val="22"/>
          <w:szCs w:val="22"/>
        </w:rPr>
        <w:t xml:space="preserve">met </w:t>
      </w:r>
      <w:r w:rsidR="0003320D" w:rsidRPr="003676AB">
        <w:rPr>
          <w:sz w:val="22"/>
          <w:szCs w:val="22"/>
        </w:rPr>
        <w:t>the ‘harmon</w:t>
      </w:r>
      <w:r w:rsidR="00854D87" w:rsidRPr="003676AB">
        <w:rPr>
          <w:sz w:val="22"/>
          <w:szCs w:val="22"/>
        </w:rPr>
        <w:t>isa</w:t>
      </w:r>
      <w:r w:rsidR="0003320D" w:rsidRPr="003676AB">
        <w:rPr>
          <w:sz w:val="22"/>
          <w:szCs w:val="22"/>
        </w:rPr>
        <w:t>tion’ requirement</w:t>
      </w:r>
      <w:r w:rsidR="00DC0706" w:rsidRPr="003676AB">
        <w:rPr>
          <w:rStyle w:val="Fotnotsreferens"/>
          <w:sz w:val="22"/>
          <w:szCs w:val="22"/>
        </w:rPr>
        <w:footnoteReference w:id="159"/>
      </w:r>
      <w:r w:rsidR="0003320D" w:rsidRPr="003676AB">
        <w:rPr>
          <w:sz w:val="22"/>
          <w:szCs w:val="22"/>
        </w:rPr>
        <w:t xml:space="preserve"> since the policy in question had been subject to </w:t>
      </w:r>
      <w:r w:rsidR="00DA77F4" w:rsidRPr="003676AB">
        <w:rPr>
          <w:sz w:val="22"/>
          <w:szCs w:val="22"/>
        </w:rPr>
        <w:t xml:space="preserve">harmonisation </w:t>
      </w:r>
      <w:r w:rsidR="0003320D" w:rsidRPr="003676AB">
        <w:rPr>
          <w:sz w:val="22"/>
          <w:szCs w:val="22"/>
        </w:rPr>
        <w:t xml:space="preserve">measures, </w:t>
      </w:r>
      <w:proofErr w:type="gramStart"/>
      <w:r w:rsidR="0003320D" w:rsidRPr="003676AB">
        <w:rPr>
          <w:sz w:val="22"/>
          <w:szCs w:val="22"/>
        </w:rPr>
        <w:t>in particular Regulation</w:t>
      </w:r>
      <w:proofErr w:type="gramEnd"/>
      <w:r w:rsidR="0003320D" w:rsidRPr="003676AB">
        <w:rPr>
          <w:sz w:val="22"/>
          <w:szCs w:val="22"/>
        </w:rPr>
        <w:t xml:space="preserve"> 2988/95</w:t>
      </w:r>
      <w:r w:rsidR="003F63B9" w:rsidRPr="003676AB">
        <w:rPr>
          <w:sz w:val="22"/>
          <w:szCs w:val="22"/>
        </w:rPr>
        <w:t xml:space="preserve">. </w:t>
      </w:r>
      <w:r w:rsidR="00DA77F4" w:rsidRPr="003676AB">
        <w:rPr>
          <w:sz w:val="22"/>
          <w:szCs w:val="22"/>
        </w:rPr>
        <w:t>They</w:t>
      </w:r>
      <w:r w:rsidR="008B635C" w:rsidRPr="003676AB">
        <w:rPr>
          <w:sz w:val="22"/>
          <w:szCs w:val="22"/>
        </w:rPr>
        <w:t xml:space="preserve"> </w:t>
      </w:r>
      <w:r w:rsidR="00DA77F4" w:rsidRPr="003676AB">
        <w:rPr>
          <w:sz w:val="22"/>
          <w:szCs w:val="22"/>
        </w:rPr>
        <w:t xml:space="preserve">therefore </w:t>
      </w:r>
      <w:r w:rsidR="008B635C" w:rsidRPr="003676AB">
        <w:rPr>
          <w:sz w:val="22"/>
          <w:szCs w:val="22"/>
        </w:rPr>
        <w:t>argued</w:t>
      </w:r>
      <w:r w:rsidR="00A11B12" w:rsidRPr="003676AB">
        <w:rPr>
          <w:sz w:val="22"/>
          <w:szCs w:val="22"/>
        </w:rPr>
        <w:t xml:space="preserve"> </w:t>
      </w:r>
      <w:r w:rsidR="0003320D" w:rsidRPr="003676AB">
        <w:rPr>
          <w:sz w:val="22"/>
          <w:szCs w:val="22"/>
        </w:rPr>
        <w:t xml:space="preserve">that the </w:t>
      </w:r>
      <w:r w:rsidR="0089021B" w:rsidRPr="003676AB">
        <w:rPr>
          <w:sz w:val="22"/>
          <w:szCs w:val="22"/>
        </w:rPr>
        <w:t xml:space="preserve">proposal </w:t>
      </w:r>
      <w:r w:rsidR="00AD048A" w:rsidRPr="003676AB">
        <w:rPr>
          <w:sz w:val="22"/>
          <w:szCs w:val="22"/>
        </w:rPr>
        <w:t xml:space="preserve">met </w:t>
      </w:r>
      <w:r w:rsidR="0003320D" w:rsidRPr="003676AB">
        <w:rPr>
          <w:sz w:val="22"/>
          <w:szCs w:val="22"/>
        </w:rPr>
        <w:t>the</w:t>
      </w:r>
      <w:r w:rsidR="00C9167F" w:rsidRPr="003676AB">
        <w:rPr>
          <w:sz w:val="22"/>
          <w:szCs w:val="22"/>
        </w:rPr>
        <w:t xml:space="preserve"> condition that criminal laws must be ‘essential’ for the enforcement of EU policies</w:t>
      </w:r>
      <w:r w:rsidR="009D12E1" w:rsidRPr="003676AB">
        <w:rPr>
          <w:sz w:val="22"/>
          <w:szCs w:val="22"/>
        </w:rPr>
        <w:t xml:space="preserve"> and in this context </w:t>
      </w:r>
      <w:r w:rsidR="00A11B12" w:rsidRPr="003676AB">
        <w:rPr>
          <w:sz w:val="22"/>
          <w:szCs w:val="22"/>
        </w:rPr>
        <w:t>referr</w:t>
      </w:r>
      <w:r w:rsidR="009D12E1" w:rsidRPr="003676AB">
        <w:rPr>
          <w:sz w:val="22"/>
          <w:szCs w:val="22"/>
        </w:rPr>
        <w:t>ed</w:t>
      </w:r>
      <w:r w:rsidR="00A11B12" w:rsidRPr="003676AB">
        <w:rPr>
          <w:sz w:val="22"/>
          <w:szCs w:val="22"/>
        </w:rPr>
        <w:t xml:space="preserve"> to the Commission’s </w:t>
      </w:r>
      <w:r w:rsidR="008B635C" w:rsidRPr="003676AB">
        <w:rPr>
          <w:sz w:val="22"/>
          <w:szCs w:val="22"/>
        </w:rPr>
        <w:t xml:space="preserve">persuasive argument </w:t>
      </w:r>
      <w:r w:rsidR="00A11B12" w:rsidRPr="003676AB">
        <w:rPr>
          <w:sz w:val="22"/>
          <w:szCs w:val="22"/>
        </w:rPr>
        <w:t>to the effect that criminal law would be a necessary deterrent</w:t>
      </w:r>
      <w:r w:rsidR="008B635C" w:rsidRPr="003676AB">
        <w:rPr>
          <w:sz w:val="22"/>
          <w:szCs w:val="22"/>
        </w:rPr>
        <w:t xml:space="preserve"> in this policy field</w:t>
      </w:r>
      <w:r w:rsidR="0003320D" w:rsidRPr="003676AB">
        <w:rPr>
          <w:sz w:val="22"/>
          <w:szCs w:val="22"/>
        </w:rPr>
        <w:t>.</w:t>
      </w:r>
      <w:r w:rsidR="0003320D" w:rsidRPr="003676AB">
        <w:rPr>
          <w:sz w:val="22"/>
          <w:szCs w:val="22"/>
          <w:vertAlign w:val="superscript"/>
        </w:rPr>
        <w:footnoteReference w:id="160"/>
      </w:r>
      <w:r w:rsidR="0003320D" w:rsidRPr="003676AB">
        <w:rPr>
          <w:sz w:val="22"/>
          <w:szCs w:val="22"/>
        </w:rPr>
        <w:t xml:space="preserve"> </w:t>
      </w:r>
      <w:r w:rsidR="00C325A7" w:rsidRPr="003676AB">
        <w:rPr>
          <w:sz w:val="22"/>
          <w:szCs w:val="22"/>
        </w:rPr>
        <w:t>The Parliament and the CLS also re</w:t>
      </w:r>
      <w:r w:rsidR="008B635C" w:rsidRPr="003676AB">
        <w:rPr>
          <w:sz w:val="22"/>
          <w:szCs w:val="22"/>
        </w:rPr>
        <w:t xml:space="preserve">jected the claim that </w:t>
      </w:r>
      <w:r w:rsidR="007C0B5D" w:rsidRPr="003676AB">
        <w:rPr>
          <w:sz w:val="22"/>
          <w:szCs w:val="22"/>
        </w:rPr>
        <w:t>art.</w:t>
      </w:r>
      <w:r w:rsidR="00C325A7" w:rsidRPr="003676AB">
        <w:rPr>
          <w:sz w:val="22"/>
          <w:szCs w:val="22"/>
        </w:rPr>
        <w:t xml:space="preserve"> 325 TFEU </w:t>
      </w:r>
      <w:r w:rsidR="008B635C" w:rsidRPr="003676AB">
        <w:rPr>
          <w:sz w:val="22"/>
          <w:szCs w:val="22"/>
        </w:rPr>
        <w:t xml:space="preserve">would be </w:t>
      </w:r>
      <w:r w:rsidR="00C325A7" w:rsidRPr="003676AB">
        <w:rPr>
          <w:sz w:val="22"/>
          <w:szCs w:val="22"/>
        </w:rPr>
        <w:t xml:space="preserve">a </w:t>
      </w:r>
      <w:proofErr w:type="spellStart"/>
      <w:r w:rsidR="00C325A7" w:rsidRPr="003676AB">
        <w:rPr>
          <w:i/>
          <w:sz w:val="22"/>
          <w:szCs w:val="22"/>
        </w:rPr>
        <w:t>lex</w:t>
      </w:r>
      <w:proofErr w:type="spellEnd"/>
      <w:r w:rsidR="00C325A7" w:rsidRPr="003676AB">
        <w:rPr>
          <w:i/>
          <w:sz w:val="22"/>
          <w:szCs w:val="22"/>
        </w:rPr>
        <w:t xml:space="preserve"> </w:t>
      </w:r>
      <w:proofErr w:type="spellStart"/>
      <w:r w:rsidR="00C325A7" w:rsidRPr="003676AB">
        <w:rPr>
          <w:i/>
          <w:sz w:val="22"/>
          <w:szCs w:val="22"/>
        </w:rPr>
        <w:t>specialis</w:t>
      </w:r>
      <w:proofErr w:type="spellEnd"/>
      <w:r w:rsidR="00C325A7" w:rsidRPr="003676AB">
        <w:rPr>
          <w:sz w:val="22"/>
          <w:szCs w:val="22"/>
        </w:rPr>
        <w:t xml:space="preserve"> for criminalisation within the field of fraud. Such a construction could be extended to all other enabling provisions</w:t>
      </w:r>
      <w:r w:rsidR="00DA77F4" w:rsidRPr="003676AB">
        <w:rPr>
          <w:sz w:val="22"/>
          <w:szCs w:val="22"/>
        </w:rPr>
        <w:t>,</w:t>
      </w:r>
      <w:r w:rsidR="00C325A7" w:rsidRPr="003676AB">
        <w:rPr>
          <w:sz w:val="22"/>
          <w:szCs w:val="22"/>
        </w:rPr>
        <w:t xml:space="preserve"> depriving </w:t>
      </w:r>
      <w:r w:rsidR="007C0B5D" w:rsidRPr="003676AB">
        <w:rPr>
          <w:sz w:val="22"/>
          <w:szCs w:val="22"/>
        </w:rPr>
        <w:t>art.</w:t>
      </w:r>
      <w:r w:rsidR="00C325A7" w:rsidRPr="003676AB">
        <w:rPr>
          <w:sz w:val="22"/>
          <w:szCs w:val="22"/>
        </w:rPr>
        <w:t xml:space="preserve"> 83(2) TFEU of any practical meaning. Instead</w:t>
      </w:r>
      <w:r w:rsidR="00AD048A" w:rsidRPr="003676AB">
        <w:rPr>
          <w:sz w:val="22"/>
          <w:szCs w:val="22"/>
        </w:rPr>
        <w:t>,</w:t>
      </w:r>
      <w:r w:rsidR="00C325A7" w:rsidRPr="003676AB">
        <w:rPr>
          <w:sz w:val="22"/>
          <w:szCs w:val="22"/>
        </w:rPr>
        <w:t xml:space="preserve"> they claimed </w:t>
      </w:r>
      <w:r w:rsidR="00BD0C8C" w:rsidRPr="003676AB">
        <w:rPr>
          <w:sz w:val="22"/>
          <w:szCs w:val="22"/>
        </w:rPr>
        <w:t xml:space="preserve">that </w:t>
      </w:r>
      <w:r w:rsidR="00DF08FB" w:rsidRPr="003676AB">
        <w:rPr>
          <w:sz w:val="22"/>
          <w:szCs w:val="22"/>
        </w:rPr>
        <w:t>art.</w:t>
      </w:r>
      <w:r w:rsidR="00BD0C8C" w:rsidRPr="003676AB">
        <w:rPr>
          <w:sz w:val="22"/>
          <w:szCs w:val="22"/>
        </w:rPr>
        <w:t xml:space="preserve"> 83(2) TFEU was a </w:t>
      </w:r>
      <w:proofErr w:type="spellStart"/>
      <w:r w:rsidR="00BD0C8C" w:rsidRPr="003676AB">
        <w:rPr>
          <w:i/>
          <w:sz w:val="22"/>
          <w:szCs w:val="22"/>
        </w:rPr>
        <w:t>lex</w:t>
      </w:r>
      <w:proofErr w:type="spellEnd"/>
      <w:r w:rsidR="00BD0C8C" w:rsidRPr="003676AB">
        <w:rPr>
          <w:i/>
          <w:sz w:val="22"/>
          <w:szCs w:val="22"/>
        </w:rPr>
        <w:t xml:space="preserve"> </w:t>
      </w:r>
      <w:proofErr w:type="spellStart"/>
      <w:r w:rsidR="00BD0C8C" w:rsidRPr="003676AB">
        <w:rPr>
          <w:i/>
          <w:sz w:val="22"/>
          <w:szCs w:val="22"/>
        </w:rPr>
        <w:t>specialis</w:t>
      </w:r>
      <w:proofErr w:type="spellEnd"/>
      <w:r w:rsidR="00BD0C8C" w:rsidRPr="003676AB">
        <w:rPr>
          <w:sz w:val="22"/>
          <w:szCs w:val="22"/>
        </w:rPr>
        <w:t xml:space="preserve"> for a proposal such as the PIF Proposal which tried to define</w:t>
      </w:r>
      <w:r w:rsidR="0003320D" w:rsidRPr="003676AB">
        <w:rPr>
          <w:sz w:val="22"/>
          <w:szCs w:val="22"/>
        </w:rPr>
        <w:t xml:space="preserve"> </w:t>
      </w:r>
      <w:r w:rsidR="00AD048A" w:rsidRPr="003676AB">
        <w:rPr>
          <w:sz w:val="22"/>
          <w:szCs w:val="22"/>
        </w:rPr>
        <w:t>‘</w:t>
      </w:r>
      <w:r w:rsidR="0003320D" w:rsidRPr="003676AB">
        <w:rPr>
          <w:sz w:val="22"/>
          <w:szCs w:val="22"/>
        </w:rPr>
        <w:t>criminal offences and sanctions’</w:t>
      </w:r>
      <w:r w:rsidR="008B635C" w:rsidRPr="003676AB">
        <w:rPr>
          <w:sz w:val="22"/>
          <w:szCs w:val="22"/>
        </w:rPr>
        <w:t xml:space="preserve"> in the field of the EU’s financial interests</w:t>
      </w:r>
      <w:r w:rsidR="00C325A7" w:rsidRPr="003676AB">
        <w:rPr>
          <w:sz w:val="22"/>
          <w:szCs w:val="22"/>
        </w:rPr>
        <w:t>.</w:t>
      </w:r>
      <w:r w:rsidR="0003320D" w:rsidRPr="003676AB">
        <w:rPr>
          <w:sz w:val="22"/>
          <w:szCs w:val="22"/>
          <w:vertAlign w:val="superscript"/>
        </w:rPr>
        <w:footnoteReference w:id="161"/>
      </w:r>
      <w:r w:rsidR="00BD0C8C" w:rsidRPr="003676AB">
        <w:rPr>
          <w:sz w:val="22"/>
          <w:szCs w:val="22"/>
        </w:rPr>
        <w:t xml:space="preserve"> </w:t>
      </w:r>
      <w:r w:rsidR="00DC0706" w:rsidRPr="003676AB">
        <w:rPr>
          <w:sz w:val="22"/>
          <w:szCs w:val="22"/>
        </w:rPr>
        <w:t>This new legal basis was</w:t>
      </w:r>
      <w:r w:rsidR="00C325A7" w:rsidRPr="003676AB">
        <w:rPr>
          <w:sz w:val="22"/>
          <w:szCs w:val="22"/>
        </w:rPr>
        <w:t xml:space="preserve"> indeed</w:t>
      </w:r>
      <w:r w:rsidR="00DC0706" w:rsidRPr="003676AB">
        <w:rPr>
          <w:sz w:val="22"/>
          <w:szCs w:val="22"/>
        </w:rPr>
        <w:t xml:space="preserve"> introduced into </w:t>
      </w:r>
      <w:r w:rsidR="0003320D" w:rsidRPr="003676AB">
        <w:rPr>
          <w:sz w:val="22"/>
          <w:szCs w:val="22"/>
        </w:rPr>
        <w:t>the Lisbon Treaty</w:t>
      </w:r>
      <w:r w:rsidR="00DC0706" w:rsidRPr="003676AB">
        <w:rPr>
          <w:sz w:val="22"/>
          <w:szCs w:val="22"/>
        </w:rPr>
        <w:t xml:space="preserve"> with the aim of</w:t>
      </w:r>
      <w:r w:rsidR="0003320D" w:rsidRPr="003676AB">
        <w:rPr>
          <w:sz w:val="22"/>
          <w:szCs w:val="22"/>
        </w:rPr>
        <w:t xml:space="preserve"> exhaustively cover</w:t>
      </w:r>
      <w:r w:rsidR="00DC0706" w:rsidRPr="003676AB">
        <w:rPr>
          <w:sz w:val="22"/>
          <w:szCs w:val="22"/>
        </w:rPr>
        <w:t>ing</w:t>
      </w:r>
      <w:r w:rsidR="0003320D" w:rsidRPr="003676AB">
        <w:rPr>
          <w:sz w:val="22"/>
          <w:szCs w:val="22"/>
        </w:rPr>
        <w:t xml:space="preserve"> all cases where the EU legislature needed to </w:t>
      </w:r>
      <w:r w:rsidR="00DA77F4" w:rsidRPr="003676AB">
        <w:rPr>
          <w:sz w:val="22"/>
          <w:szCs w:val="22"/>
        </w:rPr>
        <w:t xml:space="preserve">effectively </w:t>
      </w:r>
      <w:r w:rsidR="0003320D" w:rsidRPr="003676AB">
        <w:rPr>
          <w:sz w:val="22"/>
          <w:szCs w:val="22"/>
        </w:rPr>
        <w:t>enforce its poli</w:t>
      </w:r>
      <w:r w:rsidR="00C325A7" w:rsidRPr="003676AB">
        <w:rPr>
          <w:sz w:val="22"/>
          <w:szCs w:val="22"/>
        </w:rPr>
        <w:t>cies through criminal sanctions</w:t>
      </w:r>
      <w:r w:rsidR="0003320D" w:rsidRPr="003676AB">
        <w:rPr>
          <w:sz w:val="22"/>
          <w:szCs w:val="22"/>
        </w:rPr>
        <w:t>.</w:t>
      </w:r>
      <w:r w:rsidR="0003320D" w:rsidRPr="003676AB">
        <w:rPr>
          <w:sz w:val="22"/>
          <w:szCs w:val="22"/>
          <w:vertAlign w:val="superscript"/>
        </w:rPr>
        <w:footnoteReference w:id="162"/>
      </w:r>
      <w:r w:rsidR="0003320D" w:rsidRPr="003676AB">
        <w:rPr>
          <w:sz w:val="22"/>
          <w:szCs w:val="22"/>
        </w:rPr>
        <w:t xml:space="preserve"> The prominence of </w:t>
      </w:r>
      <w:r w:rsidR="007C0B5D" w:rsidRPr="003676AB">
        <w:rPr>
          <w:sz w:val="22"/>
          <w:szCs w:val="22"/>
        </w:rPr>
        <w:t>art.</w:t>
      </w:r>
      <w:r w:rsidR="0003320D" w:rsidRPr="003676AB">
        <w:rPr>
          <w:sz w:val="22"/>
          <w:szCs w:val="22"/>
        </w:rPr>
        <w:t xml:space="preserve">83(2) TFEU </w:t>
      </w:r>
      <w:r w:rsidR="008B635C" w:rsidRPr="003676AB">
        <w:rPr>
          <w:sz w:val="22"/>
          <w:szCs w:val="22"/>
        </w:rPr>
        <w:t>was</w:t>
      </w:r>
      <w:r w:rsidR="0003320D" w:rsidRPr="003676AB">
        <w:rPr>
          <w:sz w:val="22"/>
          <w:szCs w:val="22"/>
        </w:rPr>
        <w:t xml:space="preserve"> reinforced by </w:t>
      </w:r>
      <w:r w:rsidR="00C9167F" w:rsidRPr="003676AB">
        <w:rPr>
          <w:sz w:val="22"/>
          <w:szCs w:val="22"/>
        </w:rPr>
        <w:t>the constraints</w:t>
      </w:r>
      <w:r w:rsidR="008B635C" w:rsidRPr="003676AB">
        <w:rPr>
          <w:sz w:val="22"/>
          <w:szCs w:val="22"/>
        </w:rPr>
        <w:t xml:space="preserve"> attached to the exercise of this</w:t>
      </w:r>
      <w:r w:rsidR="0003320D" w:rsidRPr="003676AB">
        <w:rPr>
          <w:sz w:val="22"/>
          <w:szCs w:val="22"/>
        </w:rPr>
        <w:t xml:space="preserve"> competence</w:t>
      </w:r>
      <w:r w:rsidR="00C9167F" w:rsidRPr="003676AB">
        <w:rPr>
          <w:sz w:val="22"/>
          <w:szCs w:val="22"/>
        </w:rPr>
        <w:t>:</w:t>
      </w:r>
      <w:r w:rsidR="0003320D" w:rsidRPr="003676AB">
        <w:rPr>
          <w:sz w:val="22"/>
          <w:szCs w:val="22"/>
        </w:rPr>
        <w:t xml:space="preserve"> the ‘essentiality’ condition</w:t>
      </w:r>
      <w:r w:rsidR="008B635C" w:rsidRPr="003676AB">
        <w:rPr>
          <w:sz w:val="22"/>
          <w:szCs w:val="22"/>
        </w:rPr>
        <w:t>,</w:t>
      </w:r>
      <w:r w:rsidR="00C9167F" w:rsidRPr="003676AB">
        <w:rPr>
          <w:sz w:val="22"/>
          <w:szCs w:val="22"/>
        </w:rPr>
        <w:t xml:space="preserve"> the fact that only ‘minimum’ rules could be adopted</w:t>
      </w:r>
      <w:r w:rsidR="008B635C" w:rsidRPr="003676AB">
        <w:rPr>
          <w:sz w:val="22"/>
          <w:szCs w:val="22"/>
        </w:rPr>
        <w:t xml:space="preserve"> and the existence of the ‘emergency brake’</w:t>
      </w:r>
      <w:r w:rsidR="00AD048A" w:rsidRPr="003676AB">
        <w:rPr>
          <w:sz w:val="22"/>
          <w:szCs w:val="22"/>
        </w:rPr>
        <w:t>.</w:t>
      </w:r>
      <w:r w:rsidR="008B635C" w:rsidRPr="003676AB">
        <w:rPr>
          <w:rStyle w:val="Fotnotsreferens"/>
          <w:sz w:val="22"/>
          <w:szCs w:val="22"/>
        </w:rPr>
        <w:footnoteReference w:id="163"/>
      </w:r>
      <w:r w:rsidR="008B635C" w:rsidRPr="003676AB">
        <w:rPr>
          <w:sz w:val="22"/>
          <w:szCs w:val="22"/>
        </w:rPr>
        <w:t xml:space="preserve"> </w:t>
      </w:r>
      <w:r w:rsidR="0003320D" w:rsidRPr="003676AB">
        <w:rPr>
          <w:sz w:val="22"/>
          <w:szCs w:val="22"/>
        </w:rPr>
        <w:t>To proceed with criminal law harmon</w:t>
      </w:r>
      <w:r w:rsidR="00854D87" w:rsidRPr="003676AB">
        <w:rPr>
          <w:sz w:val="22"/>
          <w:szCs w:val="22"/>
        </w:rPr>
        <w:t>isa</w:t>
      </w:r>
      <w:r w:rsidR="0003320D" w:rsidRPr="003676AB">
        <w:rPr>
          <w:sz w:val="22"/>
          <w:szCs w:val="22"/>
        </w:rPr>
        <w:t xml:space="preserve">tion on a different legal basis would </w:t>
      </w:r>
      <w:r w:rsidR="00DA77F4" w:rsidRPr="003676AB">
        <w:rPr>
          <w:sz w:val="22"/>
          <w:szCs w:val="22"/>
        </w:rPr>
        <w:t xml:space="preserve">amount to a circumvention of </w:t>
      </w:r>
      <w:r w:rsidR="00092EA6" w:rsidRPr="003676AB">
        <w:rPr>
          <w:sz w:val="22"/>
          <w:szCs w:val="22"/>
        </w:rPr>
        <w:t>these limits</w:t>
      </w:r>
      <w:r w:rsidR="0003320D" w:rsidRPr="003676AB">
        <w:rPr>
          <w:sz w:val="22"/>
          <w:szCs w:val="22"/>
        </w:rPr>
        <w:t>.</w:t>
      </w:r>
      <w:r w:rsidR="0003320D" w:rsidRPr="003676AB">
        <w:rPr>
          <w:rFonts w:ascii="TimesNewRoman" w:hAnsi="TimesNewRoman" w:cs="TimesNewRoman"/>
          <w:sz w:val="22"/>
          <w:szCs w:val="22"/>
          <w:vertAlign w:val="superscript"/>
        </w:rPr>
        <w:footnoteReference w:id="164"/>
      </w:r>
    </w:p>
    <w:p w14:paraId="4E293A5B" w14:textId="63356851" w:rsidR="0003320D" w:rsidRPr="003676AB" w:rsidRDefault="0003320D" w:rsidP="0003320D">
      <w:pPr>
        <w:tabs>
          <w:tab w:val="left" w:pos="0"/>
        </w:tabs>
        <w:rPr>
          <w:sz w:val="22"/>
          <w:szCs w:val="22"/>
        </w:rPr>
      </w:pPr>
      <w:r w:rsidRPr="003676AB">
        <w:rPr>
          <w:sz w:val="22"/>
          <w:szCs w:val="22"/>
        </w:rPr>
        <w:t>The key question is</w:t>
      </w:r>
      <w:r w:rsidR="008B635C" w:rsidRPr="003676AB">
        <w:rPr>
          <w:sz w:val="22"/>
          <w:szCs w:val="22"/>
        </w:rPr>
        <w:t xml:space="preserve"> clearly </w:t>
      </w:r>
      <w:r w:rsidR="00D0684A" w:rsidRPr="003676AB">
        <w:rPr>
          <w:sz w:val="22"/>
          <w:szCs w:val="22"/>
        </w:rPr>
        <w:t xml:space="preserve">which of </w:t>
      </w:r>
      <w:r w:rsidR="007C0B5D" w:rsidRPr="003676AB">
        <w:rPr>
          <w:sz w:val="22"/>
          <w:szCs w:val="22"/>
        </w:rPr>
        <w:t>art.</w:t>
      </w:r>
      <w:r w:rsidRPr="003676AB">
        <w:rPr>
          <w:sz w:val="22"/>
          <w:szCs w:val="22"/>
        </w:rPr>
        <w:t xml:space="preserve"> 83(2) TFEU </w:t>
      </w:r>
      <w:r w:rsidR="00D0684A" w:rsidRPr="003676AB">
        <w:rPr>
          <w:sz w:val="22"/>
          <w:szCs w:val="22"/>
        </w:rPr>
        <w:t xml:space="preserve">or </w:t>
      </w:r>
      <w:r w:rsidR="007C0B5D" w:rsidRPr="003676AB">
        <w:rPr>
          <w:sz w:val="22"/>
          <w:szCs w:val="22"/>
        </w:rPr>
        <w:t>art.</w:t>
      </w:r>
      <w:r w:rsidRPr="003676AB">
        <w:rPr>
          <w:sz w:val="22"/>
          <w:szCs w:val="22"/>
        </w:rPr>
        <w:t xml:space="preserve"> 325 TFEU should be considered the predo</w:t>
      </w:r>
      <w:r w:rsidR="006E5F6F" w:rsidRPr="003676AB">
        <w:rPr>
          <w:sz w:val="22"/>
          <w:szCs w:val="22"/>
        </w:rPr>
        <w:t>minant legal basis for the PIF P</w:t>
      </w:r>
      <w:r w:rsidRPr="003676AB">
        <w:rPr>
          <w:sz w:val="22"/>
          <w:szCs w:val="22"/>
        </w:rPr>
        <w:t>roposal</w:t>
      </w:r>
      <w:r w:rsidR="008B635C" w:rsidRPr="003676AB">
        <w:rPr>
          <w:sz w:val="22"/>
          <w:szCs w:val="22"/>
        </w:rPr>
        <w:t>, a directive</w:t>
      </w:r>
      <w:r w:rsidR="00697F4C" w:rsidRPr="003676AB">
        <w:rPr>
          <w:sz w:val="22"/>
          <w:szCs w:val="22"/>
        </w:rPr>
        <w:t xml:space="preserve"> which primarily intends to</w:t>
      </w:r>
      <w:r w:rsidR="008B635C" w:rsidRPr="003676AB">
        <w:rPr>
          <w:sz w:val="22"/>
          <w:szCs w:val="22"/>
        </w:rPr>
        <w:t xml:space="preserve"> </w:t>
      </w:r>
      <w:r w:rsidR="00697F4C" w:rsidRPr="003676AB">
        <w:rPr>
          <w:sz w:val="22"/>
          <w:szCs w:val="22"/>
        </w:rPr>
        <w:t>criminalise</w:t>
      </w:r>
      <w:r w:rsidR="008B635C" w:rsidRPr="003676AB">
        <w:rPr>
          <w:sz w:val="22"/>
          <w:szCs w:val="22"/>
        </w:rPr>
        <w:t xml:space="preserve"> </w:t>
      </w:r>
      <w:r w:rsidR="00697F4C" w:rsidRPr="003676AB">
        <w:rPr>
          <w:sz w:val="22"/>
          <w:szCs w:val="22"/>
        </w:rPr>
        <w:t>offences against the Union’s financial interests</w:t>
      </w:r>
      <w:r w:rsidR="00111466" w:rsidRPr="003676AB">
        <w:rPr>
          <w:sz w:val="22"/>
          <w:szCs w:val="22"/>
        </w:rPr>
        <w:t>.</w:t>
      </w:r>
      <w:r w:rsidR="00697F4C" w:rsidRPr="003676AB">
        <w:rPr>
          <w:sz w:val="22"/>
          <w:szCs w:val="22"/>
        </w:rPr>
        <w:t xml:space="preserve"> The point </w:t>
      </w:r>
      <w:r w:rsidR="00D0684A" w:rsidRPr="003676AB">
        <w:rPr>
          <w:sz w:val="22"/>
          <w:szCs w:val="22"/>
        </w:rPr>
        <w:t xml:space="preserve">of departure </w:t>
      </w:r>
      <w:r w:rsidR="00697F4C" w:rsidRPr="003676AB">
        <w:rPr>
          <w:sz w:val="22"/>
          <w:szCs w:val="22"/>
        </w:rPr>
        <w:t xml:space="preserve">for the analysis is </w:t>
      </w:r>
      <w:r w:rsidRPr="003676AB">
        <w:rPr>
          <w:sz w:val="22"/>
          <w:szCs w:val="22"/>
        </w:rPr>
        <w:t>the guidelines provided by the Court’s general case law on legal basis.</w:t>
      </w:r>
      <w:r w:rsidR="00697F4C" w:rsidRPr="003676AB">
        <w:rPr>
          <w:rStyle w:val="Fotnotsreferens"/>
          <w:sz w:val="22"/>
          <w:szCs w:val="22"/>
        </w:rPr>
        <w:footnoteReference w:id="165"/>
      </w:r>
      <w:r w:rsidRPr="003676AB">
        <w:rPr>
          <w:sz w:val="22"/>
          <w:szCs w:val="22"/>
        </w:rPr>
        <w:t xml:space="preserve"> </w:t>
      </w:r>
      <w:r w:rsidR="00D0684A" w:rsidRPr="003676AB">
        <w:rPr>
          <w:sz w:val="22"/>
          <w:szCs w:val="22"/>
        </w:rPr>
        <w:t xml:space="preserve">According to </w:t>
      </w:r>
      <w:r w:rsidRPr="003676AB">
        <w:rPr>
          <w:sz w:val="22"/>
          <w:szCs w:val="22"/>
        </w:rPr>
        <w:t xml:space="preserve">the Court’s </w:t>
      </w:r>
      <w:r w:rsidR="00D0684A" w:rsidRPr="003676AB">
        <w:rPr>
          <w:sz w:val="22"/>
          <w:szCs w:val="22"/>
        </w:rPr>
        <w:t>well-</w:t>
      </w:r>
      <w:r w:rsidRPr="003676AB">
        <w:rPr>
          <w:sz w:val="22"/>
          <w:szCs w:val="22"/>
        </w:rPr>
        <w:t>established case law</w:t>
      </w:r>
      <w:r w:rsidR="00D0684A" w:rsidRPr="003676AB">
        <w:rPr>
          <w:sz w:val="22"/>
          <w:szCs w:val="22"/>
        </w:rPr>
        <w:t>,</w:t>
      </w:r>
      <w:r w:rsidRPr="003676AB">
        <w:rPr>
          <w:sz w:val="22"/>
          <w:szCs w:val="22"/>
        </w:rPr>
        <w:t xml:space="preserve"> the choice of the legal basis for a Union measure must </w:t>
      </w:r>
      <w:r w:rsidR="00D0684A" w:rsidRPr="003676AB">
        <w:rPr>
          <w:sz w:val="22"/>
          <w:szCs w:val="22"/>
        </w:rPr>
        <w:t xml:space="preserve">be based </w:t>
      </w:r>
      <w:r w:rsidRPr="003676AB">
        <w:rPr>
          <w:sz w:val="22"/>
          <w:szCs w:val="22"/>
        </w:rPr>
        <w:t xml:space="preserve">on objective factors amenable to judicial </w:t>
      </w:r>
      <w:r w:rsidRPr="003676AB">
        <w:rPr>
          <w:sz w:val="22"/>
          <w:szCs w:val="22"/>
        </w:rPr>
        <w:lastRenderedPageBreak/>
        <w:t>review, which include the aim and the content of that measure.</w:t>
      </w:r>
      <w:r w:rsidRPr="003676AB">
        <w:rPr>
          <w:sz w:val="22"/>
          <w:szCs w:val="22"/>
          <w:vertAlign w:val="superscript"/>
        </w:rPr>
        <w:footnoteReference w:id="166"/>
      </w:r>
      <w:r w:rsidRPr="003676AB">
        <w:rPr>
          <w:sz w:val="22"/>
          <w:szCs w:val="22"/>
        </w:rPr>
        <w:t xml:space="preserve"> If a measure then pursues two </w:t>
      </w:r>
      <w:r w:rsidR="00D0684A" w:rsidRPr="003676AB">
        <w:rPr>
          <w:sz w:val="22"/>
          <w:szCs w:val="22"/>
        </w:rPr>
        <w:t xml:space="preserve">or more aims or </w:t>
      </w:r>
      <w:r w:rsidRPr="003676AB">
        <w:rPr>
          <w:sz w:val="22"/>
          <w:szCs w:val="22"/>
        </w:rPr>
        <w:t xml:space="preserve">components and one of those aims or components is identifiable as </w:t>
      </w:r>
      <w:r w:rsidR="00D0684A" w:rsidRPr="003676AB">
        <w:rPr>
          <w:sz w:val="22"/>
          <w:szCs w:val="22"/>
        </w:rPr>
        <w:t>the principal and the</w:t>
      </w:r>
      <w:r w:rsidRPr="003676AB">
        <w:rPr>
          <w:sz w:val="22"/>
          <w:szCs w:val="22"/>
        </w:rPr>
        <w:t xml:space="preserve"> other is </w:t>
      </w:r>
      <w:r w:rsidR="00D0684A" w:rsidRPr="003676AB">
        <w:rPr>
          <w:sz w:val="22"/>
          <w:szCs w:val="22"/>
        </w:rPr>
        <w:t xml:space="preserve">considered </w:t>
      </w:r>
      <w:r w:rsidRPr="003676AB">
        <w:rPr>
          <w:sz w:val="22"/>
          <w:szCs w:val="22"/>
        </w:rPr>
        <w:t>merely incidental</w:t>
      </w:r>
      <w:r w:rsidR="00D0684A" w:rsidRPr="003676AB">
        <w:rPr>
          <w:sz w:val="22"/>
          <w:szCs w:val="22"/>
        </w:rPr>
        <w:t>,</w:t>
      </w:r>
      <w:r w:rsidRPr="003676AB">
        <w:rPr>
          <w:sz w:val="22"/>
          <w:szCs w:val="22"/>
        </w:rPr>
        <w:t xml:space="preserve"> the measure must be founded on the legal basis required by the predominant aim or component.</w:t>
      </w:r>
      <w:r w:rsidRPr="003676AB">
        <w:rPr>
          <w:sz w:val="22"/>
          <w:szCs w:val="22"/>
          <w:vertAlign w:val="superscript"/>
        </w:rPr>
        <w:footnoteReference w:id="167"/>
      </w:r>
      <w:r w:rsidRPr="003676AB">
        <w:rPr>
          <w:sz w:val="22"/>
          <w:szCs w:val="22"/>
        </w:rPr>
        <w:t xml:space="preserve"> Furthermore, where the Treaty contains a more specific provision that is capable of constituting the legal basis for the measure in question, the measure must be founded on that provision (</w:t>
      </w:r>
      <w:proofErr w:type="spellStart"/>
      <w:r w:rsidRPr="003676AB">
        <w:rPr>
          <w:i/>
          <w:sz w:val="22"/>
          <w:szCs w:val="22"/>
        </w:rPr>
        <w:t>lex</w:t>
      </w:r>
      <w:proofErr w:type="spellEnd"/>
      <w:r w:rsidRPr="003676AB">
        <w:rPr>
          <w:i/>
          <w:sz w:val="22"/>
          <w:szCs w:val="22"/>
        </w:rPr>
        <w:t xml:space="preserve"> </w:t>
      </w:r>
      <w:proofErr w:type="spellStart"/>
      <w:r w:rsidRPr="003676AB">
        <w:rPr>
          <w:i/>
          <w:sz w:val="22"/>
          <w:szCs w:val="22"/>
        </w:rPr>
        <w:t>specialis</w:t>
      </w:r>
      <w:proofErr w:type="spellEnd"/>
      <w:r w:rsidRPr="003676AB">
        <w:rPr>
          <w:sz w:val="22"/>
          <w:szCs w:val="22"/>
        </w:rPr>
        <w:t>).</w:t>
      </w:r>
      <w:r w:rsidRPr="003676AB">
        <w:rPr>
          <w:sz w:val="22"/>
          <w:szCs w:val="22"/>
          <w:vertAlign w:val="superscript"/>
        </w:rPr>
        <w:footnoteReference w:id="168"/>
      </w:r>
      <w:r w:rsidRPr="003676AB">
        <w:rPr>
          <w:sz w:val="22"/>
          <w:szCs w:val="22"/>
        </w:rPr>
        <w:t xml:space="preserve"> </w:t>
      </w:r>
    </w:p>
    <w:p w14:paraId="20B36FD7" w14:textId="416676E3" w:rsidR="00386089" w:rsidRPr="003676AB" w:rsidRDefault="00CD6068" w:rsidP="00092EA6">
      <w:pPr>
        <w:spacing w:before="100" w:beforeAutospacing="1" w:after="240"/>
        <w:ind w:left="28"/>
        <w:rPr>
          <w:sz w:val="22"/>
          <w:szCs w:val="22"/>
          <w:lang w:eastAsia="sv-SE"/>
        </w:rPr>
      </w:pPr>
      <w:r w:rsidRPr="003676AB">
        <w:rPr>
          <w:sz w:val="22"/>
          <w:szCs w:val="22"/>
          <w:lang w:eastAsia="sv-SE"/>
        </w:rPr>
        <w:t>Based on</w:t>
      </w:r>
      <w:r w:rsidR="0003320D" w:rsidRPr="003676AB">
        <w:rPr>
          <w:sz w:val="22"/>
          <w:szCs w:val="22"/>
          <w:lang w:eastAsia="sv-SE"/>
        </w:rPr>
        <w:t xml:space="preserve"> these</w:t>
      </w:r>
      <w:r w:rsidR="00092EA6" w:rsidRPr="003676AB">
        <w:rPr>
          <w:sz w:val="22"/>
          <w:szCs w:val="22"/>
          <w:lang w:eastAsia="sv-SE"/>
        </w:rPr>
        <w:t xml:space="preserve"> very general</w:t>
      </w:r>
      <w:r w:rsidR="0003320D" w:rsidRPr="003676AB">
        <w:rPr>
          <w:sz w:val="22"/>
          <w:szCs w:val="22"/>
          <w:lang w:eastAsia="sv-SE"/>
        </w:rPr>
        <w:t xml:space="preserve"> standards,</w:t>
      </w:r>
      <w:r w:rsidR="00092EA6" w:rsidRPr="003676AB">
        <w:rPr>
          <w:sz w:val="22"/>
          <w:szCs w:val="22"/>
          <w:lang w:eastAsia="sv-SE"/>
        </w:rPr>
        <w:t xml:space="preserve"> it follows that making a choice for this proposal is a very delicate task. </w:t>
      </w:r>
      <w:r w:rsidR="0003320D" w:rsidRPr="003676AB">
        <w:rPr>
          <w:sz w:val="22"/>
          <w:szCs w:val="22"/>
          <w:lang w:eastAsia="sv-SE"/>
        </w:rPr>
        <w:t>Art</w:t>
      </w:r>
      <w:r w:rsidR="002F0344" w:rsidRPr="003676AB">
        <w:rPr>
          <w:sz w:val="22"/>
          <w:szCs w:val="22"/>
          <w:lang w:eastAsia="sv-SE"/>
        </w:rPr>
        <w:t>.</w:t>
      </w:r>
      <w:r w:rsidR="0003320D" w:rsidRPr="003676AB">
        <w:rPr>
          <w:sz w:val="22"/>
          <w:szCs w:val="22"/>
          <w:lang w:eastAsia="sv-SE"/>
        </w:rPr>
        <w:t xml:space="preserve"> 325(4) TFEU offers</w:t>
      </w:r>
      <w:r w:rsidR="0068192F" w:rsidRPr="003676AB">
        <w:rPr>
          <w:sz w:val="22"/>
          <w:szCs w:val="22"/>
          <w:lang w:eastAsia="sv-SE"/>
        </w:rPr>
        <w:t xml:space="preserve"> on the one hand</w:t>
      </w:r>
      <w:r w:rsidR="0003320D" w:rsidRPr="003676AB">
        <w:rPr>
          <w:sz w:val="22"/>
          <w:szCs w:val="22"/>
          <w:lang w:eastAsia="sv-SE"/>
        </w:rPr>
        <w:t xml:space="preserve"> a broad competence to adopt ‘measures in the fields of the</w:t>
      </w:r>
      <w:r w:rsidR="00111466" w:rsidRPr="003676AB">
        <w:rPr>
          <w:sz w:val="22"/>
          <w:szCs w:val="22"/>
          <w:lang w:eastAsia="sv-SE"/>
        </w:rPr>
        <w:t>…</w:t>
      </w:r>
      <w:r w:rsidR="0003320D" w:rsidRPr="003676AB">
        <w:rPr>
          <w:sz w:val="22"/>
          <w:szCs w:val="22"/>
          <w:lang w:eastAsia="sv-SE"/>
        </w:rPr>
        <w:t xml:space="preserve"> fight against fraud affecting the financial interests of the Union with a view to affording effective</w:t>
      </w:r>
      <w:r w:rsidR="00111466" w:rsidRPr="003676AB">
        <w:rPr>
          <w:sz w:val="22"/>
          <w:szCs w:val="22"/>
          <w:lang w:eastAsia="sv-SE"/>
        </w:rPr>
        <w:t>…</w:t>
      </w:r>
      <w:r w:rsidR="0003320D" w:rsidRPr="003676AB">
        <w:rPr>
          <w:sz w:val="22"/>
          <w:szCs w:val="22"/>
          <w:lang w:eastAsia="sv-SE"/>
        </w:rPr>
        <w:t xml:space="preserve"> protection’.</w:t>
      </w:r>
      <w:r w:rsidR="00DA0E44" w:rsidRPr="003676AB">
        <w:rPr>
          <w:sz w:val="22"/>
          <w:szCs w:val="22"/>
        </w:rPr>
        <w:t xml:space="preserve"> </w:t>
      </w:r>
      <w:r w:rsidR="00C442DA" w:rsidRPr="003676AB">
        <w:rPr>
          <w:sz w:val="22"/>
          <w:szCs w:val="22"/>
          <w:lang w:eastAsia="sv-SE"/>
        </w:rPr>
        <w:t xml:space="preserve">If the EU has been provided with a budget, it </w:t>
      </w:r>
      <w:r w:rsidR="00386089" w:rsidRPr="003676AB">
        <w:rPr>
          <w:sz w:val="22"/>
          <w:szCs w:val="22"/>
          <w:lang w:eastAsia="sv-SE"/>
        </w:rPr>
        <w:t>is only reasonable that it has</w:t>
      </w:r>
      <w:r w:rsidR="00C442DA" w:rsidRPr="003676AB">
        <w:rPr>
          <w:sz w:val="22"/>
          <w:szCs w:val="22"/>
          <w:lang w:eastAsia="sv-SE"/>
        </w:rPr>
        <w:t xml:space="preserve"> </w:t>
      </w:r>
      <w:r w:rsidR="009C12C7" w:rsidRPr="003676AB">
        <w:rPr>
          <w:sz w:val="22"/>
          <w:szCs w:val="22"/>
          <w:lang w:eastAsia="sv-SE"/>
        </w:rPr>
        <w:t>the possibility to protect its</w:t>
      </w:r>
      <w:r w:rsidR="00C442DA" w:rsidRPr="003676AB">
        <w:rPr>
          <w:sz w:val="22"/>
          <w:szCs w:val="22"/>
          <w:lang w:eastAsia="sv-SE"/>
        </w:rPr>
        <w:t xml:space="preserve"> interests </w:t>
      </w:r>
      <w:r w:rsidR="00386089" w:rsidRPr="003676AB">
        <w:rPr>
          <w:sz w:val="22"/>
          <w:szCs w:val="22"/>
          <w:lang w:eastAsia="sv-SE"/>
        </w:rPr>
        <w:t xml:space="preserve">in an </w:t>
      </w:r>
      <w:r w:rsidR="00C442DA" w:rsidRPr="003676AB">
        <w:rPr>
          <w:sz w:val="22"/>
          <w:szCs w:val="22"/>
          <w:lang w:eastAsia="sv-SE"/>
        </w:rPr>
        <w:t xml:space="preserve">effective </w:t>
      </w:r>
      <w:r w:rsidR="00386089" w:rsidRPr="003676AB">
        <w:rPr>
          <w:sz w:val="22"/>
          <w:szCs w:val="22"/>
          <w:lang w:eastAsia="sv-SE"/>
        </w:rPr>
        <w:t>manner</w:t>
      </w:r>
      <w:r w:rsidR="00092EA6" w:rsidRPr="003676AB">
        <w:rPr>
          <w:sz w:val="22"/>
          <w:szCs w:val="22"/>
          <w:lang w:eastAsia="sv-SE"/>
        </w:rPr>
        <w:t>, if necessary by criminal laws</w:t>
      </w:r>
      <w:r w:rsidR="00F06684" w:rsidRPr="003676AB">
        <w:rPr>
          <w:sz w:val="22"/>
          <w:szCs w:val="22"/>
          <w:lang w:eastAsia="sv-SE"/>
        </w:rPr>
        <w:t>.</w:t>
      </w:r>
      <w:r w:rsidR="00C442DA" w:rsidRPr="003676AB">
        <w:rPr>
          <w:sz w:val="22"/>
          <w:szCs w:val="22"/>
          <w:vertAlign w:val="superscript"/>
        </w:rPr>
        <w:footnoteReference w:id="169"/>
      </w:r>
      <w:r w:rsidR="0003320D" w:rsidRPr="003676AB">
        <w:rPr>
          <w:sz w:val="22"/>
          <w:szCs w:val="22"/>
          <w:vertAlign w:val="superscript"/>
        </w:rPr>
        <w:t xml:space="preserve"> </w:t>
      </w:r>
      <w:r w:rsidR="00092EA6" w:rsidRPr="003676AB">
        <w:rPr>
          <w:sz w:val="22"/>
          <w:szCs w:val="22"/>
          <w:lang w:eastAsia="sv-SE"/>
        </w:rPr>
        <w:t>T</w:t>
      </w:r>
      <w:r w:rsidR="0003320D" w:rsidRPr="003676AB">
        <w:rPr>
          <w:sz w:val="22"/>
          <w:szCs w:val="22"/>
          <w:lang w:eastAsia="sv-SE"/>
        </w:rPr>
        <w:t xml:space="preserve">he title of the Directive itself, </w:t>
      </w:r>
      <w:r w:rsidR="008603FB" w:rsidRPr="003676AB">
        <w:rPr>
          <w:sz w:val="22"/>
          <w:szCs w:val="22"/>
          <w:lang w:eastAsia="sv-SE"/>
        </w:rPr>
        <w:t>‘</w:t>
      </w:r>
      <w:r w:rsidR="0003320D" w:rsidRPr="003676AB">
        <w:rPr>
          <w:sz w:val="22"/>
          <w:szCs w:val="22"/>
          <w:lang w:eastAsia="sv-SE"/>
        </w:rPr>
        <w:t>the fight against fraud to the Union’s financial interests by means of criminal law’,</w:t>
      </w:r>
      <w:r w:rsidR="00092EA6" w:rsidRPr="003676AB">
        <w:rPr>
          <w:sz w:val="22"/>
          <w:szCs w:val="22"/>
          <w:lang w:eastAsia="sv-SE"/>
        </w:rPr>
        <w:t xml:space="preserve"> also</w:t>
      </w:r>
      <w:r w:rsidR="0003320D" w:rsidRPr="003676AB">
        <w:rPr>
          <w:sz w:val="22"/>
          <w:szCs w:val="22"/>
          <w:lang w:eastAsia="sv-SE"/>
        </w:rPr>
        <w:t xml:space="preserve"> suggests that it falls within </w:t>
      </w:r>
      <w:r w:rsidR="00B90C79" w:rsidRPr="003676AB">
        <w:rPr>
          <w:sz w:val="22"/>
          <w:szCs w:val="22"/>
          <w:lang w:eastAsia="sv-SE"/>
        </w:rPr>
        <w:t>art.</w:t>
      </w:r>
      <w:r w:rsidR="0003320D" w:rsidRPr="003676AB">
        <w:rPr>
          <w:sz w:val="22"/>
          <w:szCs w:val="22"/>
          <w:lang w:eastAsia="sv-SE"/>
        </w:rPr>
        <w:t xml:space="preserve"> 325(4) TFEU</w:t>
      </w:r>
      <w:r w:rsidR="00386089" w:rsidRPr="003676AB">
        <w:rPr>
          <w:sz w:val="22"/>
          <w:szCs w:val="22"/>
          <w:lang w:eastAsia="sv-SE"/>
        </w:rPr>
        <w:t>,</w:t>
      </w:r>
      <w:r w:rsidR="0003320D" w:rsidRPr="003676AB">
        <w:rPr>
          <w:sz w:val="22"/>
          <w:szCs w:val="22"/>
          <w:lang w:eastAsia="sv-SE"/>
        </w:rPr>
        <w:t xml:space="preserve"> which confer</w:t>
      </w:r>
      <w:r w:rsidR="00386089" w:rsidRPr="003676AB">
        <w:rPr>
          <w:sz w:val="22"/>
          <w:szCs w:val="22"/>
          <w:lang w:eastAsia="sv-SE"/>
        </w:rPr>
        <w:t>s</w:t>
      </w:r>
      <w:r w:rsidR="0003320D" w:rsidRPr="003676AB">
        <w:rPr>
          <w:sz w:val="22"/>
          <w:szCs w:val="22"/>
          <w:lang w:eastAsia="sv-SE"/>
        </w:rPr>
        <w:t xml:space="preserve"> </w:t>
      </w:r>
      <w:r w:rsidR="00F06684" w:rsidRPr="003676AB">
        <w:rPr>
          <w:sz w:val="22"/>
          <w:szCs w:val="22"/>
          <w:lang w:eastAsia="sv-SE"/>
        </w:rPr>
        <w:t xml:space="preserve">a </w:t>
      </w:r>
      <w:r w:rsidR="0003320D" w:rsidRPr="003676AB">
        <w:rPr>
          <w:sz w:val="22"/>
          <w:szCs w:val="22"/>
          <w:lang w:eastAsia="sv-SE"/>
        </w:rPr>
        <w:t xml:space="preserve">competence </w:t>
      </w:r>
      <w:r w:rsidR="00F06684" w:rsidRPr="003676AB">
        <w:rPr>
          <w:sz w:val="22"/>
          <w:szCs w:val="22"/>
          <w:lang w:eastAsia="sv-SE"/>
        </w:rPr>
        <w:t xml:space="preserve">on the EU legislator </w:t>
      </w:r>
      <w:r w:rsidR="0003320D" w:rsidRPr="003676AB">
        <w:rPr>
          <w:sz w:val="22"/>
          <w:szCs w:val="22"/>
          <w:lang w:eastAsia="sv-SE"/>
        </w:rPr>
        <w:t xml:space="preserve">to adopt the measures </w:t>
      </w:r>
      <w:r w:rsidR="00386089" w:rsidRPr="003676AB">
        <w:rPr>
          <w:sz w:val="22"/>
          <w:szCs w:val="22"/>
          <w:lang w:eastAsia="sv-SE"/>
        </w:rPr>
        <w:t xml:space="preserve">deemed ‘necessary’ </w:t>
      </w:r>
      <w:r w:rsidR="0003320D" w:rsidRPr="003676AB">
        <w:rPr>
          <w:sz w:val="22"/>
          <w:szCs w:val="22"/>
          <w:lang w:eastAsia="sv-SE"/>
        </w:rPr>
        <w:t xml:space="preserve">in this field. </w:t>
      </w:r>
    </w:p>
    <w:p w14:paraId="78DF42C6" w14:textId="249ADB35" w:rsidR="0003320D" w:rsidRPr="003676AB" w:rsidRDefault="00F06684" w:rsidP="00092EA6">
      <w:pPr>
        <w:spacing w:before="100" w:beforeAutospacing="1" w:after="240"/>
        <w:ind w:left="28"/>
        <w:rPr>
          <w:sz w:val="22"/>
          <w:szCs w:val="22"/>
          <w:lang w:eastAsia="sv-SE"/>
        </w:rPr>
      </w:pPr>
      <w:r w:rsidRPr="003676AB">
        <w:rPr>
          <w:sz w:val="22"/>
          <w:szCs w:val="22"/>
          <w:lang w:eastAsia="sv-SE"/>
        </w:rPr>
        <w:t>It</w:t>
      </w:r>
      <w:r w:rsidR="009C12C7" w:rsidRPr="003676AB">
        <w:rPr>
          <w:sz w:val="22"/>
          <w:szCs w:val="22"/>
          <w:lang w:eastAsia="sv-SE"/>
        </w:rPr>
        <w:t xml:space="preserve"> appears </w:t>
      </w:r>
      <w:r w:rsidRPr="003676AB">
        <w:rPr>
          <w:sz w:val="22"/>
          <w:szCs w:val="22"/>
          <w:lang w:eastAsia="sv-SE"/>
        </w:rPr>
        <w:t xml:space="preserve">however </w:t>
      </w:r>
      <w:r w:rsidR="009C12C7" w:rsidRPr="003676AB">
        <w:rPr>
          <w:sz w:val="22"/>
          <w:szCs w:val="22"/>
          <w:lang w:eastAsia="sv-SE"/>
        </w:rPr>
        <w:t xml:space="preserve">that there is an equally compelling case for employing </w:t>
      </w:r>
      <w:r w:rsidR="002F0344" w:rsidRPr="003676AB">
        <w:rPr>
          <w:sz w:val="22"/>
          <w:szCs w:val="22"/>
          <w:lang w:eastAsia="sv-SE"/>
        </w:rPr>
        <w:t>art.</w:t>
      </w:r>
      <w:r w:rsidR="009C12C7" w:rsidRPr="003676AB">
        <w:rPr>
          <w:sz w:val="22"/>
          <w:szCs w:val="22"/>
          <w:lang w:eastAsia="sv-SE"/>
        </w:rPr>
        <w:t xml:space="preserve"> 83(2) TFEU for the PIF Proposal.</w:t>
      </w:r>
      <w:r w:rsidR="009C12C7" w:rsidRPr="003676AB">
        <w:rPr>
          <w:sz w:val="22"/>
          <w:szCs w:val="22"/>
          <w:vertAlign w:val="superscript"/>
          <w:lang w:eastAsia="sv-SE"/>
        </w:rPr>
        <w:footnoteReference w:id="170"/>
      </w:r>
      <w:r w:rsidR="009C12C7" w:rsidRPr="003676AB">
        <w:rPr>
          <w:sz w:val="22"/>
          <w:szCs w:val="22"/>
          <w:lang w:eastAsia="sv-SE"/>
        </w:rPr>
        <w:t xml:space="preserve"> This provision confers a</w:t>
      </w:r>
      <w:r w:rsidR="00092EA6" w:rsidRPr="003676AB">
        <w:rPr>
          <w:sz w:val="22"/>
          <w:szCs w:val="22"/>
          <w:lang w:eastAsia="sv-SE"/>
        </w:rPr>
        <w:t xml:space="preserve"> wide scope for the EU legislator to adopt measures that are ‘essential’ for the enforcement of an EU policy which has already been subject to ‘harmonisation’ measures. </w:t>
      </w:r>
      <w:r w:rsidR="00111466" w:rsidRPr="003676AB">
        <w:rPr>
          <w:sz w:val="22"/>
          <w:szCs w:val="22"/>
          <w:lang w:eastAsia="sv-SE"/>
        </w:rPr>
        <w:t>T</w:t>
      </w:r>
      <w:r w:rsidR="0003320D" w:rsidRPr="003676AB">
        <w:rPr>
          <w:sz w:val="22"/>
          <w:szCs w:val="22"/>
          <w:lang w:eastAsia="sv-SE"/>
        </w:rPr>
        <w:t xml:space="preserve">here is a </w:t>
      </w:r>
      <w:r w:rsidR="009C12C7" w:rsidRPr="003676AB">
        <w:rPr>
          <w:sz w:val="22"/>
          <w:szCs w:val="22"/>
          <w:lang w:eastAsia="sv-SE"/>
        </w:rPr>
        <w:t>‘</w:t>
      </w:r>
      <w:r w:rsidR="0003320D" w:rsidRPr="003676AB">
        <w:rPr>
          <w:sz w:val="22"/>
          <w:szCs w:val="22"/>
          <w:lang w:eastAsia="sv-SE"/>
        </w:rPr>
        <w:t>harmon</w:t>
      </w:r>
      <w:r w:rsidR="00854D87" w:rsidRPr="003676AB">
        <w:rPr>
          <w:sz w:val="22"/>
          <w:szCs w:val="22"/>
          <w:lang w:eastAsia="sv-SE"/>
        </w:rPr>
        <w:t>isa</w:t>
      </w:r>
      <w:r w:rsidR="0003320D" w:rsidRPr="003676AB">
        <w:rPr>
          <w:sz w:val="22"/>
          <w:szCs w:val="22"/>
          <w:lang w:eastAsia="sv-SE"/>
        </w:rPr>
        <w:t>tion</w:t>
      </w:r>
      <w:r w:rsidR="009C12C7" w:rsidRPr="003676AB">
        <w:rPr>
          <w:sz w:val="22"/>
          <w:szCs w:val="22"/>
          <w:lang w:eastAsia="sv-SE"/>
        </w:rPr>
        <w:t>’</w:t>
      </w:r>
      <w:r w:rsidR="0003320D" w:rsidRPr="003676AB">
        <w:rPr>
          <w:sz w:val="22"/>
          <w:szCs w:val="22"/>
          <w:lang w:eastAsia="sv-SE"/>
        </w:rPr>
        <w:t xml:space="preserve"> measure,</w:t>
      </w:r>
      <w:r w:rsidR="00386089" w:rsidRPr="003676AB">
        <w:rPr>
          <w:sz w:val="22"/>
          <w:szCs w:val="22"/>
          <w:lang w:eastAsia="sv-SE"/>
        </w:rPr>
        <w:t xml:space="preserve"> namely</w:t>
      </w:r>
      <w:r w:rsidR="0003320D" w:rsidRPr="003676AB">
        <w:rPr>
          <w:sz w:val="22"/>
          <w:szCs w:val="22"/>
          <w:lang w:eastAsia="sv-SE"/>
        </w:rPr>
        <w:t xml:space="preserve"> Regulation 2988/95, which was adopted </w:t>
      </w:r>
      <w:r w:rsidR="00CD6068" w:rsidRPr="003676AB">
        <w:rPr>
          <w:sz w:val="22"/>
          <w:szCs w:val="22"/>
          <w:lang w:eastAsia="sv-SE"/>
        </w:rPr>
        <w:t xml:space="preserve">pursuant to </w:t>
      </w:r>
      <w:r w:rsidR="002F0344" w:rsidRPr="003676AB">
        <w:rPr>
          <w:sz w:val="22"/>
          <w:szCs w:val="22"/>
          <w:lang w:eastAsia="sv-SE"/>
        </w:rPr>
        <w:t>art.</w:t>
      </w:r>
      <w:r w:rsidR="0003320D" w:rsidRPr="003676AB">
        <w:rPr>
          <w:sz w:val="22"/>
          <w:szCs w:val="22"/>
          <w:lang w:eastAsia="sv-SE"/>
        </w:rPr>
        <w:t xml:space="preserve"> 114 TFEU by means of the then ordinary legislative procedure </w:t>
      </w:r>
      <w:r w:rsidR="00386089" w:rsidRPr="003676AB">
        <w:rPr>
          <w:sz w:val="22"/>
          <w:szCs w:val="22"/>
          <w:lang w:eastAsia="sv-SE"/>
        </w:rPr>
        <w:t xml:space="preserve">contained </w:t>
      </w:r>
      <w:r w:rsidR="0003320D" w:rsidRPr="003676AB">
        <w:rPr>
          <w:sz w:val="22"/>
          <w:szCs w:val="22"/>
          <w:lang w:eastAsia="sv-SE"/>
        </w:rPr>
        <w:t xml:space="preserve">in </w:t>
      </w:r>
      <w:r w:rsidR="002F0344" w:rsidRPr="003676AB">
        <w:rPr>
          <w:sz w:val="22"/>
          <w:szCs w:val="22"/>
          <w:lang w:eastAsia="sv-SE"/>
        </w:rPr>
        <w:t>art.</w:t>
      </w:r>
      <w:r w:rsidR="0003320D" w:rsidRPr="003676AB">
        <w:rPr>
          <w:sz w:val="22"/>
          <w:szCs w:val="22"/>
          <w:lang w:eastAsia="sv-SE"/>
        </w:rPr>
        <w:t xml:space="preserve"> 251 TFEU (now 294 TFEU).</w:t>
      </w:r>
      <w:r w:rsidR="00111466" w:rsidRPr="003676AB">
        <w:rPr>
          <w:sz w:val="22"/>
          <w:szCs w:val="22"/>
          <w:vertAlign w:val="superscript"/>
          <w:lang w:eastAsia="sv-SE"/>
        </w:rPr>
        <w:t xml:space="preserve"> </w:t>
      </w:r>
      <w:r w:rsidR="00386089" w:rsidRPr="003676AB">
        <w:rPr>
          <w:sz w:val="22"/>
          <w:szCs w:val="22"/>
          <w:lang w:eastAsia="sv-SE"/>
        </w:rPr>
        <w:t xml:space="preserve">It therefore </w:t>
      </w:r>
      <w:r w:rsidR="00DA338B" w:rsidRPr="003676AB">
        <w:rPr>
          <w:sz w:val="22"/>
          <w:szCs w:val="22"/>
          <w:lang w:eastAsia="sv-SE"/>
        </w:rPr>
        <w:t xml:space="preserve">meets </w:t>
      </w:r>
      <w:r w:rsidR="00111466" w:rsidRPr="003676AB">
        <w:rPr>
          <w:sz w:val="22"/>
          <w:szCs w:val="22"/>
          <w:lang w:eastAsia="sv-SE"/>
        </w:rPr>
        <w:t xml:space="preserve">the condition that the previous harmonisation measure must have been adopted through the ‘ordinary’ or </w:t>
      </w:r>
      <w:r w:rsidR="009C12C7" w:rsidRPr="003676AB">
        <w:rPr>
          <w:sz w:val="22"/>
          <w:szCs w:val="22"/>
          <w:lang w:eastAsia="sv-SE"/>
        </w:rPr>
        <w:t>‘special’ legislative procedure</w:t>
      </w:r>
      <w:r w:rsidR="0003320D" w:rsidRPr="003676AB">
        <w:rPr>
          <w:sz w:val="22"/>
          <w:szCs w:val="22"/>
          <w:lang w:eastAsia="sv-SE"/>
        </w:rPr>
        <w:t>.</w:t>
      </w:r>
      <w:r w:rsidR="009C12C7" w:rsidRPr="003676AB">
        <w:rPr>
          <w:rStyle w:val="Fotnotsreferens"/>
          <w:sz w:val="22"/>
          <w:szCs w:val="22"/>
          <w:lang w:eastAsia="sv-SE"/>
        </w:rPr>
        <w:footnoteReference w:id="171"/>
      </w:r>
      <w:r w:rsidR="00111466" w:rsidRPr="003676AB">
        <w:rPr>
          <w:sz w:val="22"/>
          <w:szCs w:val="22"/>
          <w:lang w:eastAsia="sv-SE"/>
        </w:rPr>
        <w:t xml:space="preserve"> </w:t>
      </w:r>
      <w:r w:rsidR="009C12C7" w:rsidRPr="003676AB">
        <w:rPr>
          <w:sz w:val="22"/>
          <w:szCs w:val="22"/>
          <w:lang w:eastAsia="sv-SE"/>
        </w:rPr>
        <w:t xml:space="preserve">There is also a case for suggesting </w:t>
      </w:r>
      <w:r w:rsidR="0003320D" w:rsidRPr="003676AB">
        <w:rPr>
          <w:sz w:val="22"/>
          <w:szCs w:val="22"/>
          <w:lang w:eastAsia="sv-SE"/>
        </w:rPr>
        <w:t xml:space="preserve">that criminal sanctions </w:t>
      </w:r>
      <w:r w:rsidR="00B32264" w:rsidRPr="003676AB">
        <w:rPr>
          <w:sz w:val="22"/>
          <w:szCs w:val="22"/>
          <w:lang w:eastAsia="sv-SE"/>
        </w:rPr>
        <w:t xml:space="preserve">may be </w:t>
      </w:r>
      <w:r w:rsidR="0003320D" w:rsidRPr="003676AB">
        <w:rPr>
          <w:sz w:val="22"/>
          <w:szCs w:val="22"/>
          <w:lang w:eastAsia="sv-SE"/>
        </w:rPr>
        <w:t xml:space="preserve">‘essential’ to safeguard the Union’s financial interests. By referring explicitly to </w:t>
      </w:r>
      <w:r w:rsidR="00386089" w:rsidRPr="003676AB">
        <w:rPr>
          <w:sz w:val="22"/>
          <w:szCs w:val="22"/>
          <w:lang w:eastAsia="sv-SE"/>
        </w:rPr>
        <w:t xml:space="preserve">recent </w:t>
      </w:r>
      <w:r w:rsidR="0003320D" w:rsidRPr="003676AB">
        <w:rPr>
          <w:sz w:val="22"/>
          <w:szCs w:val="22"/>
          <w:lang w:eastAsia="sv-SE"/>
        </w:rPr>
        <w:t xml:space="preserve">criminological </w:t>
      </w:r>
      <w:r w:rsidR="00386089" w:rsidRPr="003676AB">
        <w:rPr>
          <w:sz w:val="22"/>
          <w:szCs w:val="22"/>
          <w:lang w:eastAsia="sv-SE"/>
        </w:rPr>
        <w:t>research</w:t>
      </w:r>
      <w:r w:rsidR="0003320D" w:rsidRPr="003676AB">
        <w:rPr>
          <w:sz w:val="22"/>
          <w:szCs w:val="22"/>
          <w:lang w:eastAsia="sv-SE"/>
        </w:rPr>
        <w:t>, the Commission suggest</w:t>
      </w:r>
      <w:r w:rsidR="00535D15" w:rsidRPr="003676AB">
        <w:rPr>
          <w:sz w:val="22"/>
          <w:szCs w:val="22"/>
          <w:lang w:eastAsia="sv-SE"/>
        </w:rPr>
        <w:t>ed</w:t>
      </w:r>
      <w:r w:rsidR="0003320D" w:rsidRPr="003676AB">
        <w:rPr>
          <w:sz w:val="22"/>
          <w:szCs w:val="22"/>
          <w:lang w:eastAsia="sv-SE"/>
        </w:rPr>
        <w:t xml:space="preserve"> that the </w:t>
      </w:r>
      <w:r w:rsidR="008603FB" w:rsidRPr="003676AB">
        <w:rPr>
          <w:sz w:val="22"/>
          <w:szCs w:val="22"/>
          <w:lang w:eastAsia="sv-SE"/>
        </w:rPr>
        <w:t>‘</w:t>
      </w:r>
      <w:r w:rsidR="0003320D" w:rsidRPr="003676AB">
        <w:rPr>
          <w:sz w:val="22"/>
          <w:szCs w:val="22"/>
          <w:lang w:eastAsia="sv-SE"/>
        </w:rPr>
        <w:t xml:space="preserve">fear of being caught’, </w:t>
      </w:r>
      <w:r w:rsidR="008603FB" w:rsidRPr="003676AB">
        <w:rPr>
          <w:sz w:val="22"/>
          <w:szCs w:val="22"/>
          <w:lang w:eastAsia="sv-SE"/>
        </w:rPr>
        <w:lastRenderedPageBreak/>
        <w:t>‘</w:t>
      </w:r>
      <w:r w:rsidR="0003320D" w:rsidRPr="003676AB">
        <w:rPr>
          <w:sz w:val="22"/>
          <w:szCs w:val="22"/>
          <w:lang w:eastAsia="sv-SE"/>
        </w:rPr>
        <w:t xml:space="preserve">certainty of sentencing’ and/or </w:t>
      </w:r>
      <w:r w:rsidR="008603FB" w:rsidRPr="003676AB">
        <w:rPr>
          <w:sz w:val="22"/>
          <w:szCs w:val="22"/>
          <w:lang w:eastAsia="sv-SE"/>
        </w:rPr>
        <w:t>‘</w:t>
      </w:r>
      <w:r w:rsidR="009C12C7" w:rsidRPr="003676AB">
        <w:rPr>
          <w:sz w:val="22"/>
          <w:szCs w:val="22"/>
          <w:lang w:eastAsia="sv-SE"/>
        </w:rPr>
        <w:t>the shaming’ function inherent in criminal sanctioning influences</w:t>
      </w:r>
      <w:r w:rsidR="0003320D" w:rsidRPr="003676AB">
        <w:rPr>
          <w:sz w:val="22"/>
          <w:szCs w:val="22"/>
          <w:lang w:eastAsia="sv-SE"/>
        </w:rPr>
        <w:t xml:space="preserve"> potential perpetrators’ decision as to commit an offence.</w:t>
      </w:r>
      <w:r w:rsidR="0003320D" w:rsidRPr="003676AB">
        <w:rPr>
          <w:sz w:val="22"/>
          <w:szCs w:val="22"/>
          <w:vertAlign w:val="superscript"/>
          <w:lang w:eastAsia="sv-SE"/>
        </w:rPr>
        <w:footnoteReference w:id="172"/>
      </w:r>
    </w:p>
    <w:p w14:paraId="28118D68" w14:textId="3EFB1129" w:rsidR="0003320D" w:rsidRPr="003676AB" w:rsidRDefault="00386089" w:rsidP="0003320D">
      <w:pPr>
        <w:tabs>
          <w:tab w:val="left" w:pos="0"/>
        </w:tabs>
        <w:rPr>
          <w:sz w:val="22"/>
          <w:szCs w:val="22"/>
        </w:rPr>
      </w:pPr>
      <w:r w:rsidRPr="003676AB">
        <w:rPr>
          <w:sz w:val="22"/>
          <w:szCs w:val="22"/>
          <w:lang w:eastAsia="sv-SE"/>
        </w:rPr>
        <w:t>It is not particularly easy to select between these two alternative legal bases</w:t>
      </w:r>
      <w:r w:rsidR="0068192F" w:rsidRPr="003676AB">
        <w:rPr>
          <w:sz w:val="22"/>
          <w:szCs w:val="22"/>
          <w:lang w:eastAsia="sv-SE"/>
        </w:rPr>
        <w:t>.</w:t>
      </w:r>
      <w:r w:rsidR="0068192F" w:rsidRPr="003676AB">
        <w:rPr>
          <w:sz w:val="22"/>
          <w:szCs w:val="22"/>
        </w:rPr>
        <w:t xml:space="preserve"> </w:t>
      </w:r>
      <w:r w:rsidR="00C86E70" w:rsidRPr="003676AB">
        <w:rPr>
          <w:sz w:val="22"/>
          <w:szCs w:val="22"/>
        </w:rPr>
        <w:t xml:space="preserve">Given </w:t>
      </w:r>
      <w:r w:rsidR="00DA338B" w:rsidRPr="003676AB">
        <w:rPr>
          <w:sz w:val="22"/>
          <w:szCs w:val="22"/>
        </w:rPr>
        <w:t xml:space="preserve">the fact that </w:t>
      </w:r>
      <w:r w:rsidR="00C86E70" w:rsidRPr="003676AB">
        <w:rPr>
          <w:sz w:val="22"/>
          <w:szCs w:val="22"/>
        </w:rPr>
        <w:t>the</w:t>
      </w:r>
      <w:r w:rsidR="009B36F5" w:rsidRPr="003676AB">
        <w:rPr>
          <w:sz w:val="22"/>
          <w:szCs w:val="22"/>
        </w:rPr>
        <w:t xml:space="preserve"> PIF P</w:t>
      </w:r>
      <w:r w:rsidR="00C86E70" w:rsidRPr="003676AB">
        <w:rPr>
          <w:sz w:val="22"/>
          <w:szCs w:val="22"/>
        </w:rPr>
        <w:t xml:space="preserve">roposal concerns measures </w:t>
      </w:r>
      <w:r w:rsidRPr="003676AB">
        <w:rPr>
          <w:sz w:val="22"/>
          <w:szCs w:val="22"/>
        </w:rPr>
        <w:t xml:space="preserve">targeting </w:t>
      </w:r>
      <w:r w:rsidR="00DA338B" w:rsidRPr="003676AB">
        <w:rPr>
          <w:sz w:val="22"/>
          <w:szCs w:val="22"/>
        </w:rPr>
        <w:t xml:space="preserve">behaviour considered </w:t>
      </w:r>
      <w:r w:rsidR="00C86E70" w:rsidRPr="003676AB">
        <w:rPr>
          <w:sz w:val="22"/>
          <w:szCs w:val="22"/>
        </w:rPr>
        <w:t xml:space="preserve">damaging </w:t>
      </w:r>
      <w:r w:rsidR="00DA338B" w:rsidRPr="003676AB">
        <w:rPr>
          <w:sz w:val="22"/>
          <w:szCs w:val="22"/>
        </w:rPr>
        <w:t xml:space="preserve">to </w:t>
      </w:r>
      <w:r w:rsidR="00C86E70" w:rsidRPr="003676AB">
        <w:rPr>
          <w:sz w:val="22"/>
          <w:szCs w:val="22"/>
        </w:rPr>
        <w:t>the EU’s financial interests</w:t>
      </w:r>
      <w:r w:rsidR="00DA338B" w:rsidRPr="003676AB">
        <w:rPr>
          <w:sz w:val="22"/>
          <w:szCs w:val="22"/>
        </w:rPr>
        <w:t>,</w:t>
      </w:r>
      <w:r w:rsidR="00C86E70" w:rsidRPr="003676AB">
        <w:rPr>
          <w:sz w:val="22"/>
          <w:szCs w:val="22"/>
        </w:rPr>
        <w:t xml:space="preserve"> it is arguable that the directive is</w:t>
      </w:r>
      <w:r w:rsidR="00535D15" w:rsidRPr="003676AB">
        <w:rPr>
          <w:sz w:val="22"/>
          <w:szCs w:val="22"/>
        </w:rPr>
        <w:t>,</w:t>
      </w:r>
      <w:r w:rsidR="00C86E70" w:rsidRPr="003676AB">
        <w:rPr>
          <w:sz w:val="22"/>
          <w:szCs w:val="22"/>
        </w:rPr>
        <w:t xml:space="preserve"> </w:t>
      </w:r>
      <w:r w:rsidR="00DA338B" w:rsidRPr="003676AB">
        <w:rPr>
          <w:sz w:val="22"/>
          <w:szCs w:val="22"/>
        </w:rPr>
        <w:t>in a substantive sense</w:t>
      </w:r>
      <w:r w:rsidR="00535D15" w:rsidRPr="003676AB">
        <w:rPr>
          <w:sz w:val="22"/>
          <w:szCs w:val="22"/>
        </w:rPr>
        <w:t>,</w:t>
      </w:r>
      <w:r w:rsidR="00DA338B" w:rsidRPr="003676AB">
        <w:rPr>
          <w:sz w:val="22"/>
          <w:szCs w:val="22"/>
        </w:rPr>
        <w:t xml:space="preserve"> </w:t>
      </w:r>
      <w:r w:rsidR="00C86E70" w:rsidRPr="003676AB">
        <w:rPr>
          <w:sz w:val="22"/>
          <w:szCs w:val="22"/>
        </w:rPr>
        <w:t xml:space="preserve">strongly connected to </w:t>
      </w:r>
      <w:r w:rsidR="008F0E04" w:rsidRPr="003676AB">
        <w:rPr>
          <w:sz w:val="22"/>
          <w:szCs w:val="22"/>
        </w:rPr>
        <w:t>art.</w:t>
      </w:r>
      <w:r w:rsidR="00C86E70" w:rsidRPr="003676AB">
        <w:rPr>
          <w:sz w:val="22"/>
          <w:szCs w:val="22"/>
        </w:rPr>
        <w:t xml:space="preserve"> 325 TFEU</w:t>
      </w:r>
      <w:r w:rsidR="00DA338B" w:rsidRPr="003676AB">
        <w:rPr>
          <w:sz w:val="22"/>
          <w:szCs w:val="22"/>
        </w:rPr>
        <w:t>.</w:t>
      </w:r>
      <w:r w:rsidR="00C86E70" w:rsidRPr="003676AB">
        <w:rPr>
          <w:sz w:val="22"/>
          <w:szCs w:val="22"/>
        </w:rPr>
        <w:t xml:space="preserve"> </w:t>
      </w:r>
      <w:r w:rsidR="0003320D" w:rsidRPr="003676AB">
        <w:rPr>
          <w:sz w:val="22"/>
          <w:szCs w:val="22"/>
        </w:rPr>
        <w:t>After all, the title, purpose</w:t>
      </w:r>
      <w:r w:rsidR="0003320D" w:rsidRPr="003676AB">
        <w:rPr>
          <w:sz w:val="22"/>
          <w:szCs w:val="22"/>
          <w:vertAlign w:val="superscript"/>
        </w:rPr>
        <w:footnoteReference w:id="173"/>
      </w:r>
      <w:r w:rsidR="0003320D" w:rsidRPr="003676AB">
        <w:rPr>
          <w:sz w:val="22"/>
          <w:szCs w:val="22"/>
        </w:rPr>
        <w:t xml:space="preserve"> and content of the proposed directive</w:t>
      </w:r>
      <w:r w:rsidR="0003320D" w:rsidRPr="003676AB">
        <w:rPr>
          <w:sz w:val="22"/>
          <w:szCs w:val="22"/>
          <w:vertAlign w:val="superscript"/>
        </w:rPr>
        <w:footnoteReference w:id="174"/>
      </w:r>
      <w:r w:rsidR="0003320D" w:rsidRPr="003676AB">
        <w:rPr>
          <w:sz w:val="22"/>
          <w:szCs w:val="22"/>
        </w:rPr>
        <w:t xml:space="preserve"> underline its link to the fraud-specific legal basis in </w:t>
      </w:r>
      <w:r w:rsidR="008F0E04" w:rsidRPr="003676AB">
        <w:rPr>
          <w:sz w:val="22"/>
          <w:szCs w:val="22"/>
        </w:rPr>
        <w:t xml:space="preserve">art. </w:t>
      </w:r>
      <w:r w:rsidR="0003320D" w:rsidRPr="003676AB">
        <w:rPr>
          <w:sz w:val="22"/>
          <w:szCs w:val="22"/>
        </w:rPr>
        <w:t>325 TFEU.</w:t>
      </w:r>
      <w:r w:rsidR="0003320D" w:rsidRPr="003676AB">
        <w:rPr>
          <w:sz w:val="22"/>
          <w:szCs w:val="22"/>
          <w:vertAlign w:val="superscript"/>
        </w:rPr>
        <w:t xml:space="preserve"> </w:t>
      </w:r>
      <w:r w:rsidR="0068192F" w:rsidRPr="003676AB">
        <w:rPr>
          <w:sz w:val="22"/>
          <w:szCs w:val="22"/>
        </w:rPr>
        <w:t>I</w:t>
      </w:r>
      <w:r w:rsidR="0003320D" w:rsidRPr="003676AB">
        <w:rPr>
          <w:sz w:val="22"/>
          <w:szCs w:val="22"/>
        </w:rPr>
        <w:t xml:space="preserve">t nevertheless appears that the </w:t>
      </w:r>
      <w:r w:rsidR="009B36F5" w:rsidRPr="003676AB">
        <w:rPr>
          <w:sz w:val="22"/>
          <w:szCs w:val="22"/>
        </w:rPr>
        <w:t>sanctions in th</w:t>
      </w:r>
      <w:r w:rsidR="0068192F" w:rsidRPr="003676AB">
        <w:rPr>
          <w:sz w:val="22"/>
          <w:szCs w:val="22"/>
        </w:rPr>
        <w:t>e directive,</w:t>
      </w:r>
      <w:r w:rsidR="009B36F5" w:rsidRPr="003676AB">
        <w:rPr>
          <w:sz w:val="22"/>
          <w:szCs w:val="22"/>
        </w:rPr>
        <w:t xml:space="preserve"> the offence descriptions and the criminalisation requirement clearly connect</w:t>
      </w:r>
      <w:r w:rsidR="0003320D" w:rsidRPr="003676AB">
        <w:rPr>
          <w:sz w:val="22"/>
          <w:szCs w:val="22"/>
        </w:rPr>
        <w:t xml:space="preserve"> the PIF </w:t>
      </w:r>
      <w:r w:rsidR="00C86E70" w:rsidRPr="003676AB">
        <w:rPr>
          <w:sz w:val="22"/>
          <w:szCs w:val="22"/>
        </w:rPr>
        <w:t>P</w:t>
      </w:r>
      <w:r w:rsidR="009A2D62" w:rsidRPr="003676AB">
        <w:rPr>
          <w:sz w:val="22"/>
          <w:szCs w:val="22"/>
        </w:rPr>
        <w:t xml:space="preserve">roposal </w:t>
      </w:r>
      <w:r w:rsidR="0003320D" w:rsidRPr="003676AB">
        <w:rPr>
          <w:sz w:val="22"/>
          <w:szCs w:val="22"/>
        </w:rPr>
        <w:t xml:space="preserve">to </w:t>
      </w:r>
      <w:r w:rsidR="008F0E04" w:rsidRPr="003676AB">
        <w:rPr>
          <w:sz w:val="22"/>
          <w:szCs w:val="22"/>
        </w:rPr>
        <w:t>art.</w:t>
      </w:r>
      <w:r w:rsidR="0003320D" w:rsidRPr="003676AB">
        <w:rPr>
          <w:sz w:val="22"/>
          <w:szCs w:val="22"/>
        </w:rPr>
        <w:t xml:space="preserve"> 83(2) TFEU</w:t>
      </w:r>
      <w:r w:rsidR="009A2D62" w:rsidRPr="003676AB">
        <w:rPr>
          <w:sz w:val="22"/>
          <w:szCs w:val="22"/>
        </w:rPr>
        <w:t>,</w:t>
      </w:r>
      <w:r w:rsidR="0068192F" w:rsidRPr="003676AB">
        <w:rPr>
          <w:sz w:val="22"/>
          <w:szCs w:val="22"/>
        </w:rPr>
        <w:t xml:space="preserve"> which is the special</w:t>
      </w:r>
      <w:r w:rsidR="0003320D" w:rsidRPr="003676AB">
        <w:rPr>
          <w:sz w:val="22"/>
          <w:szCs w:val="22"/>
        </w:rPr>
        <w:t xml:space="preserve"> provision for </w:t>
      </w:r>
      <w:r w:rsidR="000840AF" w:rsidRPr="003676AB">
        <w:rPr>
          <w:sz w:val="22"/>
          <w:szCs w:val="22"/>
        </w:rPr>
        <w:t>‘</w:t>
      </w:r>
      <w:r w:rsidR="0003320D" w:rsidRPr="003676AB">
        <w:rPr>
          <w:sz w:val="22"/>
          <w:szCs w:val="22"/>
        </w:rPr>
        <w:t>criminal law</w:t>
      </w:r>
      <w:r w:rsidR="000840AF" w:rsidRPr="003676AB">
        <w:rPr>
          <w:sz w:val="22"/>
          <w:szCs w:val="22"/>
        </w:rPr>
        <w:t>’</w:t>
      </w:r>
      <w:r w:rsidR="0003320D" w:rsidRPr="003676AB">
        <w:rPr>
          <w:sz w:val="22"/>
          <w:szCs w:val="22"/>
        </w:rPr>
        <w:t>.</w:t>
      </w:r>
      <w:r w:rsidR="0003320D" w:rsidRPr="003676AB">
        <w:rPr>
          <w:sz w:val="22"/>
          <w:szCs w:val="22"/>
          <w:vertAlign w:val="superscript"/>
        </w:rPr>
        <w:footnoteReference w:id="175"/>
      </w:r>
      <w:r w:rsidR="0003320D" w:rsidRPr="003676AB">
        <w:rPr>
          <w:sz w:val="22"/>
          <w:szCs w:val="22"/>
        </w:rPr>
        <w:t xml:space="preserve"> It</w:t>
      </w:r>
      <w:r w:rsidR="00C86E70" w:rsidRPr="003676AB">
        <w:rPr>
          <w:sz w:val="22"/>
          <w:szCs w:val="22"/>
        </w:rPr>
        <w:t xml:space="preserve"> has already been observed </w:t>
      </w:r>
      <w:r w:rsidR="0003320D" w:rsidRPr="003676AB">
        <w:rPr>
          <w:sz w:val="22"/>
          <w:szCs w:val="22"/>
        </w:rPr>
        <w:t xml:space="preserve">that </w:t>
      </w:r>
      <w:r w:rsidR="008F0E04" w:rsidRPr="003676AB">
        <w:rPr>
          <w:sz w:val="22"/>
          <w:szCs w:val="22"/>
        </w:rPr>
        <w:t>art.</w:t>
      </w:r>
      <w:r w:rsidR="0003320D" w:rsidRPr="003676AB">
        <w:rPr>
          <w:sz w:val="22"/>
          <w:szCs w:val="22"/>
        </w:rPr>
        <w:t xml:space="preserve"> 325 TFEU does not, in contrast to </w:t>
      </w:r>
      <w:r w:rsidR="008F0E04" w:rsidRPr="003676AB">
        <w:rPr>
          <w:sz w:val="22"/>
          <w:szCs w:val="22"/>
        </w:rPr>
        <w:t>art.</w:t>
      </w:r>
      <w:r w:rsidR="0003320D" w:rsidRPr="003676AB">
        <w:rPr>
          <w:sz w:val="22"/>
          <w:szCs w:val="22"/>
        </w:rPr>
        <w:t xml:space="preserve"> 83(2) TFEU, give the EU</w:t>
      </w:r>
      <w:r w:rsidR="00C86E70" w:rsidRPr="003676AB">
        <w:rPr>
          <w:sz w:val="22"/>
          <w:szCs w:val="22"/>
        </w:rPr>
        <w:t xml:space="preserve"> an explicit</w:t>
      </w:r>
      <w:r w:rsidR="0003320D" w:rsidRPr="003676AB">
        <w:rPr>
          <w:sz w:val="22"/>
          <w:szCs w:val="22"/>
        </w:rPr>
        <w:t xml:space="preserve"> competence to adopt ‘criminal law’ measures. Criminal law furthermore seems to be</w:t>
      </w:r>
      <w:r w:rsidR="0068192F" w:rsidRPr="003676AB">
        <w:rPr>
          <w:sz w:val="22"/>
          <w:szCs w:val="22"/>
        </w:rPr>
        <w:t xml:space="preserve"> an </w:t>
      </w:r>
      <w:r w:rsidR="0003320D" w:rsidRPr="003676AB">
        <w:rPr>
          <w:sz w:val="22"/>
          <w:szCs w:val="22"/>
        </w:rPr>
        <w:t xml:space="preserve">independent policy component </w:t>
      </w:r>
      <w:r w:rsidR="006B324B" w:rsidRPr="003676AB">
        <w:rPr>
          <w:sz w:val="22"/>
          <w:szCs w:val="22"/>
        </w:rPr>
        <w:t>with reference</w:t>
      </w:r>
      <w:r w:rsidR="0068192F" w:rsidRPr="003676AB">
        <w:rPr>
          <w:sz w:val="22"/>
          <w:szCs w:val="22"/>
        </w:rPr>
        <w:t xml:space="preserve"> to the </w:t>
      </w:r>
      <w:r w:rsidR="002A2815" w:rsidRPr="003676AB">
        <w:rPr>
          <w:sz w:val="22"/>
          <w:szCs w:val="22"/>
        </w:rPr>
        <w:t>Court</w:t>
      </w:r>
      <w:r w:rsidR="0003320D" w:rsidRPr="003676AB">
        <w:rPr>
          <w:sz w:val="22"/>
          <w:szCs w:val="22"/>
        </w:rPr>
        <w:t>’s legal basis test</w:t>
      </w:r>
      <w:r w:rsidR="0068192F" w:rsidRPr="003676AB">
        <w:rPr>
          <w:sz w:val="22"/>
          <w:szCs w:val="22"/>
        </w:rPr>
        <w:t>, i</w:t>
      </w:r>
      <w:r w:rsidR="008F0E04" w:rsidRPr="003676AB">
        <w:rPr>
          <w:sz w:val="22"/>
          <w:szCs w:val="22"/>
        </w:rPr>
        <w:t>.</w:t>
      </w:r>
      <w:r w:rsidR="0068192F" w:rsidRPr="003676AB">
        <w:rPr>
          <w:sz w:val="22"/>
          <w:szCs w:val="22"/>
        </w:rPr>
        <w:t>e</w:t>
      </w:r>
      <w:r w:rsidR="008F0E04" w:rsidRPr="003676AB">
        <w:rPr>
          <w:sz w:val="22"/>
          <w:szCs w:val="22"/>
        </w:rPr>
        <w:t>.</w:t>
      </w:r>
      <w:r w:rsidR="0068192F" w:rsidRPr="003676AB">
        <w:rPr>
          <w:sz w:val="22"/>
          <w:szCs w:val="22"/>
        </w:rPr>
        <w:t xml:space="preserve"> not only an enforcement mechanism</w:t>
      </w:r>
      <w:r w:rsidR="0003320D" w:rsidRPr="003676AB">
        <w:rPr>
          <w:sz w:val="22"/>
          <w:szCs w:val="22"/>
        </w:rPr>
        <w:t>.</w:t>
      </w:r>
      <w:r w:rsidR="0003320D" w:rsidRPr="003676AB">
        <w:rPr>
          <w:sz w:val="22"/>
          <w:szCs w:val="22"/>
          <w:vertAlign w:val="superscript"/>
        </w:rPr>
        <w:footnoteReference w:id="176"/>
      </w:r>
      <w:r w:rsidR="0003320D" w:rsidRPr="003676AB">
        <w:rPr>
          <w:sz w:val="22"/>
          <w:szCs w:val="22"/>
          <w:vertAlign w:val="superscript"/>
        </w:rPr>
        <w:t xml:space="preserve"> </w:t>
      </w:r>
      <w:r w:rsidR="0068192F" w:rsidRPr="003676AB">
        <w:rPr>
          <w:sz w:val="22"/>
          <w:szCs w:val="22"/>
        </w:rPr>
        <w:t xml:space="preserve">It </w:t>
      </w:r>
      <w:r w:rsidR="00722C6B" w:rsidRPr="003676AB">
        <w:rPr>
          <w:sz w:val="22"/>
          <w:szCs w:val="22"/>
        </w:rPr>
        <w:t xml:space="preserve">would therefore </w:t>
      </w:r>
      <w:r w:rsidR="0068192F" w:rsidRPr="003676AB">
        <w:rPr>
          <w:sz w:val="22"/>
          <w:szCs w:val="22"/>
        </w:rPr>
        <w:t xml:space="preserve">seem that the proposed directive is </w:t>
      </w:r>
      <w:r w:rsidR="00722C6B" w:rsidRPr="003676AB">
        <w:rPr>
          <w:sz w:val="22"/>
          <w:szCs w:val="22"/>
        </w:rPr>
        <w:t xml:space="preserve">as </w:t>
      </w:r>
      <w:r w:rsidR="0068192F" w:rsidRPr="003676AB">
        <w:rPr>
          <w:sz w:val="22"/>
          <w:szCs w:val="22"/>
        </w:rPr>
        <w:t>equally concerned with the ‘fight against fraudulent behaviours affecting the EU’s financial interests’ as with a ‘criminal law’ dimension.</w:t>
      </w:r>
    </w:p>
    <w:p w14:paraId="446AA2C7" w14:textId="783BCBC3" w:rsidR="0003320D" w:rsidRPr="003676AB" w:rsidRDefault="0068192F" w:rsidP="0003320D">
      <w:pPr>
        <w:spacing w:before="100" w:beforeAutospacing="1" w:after="240"/>
        <w:ind w:left="28"/>
        <w:rPr>
          <w:sz w:val="22"/>
          <w:szCs w:val="22"/>
          <w:lang w:eastAsia="sv-SE"/>
        </w:rPr>
      </w:pPr>
      <w:r w:rsidRPr="003676AB">
        <w:rPr>
          <w:sz w:val="22"/>
          <w:szCs w:val="22"/>
          <w:lang w:eastAsia="sv-SE"/>
        </w:rPr>
        <w:t xml:space="preserve">The next question is thus </w:t>
      </w:r>
      <w:r w:rsidR="002E4B15" w:rsidRPr="003676AB">
        <w:rPr>
          <w:sz w:val="22"/>
          <w:szCs w:val="22"/>
          <w:lang w:eastAsia="sv-SE"/>
        </w:rPr>
        <w:t xml:space="preserve">whether </w:t>
      </w:r>
      <w:r w:rsidRPr="003676AB">
        <w:rPr>
          <w:sz w:val="22"/>
          <w:szCs w:val="22"/>
          <w:lang w:eastAsia="sv-SE"/>
        </w:rPr>
        <w:t>the measure could</w:t>
      </w:r>
      <w:r w:rsidR="0003320D" w:rsidRPr="003676AB">
        <w:rPr>
          <w:sz w:val="22"/>
          <w:szCs w:val="22"/>
          <w:lang w:eastAsia="sv-SE"/>
        </w:rPr>
        <w:t xml:space="preserve"> b</w:t>
      </w:r>
      <w:r w:rsidRPr="003676AB">
        <w:rPr>
          <w:sz w:val="22"/>
          <w:szCs w:val="22"/>
          <w:lang w:eastAsia="sv-SE"/>
        </w:rPr>
        <w:t>e adopted on a dual legal basis.</w:t>
      </w:r>
      <w:r w:rsidR="0003320D" w:rsidRPr="003676AB">
        <w:rPr>
          <w:sz w:val="22"/>
          <w:szCs w:val="22"/>
          <w:lang w:eastAsia="sv-SE"/>
        </w:rPr>
        <w:t xml:space="preserve"> </w:t>
      </w:r>
      <w:r w:rsidRPr="003676AB">
        <w:rPr>
          <w:sz w:val="22"/>
          <w:szCs w:val="22"/>
          <w:lang w:eastAsia="sv-SE"/>
        </w:rPr>
        <w:t xml:space="preserve">It is apparent from the case law that </w:t>
      </w:r>
      <w:r w:rsidR="0003320D" w:rsidRPr="003676AB">
        <w:rPr>
          <w:sz w:val="22"/>
          <w:szCs w:val="22"/>
          <w:lang w:eastAsia="sv-SE"/>
        </w:rPr>
        <w:t>a measure</w:t>
      </w:r>
      <w:r w:rsidRPr="003676AB">
        <w:rPr>
          <w:sz w:val="22"/>
          <w:szCs w:val="22"/>
          <w:lang w:eastAsia="sv-SE"/>
        </w:rPr>
        <w:t xml:space="preserve"> which</w:t>
      </w:r>
      <w:r w:rsidR="0003320D" w:rsidRPr="003676AB">
        <w:rPr>
          <w:sz w:val="22"/>
          <w:szCs w:val="22"/>
          <w:lang w:eastAsia="sv-SE"/>
        </w:rPr>
        <w:t xml:space="preserve"> simultaneously pursues a number of objectives/components which are inseparably linked without one being incidental to the other and </w:t>
      </w:r>
      <w:r w:rsidR="002E4B15" w:rsidRPr="003676AB">
        <w:rPr>
          <w:sz w:val="22"/>
          <w:szCs w:val="22"/>
          <w:lang w:eastAsia="sv-SE"/>
        </w:rPr>
        <w:t xml:space="preserve">where </w:t>
      </w:r>
      <w:r w:rsidR="0003320D" w:rsidRPr="003676AB">
        <w:rPr>
          <w:sz w:val="22"/>
          <w:szCs w:val="22"/>
          <w:lang w:eastAsia="sv-SE"/>
        </w:rPr>
        <w:t xml:space="preserve">various legal bases are </w:t>
      </w:r>
      <w:r w:rsidR="002E4B15" w:rsidRPr="003676AB">
        <w:rPr>
          <w:sz w:val="22"/>
          <w:szCs w:val="22"/>
          <w:lang w:eastAsia="sv-SE"/>
        </w:rPr>
        <w:t>applicable</w:t>
      </w:r>
      <w:r w:rsidR="0003320D" w:rsidRPr="003676AB">
        <w:rPr>
          <w:sz w:val="22"/>
          <w:szCs w:val="22"/>
          <w:lang w:eastAsia="sv-SE"/>
        </w:rPr>
        <w:t xml:space="preserve">, </w:t>
      </w:r>
      <w:r w:rsidRPr="003676AB">
        <w:rPr>
          <w:sz w:val="22"/>
          <w:szCs w:val="22"/>
          <w:lang w:eastAsia="sv-SE"/>
        </w:rPr>
        <w:t>can be adopted</w:t>
      </w:r>
      <w:r w:rsidR="0003320D" w:rsidRPr="003676AB">
        <w:rPr>
          <w:sz w:val="22"/>
          <w:szCs w:val="22"/>
          <w:lang w:eastAsia="sv-SE"/>
        </w:rPr>
        <w:t xml:space="preserve"> on those legal bases.</w:t>
      </w:r>
      <w:r w:rsidR="0003320D" w:rsidRPr="003676AB">
        <w:rPr>
          <w:sz w:val="22"/>
          <w:szCs w:val="22"/>
          <w:vertAlign w:val="superscript"/>
          <w:lang w:eastAsia="sv-SE"/>
        </w:rPr>
        <w:footnoteReference w:id="177"/>
      </w:r>
      <w:r w:rsidR="0003320D" w:rsidRPr="003676AB">
        <w:rPr>
          <w:sz w:val="22"/>
          <w:szCs w:val="22"/>
          <w:lang w:eastAsia="sv-SE"/>
        </w:rPr>
        <w:t xml:space="preserve"> However, recourse to a dual legal basis is not possible where the procedures laid down </w:t>
      </w:r>
      <w:r w:rsidR="002E4B15" w:rsidRPr="003676AB">
        <w:rPr>
          <w:sz w:val="22"/>
          <w:szCs w:val="22"/>
          <w:lang w:eastAsia="sv-SE"/>
        </w:rPr>
        <w:t xml:space="preserve">the different </w:t>
      </w:r>
      <w:r w:rsidR="0003320D" w:rsidRPr="003676AB">
        <w:rPr>
          <w:sz w:val="22"/>
          <w:szCs w:val="22"/>
          <w:lang w:eastAsia="sv-SE"/>
        </w:rPr>
        <w:t xml:space="preserve">legal basis are incompatible </w:t>
      </w:r>
      <w:r w:rsidR="00C56CCD" w:rsidRPr="003676AB">
        <w:rPr>
          <w:sz w:val="22"/>
          <w:szCs w:val="22"/>
          <w:lang w:eastAsia="sv-SE"/>
        </w:rPr>
        <w:t>(</w:t>
      </w:r>
      <w:r w:rsidR="00854D87" w:rsidRPr="003676AB">
        <w:rPr>
          <w:sz w:val="22"/>
          <w:szCs w:val="22"/>
          <w:lang w:eastAsia="sv-SE"/>
        </w:rPr>
        <w:t>e</w:t>
      </w:r>
      <w:r w:rsidR="00DF08FB" w:rsidRPr="003676AB">
        <w:rPr>
          <w:sz w:val="22"/>
          <w:szCs w:val="22"/>
          <w:lang w:eastAsia="sv-SE"/>
        </w:rPr>
        <w:t>.</w:t>
      </w:r>
      <w:r w:rsidR="00854D87" w:rsidRPr="003676AB">
        <w:rPr>
          <w:sz w:val="22"/>
          <w:szCs w:val="22"/>
          <w:lang w:eastAsia="sv-SE"/>
        </w:rPr>
        <w:t>g</w:t>
      </w:r>
      <w:r w:rsidR="00DF08FB" w:rsidRPr="003676AB">
        <w:rPr>
          <w:sz w:val="22"/>
          <w:szCs w:val="22"/>
          <w:lang w:eastAsia="sv-SE"/>
        </w:rPr>
        <w:t>.</w:t>
      </w:r>
      <w:r w:rsidR="0003320D" w:rsidRPr="003676AB">
        <w:rPr>
          <w:sz w:val="22"/>
          <w:szCs w:val="22"/>
          <w:lang w:eastAsia="sv-SE"/>
        </w:rPr>
        <w:t xml:space="preserve"> where there is change in voting rule in the Council or where the rights of the European Parliament are encroached </w:t>
      </w:r>
      <w:r w:rsidR="0003320D" w:rsidRPr="003676AB">
        <w:rPr>
          <w:sz w:val="22"/>
          <w:szCs w:val="22"/>
          <w:lang w:eastAsia="sv-SE"/>
        </w:rPr>
        <w:lastRenderedPageBreak/>
        <w:t>upon</w:t>
      </w:r>
      <w:r w:rsidR="00C56CCD" w:rsidRPr="003676AB">
        <w:rPr>
          <w:sz w:val="22"/>
          <w:szCs w:val="22"/>
          <w:lang w:eastAsia="sv-SE"/>
        </w:rPr>
        <w:t>)</w:t>
      </w:r>
      <w:r w:rsidR="0003320D" w:rsidRPr="003676AB">
        <w:rPr>
          <w:sz w:val="22"/>
          <w:szCs w:val="22"/>
          <w:lang w:eastAsia="sv-SE"/>
        </w:rPr>
        <w:t>.</w:t>
      </w:r>
      <w:r w:rsidR="0003320D" w:rsidRPr="003676AB">
        <w:rPr>
          <w:sz w:val="22"/>
          <w:szCs w:val="22"/>
          <w:vertAlign w:val="superscript"/>
          <w:lang w:eastAsia="sv-SE"/>
        </w:rPr>
        <w:footnoteReference w:id="178"/>
      </w:r>
      <w:r w:rsidR="0003320D" w:rsidRPr="003676AB">
        <w:rPr>
          <w:sz w:val="22"/>
          <w:szCs w:val="22"/>
          <w:lang w:eastAsia="sv-SE"/>
        </w:rPr>
        <w:t xml:space="preserve"> </w:t>
      </w:r>
      <w:r w:rsidR="00722C6B" w:rsidRPr="003676AB">
        <w:rPr>
          <w:sz w:val="22"/>
          <w:szCs w:val="22"/>
          <w:lang w:eastAsia="sv-SE"/>
        </w:rPr>
        <w:t>It is also difficult to combine a legal basis with another w</w:t>
      </w:r>
      <w:r w:rsidR="0003320D" w:rsidRPr="003676AB">
        <w:rPr>
          <w:sz w:val="22"/>
          <w:szCs w:val="22"/>
          <w:lang w:eastAsia="sv-SE"/>
        </w:rPr>
        <w:t xml:space="preserve">here </w:t>
      </w:r>
      <w:r w:rsidR="00722C6B" w:rsidRPr="003676AB">
        <w:rPr>
          <w:sz w:val="22"/>
          <w:szCs w:val="22"/>
          <w:lang w:eastAsia="sv-SE"/>
        </w:rPr>
        <w:t xml:space="preserve">it contains a </w:t>
      </w:r>
      <w:r w:rsidR="0003320D" w:rsidRPr="003676AB">
        <w:rPr>
          <w:sz w:val="22"/>
          <w:szCs w:val="22"/>
          <w:lang w:eastAsia="sv-SE"/>
        </w:rPr>
        <w:t>specific decision-making framework</w:t>
      </w:r>
      <w:r w:rsidR="00C86E70" w:rsidRPr="003676AB">
        <w:rPr>
          <w:sz w:val="22"/>
          <w:szCs w:val="22"/>
          <w:lang w:eastAsia="sv-SE"/>
        </w:rPr>
        <w:t xml:space="preserve"> </w:t>
      </w:r>
      <w:r w:rsidR="0003320D" w:rsidRPr="003676AB">
        <w:rPr>
          <w:sz w:val="22"/>
          <w:szCs w:val="22"/>
          <w:lang w:eastAsia="sv-SE"/>
        </w:rPr>
        <w:t>and a distinct institutional setting</w:t>
      </w:r>
      <w:r w:rsidR="0003320D" w:rsidRPr="003676AB">
        <w:rPr>
          <w:iCs/>
          <w:sz w:val="22"/>
          <w:szCs w:val="22"/>
          <w:lang w:eastAsia="sv-SE"/>
        </w:rPr>
        <w:t>.</w:t>
      </w:r>
      <w:r w:rsidR="0003320D" w:rsidRPr="003676AB">
        <w:rPr>
          <w:sz w:val="22"/>
          <w:szCs w:val="22"/>
          <w:vertAlign w:val="superscript"/>
          <w:lang w:eastAsia="sv-SE"/>
        </w:rPr>
        <w:footnoteReference w:id="179"/>
      </w:r>
      <w:bookmarkStart w:id="10" w:name="UKDualN10680"/>
      <w:bookmarkEnd w:id="10"/>
    </w:p>
    <w:p w14:paraId="2B9E52BA" w14:textId="0349BFB0" w:rsidR="008D44CB" w:rsidRPr="005F44F9" w:rsidRDefault="0003320D" w:rsidP="005F44F9">
      <w:pPr>
        <w:rPr>
          <w:sz w:val="22"/>
          <w:szCs w:val="22"/>
        </w:rPr>
      </w:pPr>
      <w:r w:rsidRPr="003676AB">
        <w:rPr>
          <w:sz w:val="22"/>
          <w:szCs w:val="22"/>
        </w:rPr>
        <w:t>Art 83(2) TFEU does not offer a pre-defined legislative procedure</w:t>
      </w:r>
      <w:r w:rsidR="00C56CCD" w:rsidRPr="003676AB">
        <w:rPr>
          <w:sz w:val="22"/>
          <w:szCs w:val="22"/>
        </w:rPr>
        <w:t xml:space="preserve"> but</w:t>
      </w:r>
      <w:r w:rsidRPr="003676AB">
        <w:rPr>
          <w:sz w:val="22"/>
          <w:szCs w:val="22"/>
        </w:rPr>
        <w:t xml:space="preserve"> refers to the legislative procedure used for the underlying harmon</w:t>
      </w:r>
      <w:r w:rsidR="00854D87" w:rsidRPr="003676AB">
        <w:rPr>
          <w:sz w:val="22"/>
          <w:szCs w:val="22"/>
        </w:rPr>
        <w:t>isa</w:t>
      </w:r>
      <w:r w:rsidRPr="003676AB">
        <w:rPr>
          <w:sz w:val="22"/>
          <w:szCs w:val="22"/>
        </w:rPr>
        <w:t>tion measure.</w:t>
      </w:r>
      <w:r w:rsidR="00C56CCD" w:rsidRPr="003676AB">
        <w:rPr>
          <w:sz w:val="22"/>
          <w:szCs w:val="22"/>
          <w:vertAlign w:val="superscript"/>
        </w:rPr>
        <w:footnoteReference w:id="180"/>
      </w:r>
      <w:r w:rsidRPr="003676AB">
        <w:rPr>
          <w:sz w:val="22"/>
          <w:szCs w:val="22"/>
        </w:rPr>
        <w:t xml:space="preserve"> If it is assumed, however, that the procedure to be used under </w:t>
      </w:r>
      <w:r w:rsidR="00C56CCD" w:rsidRPr="003676AB">
        <w:rPr>
          <w:sz w:val="22"/>
          <w:szCs w:val="22"/>
        </w:rPr>
        <w:t xml:space="preserve">this provision </w:t>
      </w:r>
      <w:r w:rsidRPr="003676AB">
        <w:rPr>
          <w:sz w:val="22"/>
          <w:szCs w:val="22"/>
        </w:rPr>
        <w:t xml:space="preserve">would be the same </w:t>
      </w:r>
      <w:r w:rsidR="00722C6B" w:rsidRPr="003676AB">
        <w:rPr>
          <w:sz w:val="22"/>
          <w:szCs w:val="22"/>
        </w:rPr>
        <w:t xml:space="preserve">as that used </w:t>
      </w:r>
      <w:r w:rsidRPr="003676AB">
        <w:rPr>
          <w:sz w:val="22"/>
          <w:szCs w:val="22"/>
        </w:rPr>
        <w:t>for the</w:t>
      </w:r>
      <w:r w:rsidR="00C56CCD" w:rsidRPr="003676AB">
        <w:rPr>
          <w:sz w:val="22"/>
          <w:szCs w:val="22"/>
        </w:rPr>
        <w:t xml:space="preserve"> </w:t>
      </w:r>
      <w:r w:rsidR="00722C6B" w:rsidRPr="003676AB">
        <w:rPr>
          <w:sz w:val="22"/>
          <w:szCs w:val="22"/>
        </w:rPr>
        <w:t xml:space="preserve">underlying </w:t>
      </w:r>
      <w:r w:rsidR="00C56CCD" w:rsidRPr="003676AB">
        <w:rPr>
          <w:sz w:val="22"/>
          <w:szCs w:val="22"/>
        </w:rPr>
        <w:t>harmonisation measure,</w:t>
      </w:r>
      <w:r w:rsidR="00722C6B" w:rsidRPr="003676AB">
        <w:rPr>
          <w:sz w:val="22"/>
          <w:szCs w:val="22"/>
        </w:rPr>
        <w:t xml:space="preserve"> namely</w:t>
      </w:r>
      <w:r w:rsidR="00C56CCD" w:rsidRPr="003676AB">
        <w:rPr>
          <w:sz w:val="22"/>
          <w:szCs w:val="22"/>
        </w:rPr>
        <w:t xml:space="preserve"> </w:t>
      </w:r>
      <w:r w:rsidRPr="003676AB">
        <w:rPr>
          <w:sz w:val="22"/>
          <w:szCs w:val="22"/>
        </w:rPr>
        <w:t>Regulat</w:t>
      </w:r>
      <w:r w:rsidR="00C56CCD" w:rsidRPr="003676AB">
        <w:rPr>
          <w:sz w:val="22"/>
          <w:szCs w:val="22"/>
        </w:rPr>
        <w:t>ion 2988/95</w:t>
      </w:r>
      <w:r w:rsidR="00722C6B" w:rsidRPr="003676AB">
        <w:rPr>
          <w:sz w:val="22"/>
          <w:szCs w:val="22"/>
        </w:rPr>
        <w:t xml:space="preserve"> that legislative procedure would be </w:t>
      </w:r>
      <w:r w:rsidRPr="003676AB">
        <w:rPr>
          <w:sz w:val="22"/>
          <w:szCs w:val="22"/>
        </w:rPr>
        <w:t>the</w:t>
      </w:r>
      <w:r w:rsidR="00722C6B" w:rsidRPr="003676AB">
        <w:rPr>
          <w:sz w:val="22"/>
          <w:szCs w:val="22"/>
        </w:rPr>
        <w:t xml:space="preserve"> ordinary legislative procedure. Th</w:t>
      </w:r>
      <w:r w:rsidRPr="003676AB">
        <w:rPr>
          <w:sz w:val="22"/>
          <w:szCs w:val="22"/>
        </w:rPr>
        <w:t xml:space="preserve">ere </w:t>
      </w:r>
      <w:r w:rsidR="00722C6B" w:rsidRPr="003676AB">
        <w:rPr>
          <w:sz w:val="22"/>
          <w:szCs w:val="22"/>
        </w:rPr>
        <w:t xml:space="preserve">is no </w:t>
      </w:r>
      <w:r w:rsidRPr="003676AB">
        <w:rPr>
          <w:sz w:val="22"/>
          <w:szCs w:val="22"/>
        </w:rPr>
        <w:t xml:space="preserve">apparent </w:t>
      </w:r>
      <w:r w:rsidR="002E4B15" w:rsidRPr="003676AB">
        <w:rPr>
          <w:sz w:val="22"/>
          <w:szCs w:val="22"/>
        </w:rPr>
        <w:t xml:space="preserve">difficulty </w:t>
      </w:r>
      <w:r w:rsidR="00722C6B" w:rsidRPr="003676AB">
        <w:rPr>
          <w:sz w:val="22"/>
          <w:szCs w:val="22"/>
        </w:rPr>
        <w:t xml:space="preserve">in </w:t>
      </w:r>
      <w:r w:rsidRPr="003676AB">
        <w:rPr>
          <w:sz w:val="22"/>
          <w:szCs w:val="22"/>
        </w:rPr>
        <w:t xml:space="preserve">combining </w:t>
      </w:r>
      <w:r w:rsidR="00301F3E" w:rsidRPr="003676AB">
        <w:rPr>
          <w:sz w:val="22"/>
          <w:szCs w:val="22"/>
        </w:rPr>
        <w:t>art.</w:t>
      </w:r>
      <w:r w:rsidRPr="003676AB">
        <w:rPr>
          <w:sz w:val="22"/>
          <w:szCs w:val="22"/>
        </w:rPr>
        <w:t xml:space="preserve"> 325 TFEU with </w:t>
      </w:r>
      <w:r w:rsidR="00301F3E" w:rsidRPr="003676AB">
        <w:rPr>
          <w:sz w:val="22"/>
          <w:szCs w:val="22"/>
        </w:rPr>
        <w:t>art.</w:t>
      </w:r>
      <w:r w:rsidRPr="003676AB">
        <w:rPr>
          <w:sz w:val="22"/>
          <w:szCs w:val="22"/>
        </w:rPr>
        <w:t xml:space="preserve"> 83(2) TFEU. </w:t>
      </w:r>
      <w:r w:rsidR="00C56CCD" w:rsidRPr="003676AB">
        <w:rPr>
          <w:sz w:val="22"/>
          <w:szCs w:val="22"/>
        </w:rPr>
        <w:t>A</w:t>
      </w:r>
      <w:r w:rsidRPr="003676AB">
        <w:rPr>
          <w:sz w:val="22"/>
          <w:szCs w:val="22"/>
        </w:rPr>
        <w:t>s</w:t>
      </w:r>
      <w:r w:rsidR="00C56CCD" w:rsidRPr="003676AB">
        <w:rPr>
          <w:sz w:val="22"/>
          <w:szCs w:val="22"/>
        </w:rPr>
        <w:t xml:space="preserve"> those provisions</w:t>
      </w:r>
      <w:r w:rsidRPr="003676AB">
        <w:rPr>
          <w:sz w:val="22"/>
          <w:szCs w:val="22"/>
        </w:rPr>
        <w:t xml:space="preserve"> entail the same r</w:t>
      </w:r>
      <w:r w:rsidR="00C56CCD" w:rsidRPr="003676AB">
        <w:rPr>
          <w:sz w:val="22"/>
          <w:szCs w:val="22"/>
        </w:rPr>
        <w:t xml:space="preserve">ights for the Parliament and the Council </w:t>
      </w:r>
      <w:r w:rsidRPr="003676AB">
        <w:rPr>
          <w:sz w:val="22"/>
          <w:szCs w:val="22"/>
        </w:rPr>
        <w:t xml:space="preserve">can act in both cases </w:t>
      </w:r>
      <w:r w:rsidR="00C56CCD" w:rsidRPr="003676AB">
        <w:rPr>
          <w:sz w:val="22"/>
          <w:szCs w:val="22"/>
        </w:rPr>
        <w:t xml:space="preserve">with </w:t>
      </w:r>
      <w:r w:rsidRPr="003676AB">
        <w:rPr>
          <w:sz w:val="22"/>
          <w:szCs w:val="22"/>
        </w:rPr>
        <w:t>qualified majority voting</w:t>
      </w:r>
      <w:r w:rsidR="00D73980" w:rsidRPr="003676AB">
        <w:rPr>
          <w:sz w:val="22"/>
          <w:szCs w:val="22"/>
          <w:vertAlign w:val="superscript"/>
        </w:rPr>
        <w:footnoteReference w:id="181"/>
      </w:r>
      <w:r w:rsidR="00301F3E" w:rsidRPr="003676AB">
        <w:rPr>
          <w:sz w:val="22"/>
          <w:szCs w:val="22"/>
        </w:rPr>
        <w:t>,</w:t>
      </w:r>
      <w:r w:rsidR="00C56CCD" w:rsidRPr="003676AB">
        <w:rPr>
          <w:sz w:val="22"/>
          <w:szCs w:val="22"/>
        </w:rPr>
        <w:t xml:space="preserve"> </w:t>
      </w:r>
      <w:r w:rsidRPr="003676AB">
        <w:rPr>
          <w:sz w:val="22"/>
          <w:szCs w:val="22"/>
        </w:rPr>
        <w:t xml:space="preserve">the EU legislative institutions would have the same powers as they would have under the </w:t>
      </w:r>
      <w:r w:rsidR="00C56CCD" w:rsidRPr="003676AB">
        <w:rPr>
          <w:sz w:val="22"/>
          <w:szCs w:val="22"/>
        </w:rPr>
        <w:t>‘ordinary</w:t>
      </w:r>
      <w:r w:rsidR="009B36F5" w:rsidRPr="003676AB">
        <w:rPr>
          <w:sz w:val="22"/>
          <w:szCs w:val="22"/>
        </w:rPr>
        <w:t xml:space="preserve">’ </w:t>
      </w:r>
      <w:r w:rsidR="00C56CCD" w:rsidRPr="003676AB">
        <w:rPr>
          <w:sz w:val="22"/>
          <w:szCs w:val="22"/>
        </w:rPr>
        <w:t>legislative procedure</w:t>
      </w:r>
      <w:r w:rsidRPr="003676AB">
        <w:rPr>
          <w:sz w:val="22"/>
          <w:szCs w:val="22"/>
        </w:rPr>
        <w:t>.</w:t>
      </w:r>
      <w:r w:rsidR="00D73980" w:rsidRPr="003676AB">
        <w:rPr>
          <w:rStyle w:val="Fotnotsreferens"/>
          <w:sz w:val="22"/>
          <w:szCs w:val="22"/>
          <w:lang w:eastAsia="sv-SE"/>
        </w:rPr>
        <w:footnoteReference w:id="182"/>
      </w:r>
      <w:r w:rsidR="006B324B" w:rsidRPr="003676AB">
        <w:rPr>
          <w:sz w:val="22"/>
          <w:szCs w:val="22"/>
        </w:rPr>
        <w:t xml:space="preserve"> </w:t>
      </w:r>
      <w:r w:rsidR="00C56CCD" w:rsidRPr="003676AB">
        <w:rPr>
          <w:sz w:val="22"/>
          <w:szCs w:val="22"/>
          <w:lang w:eastAsia="sv-SE"/>
        </w:rPr>
        <w:t xml:space="preserve">Having said this, there are serious procedural objections </w:t>
      </w:r>
      <w:r w:rsidR="00722C6B" w:rsidRPr="003676AB">
        <w:rPr>
          <w:sz w:val="22"/>
          <w:szCs w:val="22"/>
          <w:lang w:eastAsia="sv-SE"/>
        </w:rPr>
        <w:t xml:space="preserve">to a combination of </w:t>
      </w:r>
      <w:r w:rsidR="00301F3E" w:rsidRPr="003676AB">
        <w:rPr>
          <w:sz w:val="22"/>
          <w:szCs w:val="22"/>
          <w:lang w:eastAsia="sv-SE"/>
        </w:rPr>
        <w:t>art.</w:t>
      </w:r>
      <w:r w:rsidR="00C56CCD" w:rsidRPr="003676AB">
        <w:rPr>
          <w:sz w:val="22"/>
          <w:szCs w:val="22"/>
          <w:lang w:eastAsia="sv-SE"/>
        </w:rPr>
        <w:t xml:space="preserve"> 83(2) TFEU and </w:t>
      </w:r>
      <w:r w:rsidR="00301F3E" w:rsidRPr="003676AB">
        <w:rPr>
          <w:sz w:val="22"/>
          <w:szCs w:val="22"/>
          <w:lang w:eastAsia="sv-SE"/>
        </w:rPr>
        <w:t>art.</w:t>
      </w:r>
      <w:r w:rsidR="00C56CCD" w:rsidRPr="003676AB">
        <w:rPr>
          <w:sz w:val="22"/>
          <w:szCs w:val="22"/>
          <w:lang w:eastAsia="sv-SE"/>
        </w:rPr>
        <w:t xml:space="preserve"> 325 TFEU. </w:t>
      </w:r>
      <w:r w:rsidR="00084552" w:rsidRPr="003676AB">
        <w:rPr>
          <w:sz w:val="22"/>
          <w:szCs w:val="22"/>
          <w:lang w:eastAsia="sv-SE"/>
        </w:rPr>
        <w:t>As observed above, t</w:t>
      </w:r>
      <w:r w:rsidRPr="003676AB">
        <w:rPr>
          <w:sz w:val="22"/>
          <w:szCs w:val="22"/>
          <w:lang w:eastAsia="sv-SE"/>
        </w:rPr>
        <w:t xml:space="preserve">he procedures under Title V and </w:t>
      </w:r>
      <w:r w:rsidR="00301F3E" w:rsidRPr="003676AB">
        <w:rPr>
          <w:sz w:val="22"/>
          <w:szCs w:val="22"/>
          <w:lang w:eastAsia="sv-SE"/>
        </w:rPr>
        <w:t>art.</w:t>
      </w:r>
      <w:r w:rsidRPr="003676AB">
        <w:rPr>
          <w:sz w:val="22"/>
          <w:szCs w:val="22"/>
          <w:lang w:eastAsia="sv-SE"/>
        </w:rPr>
        <w:t xml:space="preserve"> 83(2) TFE</w:t>
      </w:r>
      <w:r w:rsidR="009B36F5" w:rsidRPr="003676AB">
        <w:rPr>
          <w:sz w:val="22"/>
          <w:szCs w:val="22"/>
          <w:lang w:eastAsia="sv-SE"/>
        </w:rPr>
        <w:t>U come with a distinct const</w:t>
      </w:r>
      <w:r w:rsidRPr="003676AB">
        <w:rPr>
          <w:sz w:val="22"/>
          <w:szCs w:val="22"/>
          <w:lang w:eastAsia="sv-SE"/>
        </w:rPr>
        <w:t xml:space="preserve">itutional framework. </w:t>
      </w:r>
      <w:r w:rsidR="00D73980" w:rsidRPr="003676AB">
        <w:rPr>
          <w:sz w:val="22"/>
          <w:szCs w:val="22"/>
          <w:lang w:eastAsia="sv-SE"/>
        </w:rPr>
        <w:t>M</w:t>
      </w:r>
      <w:r w:rsidRPr="003676AB">
        <w:rPr>
          <w:sz w:val="22"/>
          <w:szCs w:val="22"/>
          <w:lang w:eastAsia="sv-SE"/>
        </w:rPr>
        <w:t xml:space="preserve">easures adopted under </w:t>
      </w:r>
      <w:r w:rsidR="001A0A36" w:rsidRPr="003676AB">
        <w:rPr>
          <w:sz w:val="22"/>
          <w:szCs w:val="22"/>
          <w:lang w:eastAsia="sv-SE"/>
        </w:rPr>
        <w:t>art.</w:t>
      </w:r>
      <w:r w:rsidRPr="003676AB">
        <w:rPr>
          <w:sz w:val="22"/>
          <w:szCs w:val="22"/>
          <w:lang w:eastAsia="sv-SE"/>
        </w:rPr>
        <w:t xml:space="preserve"> 83(2) TFEU could be subject to emergency break objections from Member States under </w:t>
      </w:r>
      <w:r w:rsidR="001A0A36" w:rsidRPr="003676AB">
        <w:rPr>
          <w:sz w:val="22"/>
          <w:szCs w:val="22"/>
          <w:lang w:eastAsia="sv-SE"/>
        </w:rPr>
        <w:t>art.</w:t>
      </w:r>
      <w:r w:rsidRPr="003676AB">
        <w:rPr>
          <w:sz w:val="22"/>
          <w:szCs w:val="22"/>
          <w:lang w:eastAsia="sv-SE"/>
        </w:rPr>
        <w:t xml:space="preserve"> 83(3) TFEU</w:t>
      </w:r>
      <w:r w:rsidR="00437DCB" w:rsidRPr="003676AB">
        <w:rPr>
          <w:sz w:val="22"/>
          <w:szCs w:val="22"/>
          <w:lang w:eastAsia="sv-SE"/>
        </w:rPr>
        <w:t xml:space="preserve">. Such a procedure would </w:t>
      </w:r>
      <w:r w:rsidRPr="003676AB">
        <w:rPr>
          <w:sz w:val="22"/>
          <w:szCs w:val="22"/>
          <w:lang w:eastAsia="sv-SE"/>
        </w:rPr>
        <w:t>suspend the ordinary legislative procedure and requires unanimity in the European Council.</w:t>
      </w:r>
      <w:r w:rsidR="00437DCB" w:rsidRPr="003676AB">
        <w:rPr>
          <w:sz w:val="22"/>
          <w:szCs w:val="22"/>
          <w:lang w:eastAsia="sv-SE"/>
        </w:rPr>
        <w:t xml:space="preserve"> Similarly,</w:t>
      </w:r>
      <w:r w:rsidRPr="003676AB">
        <w:rPr>
          <w:sz w:val="22"/>
          <w:szCs w:val="22"/>
          <w:vertAlign w:val="superscript"/>
          <w:lang w:eastAsia="sv-SE"/>
        </w:rPr>
        <w:t xml:space="preserve"> </w:t>
      </w:r>
      <w:r w:rsidR="00437DCB" w:rsidRPr="003676AB">
        <w:rPr>
          <w:sz w:val="22"/>
          <w:szCs w:val="22"/>
          <w:lang w:eastAsia="sv-SE"/>
        </w:rPr>
        <w:t>the</w:t>
      </w:r>
      <w:r w:rsidRPr="003676AB">
        <w:rPr>
          <w:sz w:val="22"/>
          <w:szCs w:val="22"/>
          <w:lang w:eastAsia="sv-SE"/>
        </w:rPr>
        <w:t xml:space="preserve"> opt-outs </w:t>
      </w:r>
      <w:r w:rsidR="00437DCB" w:rsidRPr="003676AB">
        <w:rPr>
          <w:sz w:val="22"/>
          <w:szCs w:val="22"/>
          <w:lang w:eastAsia="sv-SE"/>
        </w:rPr>
        <w:t xml:space="preserve">enjoyed by </w:t>
      </w:r>
      <w:r w:rsidRPr="003676AB">
        <w:rPr>
          <w:sz w:val="22"/>
          <w:szCs w:val="22"/>
          <w:lang w:eastAsia="sv-SE"/>
        </w:rPr>
        <w:t>UK, Ireland and Denmark</w:t>
      </w:r>
      <w:r w:rsidRPr="003676AB">
        <w:rPr>
          <w:sz w:val="22"/>
          <w:szCs w:val="22"/>
          <w:vertAlign w:val="superscript"/>
          <w:lang w:eastAsia="sv-SE"/>
        </w:rPr>
        <w:footnoteReference w:id="183"/>
      </w:r>
      <w:r w:rsidRPr="003676AB">
        <w:rPr>
          <w:sz w:val="22"/>
          <w:szCs w:val="22"/>
          <w:lang w:eastAsia="sv-SE"/>
        </w:rPr>
        <w:t xml:space="preserve"> only apply to measures adopt</w:t>
      </w:r>
      <w:r w:rsidR="00D73980" w:rsidRPr="003676AB">
        <w:rPr>
          <w:sz w:val="22"/>
          <w:szCs w:val="22"/>
          <w:lang w:eastAsia="sv-SE"/>
        </w:rPr>
        <w:t>ed un</w:t>
      </w:r>
      <w:r w:rsidR="00F23F0B" w:rsidRPr="003676AB">
        <w:rPr>
          <w:sz w:val="22"/>
          <w:szCs w:val="22"/>
          <w:lang w:eastAsia="sv-SE"/>
        </w:rPr>
        <w:t xml:space="preserve">der </w:t>
      </w:r>
      <w:r w:rsidR="001A0A36" w:rsidRPr="003676AB">
        <w:rPr>
          <w:sz w:val="22"/>
          <w:szCs w:val="22"/>
          <w:lang w:eastAsia="sv-SE"/>
        </w:rPr>
        <w:t>art.</w:t>
      </w:r>
      <w:r w:rsidR="00F23F0B" w:rsidRPr="003676AB">
        <w:rPr>
          <w:sz w:val="22"/>
          <w:szCs w:val="22"/>
          <w:lang w:eastAsia="sv-SE"/>
        </w:rPr>
        <w:t xml:space="preserve"> 83(2) TFEU and the</w:t>
      </w:r>
      <w:r w:rsidRPr="003676AB">
        <w:rPr>
          <w:sz w:val="22"/>
          <w:szCs w:val="22"/>
          <w:lang w:eastAsia="sv-SE"/>
        </w:rPr>
        <w:t xml:space="preserve"> participation</w:t>
      </w:r>
      <w:r w:rsidR="00F23F0B" w:rsidRPr="003676AB">
        <w:rPr>
          <w:sz w:val="22"/>
          <w:szCs w:val="22"/>
          <w:lang w:eastAsia="sv-SE"/>
        </w:rPr>
        <w:t xml:space="preserve"> </w:t>
      </w:r>
      <w:r w:rsidR="00437DCB" w:rsidRPr="003676AB">
        <w:rPr>
          <w:sz w:val="22"/>
          <w:szCs w:val="22"/>
          <w:lang w:eastAsia="sv-SE"/>
        </w:rPr>
        <w:t xml:space="preserve">or non-participation </w:t>
      </w:r>
      <w:r w:rsidR="00F23F0B" w:rsidRPr="003676AB">
        <w:rPr>
          <w:sz w:val="22"/>
          <w:szCs w:val="22"/>
          <w:lang w:eastAsia="sv-SE"/>
        </w:rPr>
        <w:t>of these Member States</w:t>
      </w:r>
      <w:r w:rsidRPr="003676AB">
        <w:rPr>
          <w:sz w:val="22"/>
          <w:szCs w:val="22"/>
          <w:lang w:eastAsia="sv-SE"/>
        </w:rPr>
        <w:t xml:space="preserve"> will alter </w:t>
      </w:r>
      <w:r w:rsidR="00437DCB" w:rsidRPr="003676AB">
        <w:rPr>
          <w:sz w:val="22"/>
          <w:szCs w:val="22"/>
          <w:lang w:eastAsia="sv-SE"/>
        </w:rPr>
        <w:t xml:space="preserve">the </w:t>
      </w:r>
      <w:r w:rsidRPr="003676AB">
        <w:rPr>
          <w:sz w:val="22"/>
          <w:szCs w:val="22"/>
          <w:lang w:eastAsia="sv-SE"/>
        </w:rPr>
        <w:t xml:space="preserve">voting thresholds used for calculating </w:t>
      </w:r>
      <w:r w:rsidR="00437DCB" w:rsidRPr="003676AB">
        <w:rPr>
          <w:sz w:val="22"/>
          <w:szCs w:val="22"/>
          <w:lang w:eastAsia="sv-SE"/>
        </w:rPr>
        <w:t xml:space="preserve">whether or not a </w:t>
      </w:r>
      <w:r w:rsidRPr="003676AB">
        <w:rPr>
          <w:sz w:val="22"/>
          <w:szCs w:val="22"/>
          <w:lang w:eastAsia="sv-SE"/>
        </w:rPr>
        <w:t>qualified majority</w:t>
      </w:r>
      <w:r w:rsidR="00437DCB" w:rsidRPr="003676AB">
        <w:rPr>
          <w:sz w:val="22"/>
          <w:szCs w:val="22"/>
          <w:lang w:eastAsia="sv-SE"/>
        </w:rPr>
        <w:t xml:space="preserve"> has been reached</w:t>
      </w:r>
      <w:r w:rsidRPr="003676AB">
        <w:rPr>
          <w:sz w:val="22"/>
          <w:szCs w:val="22"/>
          <w:lang w:eastAsia="sv-SE"/>
        </w:rPr>
        <w:t>.</w:t>
      </w:r>
      <w:r w:rsidRPr="003676AB">
        <w:rPr>
          <w:sz w:val="22"/>
          <w:szCs w:val="22"/>
          <w:vertAlign w:val="superscript"/>
          <w:lang w:eastAsia="sv-SE"/>
        </w:rPr>
        <w:footnoteReference w:id="184"/>
      </w:r>
      <w:r w:rsidRPr="003676AB">
        <w:rPr>
          <w:sz w:val="22"/>
          <w:szCs w:val="22"/>
          <w:lang w:eastAsia="sv-SE"/>
        </w:rPr>
        <w:t xml:space="preserve"> </w:t>
      </w:r>
      <w:r w:rsidR="00D73980" w:rsidRPr="003676AB">
        <w:rPr>
          <w:sz w:val="22"/>
          <w:szCs w:val="22"/>
          <w:lang w:eastAsia="sv-SE"/>
        </w:rPr>
        <w:t>T</w:t>
      </w:r>
      <w:r w:rsidRPr="003676AB">
        <w:rPr>
          <w:sz w:val="22"/>
          <w:szCs w:val="22"/>
          <w:lang w:eastAsia="sv-SE"/>
        </w:rPr>
        <w:t xml:space="preserve">he threshold for the subsidiarity control </w:t>
      </w:r>
      <w:r w:rsidR="00D73980" w:rsidRPr="003676AB">
        <w:rPr>
          <w:sz w:val="22"/>
          <w:szCs w:val="22"/>
          <w:lang w:eastAsia="sv-SE"/>
        </w:rPr>
        <w:t xml:space="preserve">also </w:t>
      </w:r>
      <w:r w:rsidRPr="003676AB">
        <w:rPr>
          <w:sz w:val="22"/>
          <w:szCs w:val="22"/>
          <w:lang w:eastAsia="sv-SE"/>
        </w:rPr>
        <w:t xml:space="preserve">varies between Title V and </w:t>
      </w:r>
      <w:r w:rsidR="001A0A36" w:rsidRPr="003676AB">
        <w:rPr>
          <w:sz w:val="22"/>
          <w:szCs w:val="22"/>
          <w:lang w:eastAsia="sv-SE"/>
        </w:rPr>
        <w:t>art.</w:t>
      </w:r>
      <w:r w:rsidRPr="003676AB">
        <w:rPr>
          <w:sz w:val="22"/>
          <w:szCs w:val="22"/>
          <w:lang w:eastAsia="sv-SE"/>
        </w:rPr>
        <w:t xml:space="preserve"> 325 TFEU</w:t>
      </w:r>
      <w:r w:rsidR="00437DCB" w:rsidRPr="003676AB">
        <w:rPr>
          <w:sz w:val="22"/>
          <w:szCs w:val="22"/>
          <w:lang w:eastAsia="sv-SE"/>
        </w:rPr>
        <w:t>;</w:t>
      </w:r>
      <w:r w:rsidR="00D61A20" w:rsidRPr="003676AB">
        <w:rPr>
          <w:sz w:val="22"/>
          <w:szCs w:val="22"/>
          <w:lang w:eastAsia="sv-SE"/>
        </w:rPr>
        <w:t xml:space="preserve"> </w:t>
      </w:r>
      <w:r w:rsidR="00437DCB" w:rsidRPr="003676AB">
        <w:rPr>
          <w:sz w:val="22"/>
          <w:szCs w:val="22"/>
          <w:lang w:eastAsia="sv-SE"/>
        </w:rPr>
        <w:t>w</w:t>
      </w:r>
      <w:r w:rsidR="00D61A20" w:rsidRPr="003676AB">
        <w:rPr>
          <w:sz w:val="22"/>
          <w:szCs w:val="22"/>
          <w:lang w:eastAsia="sv-SE"/>
        </w:rPr>
        <w:t>hil</w:t>
      </w:r>
      <w:r w:rsidR="00437DCB" w:rsidRPr="003676AB">
        <w:rPr>
          <w:sz w:val="22"/>
          <w:szCs w:val="22"/>
          <w:lang w:eastAsia="sv-SE"/>
        </w:rPr>
        <w:t>e</w:t>
      </w:r>
      <w:r w:rsidR="00D61A20" w:rsidRPr="003676AB">
        <w:rPr>
          <w:sz w:val="22"/>
          <w:szCs w:val="22"/>
          <w:lang w:eastAsia="sv-SE"/>
        </w:rPr>
        <w:t xml:space="preserve"> under </w:t>
      </w:r>
      <w:r w:rsidR="001A0A36" w:rsidRPr="003676AB">
        <w:rPr>
          <w:sz w:val="22"/>
          <w:szCs w:val="22"/>
          <w:lang w:eastAsia="sv-SE"/>
        </w:rPr>
        <w:t>art.</w:t>
      </w:r>
      <w:r w:rsidR="00D61A20" w:rsidRPr="003676AB">
        <w:rPr>
          <w:sz w:val="22"/>
          <w:szCs w:val="22"/>
          <w:lang w:eastAsia="sv-SE"/>
        </w:rPr>
        <w:t xml:space="preserve"> 83(2) TFEU</w:t>
      </w:r>
      <w:r w:rsidRPr="003676AB">
        <w:rPr>
          <w:rFonts w:cs="EUAlbertina"/>
          <w:color w:val="000000"/>
          <w:sz w:val="22"/>
          <w:szCs w:val="22"/>
          <w:lang w:eastAsia="sv-SE"/>
        </w:rPr>
        <w:t xml:space="preserve"> </w:t>
      </w:r>
      <w:r w:rsidR="00437DCB" w:rsidRPr="003676AB">
        <w:rPr>
          <w:rFonts w:cs="EUAlbertina"/>
          <w:color w:val="000000"/>
          <w:sz w:val="22"/>
          <w:szCs w:val="22"/>
          <w:lang w:eastAsia="sv-SE"/>
        </w:rPr>
        <w:t xml:space="preserve">proposals </w:t>
      </w:r>
      <w:r w:rsidR="00084552" w:rsidRPr="003676AB">
        <w:rPr>
          <w:rFonts w:cs="EUAlbertina"/>
          <w:color w:val="000000"/>
          <w:sz w:val="22"/>
          <w:szCs w:val="22"/>
          <w:lang w:eastAsia="sv-SE"/>
        </w:rPr>
        <w:t>only</w:t>
      </w:r>
      <w:r w:rsidR="00464C18" w:rsidRPr="003676AB">
        <w:rPr>
          <w:rFonts w:cs="EUAlbertina"/>
          <w:color w:val="000000"/>
          <w:sz w:val="22"/>
          <w:szCs w:val="22"/>
          <w:lang w:eastAsia="sv-SE"/>
        </w:rPr>
        <w:t xml:space="preserve"> require</w:t>
      </w:r>
      <w:r w:rsidR="00084552" w:rsidRPr="003676AB">
        <w:rPr>
          <w:rFonts w:cs="EUAlbertina"/>
          <w:color w:val="000000"/>
          <w:sz w:val="22"/>
          <w:szCs w:val="22"/>
          <w:lang w:eastAsia="sv-SE"/>
        </w:rPr>
        <w:t xml:space="preserve"> a quarter of all the votes allocated to the national parliaments </w:t>
      </w:r>
      <w:r w:rsidR="00D61A20" w:rsidRPr="003676AB">
        <w:rPr>
          <w:rFonts w:cs="EUAlbertina"/>
          <w:color w:val="000000"/>
          <w:sz w:val="22"/>
          <w:szCs w:val="22"/>
          <w:lang w:eastAsia="sv-SE"/>
        </w:rPr>
        <w:t>to trigger</w:t>
      </w:r>
      <w:r w:rsidR="00084552" w:rsidRPr="003676AB">
        <w:rPr>
          <w:rFonts w:cs="EUAlbertina"/>
          <w:color w:val="000000"/>
          <w:sz w:val="22"/>
          <w:szCs w:val="22"/>
          <w:lang w:eastAsia="sv-SE"/>
        </w:rPr>
        <w:t xml:space="preserve"> </w:t>
      </w:r>
      <w:r w:rsidR="00D61A20" w:rsidRPr="003676AB">
        <w:rPr>
          <w:rFonts w:cs="EUAlbertina"/>
          <w:color w:val="000000"/>
          <w:sz w:val="22"/>
          <w:szCs w:val="22"/>
          <w:lang w:eastAsia="sv-SE"/>
        </w:rPr>
        <w:t>the yellow card</w:t>
      </w:r>
      <w:r w:rsidR="00D61A20" w:rsidRPr="003676AB">
        <w:rPr>
          <w:rStyle w:val="Fotnotsreferens"/>
          <w:rFonts w:cs="EUAlbertina"/>
          <w:color w:val="000000"/>
          <w:sz w:val="22"/>
          <w:szCs w:val="22"/>
          <w:lang w:eastAsia="sv-SE"/>
        </w:rPr>
        <w:footnoteReference w:id="185"/>
      </w:r>
      <w:r w:rsidR="00D61A20" w:rsidRPr="003676AB">
        <w:rPr>
          <w:rFonts w:cs="EUAlbertina"/>
          <w:color w:val="000000"/>
          <w:sz w:val="22"/>
          <w:szCs w:val="22"/>
          <w:lang w:eastAsia="sv-SE"/>
        </w:rPr>
        <w:t xml:space="preserve">, </w:t>
      </w:r>
      <w:r w:rsidR="00437DCB" w:rsidRPr="003676AB">
        <w:rPr>
          <w:rFonts w:cs="EUAlbertina"/>
          <w:color w:val="000000"/>
          <w:sz w:val="22"/>
          <w:szCs w:val="22"/>
          <w:lang w:eastAsia="sv-SE"/>
        </w:rPr>
        <w:t xml:space="preserve">those made </w:t>
      </w:r>
      <w:r w:rsidR="00D61A20" w:rsidRPr="003676AB">
        <w:rPr>
          <w:rFonts w:cs="EUAlbertina"/>
          <w:color w:val="000000"/>
          <w:sz w:val="22"/>
          <w:szCs w:val="22"/>
          <w:lang w:eastAsia="sv-SE"/>
        </w:rPr>
        <w:t xml:space="preserve">under </w:t>
      </w:r>
      <w:r w:rsidR="001A0A36" w:rsidRPr="003676AB">
        <w:rPr>
          <w:rFonts w:cs="EUAlbertina"/>
          <w:color w:val="000000"/>
          <w:sz w:val="22"/>
          <w:szCs w:val="22"/>
          <w:lang w:eastAsia="sv-SE"/>
        </w:rPr>
        <w:t>art.</w:t>
      </w:r>
      <w:r w:rsidR="00D61A20" w:rsidRPr="003676AB">
        <w:rPr>
          <w:rFonts w:cs="EUAlbertina"/>
          <w:color w:val="000000"/>
          <w:sz w:val="22"/>
          <w:szCs w:val="22"/>
          <w:lang w:eastAsia="sv-SE"/>
        </w:rPr>
        <w:t xml:space="preserve"> 325 </w:t>
      </w:r>
      <w:r w:rsidRPr="003676AB">
        <w:rPr>
          <w:rFonts w:cs="EUAlbertina"/>
          <w:color w:val="000000"/>
          <w:sz w:val="22"/>
          <w:szCs w:val="22"/>
          <w:lang w:eastAsia="sv-SE"/>
        </w:rPr>
        <w:t xml:space="preserve">require at least </w:t>
      </w:r>
      <w:r w:rsidR="009A2D62" w:rsidRPr="003676AB">
        <w:rPr>
          <w:rFonts w:cs="EUAlbertina"/>
          <w:color w:val="000000"/>
          <w:sz w:val="22"/>
          <w:szCs w:val="22"/>
          <w:lang w:eastAsia="sv-SE"/>
        </w:rPr>
        <w:t>one-</w:t>
      </w:r>
      <w:r w:rsidRPr="003676AB">
        <w:rPr>
          <w:rFonts w:cs="EUAlbertina"/>
          <w:color w:val="000000"/>
          <w:sz w:val="22"/>
          <w:szCs w:val="22"/>
          <w:lang w:eastAsia="sv-SE"/>
        </w:rPr>
        <w:t>t</w:t>
      </w:r>
      <w:r w:rsidR="00084552" w:rsidRPr="003676AB">
        <w:rPr>
          <w:rFonts w:cs="EUAlbertina"/>
          <w:color w:val="000000"/>
          <w:sz w:val="22"/>
          <w:szCs w:val="22"/>
          <w:lang w:eastAsia="sv-SE"/>
        </w:rPr>
        <w:t xml:space="preserve">hird of </w:t>
      </w:r>
      <w:r w:rsidR="00437DCB" w:rsidRPr="003676AB">
        <w:rPr>
          <w:rFonts w:cs="EUAlbertina"/>
          <w:color w:val="000000"/>
          <w:sz w:val="22"/>
          <w:szCs w:val="22"/>
          <w:lang w:eastAsia="sv-SE"/>
        </w:rPr>
        <w:t xml:space="preserve">the votes of </w:t>
      </w:r>
      <w:r w:rsidR="00084552" w:rsidRPr="003676AB">
        <w:rPr>
          <w:rFonts w:cs="EUAlbertina"/>
          <w:color w:val="000000"/>
          <w:sz w:val="22"/>
          <w:szCs w:val="22"/>
          <w:lang w:eastAsia="sv-SE"/>
        </w:rPr>
        <w:t>all the</w:t>
      </w:r>
      <w:r w:rsidR="00437DCB" w:rsidRPr="003676AB">
        <w:rPr>
          <w:rFonts w:cs="EUAlbertina"/>
          <w:color w:val="000000"/>
          <w:sz w:val="22"/>
          <w:szCs w:val="22"/>
          <w:lang w:eastAsia="sv-SE"/>
        </w:rPr>
        <w:t xml:space="preserve"> national parliaments</w:t>
      </w:r>
      <w:r w:rsidRPr="003676AB">
        <w:rPr>
          <w:rFonts w:cs="EUAlbertina"/>
          <w:color w:val="000000"/>
          <w:sz w:val="22"/>
          <w:szCs w:val="22"/>
          <w:lang w:eastAsia="sv-SE"/>
        </w:rPr>
        <w:t>.</w:t>
      </w:r>
      <w:r w:rsidRPr="003676AB">
        <w:rPr>
          <w:sz w:val="22"/>
          <w:szCs w:val="22"/>
          <w:vertAlign w:val="superscript"/>
          <w:lang w:eastAsia="sv-SE"/>
        </w:rPr>
        <w:footnoteReference w:id="186"/>
      </w:r>
      <w:r w:rsidRPr="003676AB">
        <w:rPr>
          <w:rFonts w:cs="EUAlbertina"/>
          <w:color w:val="000000"/>
          <w:sz w:val="22"/>
          <w:szCs w:val="22"/>
          <w:lang w:eastAsia="sv-SE"/>
        </w:rPr>
        <w:t xml:space="preserve"> </w:t>
      </w:r>
      <w:r w:rsidR="00D61A20" w:rsidRPr="003676AB">
        <w:rPr>
          <w:sz w:val="22"/>
          <w:szCs w:val="22"/>
          <w:lang w:eastAsia="sv-SE"/>
        </w:rPr>
        <w:t>I</w:t>
      </w:r>
      <w:r w:rsidRPr="003676AB">
        <w:rPr>
          <w:sz w:val="22"/>
          <w:szCs w:val="22"/>
          <w:lang w:eastAsia="sv-SE"/>
        </w:rPr>
        <w:t>t</w:t>
      </w:r>
      <w:r w:rsidR="00D61A20" w:rsidRPr="003676AB">
        <w:rPr>
          <w:sz w:val="22"/>
          <w:szCs w:val="22"/>
          <w:lang w:eastAsia="sv-SE"/>
        </w:rPr>
        <w:t xml:space="preserve"> </w:t>
      </w:r>
      <w:r w:rsidR="0036135B" w:rsidRPr="003676AB">
        <w:rPr>
          <w:sz w:val="22"/>
          <w:szCs w:val="22"/>
          <w:lang w:eastAsia="sv-SE"/>
        </w:rPr>
        <w:t>would therefore seem</w:t>
      </w:r>
      <w:r w:rsidRPr="003676AB">
        <w:rPr>
          <w:sz w:val="22"/>
          <w:szCs w:val="22"/>
          <w:lang w:eastAsia="sv-SE"/>
        </w:rPr>
        <w:t xml:space="preserve"> that</w:t>
      </w:r>
      <w:r w:rsidR="00D61A20" w:rsidRPr="003676AB">
        <w:rPr>
          <w:sz w:val="22"/>
          <w:szCs w:val="22"/>
          <w:lang w:eastAsia="sv-SE"/>
        </w:rPr>
        <w:t xml:space="preserve"> the</w:t>
      </w:r>
      <w:r w:rsidRPr="003676AB">
        <w:rPr>
          <w:sz w:val="22"/>
          <w:szCs w:val="22"/>
          <w:lang w:eastAsia="sv-SE"/>
        </w:rPr>
        <w:t xml:space="preserve"> </w:t>
      </w:r>
      <w:r w:rsidR="00D61A20" w:rsidRPr="003676AB">
        <w:rPr>
          <w:sz w:val="22"/>
          <w:szCs w:val="22"/>
          <w:lang w:eastAsia="sv-SE"/>
        </w:rPr>
        <w:t>PIF Proposal cannot</w:t>
      </w:r>
      <w:r w:rsidR="00873153" w:rsidRPr="003676AB">
        <w:rPr>
          <w:sz w:val="22"/>
          <w:szCs w:val="22"/>
          <w:lang w:eastAsia="sv-SE"/>
        </w:rPr>
        <w:t xml:space="preserve"> be adopted on the dual legal basis of </w:t>
      </w:r>
      <w:r w:rsidR="00DF279E" w:rsidRPr="003676AB">
        <w:rPr>
          <w:sz w:val="22"/>
          <w:szCs w:val="22"/>
          <w:lang w:eastAsia="sv-SE"/>
        </w:rPr>
        <w:t>art.</w:t>
      </w:r>
      <w:r w:rsidR="00873153" w:rsidRPr="003676AB">
        <w:rPr>
          <w:sz w:val="22"/>
          <w:szCs w:val="22"/>
          <w:lang w:eastAsia="sv-SE"/>
        </w:rPr>
        <w:t xml:space="preserve"> 83(2) TFEU and</w:t>
      </w:r>
      <w:r w:rsidRPr="003676AB">
        <w:rPr>
          <w:sz w:val="22"/>
          <w:szCs w:val="22"/>
          <w:lang w:eastAsia="sv-SE"/>
        </w:rPr>
        <w:t xml:space="preserve"> </w:t>
      </w:r>
      <w:r w:rsidR="00DF279E" w:rsidRPr="003676AB">
        <w:rPr>
          <w:sz w:val="22"/>
          <w:szCs w:val="22"/>
          <w:lang w:eastAsia="sv-SE"/>
        </w:rPr>
        <w:t>art.</w:t>
      </w:r>
      <w:r w:rsidRPr="003676AB">
        <w:rPr>
          <w:sz w:val="22"/>
          <w:szCs w:val="22"/>
          <w:lang w:eastAsia="sv-SE"/>
        </w:rPr>
        <w:t xml:space="preserve"> 325 TFEU.</w:t>
      </w:r>
      <w:r w:rsidRPr="003676AB">
        <w:rPr>
          <w:sz w:val="22"/>
          <w:szCs w:val="22"/>
          <w:vertAlign w:val="superscript"/>
          <w:lang w:eastAsia="sv-SE"/>
        </w:rPr>
        <w:t xml:space="preserve"> </w:t>
      </w:r>
      <w:r w:rsidR="005F44F9">
        <w:rPr>
          <w:sz w:val="22"/>
          <w:szCs w:val="22"/>
        </w:rPr>
        <w:t xml:space="preserve"> </w:t>
      </w:r>
      <w:r w:rsidR="00D61A20" w:rsidRPr="003676AB">
        <w:rPr>
          <w:sz w:val="22"/>
          <w:szCs w:val="22"/>
          <w:lang w:eastAsia="sv-SE"/>
        </w:rPr>
        <w:t>Given this</w:t>
      </w:r>
      <w:r w:rsidR="00873153" w:rsidRPr="003676AB">
        <w:rPr>
          <w:sz w:val="22"/>
          <w:szCs w:val="22"/>
          <w:lang w:eastAsia="sv-SE"/>
        </w:rPr>
        <w:t>,</w:t>
      </w:r>
      <w:r w:rsidRPr="003676AB">
        <w:rPr>
          <w:sz w:val="22"/>
          <w:szCs w:val="22"/>
          <w:lang w:eastAsia="sv-SE"/>
        </w:rPr>
        <w:t xml:space="preserve"> a final assessment </w:t>
      </w:r>
      <w:r w:rsidR="00DA0E44" w:rsidRPr="003676AB">
        <w:rPr>
          <w:sz w:val="22"/>
          <w:szCs w:val="22"/>
          <w:lang w:eastAsia="sv-SE"/>
        </w:rPr>
        <w:t>must</w:t>
      </w:r>
      <w:r w:rsidRPr="003676AB">
        <w:rPr>
          <w:sz w:val="22"/>
          <w:szCs w:val="22"/>
          <w:lang w:eastAsia="sv-SE"/>
        </w:rPr>
        <w:t xml:space="preserve"> be made </w:t>
      </w:r>
      <w:r w:rsidR="009A2D62" w:rsidRPr="003676AB">
        <w:rPr>
          <w:sz w:val="22"/>
          <w:szCs w:val="22"/>
          <w:lang w:eastAsia="sv-SE"/>
        </w:rPr>
        <w:t xml:space="preserve">regarding </w:t>
      </w:r>
      <w:r w:rsidRPr="003676AB">
        <w:rPr>
          <w:sz w:val="22"/>
          <w:szCs w:val="22"/>
          <w:lang w:eastAsia="sv-SE"/>
        </w:rPr>
        <w:t xml:space="preserve">which is the more appropriate </w:t>
      </w:r>
      <w:r w:rsidR="00464C18" w:rsidRPr="003676AB">
        <w:rPr>
          <w:sz w:val="22"/>
          <w:szCs w:val="22"/>
          <w:lang w:eastAsia="sv-SE"/>
        </w:rPr>
        <w:t xml:space="preserve">legal basis </w:t>
      </w:r>
      <w:r w:rsidRPr="003676AB">
        <w:rPr>
          <w:sz w:val="22"/>
          <w:szCs w:val="22"/>
          <w:lang w:eastAsia="sv-SE"/>
        </w:rPr>
        <w:t>for the measure. Whil</w:t>
      </w:r>
      <w:r w:rsidR="00464C18" w:rsidRPr="003676AB">
        <w:rPr>
          <w:sz w:val="22"/>
          <w:szCs w:val="22"/>
          <w:lang w:eastAsia="sv-SE"/>
        </w:rPr>
        <w:t>e</w:t>
      </w:r>
      <w:r w:rsidRPr="003676AB">
        <w:rPr>
          <w:sz w:val="22"/>
          <w:szCs w:val="22"/>
          <w:lang w:eastAsia="sv-SE"/>
        </w:rPr>
        <w:t xml:space="preserve"> the Court has not indicated clearly how this choice </w:t>
      </w:r>
      <w:r w:rsidR="00DA0E44" w:rsidRPr="003676AB">
        <w:rPr>
          <w:sz w:val="22"/>
          <w:szCs w:val="22"/>
          <w:lang w:eastAsia="sv-SE"/>
        </w:rPr>
        <w:t>should</w:t>
      </w:r>
      <w:r w:rsidRPr="003676AB">
        <w:rPr>
          <w:sz w:val="22"/>
          <w:szCs w:val="22"/>
          <w:lang w:eastAsia="sv-SE"/>
        </w:rPr>
        <w:t xml:space="preserve"> be made, it seems that this assessment should be pursued </w:t>
      </w:r>
      <w:proofErr w:type="gramStart"/>
      <w:r w:rsidRPr="003676AB">
        <w:rPr>
          <w:sz w:val="22"/>
          <w:szCs w:val="22"/>
          <w:lang w:eastAsia="sv-SE"/>
        </w:rPr>
        <w:t>on the basi</w:t>
      </w:r>
      <w:r w:rsidR="00EB1E54" w:rsidRPr="003676AB">
        <w:rPr>
          <w:sz w:val="22"/>
          <w:szCs w:val="22"/>
          <w:lang w:eastAsia="sv-SE"/>
        </w:rPr>
        <w:t>s</w:t>
      </w:r>
      <w:r w:rsidR="00D61A20" w:rsidRPr="003676AB">
        <w:rPr>
          <w:sz w:val="22"/>
          <w:szCs w:val="22"/>
          <w:lang w:eastAsia="sv-SE"/>
        </w:rPr>
        <w:t xml:space="preserve"> of</w:t>
      </w:r>
      <w:proofErr w:type="gramEnd"/>
      <w:r w:rsidR="00D61A20" w:rsidRPr="003676AB">
        <w:rPr>
          <w:sz w:val="22"/>
          <w:szCs w:val="22"/>
          <w:lang w:eastAsia="sv-SE"/>
        </w:rPr>
        <w:t xml:space="preserve"> the ‘centre of gravity’ test </w:t>
      </w:r>
      <w:r w:rsidR="00D61A20" w:rsidRPr="003676AB">
        <w:rPr>
          <w:sz w:val="22"/>
          <w:szCs w:val="22"/>
          <w:lang w:eastAsia="sv-SE"/>
        </w:rPr>
        <w:lastRenderedPageBreak/>
        <w:t>including</w:t>
      </w:r>
      <w:r w:rsidR="00EB1E54" w:rsidRPr="003676AB">
        <w:rPr>
          <w:sz w:val="22"/>
          <w:szCs w:val="22"/>
          <w:lang w:eastAsia="sv-SE"/>
        </w:rPr>
        <w:t xml:space="preserve"> </w:t>
      </w:r>
      <w:r w:rsidRPr="003676AB">
        <w:rPr>
          <w:sz w:val="22"/>
          <w:szCs w:val="22"/>
          <w:lang w:eastAsia="sv-SE"/>
        </w:rPr>
        <w:t>a renewed review</w:t>
      </w:r>
      <w:r w:rsidRPr="003676AB">
        <w:rPr>
          <w:rFonts w:eastAsia="Calibri"/>
          <w:sz w:val="22"/>
          <w:szCs w:val="22"/>
          <w:lang w:eastAsia="sv-SE"/>
        </w:rPr>
        <w:t xml:space="preserve"> </w:t>
      </w:r>
      <w:r w:rsidRPr="003676AB">
        <w:rPr>
          <w:sz w:val="22"/>
          <w:szCs w:val="22"/>
          <w:lang w:eastAsia="sv-SE"/>
        </w:rPr>
        <w:t>of the aim and content of the measure.</w:t>
      </w:r>
      <w:r w:rsidRPr="003676AB">
        <w:rPr>
          <w:sz w:val="22"/>
          <w:szCs w:val="22"/>
          <w:vertAlign w:val="superscript"/>
          <w:lang w:eastAsia="sv-SE"/>
        </w:rPr>
        <w:footnoteReference w:id="187"/>
      </w:r>
      <w:r w:rsidRPr="003676AB">
        <w:rPr>
          <w:sz w:val="22"/>
          <w:szCs w:val="22"/>
          <w:lang w:eastAsia="sv-SE"/>
        </w:rPr>
        <w:t xml:space="preserve"> </w:t>
      </w:r>
      <w:r w:rsidR="0036135B" w:rsidRPr="003676AB">
        <w:rPr>
          <w:color w:val="000000"/>
          <w:sz w:val="22"/>
          <w:szCs w:val="22"/>
        </w:rPr>
        <w:t>D</w:t>
      </w:r>
      <w:r w:rsidRPr="003676AB">
        <w:rPr>
          <w:color w:val="000000"/>
          <w:sz w:val="22"/>
          <w:szCs w:val="22"/>
        </w:rPr>
        <w:t>istinguish</w:t>
      </w:r>
      <w:r w:rsidR="0036135B" w:rsidRPr="003676AB">
        <w:rPr>
          <w:color w:val="000000"/>
          <w:sz w:val="22"/>
          <w:szCs w:val="22"/>
        </w:rPr>
        <w:t>ing between</w:t>
      </w:r>
      <w:r w:rsidRPr="003676AB">
        <w:rPr>
          <w:color w:val="000000"/>
          <w:sz w:val="22"/>
          <w:szCs w:val="22"/>
        </w:rPr>
        <w:t xml:space="preserve"> the two legal bases</w:t>
      </w:r>
      <w:r w:rsidR="00F23F0B" w:rsidRPr="003676AB">
        <w:rPr>
          <w:color w:val="000000"/>
          <w:sz w:val="22"/>
          <w:szCs w:val="22"/>
        </w:rPr>
        <w:t xml:space="preserve"> only with reference to the aim of the measure</w:t>
      </w:r>
      <w:r w:rsidR="0036135B" w:rsidRPr="003676AB">
        <w:rPr>
          <w:color w:val="000000"/>
          <w:sz w:val="22"/>
          <w:szCs w:val="22"/>
        </w:rPr>
        <w:t xml:space="preserve"> is a delicate task</w:t>
      </w:r>
      <w:r w:rsidRPr="003676AB">
        <w:rPr>
          <w:color w:val="000000"/>
          <w:sz w:val="22"/>
          <w:szCs w:val="22"/>
        </w:rPr>
        <w:t xml:space="preserve">. </w:t>
      </w:r>
      <w:r w:rsidR="00F23F0B" w:rsidRPr="003676AB">
        <w:rPr>
          <w:color w:val="000000"/>
          <w:sz w:val="22"/>
          <w:szCs w:val="22"/>
        </w:rPr>
        <w:t xml:space="preserve">It may well be argued </w:t>
      </w:r>
      <w:r w:rsidRPr="003676AB">
        <w:rPr>
          <w:color w:val="000000"/>
          <w:sz w:val="22"/>
          <w:szCs w:val="22"/>
        </w:rPr>
        <w:t xml:space="preserve">that </w:t>
      </w:r>
      <w:r w:rsidR="00A90576" w:rsidRPr="003676AB">
        <w:rPr>
          <w:color w:val="000000"/>
          <w:sz w:val="22"/>
          <w:szCs w:val="22"/>
        </w:rPr>
        <w:t>art.</w:t>
      </w:r>
      <w:r w:rsidRPr="003676AB">
        <w:rPr>
          <w:color w:val="000000"/>
          <w:sz w:val="22"/>
          <w:szCs w:val="22"/>
        </w:rPr>
        <w:t xml:space="preserve"> 83(2) TFEU is</w:t>
      </w:r>
      <w:r w:rsidR="00EB1E54" w:rsidRPr="003676AB">
        <w:rPr>
          <w:color w:val="000000"/>
          <w:sz w:val="22"/>
          <w:szCs w:val="22"/>
        </w:rPr>
        <w:t xml:space="preserve"> only an enforcement provision whil</w:t>
      </w:r>
      <w:r w:rsidR="00461320" w:rsidRPr="003676AB">
        <w:rPr>
          <w:color w:val="000000"/>
          <w:sz w:val="22"/>
          <w:szCs w:val="22"/>
        </w:rPr>
        <w:t>e</w:t>
      </w:r>
      <w:r w:rsidRPr="003676AB">
        <w:rPr>
          <w:color w:val="000000"/>
          <w:sz w:val="22"/>
          <w:szCs w:val="22"/>
        </w:rPr>
        <w:t xml:space="preserve"> </w:t>
      </w:r>
      <w:r w:rsidR="00A90576" w:rsidRPr="003676AB">
        <w:rPr>
          <w:color w:val="000000"/>
          <w:sz w:val="22"/>
          <w:szCs w:val="22"/>
        </w:rPr>
        <w:t>art.</w:t>
      </w:r>
      <w:r w:rsidRPr="003676AB">
        <w:rPr>
          <w:color w:val="000000"/>
          <w:sz w:val="22"/>
          <w:szCs w:val="22"/>
        </w:rPr>
        <w:t xml:space="preserve"> 325 TFEU</w:t>
      </w:r>
      <w:r w:rsidR="00C1752C" w:rsidRPr="003676AB">
        <w:rPr>
          <w:color w:val="000000"/>
          <w:sz w:val="22"/>
          <w:szCs w:val="22"/>
        </w:rPr>
        <w:t xml:space="preserve"> is a broader power</w:t>
      </w:r>
      <w:r w:rsidR="00EB1E54" w:rsidRPr="003676AB">
        <w:rPr>
          <w:color w:val="000000"/>
          <w:sz w:val="22"/>
          <w:szCs w:val="22"/>
        </w:rPr>
        <w:t xml:space="preserve"> providing</w:t>
      </w:r>
      <w:r w:rsidRPr="003676AB">
        <w:rPr>
          <w:color w:val="000000"/>
          <w:sz w:val="22"/>
          <w:szCs w:val="22"/>
        </w:rPr>
        <w:t xml:space="preserve"> a substantive legal basis for fraud policy</w:t>
      </w:r>
      <w:r w:rsidR="0067594A" w:rsidRPr="003676AB">
        <w:rPr>
          <w:color w:val="000000"/>
          <w:sz w:val="22"/>
          <w:szCs w:val="22"/>
        </w:rPr>
        <w:t xml:space="preserve">. The rationale for this is that the </w:t>
      </w:r>
      <w:r w:rsidR="00A90576" w:rsidRPr="003676AB">
        <w:rPr>
          <w:color w:val="000000"/>
          <w:sz w:val="22"/>
          <w:szCs w:val="22"/>
        </w:rPr>
        <w:t>art.</w:t>
      </w:r>
      <w:r w:rsidR="0036135B" w:rsidRPr="003676AB">
        <w:rPr>
          <w:color w:val="000000"/>
          <w:sz w:val="22"/>
          <w:szCs w:val="22"/>
        </w:rPr>
        <w:t xml:space="preserve"> 325 TFEU would appear to </w:t>
      </w:r>
      <w:r w:rsidR="0067594A" w:rsidRPr="003676AB">
        <w:rPr>
          <w:color w:val="000000"/>
          <w:sz w:val="22"/>
          <w:szCs w:val="22"/>
        </w:rPr>
        <w:t>include</w:t>
      </w:r>
      <w:r w:rsidR="00F23F0B" w:rsidRPr="003676AB">
        <w:rPr>
          <w:color w:val="000000"/>
          <w:sz w:val="22"/>
          <w:szCs w:val="22"/>
        </w:rPr>
        <w:t xml:space="preserve"> </w:t>
      </w:r>
      <w:r w:rsidR="0036135B" w:rsidRPr="003676AB">
        <w:rPr>
          <w:color w:val="000000"/>
          <w:sz w:val="22"/>
          <w:szCs w:val="22"/>
        </w:rPr>
        <w:t xml:space="preserve">a </w:t>
      </w:r>
      <w:r w:rsidR="00F23F0B" w:rsidRPr="003676AB">
        <w:rPr>
          <w:color w:val="000000"/>
          <w:sz w:val="22"/>
          <w:szCs w:val="22"/>
        </w:rPr>
        <w:t xml:space="preserve">competence to adopt material prohibitions </w:t>
      </w:r>
      <w:r w:rsidR="0036135B" w:rsidRPr="003676AB">
        <w:rPr>
          <w:color w:val="000000"/>
          <w:sz w:val="22"/>
          <w:szCs w:val="22"/>
        </w:rPr>
        <w:t xml:space="preserve">relating </w:t>
      </w:r>
      <w:r w:rsidR="00F23F0B" w:rsidRPr="003676AB">
        <w:rPr>
          <w:color w:val="000000"/>
          <w:sz w:val="22"/>
          <w:szCs w:val="22"/>
        </w:rPr>
        <w:t>to</w:t>
      </w:r>
      <w:r w:rsidR="0067594A" w:rsidRPr="003676AB">
        <w:rPr>
          <w:color w:val="000000"/>
          <w:sz w:val="22"/>
          <w:szCs w:val="22"/>
        </w:rPr>
        <w:t xml:space="preserve"> infringements of the rules on the EU budget</w:t>
      </w:r>
      <w:r w:rsidRPr="003676AB">
        <w:rPr>
          <w:color w:val="000000"/>
          <w:sz w:val="22"/>
          <w:szCs w:val="22"/>
        </w:rPr>
        <w:t>.</w:t>
      </w:r>
      <w:r w:rsidRPr="003676AB">
        <w:rPr>
          <w:color w:val="000000"/>
          <w:sz w:val="22"/>
          <w:szCs w:val="22"/>
          <w:vertAlign w:val="superscript"/>
        </w:rPr>
        <w:footnoteReference w:id="188"/>
      </w:r>
      <w:r w:rsidRPr="003676AB">
        <w:rPr>
          <w:color w:val="000000"/>
          <w:sz w:val="22"/>
          <w:szCs w:val="22"/>
        </w:rPr>
        <w:t xml:space="preserve"> The PIF Proposal </w:t>
      </w:r>
      <w:r w:rsidR="00BC452B" w:rsidRPr="003676AB">
        <w:rPr>
          <w:color w:val="000000"/>
          <w:sz w:val="22"/>
          <w:szCs w:val="22"/>
        </w:rPr>
        <w:t xml:space="preserve">intends </w:t>
      </w:r>
      <w:r w:rsidRPr="003676AB">
        <w:rPr>
          <w:color w:val="000000"/>
          <w:sz w:val="22"/>
          <w:szCs w:val="22"/>
        </w:rPr>
        <w:t>to ensure the effective protection of the Union’s financial interests</w:t>
      </w:r>
      <w:r w:rsidR="00464C18" w:rsidRPr="003676AB">
        <w:rPr>
          <w:color w:val="000000"/>
          <w:sz w:val="22"/>
          <w:szCs w:val="22"/>
        </w:rPr>
        <w:t>,</w:t>
      </w:r>
      <w:r w:rsidR="0067594A" w:rsidRPr="003676AB">
        <w:rPr>
          <w:color w:val="000000"/>
          <w:sz w:val="22"/>
          <w:szCs w:val="22"/>
        </w:rPr>
        <w:t xml:space="preserve"> an aim that</w:t>
      </w:r>
      <w:r w:rsidR="00BC452B" w:rsidRPr="003676AB">
        <w:rPr>
          <w:color w:val="000000"/>
          <w:sz w:val="22"/>
          <w:szCs w:val="22"/>
        </w:rPr>
        <w:t xml:space="preserve"> can be pursued by means of</w:t>
      </w:r>
      <w:r w:rsidR="0067594A" w:rsidRPr="003676AB">
        <w:rPr>
          <w:color w:val="000000"/>
          <w:sz w:val="22"/>
          <w:szCs w:val="22"/>
        </w:rPr>
        <w:t xml:space="preserve"> </w:t>
      </w:r>
      <w:r w:rsidR="00A90576" w:rsidRPr="003676AB">
        <w:rPr>
          <w:color w:val="000000"/>
          <w:sz w:val="22"/>
          <w:szCs w:val="22"/>
        </w:rPr>
        <w:t>art.</w:t>
      </w:r>
      <w:r w:rsidR="00BC452B" w:rsidRPr="003676AB">
        <w:rPr>
          <w:color w:val="000000"/>
          <w:sz w:val="22"/>
          <w:szCs w:val="22"/>
        </w:rPr>
        <w:t xml:space="preserve"> 325 TFEU. </w:t>
      </w:r>
      <w:r w:rsidR="0036135B" w:rsidRPr="003676AB">
        <w:rPr>
          <w:color w:val="000000"/>
          <w:sz w:val="22"/>
          <w:szCs w:val="22"/>
        </w:rPr>
        <w:t>However, t</w:t>
      </w:r>
      <w:r w:rsidRPr="003676AB">
        <w:rPr>
          <w:color w:val="000000"/>
          <w:sz w:val="22"/>
          <w:szCs w:val="22"/>
        </w:rPr>
        <w:t>he aims of the PIF Proposal can</w:t>
      </w:r>
      <w:r w:rsidR="0036135B" w:rsidRPr="003676AB">
        <w:rPr>
          <w:color w:val="000000"/>
          <w:sz w:val="22"/>
          <w:szCs w:val="22"/>
        </w:rPr>
        <w:t xml:space="preserve"> </w:t>
      </w:r>
      <w:r w:rsidR="00BC452B" w:rsidRPr="003676AB">
        <w:rPr>
          <w:color w:val="000000"/>
          <w:sz w:val="22"/>
          <w:szCs w:val="22"/>
        </w:rPr>
        <w:t>also</w:t>
      </w:r>
      <w:r w:rsidRPr="003676AB">
        <w:rPr>
          <w:color w:val="000000"/>
          <w:sz w:val="22"/>
          <w:szCs w:val="22"/>
        </w:rPr>
        <w:t xml:space="preserve"> be pursued by means of the legal basis of </w:t>
      </w:r>
      <w:r w:rsidR="00A90576" w:rsidRPr="003676AB">
        <w:rPr>
          <w:color w:val="000000"/>
          <w:sz w:val="22"/>
          <w:szCs w:val="22"/>
        </w:rPr>
        <w:t>art.</w:t>
      </w:r>
      <w:r w:rsidRPr="003676AB">
        <w:rPr>
          <w:color w:val="000000"/>
          <w:sz w:val="22"/>
          <w:szCs w:val="22"/>
        </w:rPr>
        <w:t xml:space="preserve"> 83(2) TFEU</w:t>
      </w:r>
      <w:r w:rsidR="00464C18" w:rsidRPr="003676AB">
        <w:rPr>
          <w:color w:val="000000"/>
          <w:sz w:val="22"/>
          <w:szCs w:val="22"/>
        </w:rPr>
        <w:t>,</w:t>
      </w:r>
      <w:r w:rsidRPr="003676AB">
        <w:rPr>
          <w:color w:val="000000"/>
          <w:sz w:val="22"/>
          <w:szCs w:val="22"/>
        </w:rPr>
        <w:t xml:space="preserve"> which</w:t>
      </w:r>
      <w:r w:rsidR="0067594A" w:rsidRPr="003676AB">
        <w:rPr>
          <w:color w:val="000000"/>
          <w:sz w:val="22"/>
          <w:szCs w:val="22"/>
        </w:rPr>
        <w:t xml:space="preserve"> is </w:t>
      </w:r>
      <w:r w:rsidR="00E45B7F" w:rsidRPr="003676AB">
        <w:rPr>
          <w:color w:val="000000"/>
          <w:sz w:val="22"/>
          <w:szCs w:val="22"/>
        </w:rPr>
        <w:t xml:space="preserve">intended </w:t>
      </w:r>
      <w:r w:rsidRPr="003676AB">
        <w:rPr>
          <w:color w:val="000000"/>
          <w:sz w:val="22"/>
          <w:szCs w:val="22"/>
        </w:rPr>
        <w:t>to be used for all criminal</w:t>
      </w:r>
      <w:r w:rsidR="00BC452B" w:rsidRPr="003676AB">
        <w:rPr>
          <w:color w:val="000000"/>
          <w:sz w:val="22"/>
          <w:szCs w:val="22"/>
        </w:rPr>
        <w:t>isation</w:t>
      </w:r>
      <w:r w:rsidRPr="003676AB">
        <w:rPr>
          <w:color w:val="000000"/>
          <w:sz w:val="22"/>
          <w:szCs w:val="22"/>
        </w:rPr>
        <w:t xml:space="preserve"> measures supporting substantive EU policies</w:t>
      </w:r>
      <w:r w:rsidR="0067594A" w:rsidRPr="003676AB">
        <w:rPr>
          <w:color w:val="000000"/>
          <w:sz w:val="22"/>
          <w:szCs w:val="22"/>
        </w:rPr>
        <w:t xml:space="preserve"> (such as protection of the EU budget)</w:t>
      </w:r>
      <w:r w:rsidRPr="003676AB">
        <w:rPr>
          <w:rFonts w:eastAsia="Calibri"/>
          <w:color w:val="000000"/>
          <w:sz w:val="22"/>
          <w:szCs w:val="22"/>
        </w:rPr>
        <w:t>. Since</w:t>
      </w:r>
      <w:r w:rsidRPr="003676AB">
        <w:rPr>
          <w:color w:val="000000"/>
          <w:sz w:val="22"/>
          <w:szCs w:val="22"/>
        </w:rPr>
        <w:t xml:space="preserve"> </w:t>
      </w:r>
      <w:r w:rsidR="00165232" w:rsidRPr="003676AB">
        <w:rPr>
          <w:color w:val="000000"/>
          <w:sz w:val="22"/>
          <w:szCs w:val="22"/>
        </w:rPr>
        <w:t xml:space="preserve">this provision </w:t>
      </w:r>
      <w:r w:rsidRPr="003676AB">
        <w:rPr>
          <w:color w:val="000000"/>
          <w:sz w:val="22"/>
          <w:szCs w:val="22"/>
        </w:rPr>
        <w:t xml:space="preserve">is also explicitly concerned with ‘criminal offences’ and </w:t>
      </w:r>
      <w:r w:rsidR="00165232" w:rsidRPr="003676AB">
        <w:rPr>
          <w:color w:val="000000"/>
          <w:sz w:val="22"/>
          <w:szCs w:val="22"/>
        </w:rPr>
        <w:t xml:space="preserve">‘and ‘sanctions’, it </w:t>
      </w:r>
      <w:r w:rsidRPr="003676AB">
        <w:rPr>
          <w:color w:val="000000"/>
          <w:sz w:val="22"/>
          <w:szCs w:val="22"/>
        </w:rPr>
        <w:t>is more specific concerning criminal</w:t>
      </w:r>
      <w:r w:rsidR="00854D87" w:rsidRPr="003676AB">
        <w:rPr>
          <w:color w:val="000000"/>
          <w:sz w:val="22"/>
          <w:szCs w:val="22"/>
        </w:rPr>
        <w:t>isa</w:t>
      </w:r>
      <w:r w:rsidRPr="003676AB">
        <w:rPr>
          <w:color w:val="000000"/>
          <w:sz w:val="22"/>
          <w:szCs w:val="22"/>
        </w:rPr>
        <w:t xml:space="preserve">tion of fraud in comparison to </w:t>
      </w:r>
      <w:r w:rsidR="00A90576" w:rsidRPr="003676AB">
        <w:rPr>
          <w:color w:val="000000"/>
          <w:sz w:val="22"/>
          <w:szCs w:val="22"/>
        </w:rPr>
        <w:t>art.</w:t>
      </w:r>
      <w:r w:rsidRPr="003676AB">
        <w:rPr>
          <w:color w:val="000000"/>
          <w:sz w:val="22"/>
          <w:szCs w:val="22"/>
        </w:rPr>
        <w:t xml:space="preserve"> 325 TFEU.</w:t>
      </w:r>
      <w:r w:rsidRPr="003676AB">
        <w:rPr>
          <w:rFonts w:eastAsia="Calibri"/>
          <w:color w:val="000000"/>
          <w:sz w:val="22"/>
          <w:szCs w:val="22"/>
          <w:vertAlign w:val="superscript"/>
        </w:rPr>
        <w:footnoteReference w:id="189"/>
      </w:r>
    </w:p>
    <w:p w14:paraId="4F4A76E2" w14:textId="589508A8" w:rsidR="00A41B47" w:rsidRPr="003676AB" w:rsidRDefault="002D109A" w:rsidP="00DA64C2">
      <w:pPr>
        <w:autoSpaceDE w:val="0"/>
        <w:autoSpaceDN w:val="0"/>
        <w:adjustRightInd w:val="0"/>
        <w:spacing w:after="0"/>
        <w:rPr>
          <w:sz w:val="22"/>
          <w:szCs w:val="22"/>
        </w:rPr>
      </w:pPr>
      <w:r w:rsidRPr="003676AB">
        <w:rPr>
          <w:color w:val="000000"/>
          <w:sz w:val="22"/>
          <w:szCs w:val="22"/>
        </w:rPr>
        <w:t>Whil</w:t>
      </w:r>
      <w:r w:rsidR="00464C18" w:rsidRPr="003676AB">
        <w:rPr>
          <w:color w:val="000000"/>
          <w:sz w:val="22"/>
          <w:szCs w:val="22"/>
        </w:rPr>
        <w:t>e</w:t>
      </w:r>
      <w:r w:rsidRPr="003676AB">
        <w:rPr>
          <w:color w:val="000000"/>
          <w:sz w:val="22"/>
          <w:szCs w:val="22"/>
        </w:rPr>
        <w:t xml:space="preserve"> </w:t>
      </w:r>
      <w:r w:rsidR="00E45B7F" w:rsidRPr="003676AB">
        <w:rPr>
          <w:color w:val="000000"/>
          <w:sz w:val="22"/>
          <w:szCs w:val="22"/>
        </w:rPr>
        <w:t xml:space="preserve">the question of </w:t>
      </w:r>
      <w:r w:rsidR="0003320D" w:rsidRPr="003676AB">
        <w:rPr>
          <w:color w:val="000000"/>
          <w:sz w:val="22"/>
          <w:szCs w:val="22"/>
        </w:rPr>
        <w:t xml:space="preserve">whether the PIF </w:t>
      </w:r>
      <w:r w:rsidR="006E5F6F" w:rsidRPr="003676AB">
        <w:rPr>
          <w:color w:val="000000"/>
          <w:sz w:val="22"/>
          <w:szCs w:val="22"/>
        </w:rPr>
        <w:t>P</w:t>
      </w:r>
      <w:r w:rsidR="00B54568" w:rsidRPr="003676AB">
        <w:rPr>
          <w:color w:val="000000"/>
          <w:sz w:val="22"/>
          <w:szCs w:val="22"/>
        </w:rPr>
        <w:t xml:space="preserve">roposal </w:t>
      </w:r>
      <w:r w:rsidR="0003320D" w:rsidRPr="003676AB">
        <w:rPr>
          <w:color w:val="000000"/>
          <w:sz w:val="22"/>
          <w:szCs w:val="22"/>
        </w:rPr>
        <w:t xml:space="preserve">pursues non-criminal aims </w:t>
      </w:r>
      <w:r w:rsidR="00464C18" w:rsidRPr="003676AB">
        <w:rPr>
          <w:color w:val="000000"/>
          <w:sz w:val="22"/>
          <w:szCs w:val="22"/>
        </w:rPr>
        <w:t xml:space="preserve">to a greater extent </w:t>
      </w:r>
      <w:r w:rsidR="0003320D" w:rsidRPr="003676AB">
        <w:rPr>
          <w:color w:val="000000"/>
          <w:sz w:val="22"/>
          <w:szCs w:val="22"/>
        </w:rPr>
        <w:t>than criminal aims</w:t>
      </w:r>
      <w:r w:rsidR="00E45B7F" w:rsidRPr="003676AB">
        <w:rPr>
          <w:color w:val="000000"/>
          <w:sz w:val="22"/>
          <w:szCs w:val="22"/>
        </w:rPr>
        <w:t xml:space="preserve"> is open to discussion</w:t>
      </w:r>
      <w:r w:rsidR="0003320D" w:rsidRPr="003676AB">
        <w:rPr>
          <w:color w:val="000000"/>
          <w:sz w:val="22"/>
          <w:szCs w:val="22"/>
        </w:rPr>
        <w:t xml:space="preserve">, the content of </w:t>
      </w:r>
      <w:r w:rsidR="009E28C4" w:rsidRPr="003676AB">
        <w:rPr>
          <w:color w:val="000000"/>
          <w:sz w:val="22"/>
          <w:szCs w:val="22"/>
        </w:rPr>
        <w:t>the substantive provisions of the proposal</w:t>
      </w:r>
      <w:r w:rsidRPr="003676AB">
        <w:rPr>
          <w:color w:val="000000"/>
          <w:sz w:val="22"/>
          <w:szCs w:val="22"/>
        </w:rPr>
        <w:t xml:space="preserve"> </w:t>
      </w:r>
      <w:r w:rsidR="00464C18" w:rsidRPr="003676AB">
        <w:rPr>
          <w:color w:val="000000"/>
          <w:sz w:val="22"/>
          <w:szCs w:val="22"/>
        </w:rPr>
        <w:t>does have</w:t>
      </w:r>
      <w:r w:rsidR="0003320D" w:rsidRPr="003676AB">
        <w:rPr>
          <w:color w:val="000000"/>
          <w:sz w:val="22"/>
          <w:szCs w:val="22"/>
        </w:rPr>
        <w:t xml:space="preserve"> a much </w:t>
      </w:r>
      <w:r w:rsidR="00464C18" w:rsidRPr="003676AB">
        <w:rPr>
          <w:color w:val="000000"/>
          <w:sz w:val="22"/>
          <w:szCs w:val="22"/>
        </w:rPr>
        <w:t xml:space="preserve">clearer </w:t>
      </w:r>
      <w:r w:rsidR="00B54568" w:rsidRPr="003676AB">
        <w:rPr>
          <w:color w:val="000000"/>
          <w:sz w:val="22"/>
          <w:szCs w:val="22"/>
        </w:rPr>
        <w:t>‘</w:t>
      </w:r>
      <w:r w:rsidR="0003320D" w:rsidRPr="003676AB">
        <w:rPr>
          <w:color w:val="000000"/>
          <w:sz w:val="22"/>
          <w:szCs w:val="22"/>
        </w:rPr>
        <w:t>criminal law’ component.</w:t>
      </w:r>
      <w:r w:rsidR="0003320D" w:rsidRPr="003676AB">
        <w:rPr>
          <w:color w:val="000000"/>
          <w:sz w:val="22"/>
          <w:szCs w:val="22"/>
          <w:vertAlign w:val="superscript"/>
        </w:rPr>
        <w:footnoteReference w:id="190"/>
      </w:r>
      <w:r w:rsidRPr="003676AB">
        <w:rPr>
          <w:color w:val="000000"/>
          <w:sz w:val="22"/>
          <w:szCs w:val="22"/>
        </w:rPr>
        <w:t xml:space="preserve"> </w:t>
      </w:r>
      <w:r w:rsidR="00FF3DE1" w:rsidRPr="003676AB">
        <w:rPr>
          <w:color w:val="000000"/>
          <w:sz w:val="22"/>
          <w:szCs w:val="22"/>
        </w:rPr>
        <w:t xml:space="preserve">The proposal contains no </w:t>
      </w:r>
      <w:r w:rsidR="0003320D" w:rsidRPr="003676AB">
        <w:rPr>
          <w:color w:val="000000"/>
          <w:sz w:val="22"/>
          <w:szCs w:val="22"/>
        </w:rPr>
        <w:t>sanctions</w:t>
      </w:r>
      <w:r w:rsidRPr="003676AB">
        <w:rPr>
          <w:color w:val="000000"/>
          <w:sz w:val="22"/>
          <w:szCs w:val="22"/>
        </w:rPr>
        <w:t xml:space="preserve"> against natural persons</w:t>
      </w:r>
      <w:r w:rsidR="0003320D" w:rsidRPr="003676AB">
        <w:rPr>
          <w:color w:val="000000"/>
          <w:sz w:val="22"/>
          <w:szCs w:val="22"/>
        </w:rPr>
        <w:t xml:space="preserve"> </w:t>
      </w:r>
      <w:r w:rsidR="00464C18" w:rsidRPr="003676AB">
        <w:rPr>
          <w:color w:val="000000"/>
          <w:sz w:val="22"/>
          <w:szCs w:val="22"/>
        </w:rPr>
        <w:t xml:space="preserve">other </w:t>
      </w:r>
      <w:r w:rsidR="0003320D" w:rsidRPr="003676AB">
        <w:rPr>
          <w:color w:val="000000"/>
          <w:sz w:val="22"/>
          <w:szCs w:val="22"/>
        </w:rPr>
        <w:t>tha</w:t>
      </w:r>
      <w:r w:rsidR="00E37045" w:rsidRPr="003676AB">
        <w:rPr>
          <w:color w:val="000000"/>
          <w:sz w:val="22"/>
          <w:szCs w:val="22"/>
        </w:rPr>
        <w:t xml:space="preserve">n criminal sanctions </w:t>
      </w:r>
      <w:r w:rsidR="0003320D" w:rsidRPr="003676AB">
        <w:rPr>
          <w:color w:val="000000"/>
          <w:sz w:val="22"/>
          <w:szCs w:val="22"/>
        </w:rPr>
        <w:t>and the criminal</w:t>
      </w:r>
      <w:r w:rsidR="00854D87" w:rsidRPr="003676AB">
        <w:rPr>
          <w:color w:val="000000"/>
          <w:sz w:val="22"/>
          <w:szCs w:val="22"/>
        </w:rPr>
        <w:t>isa</w:t>
      </w:r>
      <w:r w:rsidR="0003320D" w:rsidRPr="003676AB">
        <w:rPr>
          <w:color w:val="000000"/>
          <w:sz w:val="22"/>
          <w:szCs w:val="22"/>
        </w:rPr>
        <w:t>tion provisions</w:t>
      </w:r>
      <w:r w:rsidR="00FF3DE1" w:rsidRPr="003676AB">
        <w:rPr>
          <w:color w:val="000000"/>
          <w:sz w:val="22"/>
          <w:szCs w:val="22"/>
        </w:rPr>
        <w:t xml:space="preserve"> in fact </w:t>
      </w:r>
      <w:r w:rsidR="00E45B7F" w:rsidRPr="003676AB">
        <w:rPr>
          <w:color w:val="000000"/>
          <w:sz w:val="22"/>
          <w:szCs w:val="22"/>
        </w:rPr>
        <w:t xml:space="preserve">constitute </w:t>
      </w:r>
      <w:r w:rsidR="00FF3DE1" w:rsidRPr="003676AB">
        <w:rPr>
          <w:color w:val="000000"/>
          <w:sz w:val="22"/>
          <w:szCs w:val="22"/>
        </w:rPr>
        <w:t xml:space="preserve">its </w:t>
      </w:r>
      <w:r w:rsidR="00E45B7F" w:rsidRPr="003676AB">
        <w:rPr>
          <w:color w:val="000000"/>
          <w:sz w:val="22"/>
          <w:szCs w:val="22"/>
        </w:rPr>
        <w:t xml:space="preserve">main </w:t>
      </w:r>
      <w:r w:rsidR="00FF3DE1" w:rsidRPr="003676AB">
        <w:rPr>
          <w:color w:val="000000"/>
          <w:sz w:val="22"/>
          <w:szCs w:val="22"/>
        </w:rPr>
        <w:t>provisions</w:t>
      </w:r>
      <w:r w:rsidR="0003320D" w:rsidRPr="003676AB">
        <w:rPr>
          <w:color w:val="000000"/>
          <w:sz w:val="22"/>
          <w:szCs w:val="22"/>
        </w:rPr>
        <w:t>.</w:t>
      </w:r>
      <w:r w:rsidR="0003320D" w:rsidRPr="003676AB">
        <w:rPr>
          <w:color w:val="000000"/>
          <w:sz w:val="22"/>
          <w:szCs w:val="22"/>
          <w:vertAlign w:val="superscript"/>
        </w:rPr>
        <w:footnoteReference w:id="191"/>
      </w:r>
      <w:r w:rsidR="0003320D" w:rsidRPr="003676AB">
        <w:rPr>
          <w:color w:val="000000"/>
          <w:sz w:val="22"/>
          <w:szCs w:val="22"/>
        </w:rPr>
        <w:t xml:space="preserve"> </w:t>
      </w:r>
      <w:r w:rsidR="00FF3DE1" w:rsidRPr="003676AB">
        <w:rPr>
          <w:color w:val="000000"/>
          <w:sz w:val="22"/>
          <w:szCs w:val="22"/>
        </w:rPr>
        <w:t>Nor does t</w:t>
      </w:r>
      <w:r w:rsidR="0003320D" w:rsidRPr="003676AB">
        <w:rPr>
          <w:color w:val="000000"/>
          <w:sz w:val="22"/>
          <w:szCs w:val="22"/>
        </w:rPr>
        <w:t xml:space="preserve">he </w:t>
      </w:r>
      <w:r w:rsidR="00B54568" w:rsidRPr="003676AB">
        <w:rPr>
          <w:color w:val="000000"/>
          <w:sz w:val="22"/>
          <w:szCs w:val="22"/>
        </w:rPr>
        <w:t xml:space="preserve">proposal </w:t>
      </w:r>
      <w:r w:rsidR="00E37045" w:rsidRPr="003676AB">
        <w:rPr>
          <w:color w:val="000000"/>
          <w:sz w:val="22"/>
          <w:szCs w:val="22"/>
        </w:rPr>
        <w:t xml:space="preserve">contain </w:t>
      </w:r>
      <w:r w:rsidRPr="003676AB">
        <w:rPr>
          <w:color w:val="000000"/>
          <w:sz w:val="22"/>
          <w:szCs w:val="22"/>
        </w:rPr>
        <w:t>any</w:t>
      </w:r>
      <w:r w:rsidR="000D7AA5" w:rsidRPr="003676AB">
        <w:rPr>
          <w:color w:val="000000"/>
          <w:sz w:val="22"/>
          <w:szCs w:val="22"/>
        </w:rPr>
        <w:t xml:space="preserve"> other</w:t>
      </w:r>
      <w:r w:rsidR="00E37045" w:rsidRPr="003676AB">
        <w:rPr>
          <w:color w:val="000000"/>
          <w:sz w:val="22"/>
          <w:szCs w:val="22"/>
        </w:rPr>
        <w:t xml:space="preserve"> general</w:t>
      </w:r>
      <w:r w:rsidR="000D7AA5" w:rsidRPr="003676AB">
        <w:rPr>
          <w:color w:val="000000"/>
          <w:sz w:val="22"/>
          <w:szCs w:val="22"/>
        </w:rPr>
        <w:t xml:space="preserve"> substantive</w:t>
      </w:r>
      <w:r w:rsidRPr="003676AB">
        <w:rPr>
          <w:color w:val="000000"/>
          <w:sz w:val="22"/>
          <w:szCs w:val="22"/>
        </w:rPr>
        <w:t xml:space="preserve"> provision</w:t>
      </w:r>
      <w:r w:rsidR="000D7AA5" w:rsidRPr="003676AB">
        <w:rPr>
          <w:color w:val="000000"/>
          <w:sz w:val="22"/>
          <w:szCs w:val="22"/>
        </w:rPr>
        <w:t xml:space="preserve"> aiming</w:t>
      </w:r>
      <w:r w:rsidR="0003320D" w:rsidRPr="003676AB">
        <w:rPr>
          <w:color w:val="000000"/>
          <w:sz w:val="22"/>
          <w:szCs w:val="22"/>
        </w:rPr>
        <w:t xml:space="preserve"> to </w:t>
      </w:r>
      <w:r w:rsidR="00E45B7F" w:rsidRPr="003676AB">
        <w:rPr>
          <w:color w:val="000000"/>
          <w:sz w:val="22"/>
          <w:szCs w:val="22"/>
        </w:rPr>
        <w:t>safeguard</w:t>
      </w:r>
      <w:r w:rsidR="0003320D" w:rsidRPr="003676AB">
        <w:rPr>
          <w:color w:val="000000"/>
          <w:sz w:val="22"/>
          <w:szCs w:val="22"/>
        </w:rPr>
        <w:t xml:space="preserve"> the EU’s financial interests. </w:t>
      </w:r>
      <w:r w:rsidR="00E37045" w:rsidRPr="003676AB">
        <w:rPr>
          <w:color w:val="000000"/>
          <w:sz w:val="22"/>
          <w:szCs w:val="22"/>
        </w:rPr>
        <w:t>I</w:t>
      </w:r>
      <w:r w:rsidR="0003320D" w:rsidRPr="003676AB">
        <w:rPr>
          <w:color w:val="000000"/>
          <w:sz w:val="22"/>
          <w:szCs w:val="22"/>
        </w:rPr>
        <w:t>t</w:t>
      </w:r>
      <w:r w:rsidR="00E37045" w:rsidRPr="003676AB">
        <w:rPr>
          <w:color w:val="000000"/>
          <w:sz w:val="22"/>
          <w:szCs w:val="22"/>
        </w:rPr>
        <w:t xml:space="preserve"> </w:t>
      </w:r>
      <w:r w:rsidR="00FF3DE1" w:rsidRPr="003676AB">
        <w:rPr>
          <w:color w:val="000000"/>
          <w:sz w:val="22"/>
          <w:szCs w:val="22"/>
        </w:rPr>
        <w:t xml:space="preserve">therefore </w:t>
      </w:r>
      <w:r w:rsidR="0003320D" w:rsidRPr="003676AB">
        <w:rPr>
          <w:color w:val="000000"/>
          <w:sz w:val="22"/>
          <w:szCs w:val="22"/>
        </w:rPr>
        <w:t xml:space="preserve">seems clear that the specific criminal law aims and content of the PIF </w:t>
      </w:r>
      <w:r w:rsidR="008947B4" w:rsidRPr="003676AB">
        <w:rPr>
          <w:color w:val="000000"/>
          <w:sz w:val="22"/>
          <w:szCs w:val="22"/>
        </w:rPr>
        <w:t>P</w:t>
      </w:r>
      <w:r w:rsidR="00B54568" w:rsidRPr="003676AB">
        <w:rPr>
          <w:color w:val="000000"/>
          <w:sz w:val="22"/>
          <w:szCs w:val="22"/>
        </w:rPr>
        <w:t xml:space="preserve">roposal </w:t>
      </w:r>
      <w:r w:rsidR="0003320D" w:rsidRPr="003676AB">
        <w:rPr>
          <w:color w:val="000000"/>
          <w:sz w:val="22"/>
          <w:szCs w:val="22"/>
        </w:rPr>
        <w:t xml:space="preserve">indicate that </w:t>
      </w:r>
      <w:r w:rsidR="00A90576" w:rsidRPr="003676AB">
        <w:rPr>
          <w:color w:val="000000"/>
          <w:sz w:val="22"/>
          <w:szCs w:val="22"/>
        </w:rPr>
        <w:t>art.</w:t>
      </w:r>
      <w:r w:rsidR="00E37045" w:rsidRPr="003676AB">
        <w:rPr>
          <w:color w:val="000000"/>
          <w:sz w:val="22"/>
          <w:szCs w:val="22"/>
        </w:rPr>
        <w:t xml:space="preserve"> 83(2) is the proper legal basis</w:t>
      </w:r>
      <w:r w:rsidR="0003320D" w:rsidRPr="003676AB">
        <w:rPr>
          <w:color w:val="000000"/>
          <w:sz w:val="22"/>
          <w:szCs w:val="22"/>
        </w:rPr>
        <w:t xml:space="preserve"> for this legislative initiative.</w:t>
      </w:r>
      <w:r w:rsidR="008D44CB" w:rsidRPr="003676AB">
        <w:rPr>
          <w:color w:val="000000"/>
          <w:sz w:val="22"/>
          <w:szCs w:val="22"/>
        </w:rPr>
        <w:t xml:space="preserve"> </w:t>
      </w:r>
      <w:r w:rsidR="00E45B7F" w:rsidRPr="003676AB">
        <w:rPr>
          <w:sz w:val="22"/>
          <w:szCs w:val="22"/>
        </w:rPr>
        <w:t>Furthermore</w:t>
      </w:r>
      <w:r w:rsidR="0003320D" w:rsidRPr="003676AB">
        <w:rPr>
          <w:sz w:val="22"/>
          <w:szCs w:val="22"/>
        </w:rPr>
        <w:t xml:space="preserve">, </w:t>
      </w:r>
      <w:r w:rsidR="00C034CE" w:rsidRPr="003676AB">
        <w:rPr>
          <w:sz w:val="22"/>
          <w:szCs w:val="22"/>
        </w:rPr>
        <w:t xml:space="preserve">the ordinary decision procedure will apply if this is the legal basis chosen, such a </w:t>
      </w:r>
      <w:r w:rsidR="0003320D" w:rsidRPr="003676AB">
        <w:rPr>
          <w:sz w:val="22"/>
          <w:szCs w:val="22"/>
        </w:rPr>
        <w:t xml:space="preserve">solution would </w:t>
      </w:r>
      <w:r w:rsidR="00C034CE" w:rsidRPr="003676AB">
        <w:rPr>
          <w:sz w:val="22"/>
          <w:szCs w:val="22"/>
        </w:rPr>
        <w:t xml:space="preserve">appear to </w:t>
      </w:r>
      <w:r w:rsidR="0003320D" w:rsidRPr="003676AB">
        <w:rPr>
          <w:sz w:val="22"/>
          <w:szCs w:val="22"/>
        </w:rPr>
        <w:t>respect the prerogatives of the Parliament.</w:t>
      </w:r>
      <w:r w:rsidR="0003320D" w:rsidRPr="003676AB">
        <w:rPr>
          <w:sz w:val="22"/>
          <w:szCs w:val="22"/>
          <w:vertAlign w:val="superscript"/>
        </w:rPr>
        <w:t xml:space="preserve"> </w:t>
      </w:r>
      <w:r w:rsidR="0003320D" w:rsidRPr="003676AB">
        <w:rPr>
          <w:sz w:val="22"/>
          <w:szCs w:val="22"/>
        </w:rPr>
        <w:t xml:space="preserve">The Council’s prerogatives will be even enhanced if </w:t>
      </w:r>
      <w:r w:rsidR="00F9227A" w:rsidRPr="003676AB">
        <w:rPr>
          <w:sz w:val="22"/>
          <w:szCs w:val="22"/>
        </w:rPr>
        <w:t>art.</w:t>
      </w:r>
      <w:r w:rsidR="0003320D" w:rsidRPr="003676AB">
        <w:rPr>
          <w:sz w:val="22"/>
          <w:szCs w:val="22"/>
        </w:rPr>
        <w:t xml:space="preserve"> 83(2) TFEU is employed</w:t>
      </w:r>
      <w:r w:rsidR="00C034CE" w:rsidRPr="003676AB">
        <w:rPr>
          <w:sz w:val="22"/>
          <w:szCs w:val="22"/>
        </w:rPr>
        <w:t>,</w:t>
      </w:r>
      <w:r w:rsidR="0003320D" w:rsidRPr="003676AB">
        <w:rPr>
          <w:sz w:val="22"/>
          <w:szCs w:val="22"/>
        </w:rPr>
        <w:t xml:space="preserve"> as the Member States will have access to the </w:t>
      </w:r>
      <w:r w:rsidR="00C45655" w:rsidRPr="003676AB">
        <w:rPr>
          <w:sz w:val="22"/>
          <w:szCs w:val="22"/>
        </w:rPr>
        <w:t>‘</w:t>
      </w:r>
      <w:r w:rsidR="0003320D" w:rsidRPr="003676AB">
        <w:rPr>
          <w:sz w:val="22"/>
          <w:szCs w:val="22"/>
        </w:rPr>
        <w:t>emergency brake</w:t>
      </w:r>
      <w:r w:rsidR="00C45655" w:rsidRPr="003676AB">
        <w:rPr>
          <w:sz w:val="22"/>
          <w:szCs w:val="22"/>
        </w:rPr>
        <w:t>’</w:t>
      </w:r>
      <w:r w:rsidR="0003320D" w:rsidRPr="003676AB">
        <w:rPr>
          <w:sz w:val="22"/>
          <w:szCs w:val="22"/>
        </w:rPr>
        <w:t>. It</w:t>
      </w:r>
      <w:r w:rsidR="00E37045" w:rsidRPr="003676AB">
        <w:rPr>
          <w:sz w:val="22"/>
          <w:szCs w:val="22"/>
        </w:rPr>
        <w:t xml:space="preserve"> thus seems that this solution would respect the institutional balance established by the Treaties</w:t>
      </w:r>
      <w:r w:rsidR="0003320D" w:rsidRPr="003676AB">
        <w:rPr>
          <w:sz w:val="22"/>
          <w:szCs w:val="22"/>
        </w:rPr>
        <w:t>.</w:t>
      </w:r>
      <w:r w:rsidR="00E37045" w:rsidRPr="003676AB">
        <w:rPr>
          <w:rStyle w:val="Fotnotsreferens"/>
          <w:sz w:val="22"/>
          <w:szCs w:val="22"/>
        </w:rPr>
        <w:footnoteReference w:id="192"/>
      </w:r>
      <w:r w:rsidR="001D29DC" w:rsidRPr="003676AB">
        <w:rPr>
          <w:sz w:val="22"/>
          <w:szCs w:val="22"/>
        </w:rPr>
        <w:t xml:space="preserve"> The choice of </w:t>
      </w:r>
      <w:r w:rsidR="00F9227A" w:rsidRPr="003676AB">
        <w:rPr>
          <w:sz w:val="22"/>
          <w:szCs w:val="22"/>
        </w:rPr>
        <w:t>art.</w:t>
      </w:r>
      <w:r w:rsidR="001D29DC" w:rsidRPr="003676AB">
        <w:rPr>
          <w:sz w:val="22"/>
          <w:szCs w:val="22"/>
        </w:rPr>
        <w:t xml:space="preserve"> 83(2) TFEU for a directive with strong ‘criminal law’ components such as the PIF Proposal </w:t>
      </w:r>
      <w:r w:rsidR="00FF3DE1" w:rsidRPr="003676AB">
        <w:rPr>
          <w:sz w:val="22"/>
          <w:szCs w:val="22"/>
        </w:rPr>
        <w:t xml:space="preserve">is </w:t>
      </w:r>
      <w:r w:rsidR="00A41B47" w:rsidRPr="003676AB">
        <w:rPr>
          <w:sz w:val="22"/>
          <w:szCs w:val="22"/>
        </w:rPr>
        <w:t>there</w:t>
      </w:r>
      <w:r w:rsidR="00FF3DE1" w:rsidRPr="003676AB">
        <w:rPr>
          <w:sz w:val="22"/>
          <w:szCs w:val="22"/>
        </w:rPr>
        <w:t>fore</w:t>
      </w:r>
      <w:r w:rsidR="001D29DC" w:rsidRPr="003676AB">
        <w:rPr>
          <w:sz w:val="22"/>
          <w:szCs w:val="22"/>
        </w:rPr>
        <w:t xml:space="preserve"> </w:t>
      </w:r>
      <w:r w:rsidR="00C034CE" w:rsidRPr="003676AB">
        <w:rPr>
          <w:sz w:val="22"/>
          <w:szCs w:val="22"/>
        </w:rPr>
        <w:t xml:space="preserve">consistent </w:t>
      </w:r>
      <w:r w:rsidR="001D29DC" w:rsidRPr="003676AB">
        <w:rPr>
          <w:sz w:val="22"/>
          <w:szCs w:val="22"/>
        </w:rPr>
        <w:t>with the teleological, structural and constitutional considerations underlying the core argument in this article.</w:t>
      </w:r>
      <w:r w:rsidR="001D29DC" w:rsidRPr="003676AB">
        <w:rPr>
          <w:rStyle w:val="Fotnotsreferens"/>
          <w:sz w:val="22"/>
          <w:szCs w:val="22"/>
        </w:rPr>
        <w:footnoteReference w:id="193"/>
      </w:r>
      <w:bookmarkStart w:id="11" w:name="_Toc470022116"/>
    </w:p>
    <w:p w14:paraId="36B8CD57" w14:textId="4215D051" w:rsidR="008D44CB" w:rsidRPr="003676AB" w:rsidRDefault="00CF4F6C" w:rsidP="00CF4F6C">
      <w:pPr>
        <w:pStyle w:val="Rubrik1"/>
        <w:ind w:left="1300" w:hanging="1300"/>
        <w:jc w:val="both"/>
        <w:rPr>
          <w:rFonts w:eastAsia="Calibri"/>
          <w:b/>
          <w:sz w:val="22"/>
          <w:szCs w:val="22"/>
          <w:lang w:eastAsia="sv-SE"/>
        </w:rPr>
      </w:pPr>
      <w:r w:rsidRPr="003676AB">
        <w:rPr>
          <w:rFonts w:eastAsia="Calibri"/>
          <w:b/>
          <w:sz w:val="22"/>
          <w:szCs w:val="22"/>
          <w:lang w:eastAsia="sv-SE"/>
        </w:rPr>
        <w:t>V</w:t>
      </w:r>
      <w:r w:rsidRPr="003676AB">
        <w:rPr>
          <w:rFonts w:eastAsia="Calibri"/>
          <w:b/>
          <w:sz w:val="22"/>
          <w:szCs w:val="22"/>
          <w:lang w:eastAsia="sv-SE"/>
        </w:rPr>
        <w:tab/>
      </w:r>
      <w:r w:rsidR="005C1207" w:rsidRPr="003676AB">
        <w:rPr>
          <w:rFonts w:eastAsia="Calibri"/>
          <w:b/>
          <w:sz w:val="22"/>
          <w:szCs w:val="22"/>
          <w:lang w:eastAsia="sv-SE"/>
        </w:rPr>
        <w:t xml:space="preserve"> </w:t>
      </w:r>
      <w:r w:rsidR="0003320D" w:rsidRPr="003676AB">
        <w:rPr>
          <w:rFonts w:eastAsia="Calibri"/>
          <w:b/>
          <w:sz w:val="22"/>
          <w:szCs w:val="22"/>
          <w:lang w:eastAsia="sv-SE"/>
        </w:rPr>
        <w:t>Conclusions</w:t>
      </w:r>
      <w:bookmarkEnd w:id="11"/>
      <w:r w:rsidR="00BD1E62" w:rsidRPr="003676AB">
        <w:rPr>
          <w:rFonts w:eastAsia="Calibri"/>
          <w:b/>
          <w:sz w:val="22"/>
          <w:szCs w:val="22"/>
          <w:lang w:eastAsia="sv-SE"/>
        </w:rPr>
        <w:t xml:space="preserve"> and reflections</w:t>
      </w:r>
    </w:p>
    <w:p w14:paraId="53F9FEB7" w14:textId="488200B1" w:rsidR="00855742" w:rsidRPr="003676AB" w:rsidRDefault="009E28C4" w:rsidP="00855742">
      <w:pPr>
        <w:tabs>
          <w:tab w:val="left" w:pos="0"/>
        </w:tabs>
        <w:rPr>
          <w:rFonts w:eastAsia="Calibri"/>
          <w:sz w:val="22"/>
          <w:szCs w:val="22"/>
        </w:rPr>
      </w:pPr>
      <w:r w:rsidRPr="003676AB">
        <w:rPr>
          <w:rFonts w:eastAsia="Calibri"/>
          <w:sz w:val="22"/>
          <w:szCs w:val="22"/>
        </w:rPr>
        <w:lastRenderedPageBreak/>
        <w:t>This article examined</w:t>
      </w:r>
      <w:r w:rsidR="0003320D" w:rsidRPr="003676AB">
        <w:rPr>
          <w:rFonts w:eastAsia="Calibri"/>
          <w:sz w:val="22"/>
          <w:szCs w:val="22"/>
        </w:rPr>
        <w:t xml:space="preserve"> the </w:t>
      </w:r>
      <w:r w:rsidR="005C75B9" w:rsidRPr="003676AB">
        <w:rPr>
          <w:rFonts w:eastAsia="Calibri"/>
          <w:sz w:val="22"/>
          <w:szCs w:val="22"/>
        </w:rPr>
        <w:t xml:space="preserve">question of the </w:t>
      </w:r>
      <w:r w:rsidR="0003320D" w:rsidRPr="003676AB">
        <w:rPr>
          <w:rFonts w:eastAsia="Calibri"/>
          <w:sz w:val="22"/>
          <w:szCs w:val="22"/>
        </w:rPr>
        <w:t xml:space="preserve">correct legal basis for </w:t>
      </w:r>
      <w:r w:rsidR="005C75B9" w:rsidRPr="003676AB">
        <w:rPr>
          <w:rFonts w:eastAsia="Calibri"/>
          <w:sz w:val="22"/>
          <w:szCs w:val="22"/>
        </w:rPr>
        <w:t xml:space="preserve">the </w:t>
      </w:r>
      <w:r w:rsidR="0003320D" w:rsidRPr="003676AB">
        <w:rPr>
          <w:rFonts w:eastAsia="Calibri"/>
          <w:sz w:val="22"/>
          <w:szCs w:val="22"/>
        </w:rPr>
        <w:t>criminal</w:t>
      </w:r>
      <w:r w:rsidR="00854D87" w:rsidRPr="003676AB">
        <w:rPr>
          <w:rFonts w:eastAsia="Calibri"/>
          <w:sz w:val="22"/>
          <w:szCs w:val="22"/>
        </w:rPr>
        <w:t>isa</w:t>
      </w:r>
      <w:r w:rsidR="0003320D" w:rsidRPr="003676AB">
        <w:rPr>
          <w:rFonts w:eastAsia="Calibri"/>
          <w:sz w:val="22"/>
          <w:szCs w:val="22"/>
        </w:rPr>
        <w:t xml:space="preserve">tion </w:t>
      </w:r>
      <w:r w:rsidR="005C75B9" w:rsidRPr="003676AB">
        <w:rPr>
          <w:rFonts w:eastAsia="Calibri"/>
          <w:sz w:val="22"/>
          <w:szCs w:val="22"/>
        </w:rPr>
        <w:t xml:space="preserve">in relation to </w:t>
      </w:r>
      <w:r w:rsidR="0003320D" w:rsidRPr="003676AB">
        <w:rPr>
          <w:rFonts w:eastAsia="Calibri"/>
          <w:sz w:val="22"/>
          <w:szCs w:val="22"/>
        </w:rPr>
        <w:t>existing EU policies.</w:t>
      </w:r>
      <w:r w:rsidR="00855742" w:rsidRPr="003676AB">
        <w:rPr>
          <w:rFonts w:eastAsia="Calibri"/>
          <w:sz w:val="22"/>
          <w:szCs w:val="22"/>
        </w:rPr>
        <w:t xml:space="preserve"> The central </w:t>
      </w:r>
      <w:r w:rsidR="00C034CE" w:rsidRPr="003676AB">
        <w:rPr>
          <w:rFonts w:eastAsia="Calibri"/>
          <w:sz w:val="22"/>
          <w:szCs w:val="22"/>
        </w:rPr>
        <w:t xml:space="preserve">claim is </w:t>
      </w:r>
      <w:r w:rsidR="00855742" w:rsidRPr="003676AB">
        <w:rPr>
          <w:rFonts w:eastAsia="Calibri"/>
          <w:sz w:val="22"/>
          <w:szCs w:val="22"/>
        </w:rPr>
        <w:t xml:space="preserve">that </w:t>
      </w:r>
      <w:r w:rsidR="00F9227A" w:rsidRPr="003676AB">
        <w:rPr>
          <w:rFonts w:eastAsia="Calibri"/>
          <w:sz w:val="22"/>
          <w:szCs w:val="22"/>
        </w:rPr>
        <w:t>art.</w:t>
      </w:r>
      <w:r w:rsidR="00855742" w:rsidRPr="003676AB">
        <w:rPr>
          <w:rFonts w:eastAsia="Calibri"/>
          <w:sz w:val="22"/>
          <w:szCs w:val="22"/>
        </w:rPr>
        <w:t xml:space="preserve"> 83 TFEU has</w:t>
      </w:r>
      <w:r w:rsidR="00B21EB9" w:rsidRPr="003676AB">
        <w:rPr>
          <w:rFonts w:eastAsia="Calibri"/>
          <w:sz w:val="22"/>
          <w:szCs w:val="22"/>
        </w:rPr>
        <w:t xml:space="preserve"> </w:t>
      </w:r>
      <w:r w:rsidR="00855742" w:rsidRPr="003676AB">
        <w:rPr>
          <w:rFonts w:eastAsia="Calibri"/>
          <w:sz w:val="22"/>
          <w:szCs w:val="22"/>
        </w:rPr>
        <w:t xml:space="preserve">assumed the role of </w:t>
      </w:r>
      <w:proofErr w:type="spellStart"/>
      <w:r w:rsidR="00855742" w:rsidRPr="003676AB">
        <w:rPr>
          <w:rFonts w:eastAsia="Calibri"/>
          <w:i/>
          <w:sz w:val="22"/>
          <w:szCs w:val="22"/>
        </w:rPr>
        <w:t>lex</w:t>
      </w:r>
      <w:proofErr w:type="spellEnd"/>
      <w:r w:rsidR="00855742" w:rsidRPr="003676AB">
        <w:rPr>
          <w:rFonts w:eastAsia="Calibri"/>
          <w:i/>
          <w:sz w:val="22"/>
          <w:szCs w:val="22"/>
        </w:rPr>
        <w:t xml:space="preserve"> </w:t>
      </w:r>
      <w:proofErr w:type="spellStart"/>
      <w:r w:rsidR="00855742" w:rsidRPr="003676AB">
        <w:rPr>
          <w:rFonts w:eastAsia="Calibri"/>
          <w:i/>
          <w:sz w:val="22"/>
          <w:szCs w:val="22"/>
        </w:rPr>
        <w:t>specialis</w:t>
      </w:r>
      <w:proofErr w:type="spellEnd"/>
      <w:r w:rsidR="0038097C" w:rsidRPr="003676AB">
        <w:rPr>
          <w:rFonts w:eastAsia="Calibri"/>
          <w:sz w:val="22"/>
          <w:szCs w:val="22"/>
        </w:rPr>
        <w:t xml:space="preserve"> for measures</w:t>
      </w:r>
      <w:r w:rsidR="00C034CE" w:rsidRPr="003676AB">
        <w:rPr>
          <w:rFonts w:eastAsia="Calibri"/>
          <w:sz w:val="22"/>
          <w:szCs w:val="22"/>
        </w:rPr>
        <w:t xml:space="preserve"> containing a </w:t>
      </w:r>
      <w:r w:rsidR="0038097C" w:rsidRPr="003676AB">
        <w:rPr>
          <w:rFonts w:eastAsia="Calibri"/>
          <w:sz w:val="22"/>
          <w:szCs w:val="22"/>
        </w:rPr>
        <w:t>predominant component</w:t>
      </w:r>
      <w:r w:rsidR="00855742" w:rsidRPr="003676AB">
        <w:rPr>
          <w:rFonts w:eastAsia="Calibri"/>
          <w:sz w:val="22"/>
          <w:szCs w:val="22"/>
        </w:rPr>
        <w:t xml:space="preserve"> </w:t>
      </w:r>
      <w:r w:rsidR="00C034CE" w:rsidRPr="003676AB">
        <w:rPr>
          <w:rFonts w:eastAsia="Calibri"/>
          <w:sz w:val="22"/>
          <w:szCs w:val="22"/>
        </w:rPr>
        <w:t xml:space="preserve">of </w:t>
      </w:r>
      <w:r w:rsidR="00855742" w:rsidRPr="003676AB">
        <w:rPr>
          <w:rFonts w:eastAsia="Calibri"/>
          <w:sz w:val="22"/>
          <w:szCs w:val="22"/>
        </w:rPr>
        <w:t>a ‘criminal law’ nature. A c</w:t>
      </w:r>
      <w:r w:rsidR="00F9227A" w:rsidRPr="003676AB">
        <w:rPr>
          <w:rFonts w:eastAsia="Calibri"/>
          <w:sz w:val="22"/>
          <w:szCs w:val="22"/>
        </w:rPr>
        <w:t>ritical</w:t>
      </w:r>
      <w:r w:rsidR="00855742" w:rsidRPr="003676AB">
        <w:rPr>
          <w:rFonts w:eastAsia="Calibri"/>
          <w:sz w:val="22"/>
          <w:szCs w:val="22"/>
        </w:rPr>
        <w:t xml:space="preserve"> reading of the </w:t>
      </w:r>
      <w:r w:rsidR="005C75B9" w:rsidRPr="003676AB">
        <w:rPr>
          <w:rFonts w:eastAsia="Calibri"/>
          <w:sz w:val="22"/>
          <w:szCs w:val="22"/>
        </w:rPr>
        <w:t>post-Lisbon constitutional</w:t>
      </w:r>
      <w:r w:rsidR="008B6383" w:rsidRPr="003676AB">
        <w:rPr>
          <w:rFonts w:eastAsia="Calibri"/>
          <w:sz w:val="22"/>
          <w:szCs w:val="22"/>
        </w:rPr>
        <w:t xml:space="preserve"> </w:t>
      </w:r>
      <w:r w:rsidR="005C75B9" w:rsidRPr="003676AB">
        <w:rPr>
          <w:rFonts w:eastAsia="Calibri"/>
          <w:sz w:val="22"/>
          <w:szCs w:val="22"/>
        </w:rPr>
        <w:t xml:space="preserve">architecture on </w:t>
      </w:r>
      <w:r w:rsidR="00855742" w:rsidRPr="003676AB">
        <w:rPr>
          <w:rFonts w:eastAsia="Calibri"/>
          <w:sz w:val="22"/>
          <w:szCs w:val="22"/>
        </w:rPr>
        <w:t xml:space="preserve">criminal law reflects an explicit choice </w:t>
      </w:r>
      <w:r w:rsidR="005C75B9" w:rsidRPr="003676AB">
        <w:rPr>
          <w:rFonts w:eastAsia="Calibri"/>
          <w:sz w:val="22"/>
          <w:szCs w:val="22"/>
        </w:rPr>
        <w:t xml:space="preserve">by the Member States </w:t>
      </w:r>
      <w:r w:rsidR="00855742" w:rsidRPr="003676AB">
        <w:rPr>
          <w:rFonts w:eastAsia="Calibri"/>
          <w:sz w:val="22"/>
          <w:szCs w:val="22"/>
        </w:rPr>
        <w:t>to limit crim</w:t>
      </w:r>
      <w:r w:rsidR="009D5F73" w:rsidRPr="003676AB">
        <w:rPr>
          <w:rFonts w:eastAsia="Calibri"/>
          <w:sz w:val="22"/>
          <w:szCs w:val="22"/>
        </w:rPr>
        <w:t>inal law cooperation to Title V</w:t>
      </w:r>
      <w:r w:rsidR="001C7ECE" w:rsidRPr="003676AB">
        <w:rPr>
          <w:rFonts w:eastAsia="Calibri"/>
          <w:sz w:val="22"/>
          <w:szCs w:val="22"/>
        </w:rPr>
        <w:t>.</w:t>
      </w:r>
      <w:r w:rsidR="009D5F73" w:rsidRPr="003676AB">
        <w:rPr>
          <w:rFonts w:eastAsia="Calibri"/>
          <w:sz w:val="22"/>
          <w:szCs w:val="22"/>
        </w:rPr>
        <w:t xml:space="preserve"> Such a choice</w:t>
      </w:r>
      <w:r w:rsidR="008B6383" w:rsidRPr="003676AB">
        <w:rPr>
          <w:rFonts w:eastAsia="Calibri"/>
          <w:sz w:val="22"/>
          <w:szCs w:val="22"/>
        </w:rPr>
        <w:t xml:space="preserve"> reinforce</w:t>
      </w:r>
      <w:r w:rsidR="002264DD" w:rsidRPr="003676AB">
        <w:rPr>
          <w:rFonts w:eastAsia="Calibri"/>
          <w:sz w:val="22"/>
          <w:szCs w:val="22"/>
        </w:rPr>
        <w:t xml:space="preserve">s </w:t>
      </w:r>
      <w:r w:rsidR="001C7ECE" w:rsidRPr="003676AB">
        <w:rPr>
          <w:rFonts w:eastAsia="Calibri"/>
          <w:sz w:val="22"/>
          <w:szCs w:val="22"/>
        </w:rPr>
        <w:t>the legitimacy of the EU’s criminal policy by accepting that Member States are still in control of policy-making in this field.</w:t>
      </w:r>
      <w:r w:rsidR="008C50A5" w:rsidRPr="003676AB">
        <w:rPr>
          <w:rFonts w:eastAsia="Calibri"/>
          <w:sz w:val="22"/>
          <w:szCs w:val="22"/>
        </w:rPr>
        <w:t xml:space="preserve"> It </w:t>
      </w:r>
      <w:r w:rsidR="00B21EB9" w:rsidRPr="003676AB">
        <w:rPr>
          <w:rFonts w:eastAsia="Calibri"/>
          <w:sz w:val="22"/>
          <w:szCs w:val="22"/>
        </w:rPr>
        <w:t xml:space="preserve">is </w:t>
      </w:r>
      <w:r w:rsidR="008C50A5" w:rsidRPr="003676AB">
        <w:rPr>
          <w:rFonts w:eastAsia="Calibri"/>
          <w:sz w:val="22"/>
          <w:szCs w:val="22"/>
        </w:rPr>
        <w:t>consistent with the simple idea that criminal law constitutes a nucleus of national sovereignty and that EU involvement in such</w:t>
      </w:r>
      <w:r w:rsidR="00B21EB9" w:rsidRPr="003676AB">
        <w:rPr>
          <w:rFonts w:eastAsia="Calibri"/>
          <w:sz w:val="22"/>
          <w:szCs w:val="22"/>
        </w:rPr>
        <w:t xml:space="preserve"> affairs should be very limited (i</w:t>
      </w:r>
      <w:r w:rsidR="005E7135" w:rsidRPr="003676AB">
        <w:rPr>
          <w:rFonts w:eastAsia="Calibri"/>
          <w:sz w:val="22"/>
          <w:szCs w:val="22"/>
        </w:rPr>
        <w:t>.</w:t>
      </w:r>
      <w:r w:rsidR="00B21EB9" w:rsidRPr="003676AB">
        <w:rPr>
          <w:rFonts w:eastAsia="Calibri"/>
          <w:sz w:val="22"/>
          <w:szCs w:val="22"/>
        </w:rPr>
        <w:t>e</w:t>
      </w:r>
      <w:r w:rsidR="005E7135" w:rsidRPr="003676AB">
        <w:rPr>
          <w:rFonts w:eastAsia="Calibri"/>
          <w:sz w:val="22"/>
          <w:szCs w:val="22"/>
        </w:rPr>
        <w:t>.</w:t>
      </w:r>
      <w:r w:rsidR="00B21EB9" w:rsidRPr="003676AB">
        <w:rPr>
          <w:rFonts w:eastAsia="Calibri"/>
          <w:sz w:val="22"/>
          <w:szCs w:val="22"/>
        </w:rPr>
        <w:t xml:space="preserve"> to matters</w:t>
      </w:r>
      <w:r w:rsidR="008C50A5" w:rsidRPr="003676AB">
        <w:rPr>
          <w:rFonts w:eastAsia="Calibri"/>
          <w:sz w:val="22"/>
          <w:szCs w:val="22"/>
        </w:rPr>
        <w:t xml:space="preserve"> relating to the fight against transnational organised crimes and to address serious problems in the EU’s internal market</w:t>
      </w:r>
      <w:r w:rsidR="00B21EB9" w:rsidRPr="003676AB">
        <w:rPr>
          <w:rFonts w:eastAsia="Calibri"/>
          <w:sz w:val="22"/>
          <w:szCs w:val="22"/>
        </w:rPr>
        <w:t>)</w:t>
      </w:r>
      <w:r w:rsidR="008C50A5" w:rsidRPr="003676AB">
        <w:rPr>
          <w:rFonts w:eastAsia="Calibri"/>
          <w:sz w:val="22"/>
          <w:szCs w:val="22"/>
        </w:rPr>
        <w:t>.</w:t>
      </w:r>
      <w:r w:rsidR="008C50A5" w:rsidRPr="003676AB">
        <w:rPr>
          <w:rStyle w:val="Fotnotsreferens"/>
          <w:rFonts w:eastAsia="Calibri"/>
          <w:sz w:val="22"/>
          <w:szCs w:val="22"/>
        </w:rPr>
        <w:footnoteReference w:id="194"/>
      </w:r>
      <w:r w:rsidR="00E13BA6" w:rsidRPr="003676AB">
        <w:rPr>
          <w:rFonts w:eastAsia="Calibri"/>
          <w:sz w:val="22"/>
          <w:szCs w:val="22"/>
        </w:rPr>
        <w:t xml:space="preserve"> Whil</w:t>
      </w:r>
      <w:r w:rsidR="00C034CE" w:rsidRPr="003676AB">
        <w:rPr>
          <w:rFonts w:eastAsia="Calibri"/>
          <w:sz w:val="22"/>
          <w:szCs w:val="22"/>
        </w:rPr>
        <w:t>e</w:t>
      </w:r>
      <w:r w:rsidR="00E13BA6" w:rsidRPr="003676AB">
        <w:rPr>
          <w:rFonts w:eastAsia="Calibri"/>
          <w:sz w:val="22"/>
          <w:szCs w:val="22"/>
        </w:rPr>
        <w:t xml:space="preserve"> the Court’s apparent Union-friendly case law on legal basis open</w:t>
      </w:r>
      <w:r w:rsidR="005C75B9" w:rsidRPr="003676AB">
        <w:rPr>
          <w:rFonts w:eastAsia="Calibri"/>
          <w:sz w:val="22"/>
          <w:szCs w:val="22"/>
        </w:rPr>
        <w:t xml:space="preserve">s up the possibility of </w:t>
      </w:r>
      <w:r w:rsidR="00E13BA6" w:rsidRPr="003676AB">
        <w:rPr>
          <w:rFonts w:eastAsia="Calibri"/>
          <w:sz w:val="22"/>
          <w:szCs w:val="22"/>
        </w:rPr>
        <w:t xml:space="preserve">criminalisation </w:t>
      </w:r>
      <w:r w:rsidR="005C75B9" w:rsidRPr="003676AB">
        <w:rPr>
          <w:rFonts w:eastAsia="Calibri"/>
          <w:sz w:val="22"/>
          <w:szCs w:val="22"/>
        </w:rPr>
        <w:t xml:space="preserve">measures being adopted on the basis of provisions </w:t>
      </w:r>
      <w:r w:rsidR="00E13BA6" w:rsidRPr="003676AB">
        <w:rPr>
          <w:rFonts w:eastAsia="Calibri"/>
          <w:sz w:val="22"/>
          <w:szCs w:val="22"/>
        </w:rPr>
        <w:t>outside Title V, it was argued that this case law should not be interpreted too broadly.</w:t>
      </w:r>
      <w:r w:rsidR="00387872" w:rsidRPr="003676AB">
        <w:rPr>
          <w:rFonts w:eastAsia="Calibri"/>
          <w:sz w:val="22"/>
          <w:szCs w:val="22"/>
        </w:rPr>
        <w:t xml:space="preserve"> In fact, the Court has never </w:t>
      </w:r>
      <w:r w:rsidR="00C034CE" w:rsidRPr="003676AB">
        <w:rPr>
          <w:rFonts w:eastAsia="Calibri"/>
          <w:sz w:val="22"/>
          <w:szCs w:val="22"/>
        </w:rPr>
        <w:t xml:space="preserve">held </w:t>
      </w:r>
      <w:r w:rsidR="00387872" w:rsidRPr="003676AB">
        <w:rPr>
          <w:rFonts w:eastAsia="Calibri"/>
          <w:sz w:val="22"/>
          <w:szCs w:val="22"/>
        </w:rPr>
        <w:t xml:space="preserve">explicitly that legal bases outside Title V should take precedence over </w:t>
      </w:r>
      <w:r w:rsidR="005E7135" w:rsidRPr="003676AB">
        <w:rPr>
          <w:rFonts w:eastAsia="Calibri"/>
          <w:sz w:val="22"/>
          <w:szCs w:val="22"/>
        </w:rPr>
        <w:t>art.</w:t>
      </w:r>
      <w:r w:rsidR="00387872" w:rsidRPr="003676AB">
        <w:rPr>
          <w:rFonts w:eastAsia="Calibri"/>
          <w:sz w:val="22"/>
          <w:szCs w:val="22"/>
        </w:rPr>
        <w:t xml:space="preserve"> 83(2) TFEU with reference to ‘criminal law’ measures</w:t>
      </w:r>
      <w:r w:rsidR="00E13BA6" w:rsidRPr="003676AB">
        <w:rPr>
          <w:rFonts w:eastAsia="Calibri"/>
          <w:sz w:val="22"/>
          <w:szCs w:val="22"/>
        </w:rPr>
        <w:t>.</w:t>
      </w:r>
      <w:r w:rsidR="001D2750" w:rsidRPr="003676AB">
        <w:rPr>
          <w:rStyle w:val="Fotnotsreferens"/>
          <w:rFonts w:eastAsia="Calibri"/>
          <w:sz w:val="22"/>
          <w:szCs w:val="22"/>
        </w:rPr>
        <w:footnoteReference w:id="195"/>
      </w:r>
    </w:p>
    <w:p w14:paraId="6AAA4464" w14:textId="21C659EF" w:rsidR="00631C3C" w:rsidRPr="003676AB" w:rsidRDefault="009D5F73" w:rsidP="009D5F73">
      <w:pPr>
        <w:tabs>
          <w:tab w:val="left" w:pos="0"/>
        </w:tabs>
        <w:rPr>
          <w:rFonts w:eastAsia="Calibri"/>
          <w:sz w:val="22"/>
          <w:szCs w:val="22"/>
        </w:rPr>
      </w:pPr>
      <w:r w:rsidRPr="003676AB">
        <w:rPr>
          <w:rFonts w:eastAsia="Calibri"/>
          <w:sz w:val="22"/>
          <w:szCs w:val="22"/>
        </w:rPr>
        <w:t>There are however</w:t>
      </w:r>
      <w:r w:rsidR="00B21EB9" w:rsidRPr="003676AB">
        <w:rPr>
          <w:rFonts w:eastAsia="Calibri"/>
          <w:sz w:val="22"/>
          <w:szCs w:val="22"/>
        </w:rPr>
        <w:t xml:space="preserve"> </w:t>
      </w:r>
      <w:r w:rsidR="00C034CE" w:rsidRPr="003676AB">
        <w:rPr>
          <w:rFonts w:eastAsia="Calibri"/>
          <w:sz w:val="22"/>
          <w:szCs w:val="22"/>
        </w:rPr>
        <w:t xml:space="preserve">several </w:t>
      </w:r>
      <w:r w:rsidR="00B21EB9" w:rsidRPr="003676AB">
        <w:rPr>
          <w:rFonts w:eastAsia="Calibri"/>
          <w:sz w:val="22"/>
          <w:szCs w:val="22"/>
        </w:rPr>
        <w:t>important limitation</w:t>
      </w:r>
      <w:r w:rsidR="00067749" w:rsidRPr="003676AB">
        <w:rPr>
          <w:rFonts w:eastAsia="Calibri"/>
          <w:sz w:val="22"/>
          <w:szCs w:val="22"/>
        </w:rPr>
        <w:t>s</w:t>
      </w:r>
      <w:r w:rsidR="00B21EB9" w:rsidRPr="003676AB">
        <w:rPr>
          <w:rFonts w:eastAsia="Calibri"/>
          <w:sz w:val="22"/>
          <w:szCs w:val="22"/>
        </w:rPr>
        <w:t xml:space="preserve"> to </w:t>
      </w:r>
      <w:r w:rsidR="00067749" w:rsidRPr="003676AB">
        <w:rPr>
          <w:rFonts w:eastAsia="Calibri"/>
          <w:sz w:val="22"/>
          <w:szCs w:val="22"/>
        </w:rPr>
        <w:t xml:space="preserve">this </w:t>
      </w:r>
      <w:r w:rsidR="00B21EB9" w:rsidRPr="003676AB">
        <w:rPr>
          <w:rFonts w:eastAsia="Calibri"/>
          <w:sz w:val="22"/>
          <w:szCs w:val="22"/>
        </w:rPr>
        <w:t>‘</w:t>
      </w:r>
      <w:r w:rsidRPr="003676AB">
        <w:rPr>
          <w:rFonts w:eastAsia="Calibri"/>
          <w:sz w:val="22"/>
          <w:szCs w:val="22"/>
        </w:rPr>
        <w:t>core</w:t>
      </w:r>
      <w:r w:rsidR="00B21EB9" w:rsidRPr="003676AB">
        <w:rPr>
          <w:rFonts w:eastAsia="Calibri"/>
          <w:sz w:val="22"/>
          <w:szCs w:val="22"/>
        </w:rPr>
        <w:t>’</w:t>
      </w:r>
      <w:r w:rsidRPr="003676AB">
        <w:rPr>
          <w:rFonts w:eastAsia="Calibri"/>
          <w:sz w:val="22"/>
          <w:szCs w:val="22"/>
        </w:rPr>
        <w:t xml:space="preserve"> argument.</w:t>
      </w:r>
      <w:r w:rsidR="00B21EB9" w:rsidRPr="003676AB">
        <w:rPr>
          <w:rStyle w:val="Fotnotsreferens"/>
          <w:rFonts w:eastAsia="Calibri"/>
          <w:sz w:val="22"/>
          <w:szCs w:val="22"/>
        </w:rPr>
        <w:footnoteReference w:id="196"/>
      </w:r>
      <w:r w:rsidRPr="003676AB">
        <w:rPr>
          <w:rFonts w:eastAsia="Calibri"/>
          <w:sz w:val="22"/>
          <w:szCs w:val="22"/>
        </w:rPr>
        <w:t xml:space="preserve"> The narrow scope of </w:t>
      </w:r>
      <w:r w:rsidR="005E7135" w:rsidRPr="003676AB">
        <w:rPr>
          <w:rFonts w:eastAsia="Calibri"/>
          <w:sz w:val="22"/>
          <w:szCs w:val="22"/>
        </w:rPr>
        <w:t>art.</w:t>
      </w:r>
      <w:r w:rsidRPr="003676AB">
        <w:rPr>
          <w:rFonts w:eastAsia="Calibri"/>
          <w:sz w:val="22"/>
          <w:szCs w:val="22"/>
        </w:rPr>
        <w:t xml:space="preserve"> 83(2) TFEU only allow</w:t>
      </w:r>
      <w:r w:rsidR="00067749" w:rsidRPr="003676AB">
        <w:rPr>
          <w:rFonts w:eastAsia="Calibri"/>
          <w:sz w:val="22"/>
          <w:szCs w:val="22"/>
        </w:rPr>
        <w:t>s</w:t>
      </w:r>
      <w:r w:rsidRPr="003676AB">
        <w:rPr>
          <w:rFonts w:eastAsia="Calibri"/>
          <w:sz w:val="22"/>
          <w:szCs w:val="22"/>
        </w:rPr>
        <w:t xml:space="preserve"> for har</w:t>
      </w:r>
      <w:r w:rsidR="00B21EB9" w:rsidRPr="003676AB">
        <w:rPr>
          <w:rFonts w:eastAsia="Calibri"/>
          <w:sz w:val="22"/>
          <w:szCs w:val="22"/>
        </w:rPr>
        <w:t>monisation through ‘directives’ and</w:t>
      </w:r>
      <w:r w:rsidRPr="003676AB">
        <w:rPr>
          <w:rFonts w:eastAsia="Calibri"/>
          <w:sz w:val="22"/>
          <w:szCs w:val="22"/>
        </w:rPr>
        <w:t xml:space="preserve"> only </w:t>
      </w:r>
      <w:r w:rsidR="00067749" w:rsidRPr="003676AB">
        <w:rPr>
          <w:rFonts w:eastAsia="Calibri"/>
          <w:sz w:val="22"/>
          <w:szCs w:val="22"/>
        </w:rPr>
        <w:t xml:space="preserve">provides for </w:t>
      </w:r>
      <w:r w:rsidRPr="003676AB">
        <w:rPr>
          <w:rFonts w:eastAsia="Calibri"/>
          <w:sz w:val="22"/>
          <w:szCs w:val="22"/>
        </w:rPr>
        <w:t>harmonis</w:t>
      </w:r>
      <w:r w:rsidR="00067749" w:rsidRPr="003676AB">
        <w:rPr>
          <w:rFonts w:eastAsia="Calibri"/>
          <w:sz w:val="22"/>
          <w:szCs w:val="22"/>
        </w:rPr>
        <w:t>ed</w:t>
      </w:r>
      <w:r w:rsidRPr="003676AB">
        <w:rPr>
          <w:rFonts w:eastAsia="Calibri"/>
          <w:sz w:val="22"/>
          <w:szCs w:val="22"/>
        </w:rPr>
        <w:t xml:space="preserve"> ‘criminal’ sanctions</w:t>
      </w:r>
      <w:r w:rsidR="00B21EB9" w:rsidRPr="003676AB">
        <w:rPr>
          <w:rFonts w:eastAsia="Calibri"/>
          <w:sz w:val="22"/>
          <w:szCs w:val="22"/>
        </w:rPr>
        <w:t xml:space="preserve"> i</w:t>
      </w:r>
      <w:r w:rsidRPr="003676AB">
        <w:rPr>
          <w:rFonts w:eastAsia="Calibri"/>
          <w:sz w:val="22"/>
          <w:szCs w:val="22"/>
        </w:rPr>
        <w:t xml:space="preserve">n fields where there </w:t>
      </w:r>
      <w:proofErr w:type="gramStart"/>
      <w:r w:rsidRPr="003676AB">
        <w:rPr>
          <w:rFonts w:eastAsia="Calibri"/>
          <w:sz w:val="22"/>
          <w:szCs w:val="22"/>
        </w:rPr>
        <w:t>has</w:t>
      </w:r>
      <w:proofErr w:type="gramEnd"/>
      <w:r w:rsidRPr="003676AB">
        <w:rPr>
          <w:rFonts w:eastAsia="Calibri"/>
          <w:sz w:val="22"/>
          <w:szCs w:val="22"/>
        </w:rPr>
        <w:t xml:space="preserve"> </w:t>
      </w:r>
      <w:r w:rsidR="00BF2339" w:rsidRPr="003676AB">
        <w:rPr>
          <w:rFonts w:eastAsia="Calibri"/>
          <w:sz w:val="22"/>
          <w:szCs w:val="22"/>
        </w:rPr>
        <w:t xml:space="preserve">already </w:t>
      </w:r>
      <w:r w:rsidRPr="003676AB">
        <w:rPr>
          <w:rFonts w:eastAsia="Calibri"/>
          <w:sz w:val="22"/>
          <w:szCs w:val="22"/>
        </w:rPr>
        <w:t>been ‘harmonisation’ measures</w:t>
      </w:r>
      <w:r w:rsidR="00067749" w:rsidRPr="003676AB">
        <w:rPr>
          <w:rFonts w:eastAsia="Calibri"/>
          <w:sz w:val="22"/>
          <w:szCs w:val="22"/>
        </w:rPr>
        <w:t>,</w:t>
      </w:r>
      <w:r w:rsidRPr="003676AB">
        <w:rPr>
          <w:rFonts w:eastAsia="Calibri"/>
          <w:sz w:val="22"/>
          <w:szCs w:val="22"/>
        </w:rPr>
        <w:t xml:space="preserve"> suggest</w:t>
      </w:r>
      <w:r w:rsidR="00067749" w:rsidRPr="003676AB">
        <w:rPr>
          <w:rFonts w:eastAsia="Calibri"/>
          <w:sz w:val="22"/>
          <w:szCs w:val="22"/>
        </w:rPr>
        <w:t>ing</w:t>
      </w:r>
      <w:r w:rsidRPr="003676AB">
        <w:rPr>
          <w:rFonts w:eastAsia="Calibri"/>
          <w:sz w:val="22"/>
          <w:szCs w:val="22"/>
        </w:rPr>
        <w:t xml:space="preserve"> that this provision cannot be used for all criminal law measures. It is clear </w:t>
      </w:r>
      <w:r w:rsidR="00BF2339" w:rsidRPr="003676AB">
        <w:rPr>
          <w:rFonts w:eastAsia="Calibri"/>
          <w:sz w:val="22"/>
          <w:szCs w:val="22"/>
        </w:rPr>
        <w:t xml:space="preserve">therefore </w:t>
      </w:r>
      <w:r w:rsidRPr="003676AB">
        <w:rPr>
          <w:rFonts w:eastAsia="Calibri"/>
          <w:sz w:val="22"/>
          <w:szCs w:val="22"/>
        </w:rPr>
        <w:t>that alternative legal bases</w:t>
      </w:r>
      <w:r w:rsidR="00E13BA6" w:rsidRPr="003676AB">
        <w:rPr>
          <w:rFonts w:eastAsia="Calibri"/>
          <w:sz w:val="22"/>
          <w:szCs w:val="22"/>
        </w:rPr>
        <w:t xml:space="preserve"> (such as </w:t>
      </w:r>
      <w:r w:rsidR="005E7135" w:rsidRPr="003676AB">
        <w:rPr>
          <w:rFonts w:eastAsia="Calibri"/>
          <w:sz w:val="22"/>
          <w:szCs w:val="22"/>
        </w:rPr>
        <w:t>art.</w:t>
      </w:r>
      <w:r w:rsidR="00067749" w:rsidRPr="003676AB">
        <w:rPr>
          <w:rFonts w:eastAsia="Calibri"/>
          <w:sz w:val="22"/>
          <w:szCs w:val="22"/>
        </w:rPr>
        <w:t xml:space="preserve"> </w:t>
      </w:r>
      <w:r w:rsidR="00E13BA6" w:rsidRPr="003676AB">
        <w:rPr>
          <w:rFonts w:eastAsia="Calibri"/>
          <w:sz w:val="22"/>
          <w:szCs w:val="22"/>
        </w:rPr>
        <w:t xml:space="preserve">114 TFEU or </w:t>
      </w:r>
      <w:r w:rsidR="005E7135" w:rsidRPr="003676AB">
        <w:rPr>
          <w:rFonts w:eastAsia="Calibri"/>
          <w:sz w:val="22"/>
          <w:szCs w:val="22"/>
        </w:rPr>
        <w:t>art.</w:t>
      </w:r>
      <w:r w:rsidR="00E13BA6" w:rsidRPr="003676AB">
        <w:rPr>
          <w:rFonts w:eastAsia="Calibri"/>
          <w:sz w:val="22"/>
          <w:szCs w:val="22"/>
        </w:rPr>
        <w:t xml:space="preserve"> 325 TFEU) </w:t>
      </w:r>
      <w:r w:rsidRPr="003676AB">
        <w:rPr>
          <w:rFonts w:eastAsia="Calibri"/>
          <w:sz w:val="22"/>
          <w:szCs w:val="22"/>
        </w:rPr>
        <w:t>could be used for ‘criminal’ law measures that fall outsi</w:t>
      </w:r>
      <w:r w:rsidR="001D2750" w:rsidRPr="003676AB">
        <w:rPr>
          <w:rFonts w:eastAsia="Calibri"/>
          <w:sz w:val="22"/>
          <w:szCs w:val="22"/>
        </w:rPr>
        <w:t xml:space="preserve">de the remit of </w:t>
      </w:r>
      <w:r w:rsidR="005E7135" w:rsidRPr="003676AB">
        <w:rPr>
          <w:rFonts w:eastAsia="Calibri"/>
          <w:sz w:val="22"/>
          <w:szCs w:val="22"/>
        </w:rPr>
        <w:t>art.</w:t>
      </w:r>
      <w:r w:rsidR="001D2750" w:rsidRPr="003676AB">
        <w:rPr>
          <w:rFonts w:eastAsia="Calibri"/>
          <w:sz w:val="22"/>
          <w:szCs w:val="22"/>
        </w:rPr>
        <w:t xml:space="preserve"> 83(2)</w:t>
      </w:r>
      <w:r w:rsidR="00067749" w:rsidRPr="003676AB">
        <w:rPr>
          <w:rFonts w:eastAsia="Calibri"/>
          <w:sz w:val="22"/>
          <w:szCs w:val="22"/>
        </w:rPr>
        <w:t xml:space="preserve"> TFEU</w:t>
      </w:r>
      <w:r w:rsidR="00E13BA6" w:rsidRPr="003676AB">
        <w:rPr>
          <w:rFonts w:eastAsia="Calibri"/>
          <w:sz w:val="22"/>
          <w:szCs w:val="22"/>
        </w:rPr>
        <w:t>.</w:t>
      </w:r>
      <w:r w:rsidR="00BF2339" w:rsidRPr="003676AB">
        <w:rPr>
          <w:rFonts w:eastAsia="Calibri"/>
          <w:sz w:val="22"/>
          <w:szCs w:val="22"/>
        </w:rPr>
        <w:t xml:space="preserve"> The case studies</w:t>
      </w:r>
      <w:r w:rsidR="00631C3C" w:rsidRPr="003676AB">
        <w:rPr>
          <w:rFonts w:eastAsia="Calibri"/>
          <w:sz w:val="22"/>
          <w:szCs w:val="22"/>
        </w:rPr>
        <w:t xml:space="preserve"> on the Fourth Anti-Money Laundering Directive</w:t>
      </w:r>
      <w:r w:rsidR="00E13BA6" w:rsidRPr="003676AB">
        <w:rPr>
          <w:rFonts w:eastAsia="Calibri"/>
          <w:sz w:val="22"/>
          <w:szCs w:val="22"/>
        </w:rPr>
        <w:t xml:space="preserve"> and EU competition law illustrate </w:t>
      </w:r>
      <w:r w:rsidR="00BF2339" w:rsidRPr="003676AB">
        <w:rPr>
          <w:rFonts w:eastAsia="Calibri"/>
          <w:sz w:val="22"/>
          <w:szCs w:val="22"/>
        </w:rPr>
        <w:t>this point</w:t>
      </w:r>
      <w:r w:rsidR="00631C3C" w:rsidRPr="003676AB">
        <w:rPr>
          <w:rFonts w:eastAsia="Calibri"/>
          <w:sz w:val="22"/>
          <w:szCs w:val="22"/>
        </w:rPr>
        <w:t xml:space="preserve">. </w:t>
      </w:r>
      <w:r w:rsidR="00B21EB9" w:rsidRPr="003676AB">
        <w:rPr>
          <w:rFonts w:eastAsia="Calibri"/>
          <w:sz w:val="22"/>
          <w:szCs w:val="22"/>
        </w:rPr>
        <w:t xml:space="preserve">The </w:t>
      </w:r>
      <w:r w:rsidR="00631C3C" w:rsidRPr="003676AB">
        <w:rPr>
          <w:rFonts w:eastAsia="Calibri"/>
          <w:sz w:val="22"/>
          <w:szCs w:val="22"/>
        </w:rPr>
        <w:t xml:space="preserve">strict limitation in </w:t>
      </w:r>
      <w:r w:rsidR="005E7135" w:rsidRPr="003676AB">
        <w:rPr>
          <w:rFonts w:eastAsia="Calibri"/>
          <w:sz w:val="22"/>
          <w:szCs w:val="22"/>
        </w:rPr>
        <w:t>art.</w:t>
      </w:r>
      <w:r w:rsidR="00631C3C" w:rsidRPr="003676AB">
        <w:rPr>
          <w:rFonts w:eastAsia="Calibri"/>
          <w:sz w:val="22"/>
          <w:szCs w:val="22"/>
        </w:rPr>
        <w:t xml:space="preserve"> 83(2) TFEU to </w:t>
      </w:r>
      <w:r w:rsidR="006028F3" w:rsidRPr="003676AB">
        <w:rPr>
          <w:rFonts w:eastAsia="Calibri"/>
          <w:sz w:val="22"/>
          <w:szCs w:val="22"/>
        </w:rPr>
        <w:t xml:space="preserve">the </w:t>
      </w:r>
      <w:r w:rsidR="00631C3C" w:rsidRPr="003676AB">
        <w:rPr>
          <w:rFonts w:eastAsia="Calibri"/>
          <w:sz w:val="22"/>
          <w:szCs w:val="22"/>
        </w:rPr>
        <w:t xml:space="preserve">definition of ‘criminal offences’ and ‘criminal sanctions’ made it inappropriate to adopt the </w:t>
      </w:r>
      <w:r w:rsidR="00E13BA6" w:rsidRPr="003676AB">
        <w:rPr>
          <w:rFonts w:eastAsia="Calibri"/>
          <w:sz w:val="22"/>
          <w:szCs w:val="22"/>
        </w:rPr>
        <w:t>Fourth AMLD on this legal basis</w:t>
      </w:r>
      <w:r w:rsidR="00B21EB9" w:rsidRPr="003676AB">
        <w:rPr>
          <w:rFonts w:eastAsia="Calibri"/>
          <w:sz w:val="22"/>
          <w:szCs w:val="22"/>
        </w:rPr>
        <w:t xml:space="preserve"> as this proposal did not contain ‘criminal law’ rules in a strict sense</w:t>
      </w:r>
      <w:r w:rsidR="00631C3C" w:rsidRPr="003676AB">
        <w:rPr>
          <w:rFonts w:eastAsia="Calibri"/>
          <w:sz w:val="22"/>
          <w:szCs w:val="22"/>
        </w:rPr>
        <w:t>.</w:t>
      </w:r>
      <w:r w:rsidR="001D2750" w:rsidRPr="003676AB">
        <w:rPr>
          <w:rFonts w:eastAsia="Calibri"/>
          <w:sz w:val="22"/>
          <w:szCs w:val="22"/>
        </w:rPr>
        <w:t xml:space="preserve"> Furthermore, the absence of previous ‘harmonisation’ measures (i</w:t>
      </w:r>
      <w:r w:rsidR="005E7135" w:rsidRPr="003676AB">
        <w:rPr>
          <w:rFonts w:eastAsia="Calibri"/>
          <w:sz w:val="22"/>
          <w:szCs w:val="22"/>
        </w:rPr>
        <w:t>.</w:t>
      </w:r>
      <w:r w:rsidR="001D2750" w:rsidRPr="003676AB">
        <w:rPr>
          <w:rFonts w:eastAsia="Calibri"/>
          <w:sz w:val="22"/>
          <w:szCs w:val="22"/>
        </w:rPr>
        <w:t>e</w:t>
      </w:r>
      <w:r w:rsidR="005E7135" w:rsidRPr="003676AB">
        <w:rPr>
          <w:rFonts w:eastAsia="Calibri"/>
          <w:sz w:val="22"/>
          <w:szCs w:val="22"/>
        </w:rPr>
        <w:t>.</w:t>
      </w:r>
      <w:r w:rsidR="001D2750" w:rsidRPr="003676AB">
        <w:rPr>
          <w:rFonts w:eastAsia="Calibri"/>
          <w:sz w:val="22"/>
          <w:szCs w:val="22"/>
        </w:rPr>
        <w:t xml:space="preserve"> measures adopted by means of the ‘ordinary’ and ‘special’ legislative procedure) in the field of competition law made criminalisation in this field under </w:t>
      </w:r>
      <w:r w:rsidR="005E7135" w:rsidRPr="003676AB">
        <w:rPr>
          <w:rFonts w:eastAsia="Calibri"/>
          <w:sz w:val="22"/>
          <w:szCs w:val="22"/>
        </w:rPr>
        <w:t>art.</w:t>
      </w:r>
      <w:r w:rsidR="001D2750" w:rsidRPr="003676AB">
        <w:rPr>
          <w:rFonts w:eastAsia="Calibri"/>
          <w:sz w:val="22"/>
          <w:szCs w:val="22"/>
        </w:rPr>
        <w:t xml:space="preserve"> 83(2) </w:t>
      </w:r>
      <w:r w:rsidR="00B21EB9" w:rsidRPr="003676AB">
        <w:rPr>
          <w:rFonts w:eastAsia="Calibri"/>
          <w:sz w:val="22"/>
          <w:szCs w:val="22"/>
        </w:rPr>
        <w:t>unfeasible</w:t>
      </w:r>
      <w:r w:rsidR="001D2750" w:rsidRPr="003676AB">
        <w:rPr>
          <w:rFonts w:eastAsia="Calibri"/>
          <w:sz w:val="22"/>
          <w:szCs w:val="22"/>
        </w:rPr>
        <w:t>.</w:t>
      </w:r>
      <w:r w:rsidR="00DA7703" w:rsidRPr="003676AB">
        <w:rPr>
          <w:rFonts w:eastAsia="Calibri"/>
          <w:sz w:val="22"/>
          <w:szCs w:val="22"/>
          <w:vertAlign w:val="superscript"/>
        </w:rPr>
        <w:footnoteReference w:id="197"/>
      </w:r>
      <w:r w:rsidR="00631C3C" w:rsidRPr="003676AB">
        <w:rPr>
          <w:rFonts w:eastAsia="Calibri"/>
          <w:sz w:val="22"/>
          <w:szCs w:val="22"/>
        </w:rPr>
        <w:t xml:space="preserve"> </w:t>
      </w:r>
    </w:p>
    <w:p w14:paraId="41D7A540" w14:textId="74566854" w:rsidR="0038097C" w:rsidRPr="003676AB" w:rsidRDefault="003D5B97" w:rsidP="0038097C">
      <w:pPr>
        <w:tabs>
          <w:tab w:val="left" w:pos="0"/>
        </w:tabs>
        <w:rPr>
          <w:rFonts w:eastAsia="Calibri"/>
          <w:sz w:val="22"/>
          <w:szCs w:val="22"/>
        </w:rPr>
      </w:pPr>
      <w:r w:rsidRPr="003676AB">
        <w:rPr>
          <w:rFonts w:eastAsia="Calibri"/>
          <w:sz w:val="22"/>
          <w:szCs w:val="22"/>
        </w:rPr>
        <w:t xml:space="preserve">The core argument was explored </w:t>
      </w:r>
      <w:r w:rsidR="00CD6068" w:rsidRPr="003676AB">
        <w:rPr>
          <w:rFonts w:eastAsia="Calibri"/>
          <w:sz w:val="22"/>
          <w:szCs w:val="22"/>
        </w:rPr>
        <w:t xml:space="preserve">in relation </w:t>
      </w:r>
      <w:r w:rsidRPr="003676AB">
        <w:rPr>
          <w:rFonts w:eastAsia="Calibri"/>
          <w:sz w:val="22"/>
          <w:szCs w:val="22"/>
        </w:rPr>
        <w:t xml:space="preserve">to conflicts between </w:t>
      </w:r>
      <w:r w:rsidR="005E7135" w:rsidRPr="003676AB">
        <w:rPr>
          <w:rFonts w:eastAsia="Calibri"/>
          <w:sz w:val="22"/>
          <w:szCs w:val="22"/>
        </w:rPr>
        <w:t>art.</w:t>
      </w:r>
      <w:r w:rsidRPr="003676AB">
        <w:rPr>
          <w:rFonts w:eastAsia="Calibri"/>
          <w:sz w:val="22"/>
          <w:szCs w:val="22"/>
        </w:rPr>
        <w:t xml:space="preserve"> 83(2) TFEU and </w:t>
      </w:r>
      <w:r w:rsidR="005E7135" w:rsidRPr="003676AB">
        <w:rPr>
          <w:rFonts w:eastAsia="Calibri"/>
          <w:sz w:val="22"/>
          <w:szCs w:val="22"/>
        </w:rPr>
        <w:t>art.</w:t>
      </w:r>
      <w:r w:rsidRPr="003676AB">
        <w:rPr>
          <w:rFonts w:eastAsia="Calibri"/>
          <w:sz w:val="22"/>
          <w:szCs w:val="22"/>
        </w:rPr>
        <w:t xml:space="preserve"> 114 and </w:t>
      </w:r>
      <w:r w:rsidR="005E7135" w:rsidRPr="003676AB">
        <w:rPr>
          <w:rFonts w:eastAsia="Calibri"/>
          <w:sz w:val="22"/>
          <w:szCs w:val="22"/>
        </w:rPr>
        <w:t>art.</w:t>
      </w:r>
      <w:r w:rsidRPr="003676AB">
        <w:rPr>
          <w:rFonts w:eastAsia="Calibri"/>
          <w:sz w:val="22"/>
          <w:szCs w:val="22"/>
        </w:rPr>
        <w:t xml:space="preserve"> 325 TFEU. Art</w:t>
      </w:r>
      <w:r w:rsidR="005E7135" w:rsidRPr="003676AB">
        <w:rPr>
          <w:rFonts w:eastAsia="Calibri"/>
          <w:sz w:val="22"/>
          <w:szCs w:val="22"/>
        </w:rPr>
        <w:t>.</w:t>
      </w:r>
      <w:r w:rsidRPr="003676AB">
        <w:rPr>
          <w:rFonts w:eastAsia="Calibri"/>
          <w:sz w:val="22"/>
          <w:szCs w:val="22"/>
        </w:rPr>
        <w:t xml:space="preserve"> 114 TFEU has been interpreted broadly by the Court of Justice in legal basis di</w:t>
      </w:r>
      <w:r w:rsidR="003B083F" w:rsidRPr="003676AB">
        <w:rPr>
          <w:rFonts w:eastAsia="Calibri"/>
          <w:sz w:val="22"/>
          <w:szCs w:val="22"/>
        </w:rPr>
        <w:t xml:space="preserve">sputes and there is </w:t>
      </w:r>
      <w:r w:rsidRPr="003676AB">
        <w:rPr>
          <w:rFonts w:eastAsia="Calibri"/>
          <w:sz w:val="22"/>
          <w:szCs w:val="22"/>
        </w:rPr>
        <w:t xml:space="preserve">also a plausible case that EU criminalisation measures may contribute to </w:t>
      </w:r>
      <w:r w:rsidR="003B083F" w:rsidRPr="003676AB">
        <w:rPr>
          <w:rFonts w:eastAsia="Calibri"/>
          <w:sz w:val="22"/>
          <w:szCs w:val="22"/>
        </w:rPr>
        <w:t xml:space="preserve">fulfilling the objectives of </w:t>
      </w:r>
      <w:r w:rsidRPr="003676AB">
        <w:rPr>
          <w:rFonts w:eastAsia="Calibri"/>
          <w:sz w:val="22"/>
          <w:szCs w:val="22"/>
        </w:rPr>
        <w:t>the internal market. Recent case law</w:t>
      </w:r>
      <w:r w:rsidR="006028F3" w:rsidRPr="003676AB">
        <w:rPr>
          <w:rFonts w:eastAsia="Calibri"/>
          <w:sz w:val="22"/>
          <w:szCs w:val="22"/>
        </w:rPr>
        <w:t xml:space="preserve"> </w:t>
      </w:r>
      <w:r w:rsidR="00BF2339" w:rsidRPr="003676AB">
        <w:rPr>
          <w:rFonts w:eastAsia="Calibri"/>
          <w:sz w:val="22"/>
          <w:szCs w:val="22"/>
        </w:rPr>
        <w:t xml:space="preserve">would </w:t>
      </w:r>
      <w:r w:rsidR="006028F3" w:rsidRPr="003676AB">
        <w:rPr>
          <w:rFonts w:eastAsia="Calibri"/>
          <w:sz w:val="22"/>
          <w:szCs w:val="22"/>
        </w:rPr>
        <w:t xml:space="preserve">however </w:t>
      </w:r>
      <w:r w:rsidR="00BF2339" w:rsidRPr="003676AB">
        <w:rPr>
          <w:rFonts w:eastAsia="Calibri"/>
          <w:sz w:val="22"/>
          <w:szCs w:val="22"/>
        </w:rPr>
        <w:t xml:space="preserve">indicate </w:t>
      </w:r>
      <w:r w:rsidRPr="003676AB">
        <w:rPr>
          <w:rFonts w:eastAsia="Calibri"/>
          <w:sz w:val="22"/>
          <w:szCs w:val="22"/>
        </w:rPr>
        <w:t xml:space="preserve">that this provision is indeed a subsidiary legal basis to be used only when other more specific legal bases such as </w:t>
      </w:r>
      <w:r w:rsidR="005E7135" w:rsidRPr="003676AB">
        <w:rPr>
          <w:rFonts w:eastAsia="Calibri"/>
          <w:sz w:val="22"/>
          <w:szCs w:val="22"/>
        </w:rPr>
        <w:t>art.</w:t>
      </w:r>
      <w:r w:rsidRPr="003676AB">
        <w:rPr>
          <w:rFonts w:eastAsia="Calibri"/>
          <w:sz w:val="22"/>
          <w:szCs w:val="22"/>
        </w:rPr>
        <w:t xml:space="preserve"> 83(2) TFEU </w:t>
      </w:r>
      <w:r w:rsidR="00BF2339" w:rsidRPr="003676AB">
        <w:rPr>
          <w:rFonts w:eastAsia="Calibri"/>
          <w:sz w:val="22"/>
          <w:szCs w:val="22"/>
        </w:rPr>
        <w:t xml:space="preserve">are </w:t>
      </w:r>
      <w:r w:rsidRPr="003676AB">
        <w:rPr>
          <w:rFonts w:eastAsia="Calibri"/>
          <w:sz w:val="22"/>
          <w:szCs w:val="22"/>
        </w:rPr>
        <w:t xml:space="preserve">not available. </w:t>
      </w:r>
      <w:r w:rsidR="00BF2339" w:rsidRPr="003676AB">
        <w:rPr>
          <w:rFonts w:eastAsia="Calibri"/>
          <w:sz w:val="22"/>
          <w:szCs w:val="22"/>
        </w:rPr>
        <w:t>I</w:t>
      </w:r>
      <w:r w:rsidR="003B083F" w:rsidRPr="003676AB">
        <w:rPr>
          <w:rFonts w:eastAsia="Calibri"/>
          <w:sz w:val="22"/>
          <w:szCs w:val="22"/>
        </w:rPr>
        <w:t>t seems that</w:t>
      </w:r>
      <w:r w:rsidRPr="003676AB">
        <w:rPr>
          <w:rFonts w:eastAsia="Calibri"/>
          <w:sz w:val="22"/>
          <w:szCs w:val="22"/>
        </w:rPr>
        <w:t xml:space="preserve"> </w:t>
      </w:r>
      <w:r w:rsidR="005E7135" w:rsidRPr="003676AB">
        <w:rPr>
          <w:rFonts w:eastAsia="Calibri"/>
          <w:sz w:val="22"/>
          <w:szCs w:val="22"/>
        </w:rPr>
        <w:t>art.</w:t>
      </w:r>
      <w:r w:rsidRPr="003676AB">
        <w:rPr>
          <w:rFonts w:eastAsia="Calibri"/>
          <w:sz w:val="22"/>
          <w:szCs w:val="22"/>
        </w:rPr>
        <w:t xml:space="preserve"> 83(2) TFEU</w:t>
      </w:r>
      <w:r w:rsidR="003B083F" w:rsidRPr="003676AB">
        <w:rPr>
          <w:rFonts w:eastAsia="Calibri"/>
          <w:sz w:val="22"/>
          <w:szCs w:val="22"/>
        </w:rPr>
        <w:t xml:space="preserve"> </w:t>
      </w:r>
      <w:r w:rsidRPr="003676AB">
        <w:rPr>
          <w:rFonts w:eastAsia="Calibri"/>
          <w:sz w:val="22"/>
          <w:szCs w:val="22"/>
        </w:rPr>
        <w:t xml:space="preserve">will </w:t>
      </w:r>
      <w:r w:rsidR="00BF2339" w:rsidRPr="003676AB">
        <w:rPr>
          <w:rFonts w:eastAsia="Calibri"/>
          <w:sz w:val="22"/>
          <w:szCs w:val="22"/>
        </w:rPr>
        <w:t xml:space="preserve">still </w:t>
      </w:r>
      <w:r w:rsidR="00067749" w:rsidRPr="003676AB">
        <w:rPr>
          <w:rFonts w:eastAsia="Calibri"/>
          <w:sz w:val="22"/>
          <w:szCs w:val="22"/>
        </w:rPr>
        <w:t xml:space="preserve">normally </w:t>
      </w:r>
      <w:r w:rsidRPr="003676AB">
        <w:rPr>
          <w:rFonts w:eastAsia="Calibri"/>
          <w:sz w:val="22"/>
          <w:szCs w:val="22"/>
        </w:rPr>
        <w:t xml:space="preserve">have priority over </w:t>
      </w:r>
      <w:r w:rsidR="005E7135" w:rsidRPr="003676AB">
        <w:rPr>
          <w:rFonts w:eastAsia="Calibri"/>
          <w:sz w:val="22"/>
          <w:szCs w:val="22"/>
        </w:rPr>
        <w:t>art.</w:t>
      </w:r>
      <w:r w:rsidRPr="003676AB">
        <w:rPr>
          <w:rFonts w:eastAsia="Calibri"/>
          <w:sz w:val="22"/>
          <w:szCs w:val="22"/>
        </w:rPr>
        <w:t xml:space="preserve"> 114 TFEU in relation to criminalisation measures.</w:t>
      </w:r>
      <w:r w:rsidR="00387872" w:rsidRPr="003676AB">
        <w:rPr>
          <w:rFonts w:eastAsia="Calibri"/>
          <w:sz w:val="22"/>
          <w:szCs w:val="22"/>
        </w:rPr>
        <w:t xml:space="preserve"> The discussion of the PIF Proposal </w:t>
      </w:r>
      <w:r w:rsidR="00067749" w:rsidRPr="003676AB">
        <w:rPr>
          <w:rFonts w:eastAsia="Calibri"/>
          <w:sz w:val="22"/>
          <w:szCs w:val="22"/>
        </w:rPr>
        <w:t xml:space="preserve">revealed </w:t>
      </w:r>
      <w:r w:rsidR="00387872" w:rsidRPr="003676AB">
        <w:rPr>
          <w:rFonts w:eastAsia="Calibri"/>
          <w:sz w:val="22"/>
          <w:szCs w:val="22"/>
        </w:rPr>
        <w:t xml:space="preserve">the very delicate </w:t>
      </w:r>
      <w:r w:rsidR="00BF2339" w:rsidRPr="003676AB">
        <w:rPr>
          <w:rFonts w:eastAsia="Calibri"/>
          <w:sz w:val="22"/>
          <w:szCs w:val="22"/>
        </w:rPr>
        <w:lastRenderedPageBreak/>
        <w:t xml:space="preserve">choice </w:t>
      </w:r>
      <w:r w:rsidRPr="003676AB">
        <w:rPr>
          <w:rFonts w:eastAsia="Calibri"/>
          <w:sz w:val="22"/>
          <w:szCs w:val="22"/>
        </w:rPr>
        <w:t xml:space="preserve">between </w:t>
      </w:r>
      <w:r w:rsidR="005E7135" w:rsidRPr="003676AB">
        <w:rPr>
          <w:rFonts w:eastAsia="Calibri"/>
          <w:sz w:val="22"/>
          <w:szCs w:val="22"/>
        </w:rPr>
        <w:t>art.</w:t>
      </w:r>
      <w:r w:rsidRPr="003676AB">
        <w:rPr>
          <w:rFonts w:eastAsia="Calibri"/>
          <w:sz w:val="22"/>
          <w:szCs w:val="22"/>
        </w:rPr>
        <w:t xml:space="preserve"> 325 TFEU and </w:t>
      </w:r>
      <w:r w:rsidR="005E7135" w:rsidRPr="003676AB">
        <w:rPr>
          <w:rFonts w:eastAsia="Calibri"/>
          <w:sz w:val="22"/>
          <w:szCs w:val="22"/>
        </w:rPr>
        <w:t>art.</w:t>
      </w:r>
      <w:r w:rsidRPr="003676AB">
        <w:rPr>
          <w:rFonts w:eastAsia="Calibri"/>
          <w:sz w:val="22"/>
          <w:szCs w:val="22"/>
        </w:rPr>
        <w:t xml:space="preserve"> 83(2) TFEU</w:t>
      </w:r>
      <w:r w:rsidR="00387872" w:rsidRPr="003676AB">
        <w:rPr>
          <w:rFonts w:eastAsia="Calibri"/>
          <w:sz w:val="22"/>
          <w:szCs w:val="22"/>
        </w:rPr>
        <w:t xml:space="preserve"> </w:t>
      </w:r>
      <w:r w:rsidR="00DC7F01" w:rsidRPr="003676AB">
        <w:rPr>
          <w:rFonts w:eastAsia="Calibri"/>
          <w:sz w:val="22"/>
          <w:szCs w:val="22"/>
        </w:rPr>
        <w:t>for criminalisation measures</w:t>
      </w:r>
      <w:r w:rsidR="004806A2" w:rsidRPr="003676AB">
        <w:rPr>
          <w:rFonts w:eastAsia="Calibri"/>
          <w:sz w:val="22"/>
          <w:szCs w:val="22"/>
        </w:rPr>
        <w:t>.</w:t>
      </w:r>
      <w:r w:rsidR="00E420CE" w:rsidRPr="003676AB">
        <w:rPr>
          <w:rFonts w:eastAsia="Calibri"/>
          <w:sz w:val="22"/>
          <w:szCs w:val="22"/>
        </w:rPr>
        <w:t xml:space="preserve"> </w:t>
      </w:r>
      <w:r w:rsidR="00631C3C" w:rsidRPr="003676AB">
        <w:rPr>
          <w:rFonts w:eastAsia="Calibri"/>
          <w:sz w:val="22"/>
          <w:szCs w:val="22"/>
        </w:rPr>
        <w:t>Whil</w:t>
      </w:r>
      <w:r w:rsidR="00067749" w:rsidRPr="003676AB">
        <w:rPr>
          <w:rFonts w:eastAsia="Calibri"/>
          <w:sz w:val="22"/>
          <w:szCs w:val="22"/>
        </w:rPr>
        <w:t>e</w:t>
      </w:r>
      <w:r w:rsidR="00631C3C" w:rsidRPr="003676AB">
        <w:rPr>
          <w:rFonts w:eastAsia="Calibri"/>
          <w:sz w:val="22"/>
          <w:szCs w:val="22"/>
        </w:rPr>
        <w:t xml:space="preserve"> the proposal</w:t>
      </w:r>
      <w:r w:rsidR="00067749" w:rsidRPr="003676AB">
        <w:rPr>
          <w:rFonts w:eastAsia="Calibri"/>
          <w:sz w:val="22"/>
          <w:szCs w:val="22"/>
        </w:rPr>
        <w:t xml:space="preserve">, </w:t>
      </w:r>
      <w:r w:rsidR="000021B8" w:rsidRPr="003676AB">
        <w:rPr>
          <w:rFonts w:eastAsia="Calibri"/>
          <w:sz w:val="22"/>
          <w:szCs w:val="22"/>
        </w:rPr>
        <w:t xml:space="preserve">as a measure </w:t>
      </w:r>
      <w:r w:rsidR="00067749" w:rsidRPr="003676AB">
        <w:rPr>
          <w:rFonts w:eastAsia="Calibri"/>
          <w:sz w:val="22"/>
          <w:szCs w:val="22"/>
        </w:rPr>
        <w:t>concerned with the fight against fraud,</w:t>
      </w:r>
      <w:r w:rsidR="00631C3C" w:rsidRPr="003676AB">
        <w:rPr>
          <w:rFonts w:eastAsia="Calibri"/>
          <w:sz w:val="22"/>
          <w:szCs w:val="22"/>
        </w:rPr>
        <w:t xml:space="preserve"> ha</w:t>
      </w:r>
      <w:r w:rsidR="00067749" w:rsidRPr="003676AB">
        <w:rPr>
          <w:rFonts w:eastAsia="Calibri"/>
          <w:sz w:val="22"/>
          <w:szCs w:val="22"/>
        </w:rPr>
        <w:t>s</w:t>
      </w:r>
      <w:r w:rsidR="00631C3C" w:rsidRPr="003676AB">
        <w:rPr>
          <w:rFonts w:eastAsia="Calibri"/>
          <w:sz w:val="22"/>
          <w:szCs w:val="22"/>
        </w:rPr>
        <w:t xml:space="preserve"> a strong connection </w:t>
      </w:r>
      <w:r w:rsidR="000021B8" w:rsidRPr="003676AB">
        <w:rPr>
          <w:rFonts w:eastAsia="Calibri"/>
          <w:sz w:val="22"/>
          <w:szCs w:val="22"/>
        </w:rPr>
        <w:t>with</w:t>
      </w:r>
      <w:r w:rsidR="00631C3C" w:rsidRPr="003676AB">
        <w:rPr>
          <w:rFonts w:eastAsia="Calibri"/>
          <w:sz w:val="22"/>
          <w:szCs w:val="22"/>
        </w:rPr>
        <w:t xml:space="preserve"> </w:t>
      </w:r>
      <w:r w:rsidR="005E7135" w:rsidRPr="003676AB">
        <w:rPr>
          <w:rFonts w:eastAsia="Calibri"/>
          <w:sz w:val="22"/>
          <w:szCs w:val="22"/>
        </w:rPr>
        <w:t>art.</w:t>
      </w:r>
      <w:r w:rsidR="00631C3C" w:rsidRPr="003676AB">
        <w:rPr>
          <w:rFonts w:eastAsia="Calibri"/>
          <w:sz w:val="22"/>
          <w:szCs w:val="22"/>
        </w:rPr>
        <w:t xml:space="preserve"> 325 TFEU</w:t>
      </w:r>
      <w:r w:rsidR="00067749" w:rsidRPr="003676AB">
        <w:rPr>
          <w:rFonts w:eastAsia="Calibri"/>
          <w:sz w:val="22"/>
          <w:szCs w:val="22"/>
        </w:rPr>
        <w:t>,</w:t>
      </w:r>
      <w:r w:rsidR="00631C3C" w:rsidRPr="003676AB">
        <w:rPr>
          <w:rFonts w:eastAsia="Calibri"/>
          <w:sz w:val="22"/>
          <w:szCs w:val="22"/>
        </w:rPr>
        <w:t xml:space="preserve"> the arguments for using </w:t>
      </w:r>
      <w:r w:rsidR="005E7135" w:rsidRPr="003676AB">
        <w:rPr>
          <w:rFonts w:eastAsia="Calibri"/>
          <w:sz w:val="22"/>
          <w:szCs w:val="22"/>
        </w:rPr>
        <w:t>art.</w:t>
      </w:r>
      <w:r w:rsidR="00631C3C" w:rsidRPr="003676AB">
        <w:rPr>
          <w:rFonts w:eastAsia="Calibri"/>
          <w:sz w:val="22"/>
          <w:szCs w:val="22"/>
        </w:rPr>
        <w:t xml:space="preserve"> 83(2) TFEU for the PIF </w:t>
      </w:r>
      <w:r w:rsidR="005C35C2" w:rsidRPr="003676AB">
        <w:rPr>
          <w:rFonts w:eastAsia="Calibri"/>
          <w:sz w:val="22"/>
          <w:szCs w:val="22"/>
        </w:rPr>
        <w:t>P</w:t>
      </w:r>
      <w:r w:rsidR="00631C3C" w:rsidRPr="003676AB">
        <w:rPr>
          <w:rFonts w:eastAsia="Calibri"/>
          <w:sz w:val="22"/>
          <w:szCs w:val="22"/>
        </w:rPr>
        <w:t xml:space="preserve">roposal were more compelling. There </w:t>
      </w:r>
      <w:r w:rsidR="00067749" w:rsidRPr="003676AB">
        <w:rPr>
          <w:rFonts w:eastAsia="Calibri"/>
          <w:sz w:val="22"/>
          <w:szCs w:val="22"/>
        </w:rPr>
        <w:t xml:space="preserve">are </w:t>
      </w:r>
      <w:r w:rsidR="00631C3C" w:rsidRPr="003676AB">
        <w:rPr>
          <w:rFonts w:eastAsia="Calibri"/>
          <w:sz w:val="22"/>
          <w:szCs w:val="22"/>
        </w:rPr>
        <w:t xml:space="preserve">already ‘harmonisation’ measures in the field of fraud and </w:t>
      </w:r>
      <w:r w:rsidR="00067749" w:rsidRPr="003676AB">
        <w:rPr>
          <w:rFonts w:eastAsia="Calibri"/>
          <w:sz w:val="22"/>
          <w:szCs w:val="22"/>
        </w:rPr>
        <w:t xml:space="preserve">good </w:t>
      </w:r>
      <w:r w:rsidR="00631C3C" w:rsidRPr="003676AB">
        <w:rPr>
          <w:rFonts w:eastAsia="Calibri"/>
          <w:sz w:val="22"/>
          <w:szCs w:val="22"/>
        </w:rPr>
        <w:t>reason</w:t>
      </w:r>
      <w:r w:rsidR="00067749" w:rsidRPr="003676AB">
        <w:rPr>
          <w:rFonts w:eastAsia="Calibri"/>
          <w:sz w:val="22"/>
          <w:szCs w:val="22"/>
        </w:rPr>
        <w:t xml:space="preserve">s </w:t>
      </w:r>
      <w:r w:rsidR="005E7135" w:rsidRPr="003676AB">
        <w:rPr>
          <w:rFonts w:eastAsia="Calibri"/>
          <w:sz w:val="22"/>
          <w:szCs w:val="22"/>
        </w:rPr>
        <w:t>were</w:t>
      </w:r>
      <w:r w:rsidR="00067749" w:rsidRPr="003676AB">
        <w:rPr>
          <w:rFonts w:eastAsia="Calibri"/>
          <w:sz w:val="22"/>
          <w:szCs w:val="22"/>
        </w:rPr>
        <w:t xml:space="preserve"> provided</w:t>
      </w:r>
      <w:r w:rsidR="00631C3C" w:rsidRPr="003676AB">
        <w:rPr>
          <w:rFonts w:eastAsia="Calibri"/>
          <w:sz w:val="22"/>
          <w:szCs w:val="22"/>
        </w:rPr>
        <w:t xml:space="preserve"> by the Commission </w:t>
      </w:r>
      <w:r w:rsidR="00067749" w:rsidRPr="003676AB">
        <w:rPr>
          <w:rFonts w:eastAsia="Calibri"/>
          <w:sz w:val="22"/>
          <w:szCs w:val="22"/>
        </w:rPr>
        <w:t xml:space="preserve">as </w:t>
      </w:r>
      <w:r w:rsidR="00631C3C" w:rsidRPr="003676AB">
        <w:rPr>
          <w:rFonts w:eastAsia="Calibri"/>
          <w:sz w:val="22"/>
          <w:szCs w:val="22"/>
        </w:rPr>
        <w:t xml:space="preserve">to why it believed the criminal law response was ‘essential’ for the enforcement of the underlying EU policy. The PIF </w:t>
      </w:r>
      <w:r w:rsidR="005C35C2" w:rsidRPr="003676AB">
        <w:rPr>
          <w:rFonts w:eastAsia="Calibri"/>
          <w:sz w:val="22"/>
          <w:szCs w:val="22"/>
        </w:rPr>
        <w:t>P</w:t>
      </w:r>
      <w:r w:rsidR="00631C3C" w:rsidRPr="003676AB">
        <w:rPr>
          <w:rFonts w:eastAsia="Calibri"/>
          <w:sz w:val="22"/>
          <w:szCs w:val="22"/>
        </w:rPr>
        <w:t xml:space="preserve">roposal also contained extensive rules providing for the ‘definition’ of ‘criminal offences’ and requirements </w:t>
      </w:r>
      <w:r w:rsidR="00DC7F01" w:rsidRPr="003676AB">
        <w:rPr>
          <w:rFonts w:eastAsia="Calibri"/>
          <w:sz w:val="22"/>
          <w:szCs w:val="22"/>
        </w:rPr>
        <w:t>to impose ‘criminal sanctions’</w:t>
      </w:r>
      <w:r w:rsidR="000021B8" w:rsidRPr="003676AB">
        <w:rPr>
          <w:rFonts w:eastAsia="Calibri"/>
          <w:sz w:val="22"/>
          <w:szCs w:val="22"/>
        </w:rPr>
        <w:t>, making</w:t>
      </w:r>
      <w:r w:rsidR="00DC7F01" w:rsidRPr="003676AB">
        <w:rPr>
          <w:rFonts w:eastAsia="Calibri"/>
          <w:sz w:val="22"/>
          <w:szCs w:val="22"/>
        </w:rPr>
        <w:t xml:space="preserve"> </w:t>
      </w:r>
      <w:r w:rsidR="00D57B4E" w:rsidRPr="003676AB">
        <w:rPr>
          <w:rFonts w:eastAsia="Calibri"/>
          <w:sz w:val="22"/>
          <w:szCs w:val="22"/>
        </w:rPr>
        <w:t xml:space="preserve">the </w:t>
      </w:r>
      <w:r w:rsidR="00631C3C" w:rsidRPr="003676AB">
        <w:rPr>
          <w:rFonts w:eastAsia="Calibri"/>
          <w:sz w:val="22"/>
          <w:szCs w:val="22"/>
        </w:rPr>
        <w:t>‘criminal law’</w:t>
      </w:r>
      <w:r w:rsidR="007516C6" w:rsidRPr="003676AB">
        <w:rPr>
          <w:rFonts w:eastAsia="Calibri"/>
          <w:sz w:val="22"/>
          <w:szCs w:val="22"/>
        </w:rPr>
        <w:t xml:space="preserve"> component of the proposal </w:t>
      </w:r>
      <w:r w:rsidR="000021B8" w:rsidRPr="003676AB">
        <w:rPr>
          <w:rFonts w:eastAsia="Calibri"/>
          <w:sz w:val="22"/>
          <w:szCs w:val="22"/>
        </w:rPr>
        <w:t xml:space="preserve">clearly </w:t>
      </w:r>
      <w:r w:rsidR="00DC7F01" w:rsidRPr="003676AB">
        <w:rPr>
          <w:rFonts w:eastAsia="Calibri"/>
          <w:sz w:val="22"/>
          <w:szCs w:val="22"/>
        </w:rPr>
        <w:t>‘</w:t>
      </w:r>
      <w:r w:rsidR="007516C6" w:rsidRPr="003676AB">
        <w:rPr>
          <w:rFonts w:eastAsia="Calibri"/>
          <w:sz w:val="22"/>
          <w:szCs w:val="22"/>
        </w:rPr>
        <w:t>predominant</w:t>
      </w:r>
      <w:r w:rsidR="00DC7F01" w:rsidRPr="003676AB">
        <w:rPr>
          <w:rFonts w:eastAsia="Calibri"/>
          <w:sz w:val="22"/>
          <w:szCs w:val="22"/>
        </w:rPr>
        <w:t>’</w:t>
      </w:r>
      <w:r w:rsidR="00E420CE" w:rsidRPr="003676AB">
        <w:rPr>
          <w:rFonts w:eastAsia="Calibri"/>
          <w:sz w:val="22"/>
          <w:szCs w:val="22"/>
        </w:rPr>
        <w:t>.</w:t>
      </w:r>
      <w:r w:rsidR="00DC7F01" w:rsidRPr="003676AB">
        <w:rPr>
          <w:rFonts w:eastAsia="Calibri"/>
          <w:sz w:val="22"/>
          <w:szCs w:val="22"/>
          <w:vertAlign w:val="superscript"/>
        </w:rPr>
        <w:t xml:space="preserve"> </w:t>
      </w:r>
      <w:r w:rsidR="00DC7F01" w:rsidRPr="003676AB">
        <w:rPr>
          <w:rFonts w:eastAsia="Calibri"/>
          <w:sz w:val="22"/>
          <w:szCs w:val="22"/>
          <w:vertAlign w:val="superscript"/>
        </w:rPr>
        <w:footnoteReference w:id="198"/>
      </w:r>
    </w:p>
    <w:p w14:paraId="682D9852" w14:textId="60AE1E4B" w:rsidR="00A91A32" w:rsidRPr="003676AB" w:rsidRDefault="000021B8" w:rsidP="0038097C">
      <w:pPr>
        <w:tabs>
          <w:tab w:val="left" w:pos="0"/>
        </w:tabs>
        <w:rPr>
          <w:rFonts w:eastAsia="Calibri"/>
          <w:sz w:val="22"/>
          <w:szCs w:val="22"/>
        </w:rPr>
      </w:pPr>
      <w:r w:rsidRPr="003676AB">
        <w:rPr>
          <w:rFonts w:eastAsia="Calibri"/>
          <w:sz w:val="22"/>
          <w:szCs w:val="22"/>
        </w:rPr>
        <w:t>In a broader sense, t</w:t>
      </w:r>
      <w:r w:rsidR="00A91A32" w:rsidRPr="003676AB">
        <w:rPr>
          <w:rFonts w:eastAsia="Calibri"/>
          <w:sz w:val="22"/>
          <w:szCs w:val="22"/>
        </w:rPr>
        <w:t xml:space="preserve">he </w:t>
      </w:r>
      <w:proofErr w:type="spellStart"/>
      <w:r w:rsidR="00A91A32" w:rsidRPr="003676AB">
        <w:rPr>
          <w:rFonts w:eastAsia="Calibri"/>
          <w:i/>
          <w:sz w:val="22"/>
          <w:szCs w:val="22"/>
        </w:rPr>
        <w:t>lex</w:t>
      </w:r>
      <w:proofErr w:type="spellEnd"/>
      <w:r w:rsidR="00A91A32" w:rsidRPr="003676AB">
        <w:rPr>
          <w:rFonts w:eastAsia="Calibri"/>
          <w:i/>
          <w:sz w:val="22"/>
          <w:szCs w:val="22"/>
        </w:rPr>
        <w:t xml:space="preserve"> </w:t>
      </w:r>
      <w:proofErr w:type="spellStart"/>
      <w:r w:rsidR="00A91A32" w:rsidRPr="003676AB">
        <w:rPr>
          <w:rFonts w:eastAsia="Calibri"/>
          <w:i/>
          <w:sz w:val="22"/>
          <w:szCs w:val="22"/>
        </w:rPr>
        <w:t>specialis</w:t>
      </w:r>
      <w:proofErr w:type="spellEnd"/>
      <w:r w:rsidR="00A91A32" w:rsidRPr="003676AB">
        <w:rPr>
          <w:rFonts w:eastAsia="Calibri"/>
          <w:i/>
          <w:sz w:val="22"/>
          <w:szCs w:val="22"/>
        </w:rPr>
        <w:t xml:space="preserve"> </w:t>
      </w:r>
      <w:r w:rsidR="00A91A32" w:rsidRPr="003676AB">
        <w:rPr>
          <w:rFonts w:eastAsia="Calibri"/>
          <w:sz w:val="22"/>
          <w:szCs w:val="22"/>
        </w:rPr>
        <w:t>argument</w:t>
      </w:r>
      <w:r w:rsidR="00AB243C" w:rsidRPr="003676AB">
        <w:rPr>
          <w:rFonts w:eastAsia="Calibri"/>
          <w:sz w:val="22"/>
          <w:szCs w:val="22"/>
        </w:rPr>
        <w:t xml:space="preserve"> </w:t>
      </w:r>
      <w:r w:rsidRPr="003676AB">
        <w:rPr>
          <w:rFonts w:eastAsia="Calibri"/>
          <w:sz w:val="22"/>
          <w:szCs w:val="22"/>
        </w:rPr>
        <w:t xml:space="preserve">advanced </w:t>
      </w:r>
      <w:r w:rsidR="00AB243C" w:rsidRPr="003676AB">
        <w:rPr>
          <w:rFonts w:eastAsia="Calibri"/>
          <w:sz w:val="22"/>
          <w:szCs w:val="22"/>
        </w:rPr>
        <w:t>here</w:t>
      </w:r>
      <w:r w:rsidR="00A91A32" w:rsidRPr="003676AB">
        <w:rPr>
          <w:rFonts w:eastAsia="Calibri"/>
          <w:sz w:val="22"/>
          <w:szCs w:val="22"/>
        </w:rPr>
        <w:t xml:space="preserve"> </w:t>
      </w:r>
      <w:r w:rsidR="0058183A" w:rsidRPr="003676AB">
        <w:rPr>
          <w:rFonts w:eastAsia="Calibri"/>
          <w:sz w:val="22"/>
          <w:szCs w:val="22"/>
        </w:rPr>
        <w:t xml:space="preserve">is </w:t>
      </w:r>
      <w:r w:rsidR="00A91A32" w:rsidRPr="003676AB">
        <w:rPr>
          <w:rFonts w:eastAsia="Calibri"/>
          <w:sz w:val="22"/>
          <w:szCs w:val="22"/>
        </w:rPr>
        <w:t>consistent with post-Lisbon legislative practice.</w:t>
      </w:r>
      <w:r w:rsidR="00A91A32" w:rsidRPr="003676AB">
        <w:rPr>
          <w:rFonts w:eastAsia="Calibri"/>
          <w:sz w:val="22"/>
          <w:szCs w:val="22"/>
          <w:vertAlign w:val="superscript"/>
        </w:rPr>
        <w:footnoteReference w:id="199"/>
      </w:r>
      <w:r w:rsidR="00A91A32" w:rsidRPr="003676AB">
        <w:rPr>
          <w:rFonts w:eastAsia="Calibri"/>
          <w:sz w:val="22"/>
          <w:szCs w:val="22"/>
        </w:rPr>
        <w:t xml:space="preserve"> The EU institutions rel</w:t>
      </w:r>
      <w:r w:rsidR="00067749" w:rsidRPr="003676AB">
        <w:rPr>
          <w:rFonts w:eastAsia="Calibri"/>
          <w:sz w:val="22"/>
          <w:szCs w:val="22"/>
        </w:rPr>
        <w:t>y</w:t>
      </w:r>
      <w:r w:rsidR="00A91A32" w:rsidRPr="003676AB">
        <w:rPr>
          <w:rFonts w:eastAsia="Calibri"/>
          <w:sz w:val="22"/>
          <w:szCs w:val="22"/>
        </w:rPr>
        <w:t xml:space="preserve"> on a </w:t>
      </w:r>
      <w:r w:rsidR="00067749" w:rsidRPr="003676AB">
        <w:rPr>
          <w:rFonts w:eastAsia="Calibri"/>
          <w:sz w:val="22"/>
          <w:szCs w:val="22"/>
        </w:rPr>
        <w:t>‘</w:t>
      </w:r>
      <w:r w:rsidR="00A91A32" w:rsidRPr="003676AB">
        <w:rPr>
          <w:rFonts w:eastAsia="Calibri"/>
          <w:sz w:val="22"/>
          <w:szCs w:val="22"/>
        </w:rPr>
        <w:t>dual approach’</w:t>
      </w:r>
      <w:r w:rsidR="00A91A32" w:rsidRPr="003676AB">
        <w:rPr>
          <w:rFonts w:eastAsia="Calibri"/>
          <w:sz w:val="22"/>
          <w:szCs w:val="22"/>
          <w:vertAlign w:val="superscript"/>
        </w:rPr>
        <w:footnoteReference w:id="200"/>
      </w:r>
      <w:r w:rsidR="005E7135" w:rsidRPr="003676AB">
        <w:rPr>
          <w:rFonts w:eastAsia="Calibri"/>
          <w:sz w:val="22"/>
          <w:szCs w:val="22"/>
        </w:rPr>
        <w:t>:</w:t>
      </w:r>
      <w:r w:rsidR="00A91A32" w:rsidRPr="003676AB">
        <w:rPr>
          <w:rFonts w:eastAsia="Calibri"/>
          <w:sz w:val="22"/>
          <w:szCs w:val="22"/>
        </w:rPr>
        <w:t xml:space="preserve"> measures containing clear criminal law obligations </w:t>
      </w:r>
      <w:r w:rsidR="00067749" w:rsidRPr="003676AB">
        <w:rPr>
          <w:rFonts w:eastAsia="Calibri"/>
          <w:sz w:val="22"/>
          <w:szCs w:val="22"/>
        </w:rPr>
        <w:t xml:space="preserve">are </w:t>
      </w:r>
      <w:r w:rsidR="00A91A32" w:rsidRPr="003676AB">
        <w:rPr>
          <w:rFonts w:eastAsia="Calibri"/>
          <w:sz w:val="22"/>
          <w:szCs w:val="22"/>
        </w:rPr>
        <w:t xml:space="preserve">legislated </w:t>
      </w:r>
      <w:r w:rsidR="00067749" w:rsidRPr="003676AB">
        <w:rPr>
          <w:rFonts w:eastAsia="Calibri"/>
          <w:sz w:val="22"/>
          <w:szCs w:val="22"/>
        </w:rPr>
        <w:t xml:space="preserve">for </w:t>
      </w:r>
      <w:r w:rsidR="00A91A32" w:rsidRPr="003676AB">
        <w:rPr>
          <w:rFonts w:eastAsia="Calibri"/>
          <w:sz w:val="22"/>
          <w:szCs w:val="22"/>
        </w:rPr>
        <w:t xml:space="preserve">under </w:t>
      </w:r>
      <w:r w:rsidR="005E7135" w:rsidRPr="003676AB">
        <w:rPr>
          <w:rFonts w:eastAsia="Calibri"/>
          <w:sz w:val="22"/>
          <w:szCs w:val="22"/>
        </w:rPr>
        <w:t>art.</w:t>
      </w:r>
      <w:r w:rsidR="00A91A32" w:rsidRPr="003676AB">
        <w:rPr>
          <w:rFonts w:eastAsia="Calibri"/>
          <w:sz w:val="22"/>
          <w:szCs w:val="22"/>
        </w:rPr>
        <w:t xml:space="preserve"> 83 TFEU whilst accompanying non-criminal law obligations </w:t>
      </w:r>
      <w:r w:rsidR="00067749" w:rsidRPr="003676AB">
        <w:rPr>
          <w:rFonts w:eastAsia="Calibri"/>
          <w:sz w:val="22"/>
          <w:szCs w:val="22"/>
        </w:rPr>
        <w:t xml:space="preserve">are </w:t>
      </w:r>
      <w:r w:rsidR="0001378E" w:rsidRPr="003676AB">
        <w:rPr>
          <w:rFonts w:eastAsia="Calibri"/>
          <w:sz w:val="22"/>
          <w:szCs w:val="22"/>
        </w:rPr>
        <w:t xml:space="preserve">provided for </w:t>
      </w:r>
      <w:r w:rsidR="00BE19EC" w:rsidRPr="003676AB">
        <w:rPr>
          <w:rFonts w:eastAsia="Calibri"/>
          <w:sz w:val="22"/>
          <w:szCs w:val="22"/>
        </w:rPr>
        <w:t xml:space="preserve">under </w:t>
      </w:r>
      <w:r w:rsidR="00A91A32" w:rsidRPr="003676AB">
        <w:rPr>
          <w:rFonts w:eastAsia="Calibri"/>
          <w:sz w:val="22"/>
          <w:szCs w:val="22"/>
        </w:rPr>
        <w:t>legal bases outside Title V.</w:t>
      </w:r>
      <w:r w:rsidR="00A91A32" w:rsidRPr="003676AB">
        <w:rPr>
          <w:rFonts w:eastAsia="Calibri"/>
          <w:sz w:val="22"/>
          <w:szCs w:val="22"/>
          <w:vertAlign w:val="superscript"/>
        </w:rPr>
        <w:footnoteReference w:id="201"/>
      </w:r>
      <w:r w:rsidR="00A91A32" w:rsidRPr="003676AB">
        <w:rPr>
          <w:rFonts w:eastAsia="Calibri"/>
          <w:sz w:val="22"/>
          <w:szCs w:val="22"/>
        </w:rPr>
        <w:t xml:space="preserve"> This practice </w:t>
      </w:r>
      <w:r w:rsidR="0001378E" w:rsidRPr="003676AB">
        <w:rPr>
          <w:rFonts w:eastAsia="Calibri"/>
          <w:sz w:val="22"/>
          <w:szCs w:val="22"/>
        </w:rPr>
        <w:t xml:space="preserve">can </w:t>
      </w:r>
      <w:r w:rsidR="00A91A32" w:rsidRPr="003676AB">
        <w:rPr>
          <w:rFonts w:eastAsia="Calibri"/>
          <w:sz w:val="22"/>
          <w:szCs w:val="22"/>
        </w:rPr>
        <w:t xml:space="preserve">be </w:t>
      </w:r>
      <w:r w:rsidR="0001378E" w:rsidRPr="003676AB">
        <w:rPr>
          <w:rFonts w:eastAsia="Calibri"/>
          <w:sz w:val="22"/>
          <w:szCs w:val="22"/>
        </w:rPr>
        <w:t xml:space="preserve">seen </w:t>
      </w:r>
      <w:r w:rsidR="00A91A32" w:rsidRPr="003676AB">
        <w:rPr>
          <w:rFonts w:eastAsia="Calibri"/>
          <w:sz w:val="22"/>
          <w:szCs w:val="22"/>
        </w:rPr>
        <w:t xml:space="preserve">in relation to market abuse </w:t>
      </w:r>
      <w:r w:rsidRPr="003676AB">
        <w:rPr>
          <w:rFonts w:eastAsia="Calibri"/>
          <w:sz w:val="22"/>
          <w:szCs w:val="22"/>
        </w:rPr>
        <w:t xml:space="preserve">activities </w:t>
      </w:r>
      <w:r w:rsidR="00A91A32" w:rsidRPr="003676AB">
        <w:rPr>
          <w:rFonts w:eastAsia="Calibri"/>
          <w:sz w:val="22"/>
          <w:szCs w:val="22"/>
        </w:rPr>
        <w:t xml:space="preserve">which were from the beginning </w:t>
      </w:r>
      <w:r w:rsidR="00F15BA1" w:rsidRPr="003676AB">
        <w:rPr>
          <w:rFonts w:eastAsia="Calibri"/>
          <w:sz w:val="22"/>
          <w:szCs w:val="22"/>
        </w:rPr>
        <w:t xml:space="preserve">divided </w:t>
      </w:r>
      <w:r w:rsidR="00A91A32" w:rsidRPr="003676AB">
        <w:rPr>
          <w:rFonts w:eastAsia="Calibri"/>
          <w:sz w:val="22"/>
          <w:szCs w:val="22"/>
        </w:rPr>
        <w:t xml:space="preserve">into a </w:t>
      </w:r>
      <w:r w:rsidR="00DB0537" w:rsidRPr="003676AB">
        <w:rPr>
          <w:rFonts w:eastAsia="Calibri"/>
          <w:sz w:val="22"/>
          <w:szCs w:val="22"/>
        </w:rPr>
        <w:t>r</w:t>
      </w:r>
      <w:r w:rsidR="00A91A32" w:rsidRPr="003676AB">
        <w:rPr>
          <w:rFonts w:eastAsia="Calibri"/>
          <w:sz w:val="22"/>
          <w:szCs w:val="22"/>
        </w:rPr>
        <w:t xml:space="preserve">egulation under </w:t>
      </w:r>
      <w:r w:rsidR="005E7135" w:rsidRPr="003676AB">
        <w:rPr>
          <w:rFonts w:eastAsia="Calibri"/>
          <w:sz w:val="22"/>
          <w:szCs w:val="22"/>
        </w:rPr>
        <w:t>art.</w:t>
      </w:r>
      <w:r w:rsidR="00A91A32" w:rsidRPr="003676AB">
        <w:rPr>
          <w:rFonts w:eastAsia="Calibri"/>
          <w:sz w:val="22"/>
          <w:szCs w:val="22"/>
        </w:rPr>
        <w:t xml:space="preserve"> 114 TFEU and a directive which was adopted on the basis of </w:t>
      </w:r>
      <w:r w:rsidR="005E7135" w:rsidRPr="003676AB">
        <w:rPr>
          <w:rFonts w:eastAsia="Calibri"/>
          <w:sz w:val="22"/>
          <w:szCs w:val="22"/>
        </w:rPr>
        <w:t xml:space="preserve">art. </w:t>
      </w:r>
      <w:r w:rsidR="00A91A32" w:rsidRPr="003676AB">
        <w:rPr>
          <w:rFonts w:eastAsia="Calibri"/>
          <w:sz w:val="22"/>
          <w:szCs w:val="22"/>
        </w:rPr>
        <w:t>83(2) TFEU.</w:t>
      </w:r>
      <w:r w:rsidR="00A91A32" w:rsidRPr="003676AB">
        <w:rPr>
          <w:rFonts w:eastAsia="Calibri"/>
          <w:sz w:val="22"/>
          <w:szCs w:val="22"/>
          <w:vertAlign w:val="superscript"/>
        </w:rPr>
        <w:footnoteReference w:id="202"/>
      </w:r>
      <w:r w:rsidR="00A91A32" w:rsidRPr="003676AB">
        <w:rPr>
          <w:rFonts w:eastAsia="Calibri"/>
          <w:sz w:val="22"/>
          <w:szCs w:val="22"/>
        </w:rPr>
        <w:t xml:space="preserve"> The fight </w:t>
      </w:r>
      <w:r w:rsidR="00DC7F01" w:rsidRPr="003676AB">
        <w:rPr>
          <w:rFonts w:eastAsia="Calibri"/>
          <w:sz w:val="22"/>
          <w:szCs w:val="22"/>
        </w:rPr>
        <w:t xml:space="preserve">against money laundering follows </w:t>
      </w:r>
      <w:r w:rsidR="00A91A32" w:rsidRPr="003676AB">
        <w:rPr>
          <w:rFonts w:eastAsia="Calibri"/>
          <w:sz w:val="22"/>
          <w:szCs w:val="22"/>
        </w:rPr>
        <w:t xml:space="preserve">the same trend. The non-criminal provisions of money laundering </w:t>
      </w:r>
      <w:r w:rsidR="0058183A" w:rsidRPr="003676AB">
        <w:rPr>
          <w:rFonts w:eastAsia="Calibri"/>
          <w:sz w:val="22"/>
          <w:szCs w:val="22"/>
        </w:rPr>
        <w:t>were</w:t>
      </w:r>
      <w:r w:rsidR="00A91A32" w:rsidRPr="003676AB">
        <w:rPr>
          <w:rFonts w:eastAsia="Calibri"/>
          <w:sz w:val="22"/>
          <w:szCs w:val="22"/>
        </w:rPr>
        <w:t xml:space="preserve"> implemented through the Fourth Anti- Money Laundering Directive</w:t>
      </w:r>
      <w:r w:rsidR="00F15BA1" w:rsidRPr="003676AB">
        <w:rPr>
          <w:rFonts w:eastAsia="Calibri"/>
          <w:sz w:val="22"/>
          <w:szCs w:val="22"/>
        </w:rPr>
        <w:t>,</w:t>
      </w:r>
      <w:r w:rsidR="00A91A32" w:rsidRPr="003676AB">
        <w:rPr>
          <w:rFonts w:eastAsia="Calibri"/>
          <w:sz w:val="22"/>
          <w:szCs w:val="22"/>
        </w:rPr>
        <w:t xml:space="preserve"> which was</w:t>
      </w:r>
      <w:r w:rsidR="0038097C" w:rsidRPr="003676AB">
        <w:rPr>
          <w:rFonts w:eastAsia="Calibri"/>
          <w:sz w:val="22"/>
          <w:szCs w:val="22"/>
        </w:rPr>
        <w:t xml:space="preserve"> based</w:t>
      </w:r>
      <w:r w:rsidR="00A91A32" w:rsidRPr="003676AB">
        <w:rPr>
          <w:rFonts w:eastAsia="Calibri"/>
          <w:sz w:val="22"/>
          <w:szCs w:val="22"/>
        </w:rPr>
        <w:t xml:space="preserve"> </w:t>
      </w:r>
      <w:r w:rsidR="0038097C" w:rsidRPr="003676AB">
        <w:rPr>
          <w:rFonts w:eastAsia="Calibri"/>
          <w:sz w:val="22"/>
          <w:szCs w:val="22"/>
        </w:rPr>
        <w:t>on</w:t>
      </w:r>
      <w:r w:rsidR="005E7135" w:rsidRPr="003676AB">
        <w:rPr>
          <w:rFonts w:eastAsia="Calibri"/>
          <w:sz w:val="22"/>
          <w:szCs w:val="22"/>
        </w:rPr>
        <w:t xml:space="preserve"> art.</w:t>
      </w:r>
      <w:r w:rsidR="00A91A32" w:rsidRPr="003676AB">
        <w:rPr>
          <w:rFonts w:eastAsia="Calibri"/>
          <w:sz w:val="22"/>
          <w:szCs w:val="22"/>
        </w:rPr>
        <w:t xml:space="preserve"> 114 TFEU. The Commission then </w:t>
      </w:r>
      <w:r w:rsidR="00AB243C" w:rsidRPr="003676AB">
        <w:rPr>
          <w:rFonts w:eastAsia="Calibri"/>
          <w:sz w:val="22"/>
          <w:szCs w:val="22"/>
        </w:rPr>
        <w:t>suggested employing</w:t>
      </w:r>
      <w:r w:rsidR="00A91A32" w:rsidRPr="003676AB">
        <w:rPr>
          <w:rFonts w:eastAsia="Calibri"/>
          <w:sz w:val="22"/>
          <w:szCs w:val="22"/>
        </w:rPr>
        <w:t xml:space="preserve"> </w:t>
      </w:r>
      <w:r w:rsidR="008B6383" w:rsidRPr="003676AB">
        <w:rPr>
          <w:rFonts w:eastAsia="Calibri"/>
          <w:sz w:val="22"/>
          <w:szCs w:val="22"/>
        </w:rPr>
        <w:t>art.</w:t>
      </w:r>
      <w:r w:rsidR="00AB243C" w:rsidRPr="003676AB">
        <w:rPr>
          <w:rFonts w:eastAsia="Calibri"/>
          <w:sz w:val="22"/>
          <w:szCs w:val="22"/>
        </w:rPr>
        <w:t xml:space="preserve"> 83(1) TFEU </w:t>
      </w:r>
      <w:r w:rsidR="00F15BA1" w:rsidRPr="003676AB">
        <w:rPr>
          <w:rFonts w:eastAsia="Calibri"/>
          <w:sz w:val="22"/>
          <w:szCs w:val="22"/>
        </w:rPr>
        <w:t xml:space="preserve">as the basis of </w:t>
      </w:r>
      <w:r w:rsidR="00AB243C" w:rsidRPr="003676AB">
        <w:rPr>
          <w:rFonts w:eastAsia="Calibri"/>
          <w:sz w:val="22"/>
          <w:szCs w:val="22"/>
        </w:rPr>
        <w:t>a separate proposal on the</w:t>
      </w:r>
      <w:r w:rsidR="00A91A32" w:rsidRPr="003676AB">
        <w:rPr>
          <w:rFonts w:eastAsia="Calibri"/>
          <w:sz w:val="22"/>
          <w:szCs w:val="22"/>
        </w:rPr>
        <w:t xml:space="preserve"> criminal law</w:t>
      </w:r>
      <w:r w:rsidR="00AB243C" w:rsidRPr="003676AB">
        <w:rPr>
          <w:rFonts w:eastAsia="Calibri"/>
          <w:sz w:val="22"/>
          <w:szCs w:val="22"/>
        </w:rPr>
        <w:t xml:space="preserve"> dimension of money laundering</w:t>
      </w:r>
      <w:r w:rsidR="00A91A32" w:rsidRPr="003676AB">
        <w:rPr>
          <w:rFonts w:eastAsia="Calibri"/>
          <w:sz w:val="22"/>
          <w:szCs w:val="22"/>
        </w:rPr>
        <w:t xml:space="preserve">. </w:t>
      </w:r>
      <w:r w:rsidR="006E10EC" w:rsidRPr="003676AB">
        <w:rPr>
          <w:rFonts w:eastAsia="Calibri"/>
          <w:color w:val="000000"/>
          <w:sz w:val="22"/>
          <w:szCs w:val="22"/>
        </w:rPr>
        <w:t xml:space="preserve">This </w:t>
      </w:r>
      <w:r w:rsidR="00F15BA1" w:rsidRPr="003676AB">
        <w:rPr>
          <w:rFonts w:eastAsia="Calibri"/>
          <w:color w:val="000000"/>
          <w:sz w:val="22"/>
          <w:szCs w:val="22"/>
        </w:rPr>
        <w:t xml:space="preserve">is a legitimate </w:t>
      </w:r>
      <w:r w:rsidR="006E10EC" w:rsidRPr="003676AB">
        <w:rPr>
          <w:rFonts w:eastAsia="Calibri"/>
          <w:color w:val="000000"/>
          <w:sz w:val="22"/>
          <w:szCs w:val="22"/>
        </w:rPr>
        <w:t xml:space="preserve">approach </w:t>
      </w:r>
      <w:r w:rsidR="00F15BA1" w:rsidRPr="003676AB">
        <w:rPr>
          <w:rFonts w:eastAsia="Calibri"/>
          <w:color w:val="000000"/>
          <w:sz w:val="22"/>
          <w:szCs w:val="22"/>
        </w:rPr>
        <w:t xml:space="preserve">on the part of </w:t>
      </w:r>
      <w:r w:rsidR="006E10EC" w:rsidRPr="003676AB">
        <w:rPr>
          <w:rFonts w:eastAsia="Calibri"/>
          <w:color w:val="000000"/>
          <w:sz w:val="22"/>
          <w:szCs w:val="22"/>
        </w:rPr>
        <w:t>the EU legislator</w:t>
      </w:r>
      <w:r w:rsidR="00A91A32" w:rsidRPr="003676AB">
        <w:rPr>
          <w:rFonts w:eastAsia="Calibri"/>
          <w:color w:val="000000"/>
          <w:sz w:val="22"/>
          <w:szCs w:val="22"/>
        </w:rPr>
        <w:t>. Not only does it respect the will of the Member States to r</w:t>
      </w:r>
      <w:r w:rsidR="00BE19EC" w:rsidRPr="003676AB">
        <w:rPr>
          <w:rFonts w:eastAsia="Calibri"/>
          <w:color w:val="000000"/>
          <w:sz w:val="22"/>
          <w:szCs w:val="22"/>
        </w:rPr>
        <w:t>etain the protective mechanism</w:t>
      </w:r>
      <w:r w:rsidR="00A91A32" w:rsidRPr="003676AB">
        <w:rPr>
          <w:rFonts w:eastAsia="Calibri"/>
          <w:color w:val="000000"/>
          <w:sz w:val="22"/>
          <w:szCs w:val="22"/>
        </w:rPr>
        <w:t xml:space="preserve"> of Title V</w:t>
      </w:r>
      <w:r w:rsidR="0058183A" w:rsidRPr="003676AB">
        <w:rPr>
          <w:rFonts w:eastAsia="Calibri"/>
          <w:color w:val="000000"/>
          <w:sz w:val="22"/>
          <w:szCs w:val="22"/>
        </w:rPr>
        <w:t xml:space="preserve">, but it is </w:t>
      </w:r>
      <w:r w:rsidR="0001378E" w:rsidRPr="003676AB">
        <w:rPr>
          <w:rFonts w:eastAsia="Calibri"/>
          <w:color w:val="000000"/>
          <w:sz w:val="22"/>
          <w:szCs w:val="22"/>
        </w:rPr>
        <w:t xml:space="preserve">also consistent </w:t>
      </w:r>
      <w:r w:rsidR="00894A81" w:rsidRPr="003676AB">
        <w:rPr>
          <w:rFonts w:eastAsia="Calibri"/>
          <w:color w:val="000000"/>
          <w:sz w:val="22"/>
          <w:szCs w:val="22"/>
        </w:rPr>
        <w:t>with the post-Lisbon constitutional</w:t>
      </w:r>
      <w:r w:rsidR="00A91A32" w:rsidRPr="003676AB">
        <w:rPr>
          <w:rFonts w:eastAsia="Calibri"/>
          <w:color w:val="000000"/>
          <w:sz w:val="22"/>
          <w:szCs w:val="22"/>
        </w:rPr>
        <w:t xml:space="preserve"> framework. The EU legislator’s policy </w:t>
      </w:r>
      <w:r w:rsidR="00F15BA1" w:rsidRPr="003676AB">
        <w:rPr>
          <w:rFonts w:eastAsia="Calibri"/>
          <w:color w:val="000000"/>
          <w:sz w:val="22"/>
          <w:szCs w:val="22"/>
        </w:rPr>
        <w:t xml:space="preserve">on </w:t>
      </w:r>
      <w:r w:rsidR="00A91A32" w:rsidRPr="003676AB">
        <w:rPr>
          <w:rFonts w:eastAsia="Calibri"/>
          <w:color w:val="000000"/>
          <w:sz w:val="22"/>
          <w:szCs w:val="22"/>
        </w:rPr>
        <w:t>sanctioning</w:t>
      </w:r>
      <w:r w:rsidR="006E10EC" w:rsidRPr="003676AB">
        <w:rPr>
          <w:rFonts w:eastAsia="Calibri"/>
          <w:color w:val="000000"/>
          <w:sz w:val="22"/>
          <w:szCs w:val="22"/>
        </w:rPr>
        <w:t xml:space="preserve"> appears to be</w:t>
      </w:r>
      <w:r w:rsidR="00894A81" w:rsidRPr="003676AB">
        <w:rPr>
          <w:rFonts w:eastAsia="Calibri"/>
          <w:color w:val="000000"/>
          <w:sz w:val="22"/>
          <w:szCs w:val="22"/>
        </w:rPr>
        <w:t xml:space="preserve"> a sufficient political safeguard of federalism</w:t>
      </w:r>
      <w:r w:rsidR="00A91A32" w:rsidRPr="003676AB">
        <w:rPr>
          <w:rFonts w:eastAsia="Calibri"/>
          <w:color w:val="000000"/>
          <w:sz w:val="22"/>
          <w:szCs w:val="22"/>
        </w:rPr>
        <w:t>.</w:t>
      </w:r>
      <w:r w:rsidR="00490F37" w:rsidRPr="003676AB">
        <w:rPr>
          <w:rStyle w:val="Fotnotsreferens"/>
          <w:rFonts w:eastAsia="Calibri"/>
          <w:color w:val="000000"/>
          <w:sz w:val="22"/>
          <w:szCs w:val="22"/>
        </w:rPr>
        <w:footnoteReference w:id="203"/>
      </w:r>
      <w:r w:rsidR="00A91A32" w:rsidRPr="003676AB">
        <w:rPr>
          <w:rFonts w:eastAsia="Calibri"/>
          <w:color w:val="000000"/>
          <w:sz w:val="22"/>
          <w:szCs w:val="22"/>
        </w:rPr>
        <w:t xml:space="preserve"> It is clear </w:t>
      </w:r>
      <w:r w:rsidR="0001378E" w:rsidRPr="003676AB">
        <w:rPr>
          <w:rFonts w:eastAsia="Calibri"/>
          <w:color w:val="000000"/>
          <w:sz w:val="22"/>
          <w:szCs w:val="22"/>
        </w:rPr>
        <w:t xml:space="preserve">however </w:t>
      </w:r>
      <w:r w:rsidR="00A91A32" w:rsidRPr="003676AB">
        <w:rPr>
          <w:rFonts w:eastAsia="Calibri"/>
          <w:color w:val="000000"/>
          <w:sz w:val="22"/>
          <w:szCs w:val="22"/>
        </w:rPr>
        <w:t xml:space="preserve">that the EU legislator could choose an alternative and more ‘centralised’ approach to criminalisation by using its ‘dormant’ </w:t>
      </w:r>
      <w:r w:rsidR="00A91A32" w:rsidRPr="003676AB">
        <w:rPr>
          <w:rFonts w:eastAsia="Calibri"/>
          <w:color w:val="000000"/>
          <w:sz w:val="22"/>
          <w:szCs w:val="22"/>
        </w:rPr>
        <w:lastRenderedPageBreak/>
        <w:t>criminal law competence along the lines described above.</w:t>
      </w:r>
      <w:r w:rsidR="001623E9">
        <w:rPr>
          <w:rStyle w:val="Fotnotsreferens"/>
          <w:rFonts w:eastAsia="Calibri"/>
          <w:color w:val="000000"/>
          <w:sz w:val="22"/>
          <w:szCs w:val="22"/>
        </w:rPr>
        <w:footnoteReference w:id="204"/>
      </w:r>
      <w:r w:rsidR="00A91A32" w:rsidRPr="003676AB">
        <w:rPr>
          <w:rFonts w:eastAsia="Calibri"/>
          <w:color w:val="000000"/>
          <w:sz w:val="22"/>
          <w:szCs w:val="22"/>
        </w:rPr>
        <w:t xml:space="preserve"> </w:t>
      </w:r>
      <w:r w:rsidR="00DB0537" w:rsidRPr="003676AB">
        <w:rPr>
          <w:rFonts w:eastAsia="Calibri"/>
          <w:color w:val="000000"/>
          <w:sz w:val="22"/>
          <w:szCs w:val="22"/>
        </w:rPr>
        <w:t>Nevertheless, o</w:t>
      </w:r>
      <w:r w:rsidR="00A91A32" w:rsidRPr="003676AB">
        <w:rPr>
          <w:rFonts w:eastAsia="Calibri"/>
          <w:color w:val="000000"/>
          <w:sz w:val="22"/>
          <w:szCs w:val="22"/>
        </w:rPr>
        <w:t>ne m</w:t>
      </w:r>
      <w:r w:rsidR="00DB0537" w:rsidRPr="003676AB">
        <w:rPr>
          <w:rFonts w:eastAsia="Calibri"/>
          <w:color w:val="000000"/>
          <w:sz w:val="22"/>
          <w:szCs w:val="22"/>
        </w:rPr>
        <w:t xml:space="preserve">ight </w:t>
      </w:r>
      <w:r w:rsidR="00A91A32" w:rsidRPr="003676AB">
        <w:rPr>
          <w:rFonts w:eastAsia="Calibri"/>
          <w:color w:val="000000"/>
          <w:sz w:val="22"/>
          <w:szCs w:val="22"/>
        </w:rPr>
        <w:t xml:space="preserve">hope that the EU legislator </w:t>
      </w:r>
      <w:r w:rsidR="0001378E" w:rsidRPr="003676AB">
        <w:rPr>
          <w:rFonts w:eastAsia="Calibri"/>
          <w:color w:val="000000"/>
          <w:sz w:val="22"/>
          <w:szCs w:val="22"/>
        </w:rPr>
        <w:t xml:space="preserve">will </w:t>
      </w:r>
      <w:r w:rsidR="00A91A32" w:rsidRPr="003676AB">
        <w:rPr>
          <w:rFonts w:eastAsia="Calibri"/>
          <w:color w:val="000000"/>
          <w:sz w:val="22"/>
          <w:szCs w:val="22"/>
        </w:rPr>
        <w:t xml:space="preserve">refrain from such a practice as this would compromise the idea behind the special framework in Title V and </w:t>
      </w:r>
      <w:r w:rsidR="0001378E" w:rsidRPr="003676AB">
        <w:rPr>
          <w:rFonts w:eastAsia="Calibri"/>
          <w:color w:val="000000"/>
          <w:sz w:val="22"/>
          <w:szCs w:val="22"/>
        </w:rPr>
        <w:t xml:space="preserve">render </w:t>
      </w:r>
      <w:r w:rsidR="00C72C76" w:rsidRPr="003676AB">
        <w:rPr>
          <w:rFonts w:eastAsia="Calibri"/>
          <w:color w:val="000000"/>
          <w:sz w:val="22"/>
          <w:szCs w:val="22"/>
        </w:rPr>
        <w:t>art.</w:t>
      </w:r>
      <w:r w:rsidR="00A91A32" w:rsidRPr="003676AB">
        <w:rPr>
          <w:rFonts w:eastAsia="Calibri"/>
          <w:color w:val="000000"/>
          <w:sz w:val="22"/>
          <w:szCs w:val="22"/>
        </w:rPr>
        <w:t xml:space="preserve"> 83(2) TFEU superfluous.</w:t>
      </w:r>
    </w:p>
    <w:p w14:paraId="2CED936C" w14:textId="3FC64312" w:rsidR="00A91A32" w:rsidRPr="003676AB" w:rsidRDefault="006E10EC" w:rsidP="00DF08FB">
      <w:pPr>
        <w:autoSpaceDE w:val="0"/>
        <w:autoSpaceDN w:val="0"/>
        <w:adjustRightInd w:val="0"/>
        <w:spacing w:after="0"/>
        <w:rPr>
          <w:sz w:val="22"/>
          <w:szCs w:val="22"/>
          <w:highlight w:val="yellow"/>
          <w:lang w:eastAsia="sv-SE"/>
        </w:rPr>
      </w:pPr>
      <w:r w:rsidRPr="003676AB">
        <w:rPr>
          <w:rFonts w:eastAsia="Calibri"/>
          <w:sz w:val="22"/>
          <w:szCs w:val="22"/>
        </w:rPr>
        <w:t>T</w:t>
      </w:r>
      <w:r w:rsidR="00A91A32" w:rsidRPr="003676AB">
        <w:rPr>
          <w:rFonts w:eastAsia="Calibri"/>
          <w:sz w:val="22"/>
          <w:szCs w:val="22"/>
        </w:rPr>
        <w:t>he discussion of legal basis</w:t>
      </w:r>
      <w:r w:rsidRPr="003676AB">
        <w:rPr>
          <w:rFonts w:eastAsia="Calibri"/>
          <w:sz w:val="22"/>
          <w:szCs w:val="22"/>
        </w:rPr>
        <w:t xml:space="preserve"> for criminalization measures </w:t>
      </w:r>
      <w:r w:rsidR="0001378E" w:rsidRPr="003676AB">
        <w:rPr>
          <w:rFonts w:eastAsia="Calibri"/>
          <w:sz w:val="22"/>
          <w:szCs w:val="22"/>
        </w:rPr>
        <w:t xml:space="preserve">therefore </w:t>
      </w:r>
      <w:r w:rsidR="00A91A32" w:rsidRPr="003676AB">
        <w:rPr>
          <w:rFonts w:eastAsia="Calibri"/>
          <w:sz w:val="22"/>
          <w:szCs w:val="22"/>
        </w:rPr>
        <w:t>underpins</w:t>
      </w:r>
      <w:r w:rsidR="007516C6" w:rsidRPr="003676AB">
        <w:rPr>
          <w:rFonts w:eastAsia="Calibri"/>
          <w:sz w:val="22"/>
          <w:szCs w:val="22"/>
        </w:rPr>
        <w:t xml:space="preserve"> the starting point </w:t>
      </w:r>
      <w:r w:rsidR="0001378E" w:rsidRPr="003676AB">
        <w:rPr>
          <w:rFonts w:eastAsia="Calibri"/>
          <w:sz w:val="22"/>
          <w:szCs w:val="22"/>
        </w:rPr>
        <w:t xml:space="preserve">of this </w:t>
      </w:r>
      <w:r w:rsidR="007516C6" w:rsidRPr="003676AB">
        <w:rPr>
          <w:rFonts w:eastAsia="Calibri"/>
          <w:sz w:val="22"/>
          <w:szCs w:val="22"/>
        </w:rPr>
        <w:t>article</w:t>
      </w:r>
      <w:r w:rsidR="0064703D" w:rsidRPr="003676AB">
        <w:rPr>
          <w:rFonts w:eastAsia="Calibri"/>
          <w:sz w:val="22"/>
          <w:szCs w:val="22"/>
        </w:rPr>
        <w:t xml:space="preserve"> that the principles for delimiting powers and the areas covered by each type of competence are </w:t>
      </w:r>
      <w:r w:rsidR="0001378E" w:rsidRPr="003676AB">
        <w:rPr>
          <w:rFonts w:eastAsia="Calibri"/>
          <w:sz w:val="22"/>
          <w:szCs w:val="22"/>
        </w:rPr>
        <w:t xml:space="preserve">not clearly </w:t>
      </w:r>
      <w:r w:rsidR="0064703D" w:rsidRPr="003676AB">
        <w:rPr>
          <w:rFonts w:eastAsia="Calibri"/>
          <w:sz w:val="22"/>
          <w:szCs w:val="22"/>
        </w:rPr>
        <w:t>defined by the Treaties</w:t>
      </w:r>
      <w:r w:rsidR="00A91A32" w:rsidRPr="003676AB">
        <w:rPr>
          <w:rFonts w:eastAsia="Calibri"/>
          <w:sz w:val="22"/>
          <w:szCs w:val="22"/>
        </w:rPr>
        <w:t>.</w:t>
      </w:r>
      <w:r w:rsidRPr="003676AB">
        <w:rPr>
          <w:rFonts w:eastAsia="Calibri"/>
          <w:sz w:val="22"/>
          <w:szCs w:val="22"/>
        </w:rPr>
        <w:t xml:space="preserve"> The Lisbon Treaty has not</w:t>
      </w:r>
      <w:r w:rsidR="00A24A20" w:rsidRPr="003676AB">
        <w:rPr>
          <w:rFonts w:eastAsia="Calibri"/>
          <w:sz w:val="22"/>
          <w:szCs w:val="22"/>
        </w:rPr>
        <w:t xml:space="preserve"> been able to remedy this problem</w:t>
      </w:r>
      <w:r w:rsidRPr="003676AB">
        <w:rPr>
          <w:rFonts w:eastAsia="Calibri"/>
          <w:sz w:val="22"/>
          <w:szCs w:val="22"/>
        </w:rPr>
        <w:t xml:space="preserve"> by</w:t>
      </w:r>
      <w:r w:rsidR="0010304A" w:rsidRPr="003676AB">
        <w:rPr>
          <w:rFonts w:eastAsia="Calibri"/>
          <w:sz w:val="22"/>
          <w:szCs w:val="22"/>
        </w:rPr>
        <w:t xml:space="preserve"> establishing a catalogue</w:t>
      </w:r>
      <w:r w:rsidR="00A24A20" w:rsidRPr="003676AB">
        <w:rPr>
          <w:rFonts w:eastAsia="Calibri"/>
          <w:sz w:val="22"/>
          <w:szCs w:val="22"/>
        </w:rPr>
        <w:t xml:space="preserve"> of competences</w:t>
      </w:r>
      <w:r w:rsidR="0010304A" w:rsidRPr="003676AB">
        <w:rPr>
          <w:rFonts w:eastAsia="Calibri"/>
          <w:color w:val="000000"/>
          <w:sz w:val="22"/>
          <w:szCs w:val="22"/>
          <w:vertAlign w:val="superscript"/>
        </w:rPr>
        <w:footnoteReference w:id="205"/>
      </w:r>
      <w:r w:rsidRPr="003676AB">
        <w:rPr>
          <w:rFonts w:eastAsia="Calibri"/>
          <w:sz w:val="22"/>
          <w:szCs w:val="22"/>
        </w:rPr>
        <w:t xml:space="preserve"> and </w:t>
      </w:r>
      <w:r w:rsidR="00A24A20" w:rsidRPr="003676AB">
        <w:rPr>
          <w:rFonts w:eastAsia="Calibri"/>
          <w:sz w:val="22"/>
          <w:szCs w:val="22"/>
        </w:rPr>
        <w:t xml:space="preserve">by </w:t>
      </w:r>
      <w:r w:rsidRPr="003676AB">
        <w:rPr>
          <w:rFonts w:eastAsia="Calibri"/>
          <w:sz w:val="22"/>
          <w:szCs w:val="22"/>
        </w:rPr>
        <w:t>describing the nature of EU powers in certain fields</w:t>
      </w:r>
      <w:r w:rsidR="007516C6" w:rsidRPr="003676AB">
        <w:rPr>
          <w:rFonts w:eastAsia="Calibri"/>
          <w:sz w:val="22"/>
          <w:szCs w:val="22"/>
        </w:rPr>
        <w:t>.</w:t>
      </w:r>
      <w:r w:rsidR="007516C6" w:rsidRPr="003676AB">
        <w:rPr>
          <w:rFonts w:eastAsia="Calibri"/>
          <w:color w:val="000000"/>
          <w:sz w:val="22"/>
          <w:szCs w:val="22"/>
          <w:vertAlign w:val="superscript"/>
        </w:rPr>
        <w:footnoteReference w:id="206"/>
      </w:r>
      <w:r w:rsidR="000465E3" w:rsidRPr="003676AB">
        <w:rPr>
          <w:rFonts w:eastAsia="Calibri"/>
          <w:color w:val="000000"/>
          <w:sz w:val="22"/>
          <w:szCs w:val="22"/>
          <w:vertAlign w:val="superscript"/>
        </w:rPr>
        <w:t xml:space="preserve"> </w:t>
      </w:r>
      <w:r w:rsidR="00A91A32" w:rsidRPr="003676AB">
        <w:rPr>
          <w:rFonts w:eastAsia="Calibri"/>
          <w:sz w:val="22"/>
          <w:szCs w:val="22"/>
        </w:rPr>
        <w:t>Since the system of competences is founded on the EU’s objectives</w:t>
      </w:r>
      <w:r w:rsidR="00A24A20" w:rsidRPr="003676AB">
        <w:rPr>
          <w:rFonts w:eastAsia="Calibri"/>
          <w:sz w:val="22"/>
          <w:szCs w:val="22"/>
        </w:rPr>
        <w:t xml:space="preserve"> and</w:t>
      </w:r>
      <w:r w:rsidR="00A91A32" w:rsidRPr="003676AB">
        <w:rPr>
          <w:rFonts w:eastAsia="Calibri"/>
          <w:sz w:val="22"/>
          <w:szCs w:val="22"/>
        </w:rPr>
        <w:t xml:space="preserve"> </w:t>
      </w:r>
      <w:r w:rsidR="0001378E" w:rsidRPr="003676AB">
        <w:rPr>
          <w:rFonts w:eastAsia="Calibri"/>
          <w:sz w:val="22"/>
          <w:szCs w:val="22"/>
        </w:rPr>
        <w:t xml:space="preserve">in light of </w:t>
      </w:r>
      <w:r w:rsidR="00A91A32" w:rsidRPr="003676AB">
        <w:rPr>
          <w:rFonts w:eastAsia="Calibri"/>
          <w:sz w:val="22"/>
          <w:szCs w:val="22"/>
        </w:rPr>
        <w:t xml:space="preserve">the fact that not all </w:t>
      </w:r>
      <w:r w:rsidR="0001378E" w:rsidRPr="003676AB">
        <w:rPr>
          <w:rFonts w:eastAsia="Calibri"/>
          <w:sz w:val="22"/>
          <w:szCs w:val="22"/>
        </w:rPr>
        <w:t xml:space="preserve">of </w:t>
      </w:r>
      <w:r w:rsidR="00A91A32" w:rsidRPr="003676AB">
        <w:rPr>
          <w:rFonts w:eastAsia="Calibri"/>
          <w:sz w:val="22"/>
          <w:szCs w:val="22"/>
        </w:rPr>
        <w:t xml:space="preserve">the EU’s competences are designated </w:t>
      </w:r>
      <w:r w:rsidR="0001378E" w:rsidRPr="003676AB">
        <w:rPr>
          <w:rFonts w:eastAsia="Calibri"/>
          <w:sz w:val="22"/>
          <w:szCs w:val="22"/>
        </w:rPr>
        <w:t xml:space="preserve">to </w:t>
      </w:r>
      <w:r w:rsidR="00A91A32" w:rsidRPr="003676AB">
        <w:rPr>
          <w:rFonts w:eastAsia="Calibri"/>
          <w:sz w:val="22"/>
          <w:szCs w:val="22"/>
        </w:rPr>
        <w:t>one specific policy</w:t>
      </w:r>
      <w:r w:rsidR="00CC5974" w:rsidRPr="003676AB">
        <w:rPr>
          <w:rFonts w:eastAsia="Calibri"/>
          <w:sz w:val="22"/>
          <w:szCs w:val="22"/>
        </w:rPr>
        <w:t xml:space="preserve"> (e</w:t>
      </w:r>
      <w:r w:rsidR="00C72C76" w:rsidRPr="003676AB">
        <w:rPr>
          <w:rFonts w:eastAsia="Calibri"/>
          <w:sz w:val="22"/>
          <w:szCs w:val="22"/>
        </w:rPr>
        <w:t>.</w:t>
      </w:r>
      <w:r w:rsidR="00CC5974" w:rsidRPr="003676AB">
        <w:rPr>
          <w:rFonts w:eastAsia="Calibri"/>
          <w:sz w:val="22"/>
          <w:szCs w:val="22"/>
        </w:rPr>
        <w:t>g</w:t>
      </w:r>
      <w:r w:rsidR="00C72C76" w:rsidRPr="003676AB">
        <w:rPr>
          <w:rFonts w:eastAsia="Calibri"/>
          <w:sz w:val="22"/>
          <w:szCs w:val="22"/>
        </w:rPr>
        <w:t>.</w:t>
      </w:r>
      <w:r w:rsidR="00CC5974" w:rsidRPr="003676AB">
        <w:rPr>
          <w:rFonts w:eastAsia="Calibri"/>
          <w:sz w:val="22"/>
          <w:szCs w:val="22"/>
        </w:rPr>
        <w:t xml:space="preserve"> </w:t>
      </w:r>
      <w:r w:rsidR="00C72C76" w:rsidRPr="003676AB">
        <w:rPr>
          <w:rFonts w:eastAsia="Calibri"/>
          <w:sz w:val="22"/>
          <w:szCs w:val="22"/>
        </w:rPr>
        <w:t>art.</w:t>
      </w:r>
      <w:r w:rsidR="00CC5974" w:rsidRPr="003676AB">
        <w:rPr>
          <w:rFonts w:eastAsia="Calibri"/>
          <w:sz w:val="22"/>
          <w:szCs w:val="22"/>
        </w:rPr>
        <w:t xml:space="preserve"> 114 TFEU)</w:t>
      </w:r>
      <w:r w:rsidR="00A91A32" w:rsidRPr="003676AB">
        <w:rPr>
          <w:rFonts w:eastAsia="Calibri"/>
          <w:sz w:val="22"/>
          <w:szCs w:val="22"/>
        </w:rPr>
        <w:t xml:space="preserve"> and because</w:t>
      </w:r>
      <w:r w:rsidR="00CC5974" w:rsidRPr="003676AB">
        <w:rPr>
          <w:rFonts w:eastAsia="Calibri"/>
          <w:sz w:val="22"/>
          <w:szCs w:val="22"/>
        </w:rPr>
        <w:t xml:space="preserve"> of</w:t>
      </w:r>
      <w:r w:rsidR="00A91A32" w:rsidRPr="003676AB">
        <w:rPr>
          <w:rFonts w:eastAsia="Calibri"/>
          <w:sz w:val="22"/>
          <w:szCs w:val="22"/>
        </w:rPr>
        <w:t xml:space="preserve"> </w:t>
      </w:r>
      <w:r w:rsidR="00CC5974" w:rsidRPr="003676AB">
        <w:rPr>
          <w:rFonts w:eastAsia="Calibri"/>
          <w:sz w:val="22"/>
          <w:szCs w:val="22"/>
        </w:rPr>
        <w:t>the fact some cross-cutting policies such as criminal law may have an impact on different Treaty provisions,</w:t>
      </w:r>
      <w:r w:rsidR="00A91A32" w:rsidRPr="003676AB">
        <w:rPr>
          <w:rFonts w:eastAsia="Calibri"/>
          <w:sz w:val="22"/>
          <w:szCs w:val="22"/>
        </w:rPr>
        <w:t xml:space="preserve"> there is plenty of </w:t>
      </w:r>
      <w:r w:rsidR="00A24A20" w:rsidRPr="003676AB">
        <w:rPr>
          <w:rFonts w:eastAsia="Calibri"/>
          <w:sz w:val="22"/>
          <w:szCs w:val="22"/>
        </w:rPr>
        <w:t xml:space="preserve">scope </w:t>
      </w:r>
      <w:r w:rsidR="00A91A32" w:rsidRPr="003676AB">
        <w:rPr>
          <w:rFonts w:eastAsia="Calibri"/>
          <w:sz w:val="22"/>
          <w:szCs w:val="22"/>
        </w:rPr>
        <w:t>for</w:t>
      </w:r>
      <w:r w:rsidRPr="003676AB">
        <w:rPr>
          <w:rFonts w:eastAsia="Calibri"/>
          <w:sz w:val="22"/>
          <w:szCs w:val="22"/>
        </w:rPr>
        <w:t xml:space="preserve"> legal basis</w:t>
      </w:r>
      <w:r w:rsidR="00A91A32" w:rsidRPr="003676AB">
        <w:rPr>
          <w:rFonts w:eastAsia="Calibri"/>
          <w:sz w:val="22"/>
          <w:szCs w:val="22"/>
        </w:rPr>
        <w:t xml:space="preserve"> disputes.</w:t>
      </w:r>
      <w:r w:rsidR="00A91A32" w:rsidRPr="003676AB">
        <w:rPr>
          <w:rFonts w:eastAsia="Calibri"/>
          <w:sz w:val="22"/>
          <w:szCs w:val="22"/>
          <w:vertAlign w:val="superscript"/>
        </w:rPr>
        <w:footnoteReference w:id="207"/>
      </w:r>
      <w:r w:rsidR="0001378E" w:rsidRPr="003676AB">
        <w:rPr>
          <w:rFonts w:eastAsia="Calibri"/>
          <w:sz w:val="22"/>
          <w:szCs w:val="22"/>
        </w:rPr>
        <w:t xml:space="preserve"> </w:t>
      </w:r>
      <w:r w:rsidR="00A24A20" w:rsidRPr="003676AB">
        <w:rPr>
          <w:sz w:val="22"/>
          <w:szCs w:val="22"/>
          <w:lang w:eastAsia="sv-SE"/>
        </w:rPr>
        <w:t xml:space="preserve">It remains the case that </w:t>
      </w:r>
      <w:r w:rsidR="00D50957" w:rsidRPr="003676AB">
        <w:rPr>
          <w:sz w:val="22"/>
          <w:szCs w:val="22"/>
          <w:lang w:eastAsia="sv-SE"/>
        </w:rPr>
        <w:t xml:space="preserve">the </w:t>
      </w:r>
      <w:r w:rsidR="005F56EC" w:rsidRPr="003676AB">
        <w:rPr>
          <w:sz w:val="22"/>
          <w:szCs w:val="22"/>
          <w:lang w:eastAsia="sv-SE"/>
        </w:rPr>
        <w:t>‘</w:t>
      </w:r>
      <w:r w:rsidR="00D50957" w:rsidRPr="003676AB">
        <w:rPr>
          <w:sz w:val="22"/>
          <w:szCs w:val="22"/>
          <w:lang w:eastAsia="sv-SE"/>
        </w:rPr>
        <w:t>scope for exercising the Union’s competences’ is ‘determined by the provisions of the Treaties relating to each area’</w:t>
      </w:r>
      <w:r w:rsidR="005F56EC" w:rsidRPr="003676AB">
        <w:rPr>
          <w:rStyle w:val="Fotnotsreferens"/>
          <w:sz w:val="22"/>
          <w:szCs w:val="22"/>
          <w:lang w:eastAsia="sv-SE"/>
        </w:rPr>
        <w:footnoteReference w:id="208"/>
      </w:r>
      <w:r w:rsidR="00D50957" w:rsidRPr="003676AB">
        <w:rPr>
          <w:sz w:val="22"/>
          <w:szCs w:val="22"/>
          <w:lang w:eastAsia="sv-SE"/>
        </w:rPr>
        <w:t xml:space="preserve"> and</w:t>
      </w:r>
      <w:r w:rsidR="005F56EC" w:rsidRPr="003676AB">
        <w:rPr>
          <w:sz w:val="22"/>
          <w:szCs w:val="22"/>
          <w:lang w:eastAsia="sv-SE"/>
        </w:rPr>
        <w:t xml:space="preserve"> the hierarchical and substantive relationship between these provisions.</w:t>
      </w:r>
      <w:r w:rsidR="005F56EC" w:rsidRPr="003676AB">
        <w:rPr>
          <w:rStyle w:val="Fotnotsreferens"/>
          <w:sz w:val="22"/>
          <w:szCs w:val="22"/>
          <w:lang w:eastAsia="sv-SE"/>
        </w:rPr>
        <w:footnoteReference w:id="209"/>
      </w:r>
      <w:r w:rsidR="0064703D" w:rsidRPr="003676AB">
        <w:rPr>
          <w:sz w:val="22"/>
          <w:szCs w:val="22"/>
          <w:lang w:eastAsia="sv-SE"/>
        </w:rPr>
        <w:t xml:space="preserve"> </w:t>
      </w:r>
      <w:r w:rsidR="00A91A32" w:rsidRPr="003676AB">
        <w:rPr>
          <w:sz w:val="22"/>
          <w:szCs w:val="22"/>
          <w:lang w:eastAsia="sv-SE"/>
        </w:rPr>
        <w:t xml:space="preserve">If the Member States wish to draw a clearer demarcation line between the different Treaty competences, </w:t>
      </w:r>
      <w:r w:rsidR="00617C41" w:rsidRPr="003676AB">
        <w:rPr>
          <w:sz w:val="22"/>
          <w:szCs w:val="22"/>
          <w:lang w:eastAsia="sv-SE"/>
        </w:rPr>
        <w:t xml:space="preserve">they </w:t>
      </w:r>
      <w:r w:rsidR="00A91A32" w:rsidRPr="003676AB">
        <w:rPr>
          <w:sz w:val="22"/>
          <w:szCs w:val="22"/>
          <w:lang w:eastAsia="sv-SE"/>
        </w:rPr>
        <w:t>would have to draft the Tre</w:t>
      </w:r>
      <w:r w:rsidR="00CF4F6C" w:rsidRPr="003676AB">
        <w:rPr>
          <w:sz w:val="22"/>
          <w:szCs w:val="22"/>
          <w:lang w:eastAsia="sv-SE"/>
        </w:rPr>
        <w:t>aties differently</w:t>
      </w:r>
      <w:r w:rsidR="006D3A79" w:rsidRPr="003676AB">
        <w:rPr>
          <w:sz w:val="22"/>
          <w:szCs w:val="22"/>
          <w:lang w:eastAsia="sv-SE"/>
        </w:rPr>
        <w:t xml:space="preserve"> and adopt a wholly different means of identifying and operationalising the competences of the Union</w:t>
      </w:r>
      <w:r w:rsidR="00CF4F6C" w:rsidRPr="003676AB">
        <w:rPr>
          <w:sz w:val="22"/>
          <w:szCs w:val="22"/>
          <w:lang w:eastAsia="sv-SE"/>
        </w:rPr>
        <w:t xml:space="preserve">. </w:t>
      </w:r>
      <w:r w:rsidR="006D3A79" w:rsidRPr="003676AB">
        <w:rPr>
          <w:sz w:val="22"/>
          <w:szCs w:val="22"/>
          <w:lang w:eastAsia="sv-SE"/>
        </w:rPr>
        <w:t xml:space="preserve">The only clear means of limiting the Union’s criminal law competence to Title V TFEU would be to adopt a </w:t>
      </w:r>
      <w:r w:rsidR="00A91A32" w:rsidRPr="003676AB">
        <w:rPr>
          <w:sz w:val="22"/>
          <w:szCs w:val="22"/>
          <w:lang w:eastAsia="sv-SE"/>
        </w:rPr>
        <w:t>provision</w:t>
      </w:r>
      <w:r w:rsidR="00BD1E62" w:rsidRPr="003676AB">
        <w:rPr>
          <w:sz w:val="22"/>
          <w:szCs w:val="22"/>
          <w:lang w:eastAsia="sv-SE"/>
        </w:rPr>
        <w:t xml:space="preserve"> in the Treaties</w:t>
      </w:r>
      <w:r w:rsidR="00A91A32" w:rsidRPr="003676AB">
        <w:rPr>
          <w:sz w:val="22"/>
          <w:szCs w:val="22"/>
          <w:lang w:eastAsia="sv-SE"/>
        </w:rPr>
        <w:t xml:space="preserve"> </w:t>
      </w:r>
      <w:r w:rsidR="006D3A79" w:rsidRPr="003676AB">
        <w:rPr>
          <w:sz w:val="22"/>
          <w:szCs w:val="22"/>
          <w:lang w:eastAsia="sv-SE"/>
        </w:rPr>
        <w:t>precisely to that effect</w:t>
      </w:r>
      <w:r w:rsidR="0064703D" w:rsidRPr="003676AB">
        <w:rPr>
          <w:sz w:val="22"/>
          <w:szCs w:val="22"/>
          <w:lang w:eastAsia="sv-SE"/>
        </w:rPr>
        <w:t>.</w:t>
      </w:r>
      <w:r w:rsidR="00A91A32" w:rsidRPr="003676AB">
        <w:rPr>
          <w:rStyle w:val="Fotnotsreferens"/>
          <w:sz w:val="22"/>
          <w:szCs w:val="22"/>
          <w:lang w:eastAsia="sv-SE"/>
        </w:rPr>
        <w:footnoteReference w:id="210"/>
      </w:r>
      <w:r w:rsidR="00FB0468" w:rsidRPr="003676AB">
        <w:rPr>
          <w:rStyle w:val="Fotnotsreferens"/>
          <w:sz w:val="22"/>
          <w:szCs w:val="22"/>
          <w:lang w:eastAsia="sv-SE"/>
        </w:rPr>
        <w:t xml:space="preserve"> </w:t>
      </w:r>
    </w:p>
    <w:sectPr w:rsidR="00A91A32" w:rsidRPr="003676AB">
      <w:endnotePr>
        <w:numFmt w:val="chicago"/>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DC1DA" w14:textId="77777777" w:rsidR="00E3618F" w:rsidRDefault="00E3618F" w:rsidP="0003320D">
      <w:pPr>
        <w:spacing w:after="0" w:line="240" w:lineRule="auto"/>
      </w:pPr>
      <w:r>
        <w:separator/>
      </w:r>
    </w:p>
  </w:endnote>
  <w:endnote w:type="continuationSeparator" w:id="0">
    <w:p w14:paraId="688591EE" w14:textId="77777777" w:rsidR="00E3618F" w:rsidRDefault="00E3618F" w:rsidP="0003320D">
      <w:pPr>
        <w:spacing w:after="0" w:line="240" w:lineRule="auto"/>
      </w:pPr>
      <w:r>
        <w:continuationSeparator/>
      </w:r>
    </w:p>
  </w:endnote>
  <w:endnote w:id="1">
    <w:p w14:paraId="51A63D22" w14:textId="6CBDFA44" w:rsidR="008D2FFB" w:rsidRPr="008D2FFB" w:rsidRDefault="008D2FFB">
      <w:pPr>
        <w:pStyle w:val="Slutnotstext"/>
      </w:pPr>
      <w:r>
        <w:rPr>
          <w:rStyle w:val="Slutnotsreferens"/>
        </w:rPr>
        <w:endnoteRef/>
      </w:r>
      <w:r>
        <w:t xml:space="preserve"> </w:t>
      </w:r>
      <w:r>
        <w:rPr>
          <w:lang w:val="en"/>
        </w:rPr>
        <w:t xml:space="preserve">Associate Professor in Law, </w:t>
      </w:r>
      <w:proofErr w:type="spellStart"/>
      <w:r>
        <w:rPr>
          <w:lang w:val="en"/>
        </w:rPr>
        <w:t>Örebro</w:t>
      </w:r>
      <w:proofErr w:type="spellEnd"/>
      <w:r>
        <w:rPr>
          <w:lang w:val="en"/>
        </w:rPr>
        <w:t xml:space="preserve"> University. This</w:t>
      </w:r>
      <w:r w:rsidR="00951BAE">
        <w:rPr>
          <w:lang w:val="en"/>
        </w:rPr>
        <w:t xml:space="preserve"> is the accepted version of the</w:t>
      </w:r>
      <w:r>
        <w:rPr>
          <w:lang w:val="en"/>
        </w:rPr>
        <w:t xml:space="preserve"> articl</w:t>
      </w:r>
      <w:r w:rsidR="00951BAE">
        <w:rPr>
          <w:lang w:val="en"/>
        </w:rPr>
        <w:t>e which subsequently was published in 43(3)</w:t>
      </w:r>
      <w:bookmarkStart w:id="2" w:name="_GoBack"/>
      <w:bookmarkEnd w:id="2"/>
      <w:r w:rsidR="00951BAE">
        <w:rPr>
          <w:lang w:val="en"/>
        </w:rPr>
        <w:t xml:space="preserve"> (2018) </w:t>
      </w:r>
      <w:r w:rsidR="00951BAE" w:rsidRPr="00951BAE">
        <w:rPr>
          <w:i/>
          <w:lang w:val="en"/>
        </w:rPr>
        <w:t>E</w:t>
      </w:r>
      <w:r w:rsidR="00951BAE">
        <w:rPr>
          <w:i/>
          <w:lang w:val="en"/>
        </w:rPr>
        <w:t>.L.</w:t>
      </w:r>
      <w:r w:rsidR="00951BAE" w:rsidRPr="00951BAE">
        <w:rPr>
          <w:i/>
          <w:lang w:val="en"/>
        </w:rPr>
        <w:t xml:space="preserve"> Rev</w:t>
      </w:r>
      <w:r w:rsidR="00951BAE">
        <w:rPr>
          <w:lang w:val="en"/>
        </w:rPr>
        <w:t xml:space="preserve"> 366-393. The article</w:t>
      </w:r>
      <w:r>
        <w:rPr>
          <w:lang w:val="en"/>
        </w:rPr>
        <w:t xml:space="preserve"> is the outcome of a discussion with many academic colleagues and friends throughout the last three years. I would wish to particularly acknowledge the valuable comments and constructive criticisms from Ester-</w:t>
      </w:r>
      <w:proofErr w:type="spellStart"/>
      <w:r>
        <w:rPr>
          <w:lang w:val="en"/>
        </w:rPr>
        <w:t>Herlin</w:t>
      </w:r>
      <w:proofErr w:type="spellEnd"/>
      <w:r>
        <w:rPr>
          <w:lang w:val="en"/>
        </w:rPr>
        <w:t xml:space="preserve"> </w:t>
      </w:r>
      <w:proofErr w:type="spellStart"/>
      <w:r>
        <w:rPr>
          <w:lang w:val="en"/>
        </w:rPr>
        <w:t>Karnell</w:t>
      </w:r>
      <w:proofErr w:type="spellEnd"/>
      <w:r>
        <w:rPr>
          <w:lang w:val="en"/>
        </w:rPr>
        <w:t xml:space="preserve">, </w:t>
      </w:r>
      <w:proofErr w:type="spellStart"/>
      <w:r>
        <w:rPr>
          <w:lang w:val="en"/>
        </w:rPr>
        <w:t>Samuli</w:t>
      </w:r>
      <w:proofErr w:type="spellEnd"/>
      <w:r>
        <w:rPr>
          <w:lang w:val="en"/>
        </w:rPr>
        <w:t xml:space="preserve"> </w:t>
      </w:r>
      <w:proofErr w:type="spellStart"/>
      <w:r>
        <w:rPr>
          <w:lang w:val="en"/>
        </w:rPr>
        <w:t>Miettinen</w:t>
      </w:r>
      <w:proofErr w:type="spellEnd"/>
      <w:r>
        <w:rPr>
          <w:lang w:val="en"/>
        </w:rPr>
        <w:t xml:space="preserve">, Mari-Ann </w:t>
      </w:r>
      <w:proofErr w:type="spellStart"/>
      <w:r>
        <w:rPr>
          <w:lang w:val="en"/>
        </w:rPr>
        <w:t>Roos</w:t>
      </w:r>
      <w:proofErr w:type="spellEnd"/>
      <w:r>
        <w:rPr>
          <w:lang w:val="en"/>
        </w:rPr>
        <w:t xml:space="preserve">, </w:t>
      </w:r>
      <w:proofErr w:type="spellStart"/>
      <w:r>
        <w:rPr>
          <w:lang w:val="en"/>
        </w:rPr>
        <w:t>Petter</w:t>
      </w:r>
      <w:proofErr w:type="spellEnd"/>
      <w:r>
        <w:rPr>
          <w:lang w:val="en"/>
        </w:rPr>
        <w:t xml:space="preserve"> Asp, </w:t>
      </w:r>
      <w:proofErr w:type="spellStart"/>
      <w:r>
        <w:rPr>
          <w:lang w:val="en"/>
        </w:rPr>
        <w:t>Jannemieke</w:t>
      </w:r>
      <w:proofErr w:type="spellEnd"/>
      <w:r>
        <w:rPr>
          <w:lang w:val="en"/>
        </w:rPr>
        <w:t xml:space="preserve"> </w:t>
      </w:r>
      <w:proofErr w:type="spellStart"/>
      <w:r>
        <w:rPr>
          <w:lang w:val="en"/>
        </w:rPr>
        <w:t>Ouwerkerk</w:t>
      </w:r>
      <w:proofErr w:type="spellEnd"/>
      <w:r>
        <w:rPr>
          <w:lang w:val="en"/>
        </w:rPr>
        <w:t xml:space="preserve">, Giorgio Monti, Stephen Coutts and </w:t>
      </w:r>
      <w:proofErr w:type="spellStart"/>
      <w:r>
        <w:rPr>
          <w:lang w:val="en"/>
        </w:rPr>
        <w:t>Valsamis</w:t>
      </w:r>
      <w:proofErr w:type="spellEnd"/>
      <w:r>
        <w:rPr>
          <w:lang w:val="en"/>
        </w:rPr>
        <w:t xml:space="preserve"> </w:t>
      </w:r>
      <w:proofErr w:type="spellStart"/>
      <w:r>
        <w:rPr>
          <w:lang w:val="en"/>
        </w:rPr>
        <w:t>Mitsilegas</w:t>
      </w:r>
      <w:proofErr w:type="spellEnd"/>
      <w:r>
        <w:rPr>
          <w:lang w:val="en"/>
        </w:rPr>
        <w:t xml:space="preserve">. </w:t>
      </w:r>
      <w:proofErr w:type="spellStart"/>
      <w:r>
        <w:rPr>
          <w:lang w:val="en"/>
        </w:rPr>
        <w:t>Panos</w:t>
      </w:r>
      <w:proofErr w:type="spellEnd"/>
      <w:r>
        <w:rPr>
          <w:lang w:val="en"/>
        </w:rPr>
        <w:t xml:space="preserve"> </w:t>
      </w:r>
      <w:proofErr w:type="spellStart"/>
      <w:r>
        <w:rPr>
          <w:lang w:val="en"/>
        </w:rPr>
        <w:t>Koutrakos</w:t>
      </w:r>
      <w:proofErr w:type="spellEnd"/>
      <w:r>
        <w:rPr>
          <w:lang w:val="en"/>
        </w:rPr>
        <w:t xml:space="preserve"> and the anonymous reviewer of </w:t>
      </w:r>
      <w:r w:rsidRPr="008D2FFB">
        <w:rPr>
          <w:i/>
          <w:lang w:val="en"/>
        </w:rPr>
        <w:t>E</w:t>
      </w:r>
      <w:r w:rsidR="00951BAE">
        <w:rPr>
          <w:i/>
          <w:lang w:val="en"/>
        </w:rPr>
        <w:t>.L.</w:t>
      </w:r>
      <w:r w:rsidRPr="008D2FFB">
        <w:rPr>
          <w:i/>
          <w:lang w:val="en"/>
        </w:rPr>
        <w:t xml:space="preserve"> Rev</w:t>
      </w:r>
      <w:r w:rsidR="00951BAE">
        <w:rPr>
          <w:i/>
          <w:lang w:val="en"/>
        </w:rPr>
        <w:t>.</w:t>
      </w:r>
      <w:r>
        <w:rPr>
          <w:lang w:val="en"/>
        </w:rPr>
        <w:t xml:space="preserve"> deserve a special acknowledgment, as their comments and proposals really helped in improving the final form of the article.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bon RomanOsF">
    <w:altName w:val="Cambria"/>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DejaVu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arnock Pro">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1972D" w14:textId="77777777" w:rsidR="00E3618F" w:rsidRDefault="00E3618F" w:rsidP="0003320D">
      <w:pPr>
        <w:spacing w:after="0" w:line="240" w:lineRule="auto"/>
      </w:pPr>
      <w:r>
        <w:separator/>
      </w:r>
    </w:p>
  </w:footnote>
  <w:footnote w:type="continuationSeparator" w:id="0">
    <w:p w14:paraId="23F563A6" w14:textId="77777777" w:rsidR="00E3618F" w:rsidRDefault="00E3618F" w:rsidP="0003320D">
      <w:pPr>
        <w:spacing w:after="0" w:line="240" w:lineRule="auto"/>
      </w:pPr>
      <w:r>
        <w:continuationSeparator/>
      </w:r>
    </w:p>
  </w:footnote>
  <w:footnote w:id="1">
    <w:p w14:paraId="543644F7" w14:textId="1E68DB23" w:rsidR="000272D5" w:rsidRPr="001623E9" w:rsidRDefault="000272D5" w:rsidP="005F44F9">
      <w:pPr>
        <w:pStyle w:val="Fotnotstext"/>
        <w:spacing w:before="0"/>
        <w:rPr>
          <w:rFonts w:eastAsia="Calibri"/>
        </w:rPr>
      </w:pPr>
      <w:r w:rsidRPr="001623E9">
        <w:rPr>
          <w:rStyle w:val="Fotnotsreferens"/>
        </w:rPr>
        <w:footnoteRef/>
      </w:r>
      <w:r w:rsidRPr="001623E9">
        <w:t xml:space="preserve"> See for a sample of important contributions: </w:t>
      </w:r>
      <w:r w:rsidRPr="001623E9">
        <w:rPr>
          <w:color w:val="000000"/>
        </w:rPr>
        <w:t>R. Barents, ’The Internal Market Unlimited: Some Observations on the Legal Basis of Community Legislation’ (1993) 30 C.M.L. Rev</w:t>
      </w:r>
      <w:r w:rsidR="004E6C2B" w:rsidRPr="001623E9">
        <w:rPr>
          <w:color w:val="000000"/>
        </w:rPr>
        <w:t>.</w:t>
      </w:r>
      <w:r w:rsidRPr="001623E9">
        <w:rPr>
          <w:color w:val="000000"/>
        </w:rPr>
        <w:t xml:space="preserve"> 85;</w:t>
      </w:r>
      <w:r w:rsidRPr="001623E9">
        <w:rPr>
          <w:rFonts w:eastAsia="Calibri"/>
          <w:lang w:eastAsia="ar-SA"/>
        </w:rPr>
        <w:t xml:space="preserve"> K. </w:t>
      </w:r>
      <w:r w:rsidRPr="001623E9">
        <w:rPr>
          <w:color w:val="000000"/>
        </w:rPr>
        <w:t xml:space="preserve">Bradley, ‘Powers and Procedures in the EU Constitution: Legal Bases and the Court’ in P. Craig and G. De </w:t>
      </w:r>
      <w:proofErr w:type="spellStart"/>
      <w:r w:rsidRPr="001623E9">
        <w:rPr>
          <w:color w:val="000000"/>
        </w:rPr>
        <w:t>Búrca</w:t>
      </w:r>
      <w:proofErr w:type="spellEnd"/>
      <w:r w:rsidRPr="001623E9">
        <w:rPr>
          <w:color w:val="000000"/>
        </w:rPr>
        <w:t xml:space="preserve">, </w:t>
      </w:r>
      <w:r w:rsidRPr="001623E9">
        <w:rPr>
          <w:i/>
          <w:color w:val="000000"/>
        </w:rPr>
        <w:t>Evolution of EU Law</w:t>
      </w:r>
      <w:r w:rsidRPr="001623E9">
        <w:rPr>
          <w:color w:val="000000"/>
        </w:rPr>
        <w:t xml:space="preserve"> (Oxford: Oxford University Press, 2011); H. </w:t>
      </w:r>
      <w:r w:rsidRPr="001623E9">
        <w:rPr>
          <w:rFonts w:eastAsia="Calibri"/>
        </w:rPr>
        <w:t xml:space="preserve">Cullen and A. Charlesworth, ‘Diplomacy by Other Means: The Use of Legal Basis Litigation as a Political Strategy by the European Parliament and Member States’ (1999) 36 </w:t>
      </w:r>
      <w:r w:rsidRPr="001623E9">
        <w:rPr>
          <w:color w:val="000000"/>
        </w:rPr>
        <w:t>C.M.L. Rev</w:t>
      </w:r>
      <w:r w:rsidR="004E6C2B" w:rsidRPr="001623E9">
        <w:rPr>
          <w:color w:val="000000"/>
        </w:rPr>
        <w:t>.</w:t>
      </w:r>
      <w:r w:rsidRPr="001623E9">
        <w:rPr>
          <w:color w:val="000000"/>
        </w:rPr>
        <w:t xml:space="preserve"> </w:t>
      </w:r>
      <w:r w:rsidRPr="001623E9">
        <w:rPr>
          <w:rFonts w:eastAsia="Calibri"/>
        </w:rPr>
        <w:t xml:space="preserve">1243; M. </w:t>
      </w:r>
      <w:proofErr w:type="spellStart"/>
      <w:r w:rsidRPr="001623E9">
        <w:rPr>
          <w:rFonts w:eastAsia="Calibri"/>
        </w:rPr>
        <w:t>Klamert</w:t>
      </w:r>
      <w:proofErr w:type="spellEnd"/>
      <w:r w:rsidRPr="001623E9">
        <w:rPr>
          <w:rFonts w:eastAsia="Calibri"/>
        </w:rPr>
        <w:t>, ‘Conflicts of Legal Basis: No Legality and No Basis but a Bright Future under the Lisbon Treaty?’ (2010) E.L. Rev</w:t>
      </w:r>
      <w:r w:rsidR="004E6C2B" w:rsidRPr="001623E9">
        <w:rPr>
          <w:rFonts w:eastAsia="Calibri"/>
        </w:rPr>
        <w:t>.</w:t>
      </w:r>
      <w:r w:rsidRPr="001623E9">
        <w:rPr>
          <w:rFonts w:eastAsia="Calibri"/>
        </w:rPr>
        <w:t xml:space="preserve"> 497.</w:t>
      </w:r>
    </w:p>
  </w:footnote>
  <w:footnote w:id="2">
    <w:p w14:paraId="6DE14804" w14:textId="330F5340" w:rsidR="000272D5" w:rsidRPr="001623E9" w:rsidRDefault="000272D5" w:rsidP="005F44F9">
      <w:pPr>
        <w:pStyle w:val="Fotnotstext"/>
        <w:spacing w:before="0"/>
      </w:pPr>
      <w:r w:rsidRPr="001623E9">
        <w:rPr>
          <w:rStyle w:val="Fotnotsreferens"/>
          <w:rFonts w:eastAsiaTheme="majorEastAsia"/>
        </w:rPr>
        <w:footnoteRef/>
      </w:r>
      <w:r w:rsidRPr="001623E9">
        <w:t xml:space="preserve"> See arts 3-6 of the TFEU. The TFEU more particularly distinguishes distinct types of EU competences: exclusive competences, shared competences, coordinating competences and complementary competences, see art. 2(1)-2(3) and 2(5) TFEU.  </w:t>
      </w:r>
    </w:p>
  </w:footnote>
  <w:footnote w:id="3">
    <w:p w14:paraId="2B7432B1" w14:textId="5839AF9F" w:rsidR="000272D5" w:rsidRPr="001623E9" w:rsidRDefault="000272D5" w:rsidP="005F44F9">
      <w:pPr>
        <w:pStyle w:val="Fotnotstext"/>
        <w:spacing w:before="0"/>
      </w:pPr>
      <w:r w:rsidRPr="001623E9">
        <w:rPr>
          <w:rStyle w:val="Fotnotsreferens"/>
        </w:rPr>
        <w:footnoteRef/>
      </w:r>
      <w:r w:rsidRPr="001623E9">
        <w:t xml:space="preserve"> See European Council, ‘</w:t>
      </w:r>
      <w:proofErr w:type="spellStart"/>
      <w:r w:rsidRPr="001623E9">
        <w:t>Laeken</w:t>
      </w:r>
      <w:proofErr w:type="spellEnd"/>
      <w:r w:rsidRPr="001623E9">
        <w:t xml:space="preserve"> Declaration on the future of the European Union’, 14–15 December 2001, 21-22; European Convention, CONV 47/02, ‘</w:t>
      </w:r>
      <w:r w:rsidRPr="001623E9">
        <w:rPr>
          <w:bCs/>
        </w:rPr>
        <w:t>Delimitation of competence between the European Union and the</w:t>
      </w:r>
      <w:r w:rsidRPr="001623E9">
        <w:rPr>
          <w:b/>
          <w:bCs/>
        </w:rPr>
        <w:t xml:space="preserve"> </w:t>
      </w:r>
      <w:r w:rsidRPr="001623E9">
        <w:rPr>
          <w:bCs/>
        </w:rPr>
        <w:t>Member States – Existing system, problems and avenues to be explored’, Brussels,</w:t>
      </w:r>
      <w:r w:rsidRPr="001623E9">
        <w:rPr>
          <w:b/>
          <w:bCs/>
        </w:rPr>
        <w:t xml:space="preserve"> </w:t>
      </w:r>
      <w:r w:rsidRPr="001623E9">
        <w:t>15 May 2002, 3-5, 16.</w:t>
      </w:r>
    </w:p>
  </w:footnote>
  <w:footnote w:id="4">
    <w:p w14:paraId="017E2A07" w14:textId="0DF5E8DA" w:rsidR="000272D5" w:rsidRPr="001623E9" w:rsidRDefault="000272D5" w:rsidP="005F44F9">
      <w:pPr>
        <w:pStyle w:val="Fotnotstext"/>
        <w:spacing w:before="0"/>
      </w:pPr>
      <w:r w:rsidRPr="001623E9">
        <w:rPr>
          <w:rStyle w:val="Fotnotsreferens"/>
        </w:rPr>
        <w:footnoteRef/>
      </w:r>
      <w:r w:rsidRPr="001623E9">
        <w:t xml:space="preserve"> See E. </w:t>
      </w:r>
      <w:proofErr w:type="spellStart"/>
      <w:r w:rsidRPr="001623E9">
        <w:t>Herlin-Karnell</w:t>
      </w:r>
      <w:proofErr w:type="spellEnd"/>
      <w:r w:rsidRPr="001623E9">
        <w:t xml:space="preserve">, </w:t>
      </w:r>
      <w:r w:rsidRPr="001623E9">
        <w:rPr>
          <w:i/>
        </w:rPr>
        <w:t>The Constitutional Dimension of EU Criminal Law</w:t>
      </w:r>
      <w:r w:rsidRPr="001623E9">
        <w:t xml:space="preserve"> (Oxford: Hart Publishing, 2012).</w:t>
      </w:r>
    </w:p>
  </w:footnote>
  <w:footnote w:id="5">
    <w:p w14:paraId="601EFECC" w14:textId="0651E25D" w:rsidR="000272D5" w:rsidRPr="001623E9" w:rsidRDefault="000272D5" w:rsidP="005F44F9">
      <w:pPr>
        <w:pStyle w:val="Fotnotstext"/>
        <w:spacing w:before="0"/>
        <w:rPr>
          <w:i/>
        </w:rPr>
      </w:pPr>
      <w:r w:rsidRPr="001623E9">
        <w:rPr>
          <w:rStyle w:val="Fotnotsreferens"/>
        </w:rPr>
        <w:footnoteRef/>
      </w:r>
      <w:r w:rsidRPr="001623E9">
        <w:t xml:space="preserve"> See furthermore below </w:t>
      </w:r>
      <w:r w:rsidR="004E6C2B" w:rsidRPr="001623E9">
        <w:t>subs. ‘</w:t>
      </w:r>
      <w:r w:rsidR="004E6C2B" w:rsidRPr="001623E9">
        <w:rPr>
          <w:i/>
        </w:rPr>
        <w:t xml:space="preserve">The Fight Against Fraud- art. 83(2) TFEU vs art. 325 TFEU’ </w:t>
      </w:r>
      <w:r w:rsidRPr="001623E9">
        <w:t>for a comprehensive analysis of this conflict.</w:t>
      </w:r>
    </w:p>
  </w:footnote>
  <w:footnote w:id="6">
    <w:p w14:paraId="7AD108B2" w14:textId="13BD222F" w:rsidR="000272D5" w:rsidRPr="001623E9" w:rsidRDefault="000272D5" w:rsidP="005F44F9">
      <w:pPr>
        <w:pStyle w:val="Fotnotstext"/>
        <w:spacing w:before="0"/>
      </w:pPr>
      <w:r w:rsidRPr="001623E9">
        <w:rPr>
          <w:rStyle w:val="Fotnotsreferens"/>
        </w:rPr>
        <w:footnoteRef/>
      </w:r>
      <w:r w:rsidRPr="001623E9">
        <w:t xml:space="preserve"> See for recent and intriguing contributions: J. </w:t>
      </w:r>
      <w:proofErr w:type="spellStart"/>
      <w:r w:rsidRPr="001623E9">
        <w:t>Ouwerkerk</w:t>
      </w:r>
      <w:proofErr w:type="spellEnd"/>
      <w:r w:rsidRPr="001623E9">
        <w:t xml:space="preserve">, ‘Criminalisation Powers of the European Union and the Risks of Cherry-Picking Between Various Legal Bases: The Case for a Single Legal Framework for EU-Level Criminalisation’ (2017) 23 </w:t>
      </w:r>
      <w:r w:rsidR="00D84FB5" w:rsidRPr="001623E9">
        <w:t>Colum. J. Eur. L. (</w:t>
      </w:r>
      <w:r w:rsidRPr="001623E9">
        <w:t xml:space="preserve">forthcoming); —S. </w:t>
      </w:r>
      <w:proofErr w:type="spellStart"/>
      <w:r w:rsidRPr="001623E9">
        <w:t>Miettinen</w:t>
      </w:r>
      <w:proofErr w:type="spellEnd"/>
      <w:r w:rsidRPr="001623E9">
        <w:t xml:space="preserve">, </w:t>
      </w:r>
      <w:r w:rsidRPr="001623E9">
        <w:rPr>
          <w:i/>
        </w:rPr>
        <w:t>The Political Constitution of EU Criminal Law – Choices of Legal Basis and their Consequences in the New Constitutional Framework</w:t>
      </w:r>
      <w:r w:rsidRPr="001623E9">
        <w:t xml:space="preserve"> (Oxford: Hart Publishing, 2017, forthcoming).</w:t>
      </w:r>
    </w:p>
  </w:footnote>
  <w:footnote w:id="7">
    <w:p w14:paraId="2021B10D" w14:textId="77777777" w:rsidR="000272D5" w:rsidRPr="001623E9" w:rsidRDefault="000272D5" w:rsidP="005F44F9">
      <w:pPr>
        <w:pStyle w:val="Fotnotstext"/>
        <w:spacing w:before="0"/>
        <w:rPr>
          <w:bCs/>
        </w:rPr>
      </w:pPr>
      <w:r w:rsidRPr="001623E9">
        <w:rPr>
          <w:rStyle w:val="Fotnotsreferens"/>
        </w:rPr>
        <w:footnoteRef/>
      </w:r>
      <w:r w:rsidRPr="001623E9">
        <w:t xml:space="preserve"> See CONV 426/02,</w:t>
      </w:r>
      <w:r w:rsidRPr="001623E9">
        <w:rPr>
          <w:bCs/>
        </w:rPr>
        <w:t xml:space="preserve"> ‘Final report of Working Group X "Freedom, Security and Justice" ‘,</w:t>
      </w:r>
      <w:r w:rsidRPr="001623E9">
        <w:t xml:space="preserve"> </w:t>
      </w:r>
      <w:r w:rsidRPr="001623E9">
        <w:rPr>
          <w:bCs/>
        </w:rPr>
        <w:t>Brussels, 2 December 2002, 9-11.</w:t>
      </w:r>
    </w:p>
  </w:footnote>
  <w:footnote w:id="8">
    <w:p w14:paraId="479215F7" w14:textId="57002383" w:rsidR="000272D5" w:rsidRPr="001623E9" w:rsidRDefault="000272D5" w:rsidP="005F44F9">
      <w:pPr>
        <w:pStyle w:val="Fotnotstext"/>
        <w:spacing w:before="0"/>
      </w:pPr>
      <w:r w:rsidRPr="001623E9">
        <w:rPr>
          <w:rStyle w:val="Fotnotsreferens"/>
        </w:rPr>
        <w:footnoteRef/>
      </w:r>
      <w:r w:rsidRPr="001623E9">
        <w:t xml:space="preserve"> See P. Asp, </w:t>
      </w:r>
      <w:r w:rsidRPr="001623E9">
        <w:rPr>
          <w:i/>
          <w:iCs/>
        </w:rPr>
        <w:t xml:space="preserve">The Substantive Criminal Law Competence of the EU—Towards an Area of Freedom, Security &amp; Justice—Part 1 </w:t>
      </w:r>
      <w:r w:rsidRPr="001623E9">
        <w:t>(Stockholm: Jure, 2013);</w:t>
      </w:r>
      <w:r w:rsidRPr="001623E9">
        <w:rPr>
          <w:rFonts w:eastAsia="Calibri"/>
        </w:rPr>
        <w:t xml:space="preserve"> S. Peers </w:t>
      </w:r>
      <w:r w:rsidRPr="001623E9">
        <w:t xml:space="preserve">‘EU Criminal Law and the Treaty of Lisbon’ (2008) 33 </w:t>
      </w:r>
      <w:r w:rsidRPr="001623E9">
        <w:rPr>
          <w:rFonts w:eastAsia="Calibri"/>
        </w:rPr>
        <w:t>E.L. Rev</w:t>
      </w:r>
      <w:r w:rsidR="004E6C2B" w:rsidRPr="001623E9">
        <w:rPr>
          <w:rFonts w:eastAsia="Calibri"/>
        </w:rPr>
        <w:t>.</w:t>
      </w:r>
      <w:r w:rsidRPr="001623E9">
        <w:rPr>
          <w:rFonts w:eastAsia="Calibri"/>
        </w:rPr>
        <w:t xml:space="preserve"> </w:t>
      </w:r>
      <w:r w:rsidRPr="001623E9">
        <w:rPr>
          <w:i/>
        </w:rPr>
        <w:t>507</w:t>
      </w:r>
      <w:r w:rsidRPr="001623E9">
        <w:t>.</w:t>
      </w:r>
    </w:p>
  </w:footnote>
  <w:footnote w:id="9">
    <w:p w14:paraId="7B2BD7C4" w14:textId="0AF652F0"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w:t>
      </w:r>
      <w:r w:rsidRPr="001623E9">
        <w:rPr>
          <w:iCs/>
        </w:rPr>
        <w:t>(</w:t>
      </w:r>
      <w:r w:rsidRPr="001623E9">
        <w:rPr>
          <w:i/>
          <w:iCs/>
        </w:rPr>
        <w:t>environmental sanctions</w:t>
      </w:r>
      <w:r w:rsidRPr="001623E9">
        <w:t xml:space="preserve">) (C-176/03) EU:C: 2005:542; </w:t>
      </w:r>
      <w:r w:rsidRPr="001623E9">
        <w:rPr>
          <w:i/>
        </w:rPr>
        <w:t>Commission v Council</w:t>
      </w:r>
      <w:r w:rsidRPr="001623E9">
        <w:t xml:space="preserve"> (</w:t>
      </w:r>
      <w:r w:rsidRPr="001623E9">
        <w:rPr>
          <w:i/>
          <w:iCs/>
        </w:rPr>
        <w:t>ship-source pollution)</w:t>
      </w:r>
      <w:r w:rsidRPr="001623E9">
        <w:t xml:space="preserve"> (C-440/05) </w:t>
      </w:r>
      <w:r w:rsidRPr="001623E9">
        <w:rPr>
          <w:rStyle w:val="outputecliaff"/>
        </w:rPr>
        <w:t>EU:C: 2007:625</w:t>
      </w:r>
      <w:r w:rsidRPr="001623E9">
        <w:t>.</w:t>
      </w:r>
    </w:p>
  </w:footnote>
  <w:footnote w:id="10">
    <w:p w14:paraId="4A618131" w14:textId="0F243FF9" w:rsidR="000272D5" w:rsidRPr="001623E9" w:rsidRDefault="000272D5" w:rsidP="005F44F9">
      <w:pPr>
        <w:pStyle w:val="Fotnotstext"/>
        <w:spacing w:before="0"/>
      </w:pPr>
      <w:r w:rsidRPr="001623E9">
        <w:rPr>
          <w:rStyle w:val="Fotnotsreferens"/>
        </w:rPr>
        <w:footnoteRef/>
      </w:r>
      <w:r w:rsidRPr="001623E9">
        <w:t xml:space="preserve"> See </w:t>
      </w:r>
      <w:r w:rsidRPr="001623E9">
        <w:rPr>
          <w:rFonts w:eastAsia="Calibri"/>
        </w:rPr>
        <w:t xml:space="preserve">E. </w:t>
      </w:r>
      <w:proofErr w:type="spellStart"/>
      <w:r w:rsidRPr="001623E9">
        <w:rPr>
          <w:rFonts w:eastAsia="Calibri"/>
        </w:rPr>
        <w:t>Herlin-Karnell</w:t>
      </w:r>
      <w:proofErr w:type="spellEnd"/>
      <w:r w:rsidRPr="001623E9">
        <w:rPr>
          <w:rFonts w:eastAsia="Calibri"/>
        </w:rPr>
        <w:t xml:space="preserve">, ‘EU Competence in Criminal Law after Lisbon’, in A. Biondi, P. </w:t>
      </w:r>
      <w:proofErr w:type="spellStart"/>
      <w:r w:rsidRPr="001623E9">
        <w:rPr>
          <w:rFonts w:eastAsia="Calibri"/>
        </w:rPr>
        <w:t>Eeckhout</w:t>
      </w:r>
      <w:proofErr w:type="spellEnd"/>
      <w:r w:rsidRPr="001623E9">
        <w:rPr>
          <w:rFonts w:eastAsia="Calibri"/>
        </w:rPr>
        <w:t xml:space="preserve"> and S. Ripley (eds</w:t>
      </w:r>
      <w:r w:rsidR="00B403EB" w:rsidRPr="001623E9">
        <w:rPr>
          <w:rFonts w:eastAsia="Calibri"/>
        </w:rPr>
        <w:t>.</w:t>
      </w:r>
      <w:r w:rsidRPr="001623E9">
        <w:rPr>
          <w:rFonts w:eastAsia="Calibri"/>
        </w:rPr>
        <w:t xml:space="preserve">), </w:t>
      </w:r>
      <w:r w:rsidRPr="001623E9">
        <w:rPr>
          <w:rFonts w:eastAsia="Calibri"/>
          <w:i/>
        </w:rPr>
        <w:t>EU Law After Lisbon</w:t>
      </w:r>
      <w:r w:rsidRPr="001623E9">
        <w:rPr>
          <w:rFonts w:eastAsia="Calibri"/>
        </w:rPr>
        <w:t xml:space="preserve"> (Oxford, Oxford University Press, 2012</w:t>
      </w:r>
      <w:r w:rsidRPr="001623E9">
        <w:t xml:space="preserve">) 334, 340–344; S. </w:t>
      </w:r>
      <w:proofErr w:type="spellStart"/>
      <w:r w:rsidRPr="001623E9">
        <w:t>Miettinen</w:t>
      </w:r>
      <w:proofErr w:type="spellEnd"/>
      <w:r w:rsidRPr="001623E9">
        <w:t xml:space="preserve">, ‘Implied Ancillary Criminal Law Competence After Lisbon’ (2013) 2 </w:t>
      </w:r>
      <w:r w:rsidRPr="001623E9">
        <w:rPr>
          <w:i/>
        </w:rPr>
        <w:t>European Criminal Law Review</w:t>
      </w:r>
      <w:r w:rsidRPr="001623E9">
        <w:t xml:space="preserve"> 194.</w:t>
      </w:r>
    </w:p>
  </w:footnote>
  <w:footnote w:id="11">
    <w:p w14:paraId="19A61430" w14:textId="77777777" w:rsidR="000272D5" w:rsidRPr="001623E9" w:rsidRDefault="000272D5" w:rsidP="005F44F9">
      <w:pPr>
        <w:pStyle w:val="Fotnotstext"/>
        <w:spacing w:before="0"/>
      </w:pPr>
      <w:r w:rsidRPr="001623E9">
        <w:rPr>
          <w:rStyle w:val="Fotnotsreferens"/>
        </w:rPr>
        <w:footnoteRef/>
      </w:r>
      <w:r w:rsidRPr="001623E9">
        <w:t xml:space="preserve"> Directive 2008/99/EC of the European Parliament and of the Council of 19 November 2008 on the protection of the environment through criminal law [2008] OJ L 328/28.</w:t>
      </w:r>
    </w:p>
  </w:footnote>
  <w:footnote w:id="12">
    <w:p w14:paraId="136131AF" w14:textId="77777777" w:rsidR="000272D5" w:rsidRPr="001623E9" w:rsidRDefault="000272D5" w:rsidP="005F44F9">
      <w:pPr>
        <w:pStyle w:val="Fotnotstext"/>
        <w:spacing w:before="0"/>
      </w:pPr>
      <w:r w:rsidRPr="001623E9">
        <w:rPr>
          <w:rStyle w:val="Fotnotsreferens"/>
        </w:rPr>
        <w:footnoteRef/>
      </w:r>
      <w:r w:rsidRPr="001623E9">
        <w:t xml:space="preserve"> Commission, Proposal for a Directive of the European Parliament and of the Council on the fight against fraud to the Union’s financial interests by means of criminal law’, COM (2012) 363 final.</w:t>
      </w:r>
    </w:p>
  </w:footnote>
  <w:footnote w:id="13">
    <w:p w14:paraId="12BBBB8D" w14:textId="5B1801F8" w:rsidR="000272D5" w:rsidRPr="001623E9" w:rsidRDefault="000272D5" w:rsidP="005F44F9">
      <w:pPr>
        <w:pStyle w:val="Fotnotstext"/>
        <w:spacing w:before="0"/>
      </w:pPr>
      <w:r w:rsidRPr="001623E9">
        <w:rPr>
          <w:rStyle w:val="Fotnotsreferens"/>
        </w:rPr>
        <w:footnoteRef/>
      </w:r>
      <w:r w:rsidRPr="001623E9">
        <w:t xml:space="preserve"> See Commission, ‘Communication from the Commission to the European Parliament and the Council on the implications of the Court’s judgement of 13 September 2005’ (Case C-176/03 </w:t>
      </w:r>
      <w:r w:rsidRPr="001623E9">
        <w:rPr>
          <w:i/>
        </w:rPr>
        <w:t>Commission v Council</w:t>
      </w:r>
      <w:r w:rsidRPr="001623E9">
        <w:t xml:space="preserve">), COM 2005 (583) final, 3, points 6–10; W. P.J. </w:t>
      </w:r>
      <w:proofErr w:type="spellStart"/>
      <w:r w:rsidRPr="001623E9">
        <w:t>Wils</w:t>
      </w:r>
      <w:proofErr w:type="spellEnd"/>
      <w:r w:rsidRPr="001623E9">
        <w:t xml:space="preserve">, ‘Is Criminalization of EU Competition Law the Answer?’ (2005) 28 </w:t>
      </w:r>
      <w:r w:rsidRPr="001623E9">
        <w:rPr>
          <w:i/>
        </w:rPr>
        <w:t>World Competition</w:t>
      </w:r>
      <w:r w:rsidRPr="001623E9">
        <w:t xml:space="preserve"> 117, 157.</w:t>
      </w:r>
    </w:p>
  </w:footnote>
  <w:footnote w:id="14">
    <w:p w14:paraId="1F769AD7" w14:textId="37E1F59B" w:rsidR="000272D5" w:rsidRPr="001623E9" w:rsidRDefault="000272D5" w:rsidP="005F44F9">
      <w:pPr>
        <w:pStyle w:val="Fotnotstext"/>
        <w:spacing w:before="0"/>
      </w:pPr>
      <w:r w:rsidRPr="001623E9">
        <w:rPr>
          <w:rStyle w:val="Fotnotsreferens"/>
        </w:rPr>
        <w:footnoteRef/>
      </w:r>
      <w:r w:rsidRPr="001623E9">
        <w:t xml:space="preserve"> See for a small sample of literature in the US on ’federalism’ and criminal law: R. </w:t>
      </w:r>
      <w:proofErr w:type="spellStart"/>
      <w:r w:rsidRPr="001623E9">
        <w:t>Barkow</w:t>
      </w:r>
      <w:proofErr w:type="spellEnd"/>
      <w:r w:rsidRPr="001623E9">
        <w:t>, ‘</w:t>
      </w:r>
      <w:r w:rsidRPr="001623E9">
        <w:rPr>
          <w:iCs/>
        </w:rPr>
        <w:t>Federalism and Criminal Law: What the Feds Can Learn from the States’</w:t>
      </w:r>
      <w:r w:rsidRPr="001623E9">
        <w:t>, 109 (2011) Mich</w:t>
      </w:r>
      <w:r w:rsidR="004E6C2B" w:rsidRPr="001623E9">
        <w:t>.</w:t>
      </w:r>
      <w:r w:rsidRPr="001623E9">
        <w:t xml:space="preserve"> </w:t>
      </w:r>
      <w:r w:rsidR="004E6C2B" w:rsidRPr="001623E9">
        <w:t>L.</w:t>
      </w:r>
      <w:r w:rsidRPr="001623E9">
        <w:t xml:space="preserve"> Rev</w:t>
      </w:r>
      <w:r w:rsidR="004E6C2B" w:rsidRPr="001623E9">
        <w:t>.</w:t>
      </w:r>
      <w:r w:rsidRPr="001623E9">
        <w:t xml:space="preserve"> 519; S. S. Beale, ‘Too Many and Yet Too Few: New Principles to Define the Proper Limits for Federal Criminal Jurisdiction’, 46 (1995) Hastings L</w:t>
      </w:r>
      <w:r w:rsidR="004E6C2B" w:rsidRPr="001623E9">
        <w:t>.</w:t>
      </w:r>
      <w:r w:rsidRPr="001623E9">
        <w:t xml:space="preserve"> J</w:t>
      </w:r>
      <w:r w:rsidR="004E6C2B" w:rsidRPr="001623E9">
        <w:t>.</w:t>
      </w:r>
      <w:r w:rsidRPr="001623E9">
        <w:t xml:space="preserve"> 979 ; T. Stacy and K. Dayton, ‘The </w:t>
      </w:r>
      <w:proofErr w:type="spellStart"/>
      <w:r w:rsidRPr="001623E9">
        <w:t>Underfederalization</w:t>
      </w:r>
      <w:proofErr w:type="spellEnd"/>
      <w:r w:rsidRPr="001623E9">
        <w:t xml:space="preserve"> of Crime’, 6 (1997) </w:t>
      </w:r>
      <w:r w:rsidR="004E6C2B" w:rsidRPr="001623E9">
        <w:t xml:space="preserve">Cornell J.L. &amp; Pub. </w:t>
      </w:r>
      <w:proofErr w:type="spellStart"/>
      <w:r w:rsidR="004E6C2B" w:rsidRPr="001623E9">
        <w:t>Pol'y</w:t>
      </w:r>
      <w:proofErr w:type="spellEnd"/>
      <w:r w:rsidR="004E6C2B" w:rsidRPr="001623E9">
        <w:t xml:space="preserve"> </w:t>
      </w:r>
      <w:r w:rsidRPr="001623E9">
        <w:t xml:space="preserve">247; B. L. Bigelow, ‘The Commerce Clause and Criminal Law’, 41 (2000) </w:t>
      </w:r>
      <w:r w:rsidR="004E6C2B" w:rsidRPr="001623E9">
        <w:t xml:space="preserve">B.C. L. Rev. </w:t>
      </w:r>
      <w:r w:rsidRPr="001623E9">
        <w:t>913.</w:t>
      </w:r>
    </w:p>
  </w:footnote>
  <w:footnote w:id="15">
    <w:p w14:paraId="4716D3CF" w14:textId="21DFDCB1" w:rsidR="000272D5" w:rsidRPr="001623E9" w:rsidRDefault="000272D5" w:rsidP="005F44F9">
      <w:pPr>
        <w:autoSpaceDE w:val="0"/>
        <w:autoSpaceDN w:val="0"/>
        <w:adjustRightInd w:val="0"/>
        <w:spacing w:before="0" w:after="0" w:line="240" w:lineRule="auto"/>
        <w:rPr>
          <w:sz w:val="20"/>
          <w:szCs w:val="20"/>
        </w:rPr>
      </w:pPr>
      <w:r w:rsidRPr="001623E9">
        <w:rPr>
          <w:rStyle w:val="Fotnotsreferens"/>
          <w:sz w:val="20"/>
          <w:szCs w:val="20"/>
        </w:rPr>
        <w:footnoteRef/>
      </w:r>
      <w:r w:rsidRPr="001623E9">
        <w:rPr>
          <w:sz w:val="20"/>
          <w:szCs w:val="20"/>
        </w:rPr>
        <w:t xml:space="preserve"> See </w:t>
      </w:r>
      <w:r w:rsidRPr="001623E9">
        <w:rPr>
          <w:i/>
          <w:iCs/>
          <w:sz w:val="20"/>
          <w:szCs w:val="20"/>
        </w:rPr>
        <w:t>Commission v Council</w:t>
      </w:r>
      <w:r w:rsidRPr="001623E9">
        <w:rPr>
          <w:sz w:val="20"/>
          <w:szCs w:val="20"/>
        </w:rPr>
        <w:t xml:space="preserve"> (C-370/07) EU:C: 2009:590</w:t>
      </w:r>
      <w:r w:rsidRPr="001623E9">
        <w:rPr>
          <w:i/>
          <w:iCs/>
          <w:sz w:val="20"/>
          <w:szCs w:val="20"/>
        </w:rPr>
        <w:t>,</w:t>
      </w:r>
      <w:r w:rsidRPr="001623E9">
        <w:rPr>
          <w:iCs/>
          <w:sz w:val="20"/>
          <w:szCs w:val="20"/>
        </w:rPr>
        <w:t xml:space="preserve"> at</w:t>
      </w:r>
      <w:r w:rsidRPr="001623E9">
        <w:rPr>
          <w:sz w:val="20"/>
          <w:szCs w:val="20"/>
        </w:rPr>
        <w:t xml:space="preserve"> [46–49]; </w:t>
      </w:r>
      <w:r w:rsidRPr="001623E9">
        <w:rPr>
          <w:i/>
          <w:sz w:val="20"/>
          <w:szCs w:val="20"/>
        </w:rPr>
        <w:t>General Agreement on Trade in Services</w:t>
      </w:r>
      <w:r w:rsidRPr="001623E9">
        <w:rPr>
          <w:sz w:val="20"/>
          <w:szCs w:val="20"/>
        </w:rPr>
        <w:t xml:space="preserve"> (Opinion 1/08) EU:C:2009:739 at [110]; </w:t>
      </w:r>
      <w:r w:rsidRPr="001623E9">
        <w:rPr>
          <w:i/>
          <w:iCs/>
          <w:sz w:val="20"/>
          <w:szCs w:val="20"/>
        </w:rPr>
        <w:t>Parliament</w:t>
      </w:r>
      <w:r w:rsidRPr="001623E9">
        <w:rPr>
          <w:i/>
          <w:sz w:val="20"/>
          <w:szCs w:val="20"/>
        </w:rPr>
        <w:t xml:space="preserve"> v </w:t>
      </w:r>
      <w:r w:rsidRPr="001623E9">
        <w:rPr>
          <w:i/>
          <w:iCs/>
          <w:sz w:val="20"/>
          <w:szCs w:val="20"/>
        </w:rPr>
        <w:t>Commission</w:t>
      </w:r>
      <w:r w:rsidRPr="001623E9">
        <w:rPr>
          <w:sz w:val="20"/>
          <w:szCs w:val="20"/>
        </w:rPr>
        <w:t xml:space="preserve"> (C-403/05) EU:C:2007:624</w:t>
      </w:r>
      <w:r w:rsidRPr="001623E9">
        <w:rPr>
          <w:i/>
          <w:sz w:val="20"/>
          <w:szCs w:val="20"/>
        </w:rPr>
        <w:t xml:space="preserve"> </w:t>
      </w:r>
      <w:r w:rsidRPr="001623E9">
        <w:rPr>
          <w:sz w:val="20"/>
          <w:szCs w:val="20"/>
        </w:rPr>
        <w:t xml:space="preserve">at [49]; </w:t>
      </w:r>
      <w:r w:rsidRPr="001623E9">
        <w:rPr>
          <w:i/>
          <w:sz w:val="20"/>
          <w:szCs w:val="20"/>
        </w:rPr>
        <w:t xml:space="preserve">UK v Council </w:t>
      </w:r>
      <w:r w:rsidRPr="001623E9">
        <w:rPr>
          <w:sz w:val="20"/>
          <w:szCs w:val="20"/>
        </w:rPr>
        <w:t>(68/86)</w:t>
      </w:r>
      <w:r w:rsidRPr="001623E9">
        <w:rPr>
          <w:i/>
          <w:sz w:val="20"/>
          <w:szCs w:val="20"/>
        </w:rPr>
        <w:t xml:space="preserve"> </w:t>
      </w:r>
      <w:r w:rsidRPr="001623E9">
        <w:rPr>
          <w:sz w:val="20"/>
          <w:szCs w:val="20"/>
        </w:rPr>
        <w:t>EU:C:1988:85 at [6].</w:t>
      </w:r>
    </w:p>
  </w:footnote>
  <w:footnote w:id="16">
    <w:p w14:paraId="51C87FE5" w14:textId="25A21B5A" w:rsidR="000272D5" w:rsidRPr="001623E9" w:rsidRDefault="000272D5" w:rsidP="005F44F9">
      <w:pPr>
        <w:pStyle w:val="Fotnotstext"/>
        <w:spacing w:before="0"/>
      </w:pPr>
      <w:r w:rsidRPr="001623E9">
        <w:rPr>
          <w:rStyle w:val="Fotnotsreferens"/>
        </w:rPr>
        <w:footnoteRef/>
      </w:r>
      <w:r w:rsidRPr="001623E9">
        <w:t xml:space="preserve"> See P. Craig, ‘The ECJ and Ultra vires action: a conceptual analysis’ (2011) 48 </w:t>
      </w:r>
      <w:r w:rsidRPr="001623E9">
        <w:rPr>
          <w:color w:val="000000"/>
        </w:rPr>
        <w:t>C.M.L. Rev</w:t>
      </w:r>
      <w:r w:rsidR="004E6C2B" w:rsidRPr="001623E9">
        <w:rPr>
          <w:color w:val="000000"/>
        </w:rPr>
        <w:t>.</w:t>
      </w:r>
      <w:r w:rsidRPr="001623E9">
        <w:rPr>
          <w:color w:val="000000"/>
        </w:rPr>
        <w:t xml:space="preserve"> </w:t>
      </w:r>
      <w:r w:rsidRPr="001623E9">
        <w:t xml:space="preserve">395, 396-397. 410; S. </w:t>
      </w:r>
      <w:proofErr w:type="spellStart"/>
      <w:r w:rsidRPr="001623E9">
        <w:t>Weatherill</w:t>
      </w:r>
      <w:proofErr w:type="spellEnd"/>
      <w:r w:rsidRPr="001623E9">
        <w:t>, ’The limits of legislative harmonisation ten years after Tobacco Advertising: how the Court’s case law has become a “drafting guide’ (2011) 12 G</w:t>
      </w:r>
      <w:r w:rsidR="004E6C2B" w:rsidRPr="001623E9">
        <w:t>.J.L.</w:t>
      </w:r>
      <w:r w:rsidRPr="001623E9">
        <w:t xml:space="preserve"> 827, 851; K. </w:t>
      </w:r>
      <w:proofErr w:type="spellStart"/>
      <w:r w:rsidRPr="001623E9">
        <w:t>Lenaerts</w:t>
      </w:r>
      <w:proofErr w:type="spellEnd"/>
      <w:r w:rsidRPr="001623E9">
        <w:t>, ‘Constitutionalism and the Many Faces of Federalism’, 38 (1990)</w:t>
      </w:r>
      <w:r w:rsidR="004E6C2B" w:rsidRPr="001623E9">
        <w:t xml:space="preserve"> Am. J. Comp. L.</w:t>
      </w:r>
      <w:r w:rsidRPr="001623E9">
        <w:t xml:space="preserve"> 205, 206.</w:t>
      </w:r>
    </w:p>
  </w:footnote>
  <w:footnote w:id="17">
    <w:p w14:paraId="782341B0" w14:textId="10703853" w:rsidR="000272D5" w:rsidRPr="001623E9" w:rsidRDefault="000272D5" w:rsidP="005F44F9">
      <w:pPr>
        <w:pStyle w:val="Fotnotstext"/>
        <w:spacing w:before="0"/>
      </w:pPr>
      <w:r w:rsidRPr="001623E9">
        <w:rPr>
          <w:rStyle w:val="Fotnotsreferens"/>
        </w:rPr>
        <w:footnoteRef/>
      </w:r>
      <w:r w:rsidRPr="001623E9">
        <w:t xml:space="preserve"> See House of Lords’ European Union Committee, </w:t>
      </w:r>
      <w:r w:rsidRPr="001623E9">
        <w:rPr>
          <w:i/>
        </w:rPr>
        <w:t>The Treaty of Lisbon: an impact assessment</w:t>
      </w:r>
      <w:r w:rsidRPr="001623E9">
        <w:t>, 10th Report of Session 2007–08, Volume I: Report, HL Paper 62-I1, London: The Stationery Office Limited, at [6.179–6.189].</w:t>
      </w:r>
    </w:p>
  </w:footnote>
  <w:footnote w:id="18">
    <w:p w14:paraId="7B9BF92A" w14:textId="46E08E3B" w:rsidR="000272D5" w:rsidRPr="001623E9" w:rsidRDefault="000272D5" w:rsidP="005F44F9">
      <w:pPr>
        <w:pStyle w:val="Fotnotstext"/>
        <w:spacing w:before="0"/>
      </w:pPr>
      <w:r w:rsidRPr="001623E9">
        <w:rPr>
          <w:rStyle w:val="Fotnotsreferens"/>
        </w:rPr>
        <w:footnoteRef/>
      </w:r>
      <w:r w:rsidRPr="001623E9">
        <w:t xml:space="preserve"> See S. </w:t>
      </w:r>
      <w:proofErr w:type="spellStart"/>
      <w:r w:rsidRPr="001623E9">
        <w:t>Miettinen</w:t>
      </w:r>
      <w:proofErr w:type="spellEnd"/>
      <w:r w:rsidRPr="001623E9">
        <w:t xml:space="preserve">, ‘Implied Ancillary Criminal Law Competence After Lisbon’ (2013) 2 </w:t>
      </w:r>
      <w:r w:rsidRPr="001623E9">
        <w:rPr>
          <w:i/>
        </w:rPr>
        <w:t>European Criminal Law Review</w:t>
      </w:r>
      <w:r w:rsidRPr="001623E9">
        <w:t xml:space="preserve"> 194, pp. 194–196.</w:t>
      </w:r>
    </w:p>
  </w:footnote>
  <w:footnote w:id="19">
    <w:p w14:paraId="70D3DBFE" w14:textId="305E5B07" w:rsidR="000272D5" w:rsidRPr="001623E9" w:rsidRDefault="000272D5" w:rsidP="005F44F9">
      <w:pPr>
        <w:pStyle w:val="Fotnotstext"/>
        <w:spacing w:before="0"/>
      </w:pPr>
      <w:r w:rsidRPr="001623E9">
        <w:rPr>
          <w:rStyle w:val="Fotnotsreferens"/>
        </w:rPr>
        <w:footnoteRef/>
      </w:r>
      <w:r w:rsidRPr="001623E9">
        <w:t xml:space="preserve"> Directive (EU) 2017/1371 of the European Parliament and of the Council of 5 July 2017 on the fight against fraud to the Union's financial interests by means of criminal law [2017] </w:t>
      </w:r>
      <w:hyperlink r:id="rId1" w:history="1">
        <w:r w:rsidRPr="001623E9">
          <w:t>OJ 2017 L 198/29</w:t>
        </w:r>
      </w:hyperlink>
      <w:r w:rsidRPr="001623E9">
        <w:t>.</w:t>
      </w:r>
    </w:p>
  </w:footnote>
  <w:footnote w:id="20">
    <w:p w14:paraId="2085E43C" w14:textId="43D2DB28" w:rsidR="000272D5" w:rsidRPr="001623E9" w:rsidRDefault="000272D5" w:rsidP="005F44F9">
      <w:pPr>
        <w:pStyle w:val="Fotnotstext"/>
        <w:spacing w:before="0"/>
      </w:pPr>
      <w:r w:rsidRPr="001623E9">
        <w:rPr>
          <w:rStyle w:val="Fotnotsreferens"/>
          <w:rFonts w:eastAsiaTheme="majorEastAsia"/>
        </w:rPr>
        <w:footnoteRef/>
      </w:r>
      <w:r w:rsidRPr="001623E9">
        <w:t xml:space="preserve"> See </w:t>
      </w:r>
      <w:r w:rsidRPr="001623E9">
        <w:rPr>
          <w:i/>
        </w:rPr>
        <w:t>Commission v Council</w:t>
      </w:r>
      <w:r w:rsidRPr="001623E9">
        <w:t xml:space="preserve"> </w:t>
      </w:r>
      <w:r w:rsidRPr="001623E9">
        <w:rPr>
          <w:iCs/>
        </w:rPr>
        <w:t>(</w:t>
      </w:r>
      <w:r w:rsidRPr="001623E9">
        <w:rPr>
          <w:i/>
          <w:iCs/>
        </w:rPr>
        <w:t>environmental sanctions</w:t>
      </w:r>
      <w:r w:rsidRPr="001623E9">
        <w:t xml:space="preserve">) (C-176/03) EU:C: 2005:542, at [19–21; </w:t>
      </w:r>
      <w:r w:rsidRPr="001623E9">
        <w:rPr>
          <w:i/>
        </w:rPr>
        <w:t>Commission v Council</w:t>
      </w:r>
      <w:r w:rsidRPr="001623E9">
        <w:t xml:space="preserve"> (</w:t>
      </w:r>
      <w:r w:rsidRPr="001623E9">
        <w:rPr>
          <w:i/>
          <w:iCs/>
        </w:rPr>
        <w:t>ship-source pollution)</w:t>
      </w:r>
      <w:r w:rsidRPr="001623E9">
        <w:t xml:space="preserve"> (C-440/05) </w:t>
      </w:r>
      <w:r w:rsidRPr="001623E9">
        <w:rPr>
          <w:rStyle w:val="outputecliaff"/>
        </w:rPr>
        <w:t>EU:C: 2007:625, at [</w:t>
      </w:r>
      <w:r w:rsidRPr="001623E9">
        <w:t>24–25, 28–39].</w:t>
      </w:r>
    </w:p>
  </w:footnote>
  <w:footnote w:id="21">
    <w:p w14:paraId="4B9195C2" w14:textId="5F14A4B7" w:rsidR="000272D5" w:rsidRPr="001623E9" w:rsidRDefault="000272D5" w:rsidP="005F44F9">
      <w:pPr>
        <w:pStyle w:val="Fotnotstext"/>
        <w:spacing w:before="0"/>
      </w:pPr>
      <w:r w:rsidRPr="001623E9">
        <w:rPr>
          <w:rStyle w:val="Fotnotsreferens"/>
          <w:rFonts w:eastAsiaTheme="majorEastAsia"/>
        </w:rPr>
        <w:footnoteRef/>
      </w:r>
      <w:r w:rsidRPr="001623E9">
        <w:t xml:space="preserve"> See</w:t>
      </w:r>
      <w:r w:rsidRPr="001623E9">
        <w:rPr>
          <w:i/>
        </w:rPr>
        <w:t xml:space="preserve"> Commission v Council</w:t>
      </w:r>
      <w:r w:rsidRPr="001623E9">
        <w:t xml:space="preserve"> </w:t>
      </w:r>
      <w:r w:rsidRPr="001623E9">
        <w:rPr>
          <w:iCs/>
        </w:rPr>
        <w:t>(</w:t>
      </w:r>
      <w:r w:rsidRPr="001623E9">
        <w:rPr>
          <w:i/>
          <w:iCs/>
        </w:rPr>
        <w:t>environmental sanctions</w:t>
      </w:r>
      <w:r w:rsidRPr="001623E9">
        <w:t>) (C-176/03) EU:C: 2005:542, at [26-27].</w:t>
      </w:r>
    </w:p>
  </w:footnote>
  <w:footnote w:id="22">
    <w:p w14:paraId="73073C9C" w14:textId="0F51CCB9" w:rsidR="000272D5" w:rsidRPr="001623E9" w:rsidRDefault="000272D5" w:rsidP="005F44F9">
      <w:pPr>
        <w:pStyle w:val="Fotnotstext"/>
        <w:spacing w:before="0"/>
      </w:pPr>
      <w:r w:rsidRPr="001623E9">
        <w:rPr>
          <w:rStyle w:val="Fotnotsreferens"/>
        </w:rPr>
        <w:footnoteRef/>
      </w:r>
      <w:r w:rsidRPr="001623E9">
        <w:rPr>
          <w:rStyle w:val="Fotnotsreferens"/>
        </w:rPr>
        <w:t xml:space="preserve"> </w:t>
      </w:r>
      <w:r w:rsidRPr="001623E9">
        <w:t xml:space="preserve">See </w:t>
      </w:r>
      <w:r w:rsidRPr="001623E9">
        <w:rPr>
          <w:i/>
        </w:rPr>
        <w:t>Commission v Council</w:t>
      </w:r>
      <w:r w:rsidRPr="001623E9">
        <w:t xml:space="preserve"> </w:t>
      </w:r>
      <w:r w:rsidRPr="001623E9">
        <w:rPr>
          <w:iCs/>
        </w:rPr>
        <w:t>(</w:t>
      </w:r>
      <w:r w:rsidRPr="001623E9">
        <w:rPr>
          <w:i/>
          <w:iCs/>
        </w:rPr>
        <w:t>environmental sanctions</w:t>
      </w:r>
      <w:r w:rsidRPr="001623E9">
        <w:t xml:space="preserve">) (C-176/03) EU:C: 2005:542, at [47–48]. The criminal law competence was conferred </w:t>
      </w:r>
      <w:proofErr w:type="gramStart"/>
      <w:r w:rsidRPr="001623E9">
        <w:t>on the basis of</w:t>
      </w:r>
      <w:proofErr w:type="gramEnd"/>
      <w:r w:rsidRPr="001623E9">
        <w:t xml:space="preserve"> Consolidated Version of the Treaty Establishing the European Community [2002] OJ C 325/33 (‘EC’), art. 175.</w:t>
      </w:r>
    </w:p>
  </w:footnote>
  <w:footnote w:id="23">
    <w:p w14:paraId="1DBA1564" w14:textId="6E7CF74F"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w:t>
      </w:r>
      <w:r w:rsidRPr="001623E9">
        <w:rPr>
          <w:i/>
          <w:iCs/>
        </w:rPr>
        <w:t>ship-source pollution)</w:t>
      </w:r>
      <w:r w:rsidRPr="001623E9">
        <w:t xml:space="preserve"> (C-440/05) </w:t>
      </w:r>
      <w:r w:rsidRPr="001623E9">
        <w:rPr>
          <w:rStyle w:val="outputecliaff"/>
        </w:rPr>
        <w:t>EU:C: 2007:625, at [</w:t>
      </w:r>
      <w:r w:rsidRPr="001623E9">
        <w:t xml:space="preserve">66–69]. The Court inferred the competence </w:t>
      </w:r>
      <w:proofErr w:type="gramStart"/>
      <w:r w:rsidRPr="001623E9">
        <w:t>on the basis of</w:t>
      </w:r>
      <w:proofErr w:type="gramEnd"/>
      <w:r w:rsidRPr="001623E9">
        <w:t xml:space="preserve"> art. 80(2) EC. </w:t>
      </w:r>
    </w:p>
  </w:footnote>
  <w:footnote w:id="24">
    <w:p w14:paraId="6B0A0713" w14:textId="7BE285E7" w:rsidR="000272D5" w:rsidRPr="001623E9" w:rsidRDefault="000272D5" w:rsidP="005F44F9">
      <w:pPr>
        <w:pStyle w:val="Fotnotstext"/>
        <w:spacing w:before="0"/>
      </w:pPr>
      <w:r w:rsidRPr="001623E9">
        <w:rPr>
          <w:rStyle w:val="Fotnotsreferens"/>
        </w:rPr>
        <w:footnoteRef/>
      </w:r>
      <w:r w:rsidRPr="001623E9">
        <w:t xml:space="preserve"> See </w:t>
      </w:r>
      <w:r w:rsidRPr="001623E9">
        <w:rPr>
          <w:rFonts w:ascii="Times" w:hAnsi="Times"/>
        </w:rPr>
        <w:t>M. Dougan, ‘From the Velvet Glove to the Iron Fist: Criminal Sanctions for the Enforcement of Union Law’ in M. Cremona (ed</w:t>
      </w:r>
      <w:r w:rsidR="00B403EB" w:rsidRPr="001623E9">
        <w:rPr>
          <w:rFonts w:ascii="Times" w:hAnsi="Times"/>
        </w:rPr>
        <w:t>.</w:t>
      </w:r>
      <w:r w:rsidRPr="001623E9">
        <w:rPr>
          <w:rFonts w:ascii="Times" w:hAnsi="Times"/>
        </w:rPr>
        <w:t xml:space="preserve">), </w:t>
      </w:r>
      <w:r w:rsidRPr="001623E9">
        <w:rPr>
          <w:rFonts w:ascii="Times" w:hAnsi="Times"/>
          <w:i/>
        </w:rPr>
        <w:t>Compliance and the Enforcement of EU Law</w:t>
      </w:r>
      <w:r w:rsidRPr="001623E9">
        <w:rPr>
          <w:rFonts w:ascii="Times" w:hAnsi="Times"/>
        </w:rPr>
        <w:t xml:space="preserve"> (Oxford: Oxford University Press, 2012), p. 90 </w:t>
      </w:r>
      <w:r w:rsidRPr="001623E9">
        <w:t>for this expression.</w:t>
      </w:r>
    </w:p>
  </w:footnote>
  <w:footnote w:id="25">
    <w:p w14:paraId="1726DF09" w14:textId="3B5146C9"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w:t>
      </w:r>
      <w:r w:rsidRPr="001623E9">
        <w:rPr>
          <w:i/>
          <w:iCs/>
        </w:rPr>
        <w:t>ship-source pollution)</w:t>
      </w:r>
      <w:r w:rsidRPr="001623E9">
        <w:t xml:space="preserve"> (C-440/05) </w:t>
      </w:r>
      <w:r w:rsidRPr="001623E9">
        <w:rPr>
          <w:rStyle w:val="outputecliaff"/>
        </w:rPr>
        <w:t>EU:C: 2007:625;</w:t>
      </w:r>
      <w:r w:rsidRPr="001623E9">
        <w:rPr>
          <w:i/>
        </w:rPr>
        <w:t xml:space="preserve"> Commission v Council</w:t>
      </w:r>
      <w:r w:rsidRPr="001623E9">
        <w:t xml:space="preserve"> </w:t>
      </w:r>
      <w:r w:rsidRPr="001623E9">
        <w:rPr>
          <w:iCs/>
        </w:rPr>
        <w:t>(</w:t>
      </w:r>
      <w:r w:rsidRPr="001623E9">
        <w:rPr>
          <w:i/>
          <w:iCs/>
        </w:rPr>
        <w:t>environmental sanctions</w:t>
      </w:r>
      <w:r w:rsidRPr="001623E9">
        <w:t>) (C-176/03) EU:C: 2005:542,</w:t>
      </w:r>
      <w:r w:rsidRPr="001623E9">
        <w:rPr>
          <w:rStyle w:val="outputecliaff"/>
        </w:rPr>
        <w:t xml:space="preserve"> </w:t>
      </w:r>
      <w:r w:rsidRPr="001623E9">
        <w:t xml:space="preserve">which could </w:t>
      </w:r>
      <w:proofErr w:type="gramStart"/>
      <w:r w:rsidRPr="001623E9">
        <w:t>be seen as</w:t>
      </w:r>
      <w:proofErr w:type="gramEnd"/>
      <w:r w:rsidRPr="001623E9">
        <w:t xml:space="preserve"> giving an ’implicit’ criminal law competence.</w:t>
      </w:r>
    </w:p>
  </w:footnote>
  <w:footnote w:id="26">
    <w:p w14:paraId="05E0CE7B" w14:textId="408CE5B2" w:rsidR="000272D5" w:rsidRPr="001623E9" w:rsidRDefault="000272D5" w:rsidP="005F44F9">
      <w:pPr>
        <w:pStyle w:val="Fotnotstext"/>
        <w:spacing w:before="0"/>
      </w:pPr>
      <w:r w:rsidRPr="001623E9">
        <w:rPr>
          <w:rStyle w:val="Fotnotsreferens"/>
        </w:rPr>
        <w:footnoteRef/>
      </w:r>
      <w:r w:rsidRPr="001623E9">
        <w:t xml:space="preserve"> See CONV 426/02,</w:t>
      </w:r>
      <w:r w:rsidRPr="001623E9">
        <w:rPr>
          <w:bCs/>
        </w:rPr>
        <w:t xml:space="preserve"> ‘Final report of Working Group X "Freedom, Security and Justice" ‘,</w:t>
      </w:r>
      <w:r w:rsidRPr="001623E9">
        <w:t xml:space="preserve"> </w:t>
      </w:r>
      <w:r w:rsidRPr="001623E9">
        <w:rPr>
          <w:bCs/>
        </w:rPr>
        <w:t xml:space="preserve">Brussels, 2 December 2002, </w:t>
      </w:r>
      <w:r w:rsidRPr="001623E9">
        <w:t xml:space="preserve">9–10; </w:t>
      </w:r>
      <w:r w:rsidRPr="001623E9">
        <w:rPr>
          <w:rFonts w:ascii="Times" w:hAnsi="Times"/>
        </w:rPr>
        <w:t xml:space="preserve">CONV 727/03, ‘Draft sections of Part Three with comments’, </w:t>
      </w:r>
      <w:r w:rsidRPr="001623E9">
        <w:rPr>
          <w:rFonts w:ascii="Times" w:hAnsi="Times"/>
          <w:bCs/>
        </w:rPr>
        <w:t xml:space="preserve">Brussels, 27 May 2003; </w:t>
      </w:r>
      <w:r w:rsidRPr="001623E9">
        <w:t xml:space="preserve">M. </w:t>
      </w:r>
      <w:proofErr w:type="spellStart"/>
      <w:r w:rsidRPr="001623E9">
        <w:t>Kerttunen</w:t>
      </w:r>
      <w:proofErr w:type="spellEnd"/>
      <w:r w:rsidRPr="001623E9">
        <w:rPr>
          <w:i/>
        </w:rPr>
        <w:t>, Legitimizing the use of transnational criminal law: The European framework</w:t>
      </w:r>
      <w:r w:rsidRPr="001623E9">
        <w:t xml:space="preserve"> (DPhil, University of Helsinki, 2015), pp. 143–145, 210–211, 225–227, 244–246.</w:t>
      </w:r>
    </w:p>
  </w:footnote>
  <w:footnote w:id="27">
    <w:p w14:paraId="1E093EB0" w14:textId="7259108E" w:rsidR="000272D5" w:rsidRPr="001623E9" w:rsidRDefault="000272D5" w:rsidP="005F44F9">
      <w:pPr>
        <w:pStyle w:val="Fotnotstext"/>
        <w:spacing w:before="0"/>
      </w:pPr>
      <w:r w:rsidRPr="001623E9">
        <w:rPr>
          <w:rStyle w:val="Fotnotsreferens"/>
        </w:rPr>
        <w:footnoteRef/>
      </w:r>
      <w:r w:rsidRPr="001623E9">
        <w:t xml:space="preserve"> See Commission, ‘Communication from the Commission to the European Parliament and the Council on the implications of the Court’s judgment of 13 September 2005 (Case C-176/03 Commission v Council)’, COM 2005 (583) final, for a broad interpretation of the EC’s criminal law competence based on the Court of Justice rulings.</w:t>
      </w:r>
    </w:p>
  </w:footnote>
  <w:footnote w:id="28">
    <w:p w14:paraId="0288C043" w14:textId="09230187" w:rsidR="000272D5" w:rsidRPr="001623E9" w:rsidRDefault="000272D5" w:rsidP="005F44F9">
      <w:pPr>
        <w:pStyle w:val="Fotnotstext"/>
        <w:spacing w:before="0"/>
      </w:pPr>
      <w:r w:rsidRPr="001623E9">
        <w:rPr>
          <w:rStyle w:val="Fotnotsreferens"/>
        </w:rPr>
        <w:footnoteRef/>
      </w:r>
      <w:r w:rsidRPr="001623E9">
        <w:t xml:space="preserve"> See</w:t>
      </w:r>
      <w:r w:rsidRPr="001623E9">
        <w:rPr>
          <w:i/>
        </w:rPr>
        <w:t xml:space="preserve"> Commission v Council</w:t>
      </w:r>
      <w:r w:rsidRPr="001623E9">
        <w:t xml:space="preserve"> </w:t>
      </w:r>
      <w:r w:rsidRPr="001623E9">
        <w:rPr>
          <w:iCs/>
        </w:rPr>
        <w:t>(</w:t>
      </w:r>
      <w:r w:rsidRPr="001623E9">
        <w:rPr>
          <w:i/>
          <w:iCs/>
        </w:rPr>
        <w:t>environmental sanctions</w:t>
      </w:r>
      <w:r w:rsidRPr="001623E9">
        <w:t>) (C-176/03) EU:C: 2005:542.</w:t>
      </w:r>
    </w:p>
  </w:footnote>
  <w:footnote w:id="29">
    <w:p w14:paraId="5774C61B" w14:textId="2EB09E2F" w:rsidR="000272D5" w:rsidRPr="001623E9" w:rsidRDefault="000272D5" w:rsidP="005F44F9">
      <w:pPr>
        <w:pStyle w:val="Fotnotstext"/>
        <w:spacing w:before="0"/>
      </w:pPr>
      <w:r w:rsidRPr="001623E9">
        <w:rPr>
          <w:rStyle w:val="Fotnotsreferens"/>
        </w:rPr>
        <w:footnoteRef/>
      </w:r>
      <w:r w:rsidRPr="001623E9">
        <w:t xml:space="preserve"> See art. 83(3) TFEU.</w:t>
      </w:r>
    </w:p>
  </w:footnote>
  <w:footnote w:id="30">
    <w:p w14:paraId="6B418B37" w14:textId="09854286" w:rsidR="000272D5" w:rsidRPr="001623E9" w:rsidRDefault="000272D5" w:rsidP="005F44F9">
      <w:pPr>
        <w:pStyle w:val="Fotnotstext"/>
        <w:spacing w:before="0"/>
      </w:pPr>
      <w:r w:rsidRPr="001623E9">
        <w:rPr>
          <w:rStyle w:val="Fotnotsreferens"/>
        </w:rPr>
        <w:footnoteRef/>
      </w:r>
      <w:r w:rsidRPr="001623E9">
        <w:t xml:space="preserve"> See art. 83(1)- (2) TFEU.</w:t>
      </w:r>
    </w:p>
  </w:footnote>
  <w:footnote w:id="31">
    <w:p w14:paraId="44693E4D" w14:textId="0B1574B0" w:rsidR="000272D5" w:rsidRPr="001623E9" w:rsidRDefault="000272D5" w:rsidP="005F44F9">
      <w:pPr>
        <w:pStyle w:val="Fotnotstext"/>
        <w:spacing w:before="0"/>
      </w:pPr>
      <w:r w:rsidRPr="001623E9">
        <w:rPr>
          <w:rStyle w:val="Fotnotsreferens"/>
        </w:rPr>
        <w:footnoteRef/>
      </w:r>
      <w:r w:rsidRPr="001623E9">
        <w:t xml:space="preserve"> See</w:t>
      </w:r>
      <w:r w:rsidRPr="001623E9">
        <w:rPr>
          <w:i/>
        </w:rPr>
        <w:t xml:space="preserve"> Commission v Council</w:t>
      </w:r>
      <w:r w:rsidRPr="001623E9">
        <w:t xml:space="preserve"> </w:t>
      </w:r>
      <w:r w:rsidRPr="001623E9">
        <w:rPr>
          <w:iCs/>
        </w:rPr>
        <w:t>(</w:t>
      </w:r>
      <w:r w:rsidRPr="001623E9">
        <w:rPr>
          <w:i/>
          <w:iCs/>
        </w:rPr>
        <w:t>environmental sanctions</w:t>
      </w:r>
      <w:r w:rsidRPr="001623E9">
        <w:t>) (C-176/03) EU:C: 2005:542 at [48].</w:t>
      </w:r>
    </w:p>
  </w:footnote>
  <w:footnote w:id="32">
    <w:p w14:paraId="1487EE03" w14:textId="4B2A8322" w:rsidR="000272D5" w:rsidRPr="001623E9" w:rsidRDefault="000272D5" w:rsidP="005F44F9">
      <w:pPr>
        <w:pStyle w:val="Fotnotstext"/>
        <w:spacing w:before="0"/>
      </w:pPr>
      <w:r w:rsidRPr="001623E9">
        <w:rPr>
          <w:rStyle w:val="Fotnotsreferens"/>
          <w:rFonts w:eastAsiaTheme="majorEastAsia"/>
        </w:rPr>
        <w:footnoteRef/>
      </w:r>
      <w:r w:rsidRPr="001623E9">
        <w:t xml:space="preserve"> See P. Asp, </w:t>
      </w:r>
      <w:r w:rsidRPr="001623E9">
        <w:rPr>
          <w:i/>
          <w:iCs/>
        </w:rPr>
        <w:t xml:space="preserve">The Substantive Criminal Law Competence of the EU—Towards an Area of Freedom, Security &amp; Justice—Part 1 </w:t>
      </w:r>
      <w:r w:rsidRPr="001623E9">
        <w:t>(Stockholm: Jure, 2013), pp.151–52, 163.</w:t>
      </w:r>
    </w:p>
  </w:footnote>
  <w:footnote w:id="33">
    <w:p w14:paraId="3DC29AFE" w14:textId="3163F121" w:rsidR="000272D5" w:rsidRPr="001623E9" w:rsidRDefault="000272D5" w:rsidP="005F44F9">
      <w:pPr>
        <w:pStyle w:val="Fotnotstext"/>
        <w:spacing w:before="0"/>
      </w:pPr>
      <w:r w:rsidRPr="001623E9">
        <w:rPr>
          <w:rStyle w:val="Fotnotsreferens"/>
        </w:rPr>
        <w:footnoteRef/>
      </w:r>
      <w:r w:rsidRPr="001623E9">
        <w:t xml:space="preserve"> See, however, S. </w:t>
      </w:r>
      <w:proofErr w:type="spellStart"/>
      <w:r w:rsidRPr="001623E9">
        <w:t>Miettinen</w:t>
      </w:r>
      <w:proofErr w:type="spellEnd"/>
      <w:r w:rsidRPr="001623E9">
        <w:rPr>
          <w:i/>
        </w:rPr>
        <w:t xml:space="preserve"> The Europeanization of Criminal Law: Competence and its Control in the Lisbon Era</w:t>
      </w:r>
      <w:r w:rsidRPr="001623E9">
        <w:t>, (DPhil, University of Helsinki, 2015), pp. 499–500, for a different line of argument.</w:t>
      </w:r>
    </w:p>
  </w:footnote>
  <w:footnote w:id="34">
    <w:p w14:paraId="1CF4B7EE" w14:textId="693C2AFC" w:rsidR="000272D5" w:rsidRPr="001623E9" w:rsidRDefault="000272D5" w:rsidP="005F44F9">
      <w:pPr>
        <w:pStyle w:val="Fotnotstext"/>
        <w:spacing w:before="0"/>
      </w:pPr>
      <w:r w:rsidRPr="001623E9">
        <w:rPr>
          <w:rStyle w:val="Fotnotsreferens"/>
        </w:rPr>
        <w:footnoteRef/>
      </w:r>
      <w:r w:rsidRPr="001623E9">
        <w:t xml:space="preserve"> See House of Lords’ European Union Committee, </w:t>
      </w:r>
      <w:r w:rsidRPr="001623E9">
        <w:rPr>
          <w:i/>
        </w:rPr>
        <w:t>The Treaty of Lisbon: an impact assessment</w:t>
      </w:r>
      <w:r w:rsidRPr="001623E9">
        <w:t>, 10th Report of Session 2007–08, Volume I: Report, HL Paper 62-I1, London: The Stationery Office Limited; CONV 426/02,</w:t>
      </w:r>
      <w:r w:rsidRPr="001623E9">
        <w:rPr>
          <w:bCs/>
        </w:rPr>
        <w:t xml:space="preserve"> ‘Final report of Working Group X "Freedom, Security and Justice" ‘,</w:t>
      </w:r>
      <w:r w:rsidRPr="001623E9">
        <w:t xml:space="preserve"> </w:t>
      </w:r>
      <w:r w:rsidRPr="001623E9">
        <w:rPr>
          <w:bCs/>
        </w:rPr>
        <w:t>Brussels, 2 December 2002.</w:t>
      </w:r>
    </w:p>
  </w:footnote>
  <w:footnote w:id="35">
    <w:p w14:paraId="07E01651" w14:textId="6777ED39" w:rsidR="000272D5" w:rsidRPr="001623E9" w:rsidRDefault="000272D5" w:rsidP="005F44F9">
      <w:pPr>
        <w:pStyle w:val="Fotnotstext"/>
        <w:spacing w:before="0"/>
        <w:rPr>
          <w:b/>
        </w:rPr>
      </w:pPr>
      <w:r w:rsidRPr="001623E9">
        <w:rPr>
          <w:rStyle w:val="Fotnotsreferens"/>
        </w:rPr>
        <w:footnoteRef/>
      </w:r>
      <w:r w:rsidRPr="001623E9">
        <w:t xml:space="preserve"> See further </w:t>
      </w:r>
      <w:r w:rsidRPr="001623E9">
        <w:rPr>
          <w:bCs/>
        </w:rPr>
        <w:t>below s. ‘Limits to the core argument: The (Narrow) Scope of Article 83(2) TFEU</w:t>
      </w:r>
      <w:r w:rsidRPr="001623E9">
        <w:rPr>
          <w:b/>
        </w:rPr>
        <w:t>’</w:t>
      </w:r>
      <w:r w:rsidRPr="001623E9">
        <w:t xml:space="preserve">. </w:t>
      </w:r>
    </w:p>
  </w:footnote>
  <w:footnote w:id="36">
    <w:p w14:paraId="619D1F46" w14:textId="61D21841" w:rsidR="000272D5" w:rsidRPr="001623E9" w:rsidRDefault="000272D5" w:rsidP="005F44F9">
      <w:pPr>
        <w:pStyle w:val="Fotnotstext"/>
        <w:spacing w:before="0"/>
      </w:pPr>
      <w:r w:rsidRPr="001623E9">
        <w:rPr>
          <w:rStyle w:val="Fotnotsreferens"/>
        </w:rPr>
        <w:footnoteRef/>
      </w:r>
      <w:r w:rsidRPr="001623E9">
        <w:t xml:space="preserve"> See the German Constitutional Court’s distinctive treatment of ’criminal law’: </w:t>
      </w:r>
      <w:r w:rsidRPr="001623E9">
        <w:rPr>
          <w:rFonts w:ascii="Times" w:hAnsi="Times"/>
        </w:rPr>
        <w:t xml:space="preserve">Judgment of German Federal Constitutional Court of 30 June 2009, </w:t>
      </w:r>
      <w:r w:rsidRPr="001623E9">
        <w:rPr>
          <w:rFonts w:ascii="Times" w:hAnsi="Times"/>
          <w:i/>
          <w:iCs/>
        </w:rPr>
        <w:t>Lisbon Judgment</w:t>
      </w:r>
      <w:r w:rsidRPr="001623E9">
        <w:rPr>
          <w:rFonts w:ascii="Times" w:hAnsi="Times"/>
        </w:rPr>
        <w:t xml:space="preserve">, Case 2 </w:t>
      </w:r>
      <w:proofErr w:type="spellStart"/>
      <w:r w:rsidRPr="001623E9">
        <w:rPr>
          <w:rFonts w:ascii="Times" w:hAnsi="Times"/>
        </w:rPr>
        <w:t>BvE</w:t>
      </w:r>
      <w:proofErr w:type="spellEnd"/>
      <w:r w:rsidRPr="001623E9">
        <w:rPr>
          <w:rFonts w:ascii="Times" w:hAnsi="Times"/>
        </w:rPr>
        <w:t xml:space="preserve"> 2/08, 5/08, 2 </w:t>
      </w:r>
      <w:proofErr w:type="spellStart"/>
      <w:r w:rsidRPr="001623E9">
        <w:rPr>
          <w:rFonts w:ascii="Times" w:hAnsi="Times"/>
        </w:rPr>
        <w:t>BvR</w:t>
      </w:r>
      <w:proofErr w:type="spellEnd"/>
      <w:r w:rsidRPr="001623E9">
        <w:rPr>
          <w:rFonts w:ascii="Times" w:hAnsi="Times"/>
        </w:rPr>
        <w:t xml:space="preserve"> 1010/08, 1022/08, 1259/08, 182/09 (2009), </w:t>
      </w:r>
      <w:r w:rsidRPr="001623E9">
        <w:rPr>
          <w:rFonts w:ascii="Times" w:hAnsi="Times"/>
          <w:color w:val="000000"/>
        </w:rPr>
        <w:t>at [ 226, 231, 237-242].</w:t>
      </w:r>
    </w:p>
  </w:footnote>
  <w:footnote w:id="37">
    <w:p w14:paraId="63C5A01C" w14:textId="6E29897A" w:rsidR="000272D5" w:rsidRPr="001623E9" w:rsidRDefault="000272D5" w:rsidP="005F44F9">
      <w:pPr>
        <w:pStyle w:val="Fotnotstext"/>
        <w:spacing w:before="0"/>
      </w:pPr>
      <w:r w:rsidRPr="001623E9">
        <w:rPr>
          <w:rStyle w:val="Fotnotsreferens"/>
        </w:rPr>
        <w:footnoteRef/>
      </w:r>
      <w:r w:rsidRPr="001623E9">
        <w:t xml:space="preserve"> See M. </w:t>
      </w:r>
      <w:proofErr w:type="spellStart"/>
      <w:r w:rsidRPr="001623E9">
        <w:t>Kerttunen</w:t>
      </w:r>
      <w:proofErr w:type="spellEnd"/>
      <w:r w:rsidRPr="001623E9">
        <w:rPr>
          <w:i/>
        </w:rPr>
        <w:t>, Legitimizing the use of transnational criminal law: The European framework</w:t>
      </w:r>
      <w:r w:rsidRPr="001623E9">
        <w:t xml:space="preserve"> (DPhil, University of Helsinki, 2015), pp. 136–137, 210-211, 244-45; P. Asp, </w:t>
      </w:r>
      <w:r w:rsidRPr="001623E9">
        <w:rPr>
          <w:i/>
          <w:iCs/>
        </w:rPr>
        <w:t xml:space="preserve">The Substantive Criminal Law Competence of the EU—Towards an Area of Freedom, Security &amp; Justice—Part 1 </w:t>
      </w:r>
      <w:r w:rsidRPr="001623E9">
        <w:t>(Stockholm: Jure, 2013), pp. 76–78; CONV 426/02,</w:t>
      </w:r>
      <w:r w:rsidRPr="001623E9">
        <w:rPr>
          <w:bCs/>
        </w:rPr>
        <w:t xml:space="preserve"> ‘Final report of Working Group X "Freedom, Security and Justice" ‘,</w:t>
      </w:r>
      <w:r w:rsidRPr="001623E9">
        <w:t xml:space="preserve"> </w:t>
      </w:r>
      <w:r w:rsidRPr="001623E9">
        <w:rPr>
          <w:bCs/>
        </w:rPr>
        <w:t>Brussels, 2 December 2002, pp. 10-11.</w:t>
      </w:r>
    </w:p>
  </w:footnote>
  <w:footnote w:id="38">
    <w:p w14:paraId="40A2CD54" w14:textId="786A9A0D" w:rsidR="000272D5" w:rsidRPr="001623E9" w:rsidRDefault="000272D5" w:rsidP="005F44F9">
      <w:pPr>
        <w:pStyle w:val="Fotnotstext"/>
        <w:spacing w:before="0"/>
        <w:rPr>
          <w:b/>
        </w:rPr>
      </w:pPr>
      <w:r w:rsidRPr="001623E9">
        <w:rPr>
          <w:rStyle w:val="Fotnotsreferens"/>
        </w:rPr>
        <w:footnoteRef/>
      </w:r>
      <w:r w:rsidRPr="001623E9">
        <w:t xml:space="preserve"> See </w:t>
      </w:r>
      <w:r w:rsidRPr="001623E9">
        <w:rPr>
          <w:i/>
        </w:rPr>
        <w:t>Commission v Council</w:t>
      </w:r>
      <w:r w:rsidRPr="001623E9">
        <w:t xml:space="preserve"> </w:t>
      </w:r>
      <w:r w:rsidRPr="001623E9">
        <w:rPr>
          <w:i/>
        </w:rPr>
        <w:t>(Titanium Dioxide)</w:t>
      </w:r>
      <w:r w:rsidRPr="001623E9">
        <w:t xml:space="preserve"> (C-300/89) </w:t>
      </w:r>
      <w:r w:rsidRPr="001623E9">
        <w:rPr>
          <w:rStyle w:val="outputecliaff"/>
        </w:rPr>
        <w:t>EU:C: 1991:244</w:t>
      </w:r>
      <w:r w:rsidRPr="001623E9">
        <w:t xml:space="preserve">, at [10, 22–25]; </w:t>
      </w:r>
      <w:r w:rsidRPr="001623E9">
        <w:rPr>
          <w:rFonts w:ascii="Times" w:hAnsi="Times"/>
          <w:i/>
        </w:rPr>
        <w:t>Commission v Council</w:t>
      </w:r>
      <w:r w:rsidRPr="001623E9">
        <w:rPr>
          <w:rFonts w:ascii="Times" w:hAnsi="Times"/>
        </w:rPr>
        <w:t xml:space="preserve"> </w:t>
      </w:r>
      <w:r w:rsidRPr="001623E9">
        <w:t xml:space="preserve">(C-155/91) </w:t>
      </w:r>
      <w:r w:rsidRPr="001623E9">
        <w:rPr>
          <w:rStyle w:val="outputecliaff"/>
        </w:rPr>
        <w:t>EU:C:1993:98</w:t>
      </w:r>
      <w:r w:rsidRPr="001623E9">
        <w:rPr>
          <w:rFonts w:ascii="Times" w:hAnsi="Times"/>
        </w:rPr>
        <w:t xml:space="preserve">, </w:t>
      </w:r>
      <w:r w:rsidRPr="001623E9">
        <w:t xml:space="preserve">at [7, 19–21]; </w:t>
      </w:r>
      <w:r w:rsidRPr="001623E9">
        <w:rPr>
          <w:i/>
          <w:iCs/>
        </w:rPr>
        <w:t xml:space="preserve">Spain </w:t>
      </w:r>
      <w:r w:rsidRPr="001623E9">
        <w:t xml:space="preserve">v </w:t>
      </w:r>
      <w:r w:rsidRPr="001623E9">
        <w:rPr>
          <w:i/>
          <w:iCs/>
        </w:rPr>
        <w:t>Council</w:t>
      </w:r>
      <w:r w:rsidRPr="001623E9">
        <w:t xml:space="preserve"> (C-36/98) </w:t>
      </w:r>
      <w:r w:rsidRPr="001623E9">
        <w:rPr>
          <w:rStyle w:val="outputecliaff"/>
        </w:rPr>
        <w:t>EU:C:2001:64</w:t>
      </w:r>
      <w:r w:rsidRPr="001623E9">
        <w:t>, at [59].</w:t>
      </w:r>
    </w:p>
  </w:footnote>
  <w:footnote w:id="39">
    <w:p w14:paraId="6D6B5AA7" w14:textId="70504296"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Ireland v Parliament and Council</w:t>
      </w:r>
      <w:r w:rsidRPr="001623E9">
        <w:t xml:space="preserve"> (C-301/06) </w:t>
      </w:r>
      <w:r w:rsidRPr="001623E9">
        <w:rPr>
          <w:rStyle w:val="outputecliaff"/>
        </w:rPr>
        <w:t>EU:C: 2009:68</w:t>
      </w:r>
      <w:r w:rsidRPr="001623E9">
        <w:t>.</w:t>
      </w:r>
    </w:p>
  </w:footnote>
  <w:footnote w:id="40">
    <w:p w14:paraId="13CE94C1" w14:textId="7ECE2B65" w:rsidR="000272D5" w:rsidRPr="001623E9" w:rsidRDefault="000272D5" w:rsidP="005F44F9">
      <w:pPr>
        <w:pStyle w:val="Fotnotstext"/>
        <w:spacing w:before="0"/>
      </w:pPr>
      <w:r w:rsidRPr="001623E9">
        <w:rPr>
          <w:rStyle w:val="Fotnotsreferens"/>
        </w:rPr>
        <w:footnoteRef/>
      </w:r>
      <w:r w:rsidRPr="001623E9">
        <w:rPr>
          <w:rStyle w:val="Fotnotsreferens"/>
        </w:rPr>
        <w:t xml:space="preserve"> </w:t>
      </w:r>
      <w:r w:rsidRPr="001623E9">
        <w:rPr>
          <w:rStyle w:val="affairetitle"/>
          <w:i/>
        </w:rPr>
        <w:t>Parliament v Council</w:t>
      </w:r>
      <w:r w:rsidRPr="001623E9">
        <w:rPr>
          <w:rStyle w:val="affairetitle"/>
        </w:rPr>
        <w:t xml:space="preserve"> (C-317/04 and C-318/04) </w:t>
      </w:r>
      <w:r w:rsidRPr="001623E9">
        <w:rPr>
          <w:rStyle w:val="outputecliaff"/>
        </w:rPr>
        <w:t>EU:C: 2006:346</w:t>
      </w:r>
      <w:r w:rsidRPr="001623E9">
        <w:rPr>
          <w:rStyle w:val="affairetitle"/>
        </w:rPr>
        <w:t xml:space="preserve"> </w:t>
      </w:r>
      <w:r w:rsidRPr="001623E9">
        <w:t>was also concerned with whether art. 114 TFEU could be used indirectly to adopt provisions for the benefit of criminal law enforcement. In this case, the Court annulled the ‘adequacy decision’ because it did not fall within the scope of Directive 95/46 EC and thus outside art. 114 TFEU. However, as the case did not concern the annulment of a large legislative scheme it is not important enough to warrant further space in the article.</w:t>
      </w:r>
    </w:p>
  </w:footnote>
  <w:footnote w:id="41">
    <w:p w14:paraId="772D7113" w14:textId="3EE47A7C" w:rsidR="000272D5" w:rsidRPr="001623E9" w:rsidRDefault="000272D5" w:rsidP="005F44F9">
      <w:pPr>
        <w:pStyle w:val="Fotnotstext"/>
        <w:spacing w:before="0"/>
      </w:pPr>
      <w:r w:rsidRPr="001623E9">
        <w:rPr>
          <w:rStyle w:val="Fotnotsreferens"/>
          <w:rFonts w:eastAsiaTheme="majorEastAsia"/>
        </w:rPr>
        <w:footnoteRef/>
      </w:r>
      <w:r w:rsidRPr="001623E9">
        <w:t xml:space="preserve">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 [2006] OJ L 105/54.</w:t>
      </w:r>
    </w:p>
  </w:footnote>
  <w:footnote w:id="42">
    <w:p w14:paraId="63864D87" w14:textId="64FC99FC" w:rsidR="000272D5" w:rsidRPr="001623E9" w:rsidRDefault="000272D5" w:rsidP="005F44F9">
      <w:pPr>
        <w:pStyle w:val="Fotnotstext"/>
        <w:spacing w:before="0"/>
      </w:pPr>
      <w:r w:rsidRPr="001623E9">
        <w:rPr>
          <w:rStyle w:val="Fotnotsreferens"/>
        </w:rPr>
        <w:footnoteRef/>
      </w:r>
      <w:r w:rsidRPr="001623E9">
        <w:t xml:space="preserve"> See Consolidated Version of the Treaty on European Union [2002] OJ C 325/5, arts 30 EU, 31(1)(c) and 34(2)(b) were alleged to constitute the proper legal bases according to Ireland, see</w:t>
      </w:r>
      <w:r w:rsidRPr="001623E9">
        <w:rPr>
          <w:i/>
        </w:rPr>
        <w:t xml:space="preserve"> Ireland v Parliament and Council</w:t>
      </w:r>
      <w:r w:rsidRPr="001623E9">
        <w:t xml:space="preserve"> (C-301/06) </w:t>
      </w:r>
      <w:r w:rsidRPr="001623E9">
        <w:rPr>
          <w:rStyle w:val="outputecliaff"/>
        </w:rPr>
        <w:t>EU:C: 2009:68, at [28]</w:t>
      </w:r>
      <w:r w:rsidRPr="001623E9">
        <w:t>.</w:t>
      </w:r>
    </w:p>
  </w:footnote>
  <w:footnote w:id="43">
    <w:p w14:paraId="2557D240" w14:textId="508E39E2"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Ireland v Parliament and Council</w:t>
      </w:r>
      <w:r w:rsidRPr="001623E9">
        <w:t xml:space="preserve"> (C-301/06) </w:t>
      </w:r>
      <w:r w:rsidRPr="001623E9">
        <w:rPr>
          <w:rStyle w:val="outputecliaff"/>
        </w:rPr>
        <w:t>EU:C: 2009:68</w:t>
      </w:r>
      <w:r w:rsidRPr="001623E9">
        <w:t>, at [68-93].</w:t>
      </w:r>
    </w:p>
  </w:footnote>
  <w:footnote w:id="44">
    <w:p w14:paraId="325C5839" w14:textId="77777777" w:rsidR="000272D5" w:rsidRPr="001623E9" w:rsidRDefault="000272D5" w:rsidP="005F44F9">
      <w:pPr>
        <w:pStyle w:val="Fotnotstext"/>
        <w:spacing w:before="0"/>
      </w:pPr>
      <w:r w:rsidRPr="001623E9">
        <w:rPr>
          <w:rStyle w:val="Fotnotsreferens"/>
        </w:rPr>
        <w:footnoteRef/>
      </w:r>
      <w:r w:rsidRPr="001623E9">
        <w:t xml:space="preserve"> See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 [2006] OJ L 105/54.), art. 1(1) and </w:t>
      </w:r>
      <w:r w:rsidRPr="001623E9">
        <w:rPr>
          <w:rFonts w:eastAsia="Calibri"/>
        </w:rPr>
        <w:t>recitals 5-11, 25 for support of this statement.</w:t>
      </w:r>
    </w:p>
  </w:footnote>
  <w:footnote w:id="45">
    <w:p w14:paraId="3529ADE7" w14:textId="2CABDE48" w:rsidR="000272D5" w:rsidRPr="001623E9" w:rsidRDefault="000272D5" w:rsidP="005F44F9">
      <w:pPr>
        <w:pStyle w:val="Fotnotstext"/>
        <w:spacing w:before="0"/>
      </w:pPr>
      <w:r w:rsidRPr="001623E9">
        <w:rPr>
          <w:rStyle w:val="Fotnotsreferens"/>
        </w:rPr>
        <w:footnoteRef/>
      </w:r>
      <w:r w:rsidRPr="001623E9">
        <w:t xml:space="preserve"> See E. </w:t>
      </w:r>
      <w:proofErr w:type="spellStart"/>
      <w:r w:rsidRPr="001623E9">
        <w:t>Herlin-Karnell</w:t>
      </w:r>
      <w:proofErr w:type="spellEnd"/>
      <w:r w:rsidRPr="001623E9">
        <w:t xml:space="preserve">, </w:t>
      </w:r>
      <w:r w:rsidRPr="001623E9">
        <w:rPr>
          <w:i/>
        </w:rPr>
        <w:t>The Constitutional Dimension of European Criminal Law</w:t>
      </w:r>
      <w:r w:rsidRPr="001623E9">
        <w:t xml:space="preserve"> (Oxford: Hart Publishing, 2012)</w:t>
      </w:r>
      <w:r w:rsidR="00D84FB5" w:rsidRPr="001623E9">
        <w:t>,</w:t>
      </w:r>
      <w:r w:rsidRPr="001623E9">
        <w:t xml:space="preserve"> pp.104-105.</w:t>
      </w:r>
    </w:p>
  </w:footnote>
  <w:footnote w:id="46">
    <w:p w14:paraId="1B0149CB" w14:textId="49AC4F4F"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 xml:space="preserve">Digital Rights Ireland and </w:t>
      </w:r>
      <w:proofErr w:type="spellStart"/>
      <w:r w:rsidRPr="001623E9">
        <w:rPr>
          <w:i/>
        </w:rPr>
        <w:t>Seitlinger</w:t>
      </w:r>
      <w:proofErr w:type="spellEnd"/>
      <w:r w:rsidRPr="001623E9">
        <w:rPr>
          <w:i/>
        </w:rPr>
        <w:t xml:space="preserve"> and Others</w:t>
      </w:r>
      <w:r w:rsidRPr="001623E9">
        <w:t xml:space="preserve"> (C-293/12), </w:t>
      </w:r>
      <w:r w:rsidRPr="001623E9">
        <w:rPr>
          <w:rStyle w:val="outputecliaff"/>
        </w:rPr>
        <w:t>EU:C:2014:238</w:t>
      </w:r>
      <w:r w:rsidRPr="001623E9">
        <w:t>, at [ 41-43].</w:t>
      </w:r>
    </w:p>
  </w:footnote>
  <w:footnote w:id="47">
    <w:p w14:paraId="06573D5E" w14:textId="5421FDDB"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w:t>
      </w:r>
      <w:r w:rsidRPr="001623E9">
        <w:rPr>
          <w:iCs/>
        </w:rPr>
        <w:t>(</w:t>
      </w:r>
      <w:r w:rsidRPr="001623E9">
        <w:rPr>
          <w:i/>
          <w:iCs/>
        </w:rPr>
        <w:t>environmental sanctions</w:t>
      </w:r>
      <w:r w:rsidRPr="001623E9">
        <w:t xml:space="preserve">) (C-176/03) EU:C: 2005:542, at [38-53]; </w:t>
      </w:r>
      <w:r w:rsidRPr="001623E9">
        <w:rPr>
          <w:i/>
        </w:rPr>
        <w:t>Commission v Council</w:t>
      </w:r>
      <w:r w:rsidRPr="001623E9">
        <w:t xml:space="preserve"> (</w:t>
      </w:r>
      <w:r w:rsidRPr="001623E9">
        <w:rPr>
          <w:i/>
          <w:iCs/>
        </w:rPr>
        <w:t>ship-source pollution)</w:t>
      </w:r>
      <w:r w:rsidRPr="001623E9">
        <w:t xml:space="preserve"> (C-440/05) </w:t>
      </w:r>
      <w:r w:rsidRPr="001623E9">
        <w:rPr>
          <w:rStyle w:val="outputecliaff"/>
        </w:rPr>
        <w:t>EU:C: 2007:625, at [52-74]</w:t>
      </w:r>
      <w:r w:rsidRPr="001623E9">
        <w:t>.</w:t>
      </w:r>
    </w:p>
  </w:footnote>
  <w:footnote w:id="48">
    <w:p w14:paraId="6F2D9049" w14:textId="587B3637" w:rsidR="000272D5" w:rsidRPr="001623E9" w:rsidRDefault="000272D5" w:rsidP="005F44F9">
      <w:pPr>
        <w:pStyle w:val="Fotnotstext"/>
        <w:spacing w:before="0"/>
      </w:pPr>
      <w:r w:rsidRPr="001623E9">
        <w:rPr>
          <w:rStyle w:val="Fotnotsreferens"/>
        </w:rPr>
        <w:footnoteRef/>
      </w:r>
      <w:r w:rsidRPr="001623E9">
        <w:t xml:space="preserve"> See E. </w:t>
      </w:r>
      <w:proofErr w:type="spellStart"/>
      <w:r w:rsidRPr="001623E9">
        <w:t>Herlin-Karnell</w:t>
      </w:r>
      <w:proofErr w:type="spellEnd"/>
      <w:r w:rsidRPr="001623E9">
        <w:t>,’ Annotation, Case Comment Case C‐301/06, Ireland v. Parliament and Council’ (2009) 46 C.M.L. Rev</w:t>
      </w:r>
      <w:r w:rsidR="00D84FB5" w:rsidRPr="001623E9">
        <w:t>.</w:t>
      </w:r>
      <w:r w:rsidRPr="001623E9">
        <w:t xml:space="preserve"> 1667. See furthermore: </w:t>
      </w:r>
      <w:r w:rsidRPr="001623E9">
        <w:rPr>
          <w:i/>
        </w:rPr>
        <w:t>Commission v Council</w:t>
      </w:r>
      <w:r w:rsidRPr="001623E9">
        <w:t xml:space="preserve"> </w:t>
      </w:r>
      <w:r w:rsidRPr="001623E9">
        <w:rPr>
          <w:iCs/>
        </w:rPr>
        <w:t>(</w:t>
      </w:r>
      <w:r w:rsidRPr="001623E9">
        <w:rPr>
          <w:i/>
          <w:iCs/>
        </w:rPr>
        <w:t>environmental sanctions</w:t>
      </w:r>
      <w:r w:rsidRPr="001623E9">
        <w:t xml:space="preserve">) (C-176/03) EU:C: 2005:542, at [38-40, 53]; </w:t>
      </w:r>
      <w:r w:rsidRPr="001623E9">
        <w:rPr>
          <w:i/>
        </w:rPr>
        <w:t>Commission v Council</w:t>
      </w:r>
      <w:r w:rsidRPr="001623E9">
        <w:t xml:space="preserve"> (</w:t>
      </w:r>
      <w:r w:rsidRPr="001623E9">
        <w:rPr>
          <w:i/>
          <w:iCs/>
        </w:rPr>
        <w:t>ship-source pollution)</w:t>
      </w:r>
      <w:r w:rsidRPr="001623E9">
        <w:t xml:space="preserve"> (C-440/05) </w:t>
      </w:r>
      <w:r w:rsidRPr="001623E9">
        <w:rPr>
          <w:rStyle w:val="outputecliaff"/>
        </w:rPr>
        <w:t>EU:C: 2007:625, at [52-54, 74]</w:t>
      </w:r>
      <w:r w:rsidRPr="001623E9">
        <w:t xml:space="preserve">. </w:t>
      </w:r>
    </w:p>
  </w:footnote>
  <w:footnote w:id="49">
    <w:p w14:paraId="3459F9F9" w14:textId="4ECAFF7D" w:rsidR="000272D5" w:rsidRPr="001623E9" w:rsidRDefault="000272D5" w:rsidP="005F44F9">
      <w:pPr>
        <w:pStyle w:val="Fotnotstext"/>
        <w:spacing w:before="0"/>
      </w:pPr>
      <w:r w:rsidRPr="001623E9">
        <w:rPr>
          <w:rStyle w:val="Fotnotsreferens"/>
        </w:rPr>
        <w:footnoteRef/>
      </w:r>
      <w:r w:rsidRPr="001623E9">
        <w:t xml:space="preserve"> Ex-Article 47 EU read as follows: “Subject to the provisions amending the Treaty establishing the European Economic Community with a view to establishing the European Community……., and to these final provisions, nothing in this Treaty </w:t>
      </w:r>
      <w:r w:rsidRPr="001623E9">
        <w:rPr>
          <w:i/>
        </w:rPr>
        <w:t>shall affect the Treaties establishing the European Communities</w:t>
      </w:r>
      <w:r w:rsidRPr="001623E9">
        <w:t xml:space="preserve"> or the subsequent Treaties and Acts modifying or supplementing them.”</w:t>
      </w:r>
    </w:p>
  </w:footnote>
  <w:footnote w:id="50">
    <w:p w14:paraId="40ABE635" w14:textId="1AF0999D" w:rsidR="000272D5" w:rsidRPr="001623E9" w:rsidRDefault="000272D5" w:rsidP="005F44F9">
      <w:pPr>
        <w:pStyle w:val="Fotnotstext"/>
        <w:spacing w:before="0"/>
      </w:pPr>
      <w:r w:rsidRPr="001623E9">
        <w:rPr>
          <w:rStyle w:val="Fotnotsreferens"/>
        </w:rPr>
        <w:footnoteRef/>
      </w:r>
      <w:r w:rsidRPr="001623E9">
        <w:t xml:space="preserve"> See </w:t>
      </w:r>
      <w:bookmarkStart w:id="6" w:name="_Hlk500157538"/>
      <w:r w:rsidRPr="001623E9">
        <w:rPr>
          <w:i/>
        </w:rPr>
        <w:t>Commission v Council</w:t>
      </w:r>
      <w:r w:rsidRPr="001623E9">
        <w:t xml:space="preserve"> (C-137/12)</w:t>
      </w:r>
      <w:r w:rsidRPr="001623E9">
        <w:rPr>
          <w:i/>
        </w:rPr>
        <w:t xml:space="preserve"> </w:t>
      </w:r>
      <w:r w:rsidRPr="001623E9">
        <w:rPr>
          <w:rStyle w:val="outputecliaff"/>
        </w:rPr>
        <w:t>EU:C: 2013:675</w:t>
      </w:r>
      <w:bookmarkEnd w:id="6"/>
      <w:r w:rsidRPr="001623E9">
        <w:rPr>
          <w:i/>
        </w:rPr>
        <w:t xml:space="preserve">, </w:t>
      </w:r>
      <w:r w:rsidRPr="001623E9">
        <w:rPr>
          <w:rStyle w:val="affairetitle"/>
        </w:rPr>
        <w:t>at [70</w:t>
      </w:r>
      <w:r w:rsidRPr="001623E9">
        <w:t>–</w:t>
      </w:r>
      <w:r w:rsidRPr="001623E9">
        <w:rPr>
          <w:rStyle w:val="affairetitle"/>
        </w:rPr>
        <w:t>72].</w:t>
      </w:r>
    </w:p>
  </w:footnote>
  <w:footnote w:id="51">
    <w:p w14:paraId="1DAB5F2A" w14:textId="124A1BBB"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Parliament and Council</w:t>
      </w:r>
      <w:r w:rsidRPr="001623E9">
        <w:t xml:space="preserve"> (C-43/12) </w:t>
      </w:r>
      <w:r w:rsidRPr="001623E9">
        <w:rPr>
          <w:rStyle w:val="outputecliaff"/>
        </w:rPr>
        <w:t>EU:C: 2014:298</w:t>
      </w:r>
      <w:r w:rsidRPr="001623E9">
        <w:t>, at [32–43, 45-49].</w:t>
      </w:r>
    </w:p>
  </w:footnote>
  <w:footnote w:id="52">
    <w:p w14:paraId="119D3F59" w14:textId="1EE0CCAA" w:rsidR="000272D5" w:rsidRPr="001623E9" w:rsidRDefault="000272D5" w:rsidP="005F44F9">
      <w:pPr>
        <w:pStyle w:val="Fotnotstext"/>
        <w:spacing w:before="0"/>
      </w:pPr>
      <w:r w:rsidRPr="001623E9">
        <w:rPr>
          <w:rStyle w:val="Fotnotsreferens"/>
        </w:rPr>
        <w:footnoteRef/>
      </w:r>
      <w:r w:rsidRPr="001623E9">
        <w:t xml:space="preserve"> See </w:t>
      </w:r>
      <w:r w:rsidRPr="001623E9">
        <w:rPr>
          <w:i/>
          <w:iCs/>
        </w:rPr>
        <w:t xml:space="preserve">UK v </w:t>
      </w:r>
      <w:r w:rsidRPr="001623E9">
        <w:rPr>
          <w:i/>
        </w:rPr>
        <w:t xml:space="preserve">Council </w:t>
      </w:r>
      <w:r w:rsidRPr="001623E9">
        <w:t xml:space="preserve">(C-656/11) </w:t>
      </w:r>
      <w:r w:rsidRPr="001623E9">
        <w:rPr>
          <w:rStyle w:val="outputecliaff"/>
        </w:rPr>
        <w:t xml:space="preserve">EU:C: 2014:97, </w:t>
      </w:r>
      <w:r w:rsidRPr="001623E9">
        <w:rPr>
          <w:iCs/>
        </w:rPr>
        <w:t>at [65</w:t>
      </w:r>
      <w:r w:rsidRPr="001623E9">
        <w:t>–</w:t>
      </w:r>
      <w:r w:rsidRPr="001623E9">
        <w:rPr>
          <w:iCs/>
        </w:rPr>
        <w:t>66];</w:t>
      </w:r>
      <w:r w:rsidRPr="001623E9">
        <w:t xml:space="preserve"> </w:t>
      </w:r>
      <w:r w:rsidRPr="001623E9">
        <w:rPr>
          <w:i/>
        </w:rPr>
        <w:t>UK v Council</w:t>
      </w:r>
      <w:r w:rsidRPr="001623E9">
        <w:t xml:space="preserve"> (C-81/13) </w:t>
      </w:r>
      <w:r w:rsidRPr="001623E9">
        <w:rPr>
          <w:rStyle w:val="outputecliaff"/>
        </w:rPr>
        <w:t>EU:C:2014:2449</w:t>
      </w:r>
      <w:r w:rsidRPr="001623E9">
        <w:t>, at [40–46].</w:t>
      </w:r>
    </w:p>
  </w:footnote>
  <w:footnote w:id="53">
    <w:p w14:paraId="526E94EA" w14:textId="43DCD0BA" w:rsidR="000272D5" w:rsidRPr="001623E9" w:rsidRDefault="000272D5" w:rsidP="005F44F9">
      <w:pPr>
        <w:pStyle w:val="Fotnotstext"/>
        <w:spacing w:before="0"/>
      </w:pPr>
      <w:r w:rsidRPr="001623E9">
        <w:rPr>
          <w:rStyle w:val="Fotnotsreferens"/>
        </w:rPr>
        <w:footnoteRef/>
      </w:r>
      <w:r w:rsidRPr="001623E9">
        <w:t xml:space="preserve"> See</w:t>
      </w:r>
      <w:r w:rsidRPr="001623E9">
        <w:rPr>
          <w:i/>
          <w:iCs/>
        </w:rPr>
        <w:t xml:space="preserve"> UK v </w:t>
      </w:r>
      <w:r w:rsidRPr="001623E9">
        <w:rPr>
          <w:i/>
        </w:rPr>
        <w:t xml:space="preserve">Council </w:t>
      </w:r>
      <w:r w:rsidRPr="001623E9">
        <w:t xml:space="preserve">(C-656/11) </w:t>
      </w:r>
      <w:r w:rsidRPr="001623E9">
        <w:rPr>
          <w:rStyle w:val="outputecliaff"/>
        </w:rPr>
        <w:t>EU:C: 2014:97</w:t>
      </w:r>
      <w:r w:rsidRPr="001623E9">
        <w:rPr>
          <w:iCs/>
        </w:rPr>
        <w:t xml:space="preserve">, </w:t>
      </w:r>
      <w:r w:rsidRPr="001623E9">
        <w:t xml:space="preserve">at [47–66]; </w:t>
      </w:r>
      <w:r w:rsidRPr="001623E9">
        <w:rPr>
          <w:i/>
        </w:rPr>
        <w:t>Commission v Council</w:t>
      </w:r>
      <w:r w:rsidRPr="001623E9">
        <w:t xml:space="preserve"> (C- 377/12), </w:t>
      </w:r>
      <w:r w:rsidRPr="001623E9">
        <w:rPr>
          <w:rStyle w:val="outputecliaff"/>
        </w:rPr>
        <w:t>EU:C:2014:1903</w:t>
      </w:r>
      <w:r w:rsidRPr="001623E9">
        <w:t xml:space="preserve">, at [36–60]; </w:t>
      </w:r>
      <w:r w:rsidRPr="001623E9">
        <w:rPr>
          <w:i/>
        </w:rPr>
        <w:t>UK v Council</w:t>
      </w:r>
      <w:r w:rsidRPr="001623E9">
        <w:t xml:space="preserve"> (C-81/13) </w:t>
      </w:r>
      <w:r w:rsidRPr="001623E9">
        <w:rPr>
          <w:rStyle w:val="outputecliaff"/>
        </w:rPr>
        <w:t xml:space="preserve">EU:C:2014:2449, at </w:t>
      </w:r>
      <w:r w:rsidRPr="001623E9">
        <w:t>[55–69];</w:t>
      </w:r>
      <w:r w:rsidRPr="001623E9">
        <w:rPr>
          <w:i/>
        </w:rPr>
        <w:t xml:space="preserve"> Ireland v Parliament and Council</w:t>
      </w:r>
      <w:r w:rsidRPr="001623E9">
        <w:t xml:space="preserve"> (C-301/06) </w:t>
      </w:r>
      <w:r w:rsidRPr="001623E9">
        <w:rPr>
          <w:rStyle w:val="outputecliaff"/>
        </w:rPr>
        <w:t>EU:C: 2009:68</w:t>
      </w:r>
      <w:r w:rsidRPr="001623E9">
        <w:t>, at [56–92].</w:t>
      </w:r>
    </w:p>
  </w:footnote>
  <w:footnote w:id="54">
    <w:p w14:paraId="7753B9DC" w14:textId="576362DD"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(C-137/12)</w:t>
      </w:r>
      <w:r w:rsidRPr="001623E9">
        <w:rPr>
          <w:i/>
        </w:rPr>
        <w:t xml:space="preserve"> </w:t>
      </w:r>
      <w:r w:rsidRPr="001623E9">
        <w:rPr>
          <w:rStyle w:val="outputecliaff"/>
        </w:rPr>
        <w:t>EU:C: 2013:675, [at</w:t>
      </w:r>
      <w:r w:rsidRPr="001623E9">
        <w:t xml:space="preserve"> 72–75]; </w:t>
      </w:r>
      <w:r w:rsidRPr="001623E9">
        <w:rPr>
          <w:i/>
          <w:iCs/>
        </w:rPr>
        <w:t xml:space="preserve">UK v </w:t>
      </w:r>
      <w:r w:rsidRPr="001623E9">
        <w:rPr>
          <w:i/>
        </w:rPr>
        <w:t xml:space="preserve">Council </w:t>
      </w:r>
      <w:r w:rsidRPr="001623E9">
        <w:t xml:space="preserve">(C-656/11) </w:t>
      </w:r>
      <w:r w:rsidRPr="001623E9">
        <w:rPr>
          <w:rStyle w:val="outputecliaff"/>
        </w:rPr>
        <w:t xml:space="preserve">EU:C: 2014:97, at </w:t>
      </w:r>
      <w:r w:rsidRPr="001623E9">
        <w:t xml:space="preserve">[49–50]; </w:t>
      </w:r>
      <w:r w:rsidRPr="001623E9">
        <w:rPr>
          <w:i/>
        </w:rPr>
        <w:t>UK v Council</w:t>
      </w:r>
      <w:r w:rsidRPr="001623E9">
        <w:t xml:space="preserve"> (C-81/13) </w:t>
      </w:r>
      <w:r w:rsidRPr="001623E9">
        <w:rPr>
          <w:rStyle w:val="outputecliaff"/>
        </w:rPr>
        <w:t xml:space="preserve">EU:C:2014:2449, [at </w:t>
      </w:r>
      <w:r w:rsidRPr="001623E9">
        <w:t>21].</w:t>
      </w:r>
    </w:p>
  </w:footnote>
  <w:footnote w:id="55">
    <w:p w14:paraId="39191B84" w14:textId="425E5B61" w:rsidR="000272D5" w:rsidRPr="001623E9" w:rsidRDefault="000272D5" w:rsidP="005F44F9">
      <w:pPr>
        <w:pStyle w:val="Fotnotstext"/>
        <w:spacing w:before="0"/>
      </w:pPr>
      <w:r w:rsidRPr="001623E9">
        <w:rPr>
          <w:rStyle w:val="Fotnotsreferens"/>
        </w:rPr>
        <w:footnoteRef/>
      </w:r>
      <w:r w:rsidRPr="001623E9">
        <w:t xml:space="preserve"> This thesis is powerfully argued by S</w:t>
      </w:r>
      <w:r w:rsidR="00B403EB" w:rsidRPr="001623E9">
        <w:t>.</w:t>
      </w:r>
      <w:r w:rsidRPr="001623E9">
        <w:t xml:space="preserve"> </w:t>
      </w:r>
      <w:proofErr w:type="spellStart"/>
      <w:r w:rsidRPr="001623E9">
        <w:t>Miettinen</w:t>
      </w:r>
      <w:proofErr w:type="spellEnd"/>
      <w:r w:rsidRPr="001623E9">
        <w:t xml:space="preserve">, ‘Criminal competence and the choice of legal basis: space in the margins?’ (2015) 5 </w:t>
      </w:r>
      <w:r w:rsidRPr="001623E9">
        <w:rPr>
          <w:i/>
        </w:rPr>
        <w:t>European Criminal Law Review</w:t>
      </w:r>
      <w:r w:rsidRPr="001623E9">
        <w:t xml:space="preserve"> 222, pp. 235, 241–242.</w:t>
      </w:r>
    </w:p>
  </w:footnote>
  <w:footnote w:id="56">
    <w:p w14:paraId="134171FE" w14:textId="320BA217" w:rsidR="000272D5" w:rsidRPr="001623E9" w:rsidRDefault="000272D5" w:rsidP="005F44F9">
      <w:pPr>
        <w:pStyle w:val="Fotnotstext"/>
        <w:spacing w:before="0"/>
      </w:pPr>
      <w:r w:rsidRPr="001623E9">
        <w:rPr>
          <w:rStyle w:val="Fotnotsreferens"/>
        </w:rPr>
        <w:footnoteRef/>
      </w:r>
      <w:r w:rsidRPr="001623E9">
        <w:t xml:space="preserve"> See </w:t>
      </w:r>
      <w:r w:rsidRPr="001623E9">
        <w:rPr>
          <w:i/>
          <w:iCs/>
        </w:rPr>
        <w:t xml:space="preserve">UK v </w:t>
      </w:r>
      <w:r w:rsidRPr="001623E9">
        <w:rPr>
          <w:i/>
        </w:rPr>
        <w:t xml:space="preserve">Council </w:t>
      </w:r>
      <w:r w:rsidRPr="001623E9">
        <w:t xml:space="preserve">(C-656/11) </w:t>
      </w:r>
      <w:r w:rsidRPr="001623E9">
        <w:rPr>
          <w:rStyle w:val="outputecliaff"/>
        </w:rPr>
        <w:t>EU:C: 2014:97</w:t>
      </w:r>
      <w:r w:rsidRPr="001623E9">
        <w:t xml:space="preserve">, at [52-63]; </w:t>
      </w:r>
      <w:r w:rsidRPr="001623E9">
        <w:rPr>
          <w:i/>
        </w:rPr>
        <w:t>UK v Council</w:t>
      </w:r>
      <w:r w:rsidRPr="001623E9">
        <w:t xml:space="preserve"> (C-81/13) </w:t>
      </w:r>
      <w:r w:rsidRPr="001623E9">
        <w:rPr>
          <w:rStyle w:val="outputecliaff"/>
        </w:rPr>
        <w:t>EU:C:2014:2449, at [</w:t>
      </w:r>
      <w:r w:rsidRPr="001623E9">
        <w:t>40-52]. The decisions in both judgments were properly based on art. 48 TFEU (although art. 217 TFEU had to be added in the Turkey judgment).</w:t>
      </w:r>
    </w:p>
  </w:footnote>
  <w:footnote w:id="57">
    <w:p w14:paraId="54F34ECE" w14:textId="74E66D90"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(C- 377/12), </w:t>
      </w:r>
      <w:r w:rsidRPr="001623E9">
        <w:rPr>
          <w:rStyle w:val="outputecliaff"/>
        </w:rPr>
        <w:t>EU:C:2014:1903</w:t>
      </w:r>
      <w:r w:rsidRPr="001623E9">
        <w:t>, at [42-59].</w:t>
      </w:r>
    </w:p>
  </w:footnote>
  <w:footnote w:id="58">
    <w:p w14:paraId="04EE14D6" w14:textId="48539CD1" w:rsidR="000272D5" w:rsidRPr="001623E9" w:rsidRDefault="000272D5" w:rsidP="005F44F9">
      <w:pPr>
        <w:pStyle w:val="Fotnotstext"/>
        <w:tabs>
          <w:tab w:val="right" w:pos="9072"/>
        </w:tabs>
        <w:spacing w:before="0"/>
      </w:pPr>
      <w:r w:rsidRPr="001623E9">
        <w:rPr>
          <w:rStyle w:val="Fotnotsreferens"/>
        </w:rPr>
        <w:footnoteRef/>
      </w:r>
      <w:r w:rsidRPr="001623E9">
        <w:t xml:space="preserve"> See R.</w:t>
      </w:r>
      <w:r w:rsidRPr="001623E9">
        <w:rPr>
          <w:rFonts w:ascii="Times" w:hAnsi="Times"/>
        </w:rPr>
        <w:t xml:space="preserve"> </w:t>
      </w:r>
      <w:proofErr w:type="spellStart"/>
      <w:r w:rsidRPr="001623E9">
        <w:rPr>
          <w:rFonts w:ascii="Times" w:hAnsi="Times"/>
        </w:rPr>
        <w:t>Schütze</w:t>
      </w:r>
      <w:proofErr w:type="spellEnd"/>
      <w:r w:rsidRPr="001623E9">
        <w:t xml:space="preserve">, </w:t>
      </w:r>
      <w:r w:rsidRPr="001623E9">
        <w:rPr>
          <w:i/>
        </w:rPr>
        <w:t>From Dual to Cooperative Federalism</w:t>
      </w:r>
      <w:r w:rsidRPr="001623E9">
        <w:t>, (</w:t>
      </w:r>
      <w:r w:rsidR="00B403EB" w:rsidRPr="001623E9">
        <w:t>Oxford: Oxford</w:t>
      </w:r>
      <w:r w:rsidRPr="001623E9">
        <w:t xml:space="preserve"> University Press, 2009), pp. 135-150; G. Davies, ‘Democracy and Legitimacy in the Shadow of Purposive Competence’ (2015) 21 E.L.J. 2. doi:10.1111/eulj.12079.</w:t>
      </w:r>
    </w:p>
  </w:footnote>
  <w:footnote w:id="59">
    <w:p w14:paraId="6FD4B880" w14:textId="2FAB1616" w:rsidR="000272D5" w:rsidRPr="001623E9" w:rsidRDefault="000272D5" w:rsidP="005F44F9">
      <w:pPr>
        <w:pStyle w:val="Fotnotstext"/>
        <w:spacing w:before="0"/>
      </w:pPr>
      <w:r w:rsidRPr="001623E9">
        <w:rPr>
          <w:rStyle w:val="Fotnotsreferens"/>
        </w:rPr>
        <w:footnoteRef/>
      </w:r>
      <w:r w:rsidRPr="001623E9">
        <w:t xml:space="preserve"> Where the ’ordinary legislative’ procedure (see arts 289, 294 TFEU) applies.</w:t>
      </w:r>
    </w:p>
  </w:footnote>
  <w:footnote w:id="60">
    <w:p w14:paraId="4B206CB5" w14:textId="4F986D5F" w:rsidR="000272D5" w:rsidRPr="001623E9" w:rsidRDefault="000272D5" w:rsidP="005F44F9">
      <w:pPr>
        <w:pStyle w:val="Fotnotstext"/>
        <w:spacing w:before="0"/>
      </w:pPr>
      <w:r w:rsidRPr="001623E9">
        <w:rPr>
          <w:rStyle w:val="Fotnotsreferens"/>
        </w:rPr>
        <w:footnoteRef/>
      </w:r>
      <w:r w:rsidRPr="001623E9">
        <w:t xml:space="preserve"> See above </w:t>
      </w:r>
      <w:proofErr w:type="spellStart"/>
      <w:r w:rsidRPr="001623E9">
        <w:t>fn</w:t>
      </w:r>
      <w:proofErr w:type="spellEnd"/>
      <w:r w:rsidRPr="001623E9">
        <w:t xml:space="preserve"> 58.</w:t>
      </w:r>
    </w:p>
  </w:footnote>
  <w:footnote w:id="61">
    <w:p w14:paraId="5F50A000" w14:textId="3B70F683" w:rsidR="000272D5" w:rsidRPr="001623E9" w:rsidRDefault="000272D5" w:rsidP="005F44F9">
      <w:pPr>
        <w:pStyle w:val="Fotnotstext"/>
        <w:spacing w:before="0"/>
      </w:pPr>
      <w:r w:rsidRPr="001623E9">
        <w:rPr>
          <w:rStyle w:val="Fotnotsreferens"/>
        </w:rPr>
        <w:footnoteRef/>
      </w:r>
      <w:r w:rsidRPr="001623E9">
        <w:t xml:space="preserve">[1998] OJ 1998 L 320/54; </w:t>
      </w:r>
      <w:r w:rsidRPr="001623E9">
        <w:rPr>
          <w:i/>
        </w:rPr>
        <w:t>Commission v Council</w:t>
      </w:r>
      <w:r w:rsidRPr="001623E9">
        <w:t xml:space="preserve"> (C-137/12)</w:t>
      </w:r>
      <w:r w:rsidRPr="001623E9">
        <w:rPr>
          <w:i/>
        </w:rPr>
        <w:t xml:space="preserve"> </w:t>
      </w:r>
      <w:r w:rsidRPr="001623E9">
        <w:rPr>
          <w:rStyle w:val="outputecliaff"/>
        </w:rPr>
        <w:t xml:space="preserve">EU:C: 2013:675, at </w:t>
      </w:r>
      <w:r w:rsidRPr="001623E9">
        <w:t>[44-50].</w:t>
      </w:r>
    </w:p>
  </w:footnote>
  <w:footnote w:id="62">
    <w:p w14:paraId="0C24758C" w14:textId="303D7546"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(C-137/12)</w:t>
      </w:r>
      <w:r w:rsidRPr="001623E9">
        <w:rPr>
          <w:i/>
        </w:rPr>
        <w:t xml:space="preserve"> </w:t>
      </w:r>
      <w:r w:rsidRPr="001623E9">
        <w:rPr>
          <w:rStyle w:val="outputecliaff"/>
        </w:rPr>
        <w:t>EU:C: 2013:675, at</w:t>
      </w:r>
      <w:r w:rsidRPr="001623E9">
        <w:t xml:space="preserve"> [70-76].</w:t>
      </w:r>
    </w:p>
  </w:footnote>
  <w:footnote w:id="63">
    <w:p w14:paraId="1FBF140A" w14:textId="1612DB63" w:rsidR="000272D5" w:rsidRPr="001623E9" w:rsidRDefault="000272D5" w:rsidP="005F44F9">
      <w:pPr>
        <w:pStyle w:val="Fotnotstext"/>
        <w:spacing w:before="0"/>
      </w:pPr>
      <w:r w:rsidRPr="001623E9">
        <w:rPr>
          <w:rStyle w:val="Fotnotsreferens"/>
        </w:rPr>
        <w:footnoteRef/>
      </w:r>
      <w:r w:rsidRPr="001623E9">
        <w:t xml:space="preserve"> European Convention on the legal protection of services based on, or consisting of, conditional access [2011] OJ 2011 L 336/2.</w:t>
      </w:r>
    </w:p>
  </w:footnote>
  <w:footnote w:id="64">
    <w:p w14:paraId="47579983" w14:textId="1ABE5F71"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(C-137/12)</w:t>
      </w:r>
      <w:r w:rsidRPr="001623E9">
        <w:rPr>
          <w:i/>
        </w:rPr>
        <w:t xml:space="preserve"> </w:t>
      </w:r>
      <w:r w:rsidRPr="001623E9">
        <w:rPr>
          <w:rStyle w:val="outputecliaff"/>
        </w:rPr>
        <w:t xml:space="preserve">EU:C: 2013:675, at </w:t>
      </w:r>
      <w:r w:rsidRPr="001623E9">
        <w:t>[70-74].</w:t>
      </w:r>
    </w:p>
  </w:footnote>
  <w:footnote w:id="65">
    <w:p w14:paraId="488C103A" w14:textId="54569D44" w:rsidR="000272D5" w:rsidRPr="001623E9" w:rsidRDefault="000272D5" w:rsidP="005F44F9">
      <w:pPr>
        <w:pStyle w:val="Fotnotstext"/>
        <w:spacing w:before="0"/>
        <w:rPr>
          <w:i/>
        </w:rPr>
      </w:pPr>
      <w:r w:rsidRPr="001623E9">
        <w:rPr>
          <w:rStyle w:val="Fotnotsreferens"/>
        </w:rPr>
        <w:footnoteRef/>
      </w:r>
      <w:r w:rsidRPr="001623E9">
        <w:t xml:space="preserve"> See above subs. ‘</w:t>
      </w:r>
      <w:r w:rsidRPr="001623E9">
        <w:rPr>
          <w:i/>
        </w:rPr>
        <w:t xml:space="preserve">The core argument- principled, systemic and teleological considerations’ </w:t>
      </w:r>
      <w:r w:rsidRPr="001623E9">
        <w:t>for this argument.</w:t>
      </w:r>
    </w:p>
  </w:footnote>
  <w:footnote w:id="66">
    <w:p w14:paraId="2DF74110" w14:textId="2BF8838B" w:rsidR="000272D5" w:rsidRPr="001623E9" w:rsidRDefault="000272D5" w:rsidP="005F44F9">
      <w:pPr>
        <w:pStyle w:val="Fotnotstext"/>
        <w:spacing w:before="0"/>
      </w:pPr>
      <w:r w:rsidRPr="001623E9">
        <w:rPr>
          <w:rStyle w:val="Fotnotsreferens"/>
        </w:rPr>
        <w:footnoteRef/>
      </w:r>
      <w:r w:rsidRPr="001623E9">
        <w:t xml:space="preserve"> The Court’s approach could be explained with reference to the need of protecting the Union’s Common Commercial Policy (‘CCP’): See B. Van </w:t>
      </w:r>
      <w:proofErr w:type="spellStart"/>
      <w:r w:rsidRPr="001623E9">
        <w:t>Vooren</w:t>
      </w:r>
      <w:proofErr w:type="spellEnd"/>
      <w:r w:rsidRPr="001623E9">
        <w:t xml:space="preserve"> and R. A. Wessel, </w:t>
      </w:r>
      <w:r w:rsidRPr="001623E9">
        <w:rPr>
          <w:i/>
        </w:rPr>
        <w:t>EU External Relations Law: Text, Cases and Materials</w:t>
      </w:r>
      <w:r w:rsidRPr="001623E9">
        <w:t xml:space="preserve">, (Cambridge, Cambridge University Press, 2014) 142-158, 162-169 analysing the case law on the scope of the CCP </w:t>
      </w:r>
      <w:proofErr w:type="gramStart"/>
      <w:r w:rsidRPr="001623E9">
        <w:t>with regard to</w:t>
      </w:r>
      <w:proofErr w:type="gramEnd"/>
      <w:r w:rsidRPr="001623E9">
        <w:t xml:space="preserve"> legal basis disputes.</w:t>
      </w:r>
    </w:p>
  </w:footnote>
  <w:footnote w:id="67">
    <w:p w14:paraId="1D550FFC" w14:textId="1EDAED64" w:rsidR="000272D5" w:rsidRPr="001623E9" w:rsidRDefault="000272D5" w:rsidP="005F44F9">
      <w:pPr>
        <w:pStyle w:val="Fotnotstext"/>
        <w:spacing w:before="0"/>
      </w:pPr>
      <w:r w:rsidRPr="001623E9">
        <w:rPr>
          <w:rStyle w:val="Fotnotsreferens"/>
        </w:rPr>
        <w:footnoteRef/>
      </w:r>
      <w:r w:rsidRPr="001623E9">
        <w:t xml:space="preserve"> See Directive </w:t>
      </w:r>
      <w:r w:rsidRPr="001623E9">
        <w:rPr>
          <w:rStyle w:val="at8"/>
        </w:rPr>
        <w:t>2011/82/EU of the European Parliament and of the Council of 25 October 2011 facilitating the cross-border exchange of information on road safety related traffic offences [2011] OJ 2011 L 288/1.</w:t>
      </w:r>
    </w:p>
  </w:footnote>
  <w:footnote w:id="68">
    <w:p w14:paraId="0CEB3F10" w14:textId="047C6D0B"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Parliament and Council</w:t>
      </w:r>
      <w:r w:rsidRPr="001623E9">
        <w:t xml:space="preserve"> (C-43/12) </w:t>
      </w:r>
      <w:r w:rsidRPr="001623E9">
        <w:rPr>
          <w:rStyle w:val="outputecliaff"/>
        </w:rPr>
        <w:t xml:space="preserve">EU:C: 2014:298, at </w:t>
      </w:r>
      <w:r w:rsidRPr="001623E9">
        <w:t>[32-44].</w:t>
      </w:r>
    </w:p>
  </w:footnote>
  <w:footnote w:id="69">
    <w:p w14:paraId="12C238BB" w14:textId="12D68F6A"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Parliament and Council</w:t>
      </w:r>
      <w:r w:rsidRPr="001623E9">
        <w:t xml:space="preserve"> (C-43/12) </w:t>
      </w:r>
      <w:r w:rsidRPr="001623E9">
        <w:rPr>
          <w:rStyle w:val="outputecliaff"/>
        </w:rPr>
        <w:t>EU:C: 2014:298, at [</w:t>
      </w:r>
      <w:r w:rsidRPr="001623E9">
        <w:t>20, 46-49].</w:t>
      </w:r>
    </w:p>
  </w:footnote>
  <w:footnote w:id="70">
    <w:p w14:paraId="2ECFC87C" w14:textId="6596D578" w:rsidR="000272D5" w:rsidRPr="001623E9" w:rsidRDefault="000272D5" w:rsidP="005F44F9">
      <w:pPr>
        <w:pStyle w:val="Fotnotstext"/>
        <w:spacing w:before="0"/>
      </w:pPr>
      <w:r w:rsidRPr="001623E9">
        <w:rPr>
          <w:rStyle w:val="Fotnotsreferens"/>
        </w:rPr>
        <w:footnoteRef/>
      </w:r>
      <w:r w:rsidRPr="001623E9">
        <w:t xml:space="preserve"> See Directive </w:t>
      </w:r>
      <w:r w:rsidRPr="001623E9">
        <w:rPr>
          <w:rStyle w:val="at8"/>
        </w:rPr>
        <w:t xml:space="preserve">2011/82/EU of the European Parliament and of the Council of 25 October 2011 facilitating the cross-border exchange of information on road safety related traffic offences [2011] OJ 2011 L 288, </w:t>
      </w:r>
      <w:r w:rsidRPr="001623E9">
        <w:t>recitals 3, 6 and 7.</w:t>
      </w:r>
    </w:p>
  </w:footnote>
  <w:footnote w:id="71">
    <w:p w14:paraId="421EEB73" w14:textId="2B99F45D" w:rsidR="000272D5" w:rsidRPr="001623E9" w:rsidRDefault="000272D5" w:rsidP="005F44F9">
      <w:pPr>
        <w:pStyle w:val="Fotnotstext"/>
        <w:spacing w:before="0"/>
      </w:pPr>
      <w:r w:rsidRPr="001623E9">
        <w:rPr>
          <w:rStyle w:val="Fotnotsreferens"/>
        </w:rPr>
        <w:footnoteRef/>
      </w:r>
      <w:r w:rsidRPr="001623E9">
        <w:t xml:space="preserve"> See art. 67(3) TFEU.</w:t>
      </w:r>
    </w:p>
  </w:footnote>
  <w:footnote w:id="72">
    <w:p w14:paraId="3600A7DB" w14:textId="2F5E2002" w:rsidR="000272D5" w:rsidRPr="001623E9" w:rsidRDefault="000272D5" w:rsidP="005F44F9">
      <w:pPr>
        <w:pStyle w:val="Fotnotstext"/>
        <w:spacing w:before="0"/>
      </w:pPr>
      <w:r w:rsidRPr="001623E9">
        <w:rPr>
          <w:rStyle w:val="Fotnotsreferens"/>
        </w:rPr>
        <w:footnoteRef/>
      </w:r>
      <w:r w:rsidRPr="001623E9">
        <w:t xml:space="preserve"> See A.G. Bot in</w:t>
      </w:r>
      <w:r w:rsidRPr="001623E9">
        <w:rPr>
          <w:i/>
        </w:rPr>
        <w:t xml:space="preserve"> Commission v Parliament and Council</w:t>
      </w:r>
      <w:r w:rsidRPr="001623E9">
        <w:t xml:space="preserve"> (C-43/12) </w:t>
      </w:r>
      <w:r w:rsidRPr="001623E9">
        <w:rPr>
          <w:rStyle w:val="outputecliaff"/>
        </w:rPr>
        <w:t xml:space="preserve">EU:C: 2014:298, </w:t>
      </w:r>
      <w:r w:rsidRPr="001623E9">
        <w:t>at [71].</w:t>
      </w:r>
    </w:p>
  </w:footnote>
  <w:footnote w:id="73">
    <w:p w14:paraId="16B38FAE" w14:textId="3D7449DA" w:rsidR="000272D5" w:rsidRPr="001623E9" w:rsidRDefault="000272D5" w:rsidP="005F44F9">
      <w:pPr>
        <w:pStyle w:val="Fotnotstext"/>
        <w:spacing w:before="0"/>
      </w:pPr>
      <w:r w:rsidRPr="001623E9">
        <w:rPr>
          <w:rStyle w:val="Fotnotsreferens"/>
        </w:rPr>
        <w:footnoteRef/>
      </w:r>
      <w:r w:rsidRPr="001623E9">
        <w:t xml:space="preserve"> See art. 87 TFEU stating that police cooperation should involve’ the prevention, detection and investigation of criminal offences’. </w:t>
      </w:r>
    </w:p>
  </w:footnote>
  <w:footnote w:id="74">
    <w:p w14:paraId="76109C01" w14:textId="4BB3A7F7" w:rsidR="000272D5" w:rsidRPr="001623E9" w:rsidRDefault="000272D5" w:rsidP="005F44F9">
      <w:pPr>
        <w:pStyle w:val="Fotnotstext"/>
        <w:spacing w:before="0"/>
      </w:pPr>
      <w:r w:rsidRPr="001623E9">
        <w:rPr>
          <w:rStyle w:val="Fotnotsreferens"/>
        </w:rPr>
        <w:footnoteRef/>
      </w:r>
      <w:r w:rsidRPr="001623E9">
        <w:t>See A.G. Bot in</w:t>
      </w:r>
      <w:r w:rsidRPr="001623E9">
        <w:rPr>
          <w:i/>
        </w:rPr>
        <w:t xml:space="preserve"> Commission v Parliament and Council</w:t>
      </w:r>
      <w:r w:rsidRPr="001623E9">
        <w:t xml:space="preserve"> (C-43/12) </w:t>
      </w:r>
      <w:r w:rsidRPr="001623E9">
        <w:rPr>
          <w:rStyle w:val="outputecliaff"/>
        </w:rPr>
        <w:t xml:space="preserve">EU:C: 2014:298, </w:t>
      </w:r>
      <w:r w:rsidRPr="001623E9">
        <w:t>at [20-68]. AG Bot convincingly referred to the EU institutions’ views on the matter to support his argument: Council Framework Decision 2005/214/JHA of 24 February 2005 on the application of the principle of mutual recognition to financial penalties [2005] OJ 2005 L 76/16, recital 4, art. 5(1); The Stockholm Programme — an open and secure Europe serving and protecting citizens, [2010] OJ 2010 C 115/1, at [3.1.1].</w:t>
      </w:r>
    </w:p>
  </w:footnote>
  <w:footnote w:id="75">
    <w:p w14:paraId="00C801B2" w14:textId="4362C034"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Ireland v Parliament and Council</w:t>
      </w:r>
      <w:r w:rsidRPr="001623E9">
        <w:t xml:space="preserve"> (C-301/06) </w:t>
      </w:r>
      <w:r w:rsidRPr="001623E9">
        <w:rPr>
          <w:rStyle w:val="outputecliaff"/>
        </w:rPr>
        <w:t>EU:C: 2009:68, at [</w:t>
      </w:r>
      <w:r w:rsidRPr="001623E9">
        <w:t>83].</w:t>
      </w:r>
    </w:p>
  </w:footnote>
  <w:footnote w:id="76">
    <w:p w14:paraId="0C076789" w14:textId="3A2945DA" w:rsidR="000272D5" w:rsidRPr="001623E9" w:rsidRDefault="000272D5" w:rsidP="005F44F9">
      <w:pPr>
        <w:pStyle w:val="Fotnotstext"/>
        <w:spacing w:before="0"/>
      </w:pPr>
      <w:r w:rsidRPr="001623E9">
        <w:rPr>
          <w:rStyle w:val="Fotnotsreferens"/>
        </w:rPr>
        <w:footnoteRef/>
      </w:r>
      <w:r w:rsidRPr="001623E9">
        <w:t xml:space="preserve"> See </w:t>
      </w:r>
      <w:r w:rsidRPr="001623E9">
        <w:rPr>
          <w:i/>
          <w:iCs/>
        </w:rPr>
        <w:t>United Kingdom</w:t>
      </w:r>
      <w:r w:rsidRPr="001623E9">
        <w:t xml:space="preserve"> v </w:t>
      </w:r>
      <w:r w:rsidRPr="001623E9">
        <w:rPr>
          <w:i/>
          <w:iCs/>
        </w:rPr>
        <w:t>Council</w:t>
      </w:r>
      <w:r w:rsidRPr="001623E9">
        <w:t xml:space="preserve"> (C</w:t>
      </w:r>
      <w:r w:rsidRPr="001623E9">
        <w:noBreakHyphen/>
        <w:t xml:space="preserve">482/08) </w:t>
      </w:r>
      <w:r w:rsidRPr="001623E9">
        <w:rPr>
          <w:rStyle w:val="outputecliaff"/>
        </w:rPr>
        <w:t>EU:</w:t>
      </w:r>
      <w:r w:rsidR="00D84FB5" w:rsidRPr="001623E9">
        <w:rPr>
          <w:rStyle w:val="outputecliaff"/>
        </w:rPr>
        <w:t>C: 2010:631</w:t>
      </w:r>
      <w:r w:rsidRPr="001623E9">
        <w:t>, at [50-51].</w:t>
      </w:r>
    </w:p>
  </w:footnote>
  <w:footnote w:id="77">
    <w:p w14:paraId="44567DCB" w14:textId="2E4C7592" w:rsidR="000272D5" w:rsidRPr="001623E9" w:rsidRDefault="000272D5" w:rsidP="005F44F9">
      <w:pPr>
        <w:autoSpaceDE w:val="0"/>
        <w:autoSpaceDN w:val="0"/>
        <w:adjustRightInd w:val="0"/>
        <w:spacing w:before="0" w:after="0" w:line="240" w:lineRule="auto"/>
        <w:rPr>
          <w:color w:val="231F20"/>
          <w:sz w:val="20"/>
          <w:szCs w:val="20"/>
        </w:rPr>
      </w:pPr>
      <w:r w:rsidRPr="001623E9">
        <w:rPr>
          <w:rStyle w:val="Fotnotsreferens"/>
          <w:sz w:val="20"/>
          <w:szCs w:val="20"/>
        </w:rPr>
        <w:footnoteRef/>
      </w:r>
      <w:r w:rsidRPr="001623E9">
        <w:rPr>
          <w:sz w:val="20"/>
          <w:szCs w:val="20"/>
        </w:rPr>
        <w:t xml:space="preserve"> </w:t>
      </w:r>
      <w:r w:rsidRPr="001623E9">
        <w:rPr>
          <w:color w:val="231F20"/>
          <w:sz w:val="20"/>
          <w:szCs w:val="20"/>
        </w:rPr>
        <w:t>See for literature supporting more generally that the Court favours the ‘integrationist’ path over protecting Member State prerogatives: (2012) 19 J.E.P.P., Special Issue: ‘Perpetual momentum? Reconsidering the power of the European Court of Justice’; A</w:t>
      </w:r>
      <w:r w:rsidR="00D84FB5" w:rsidRPr="001623E9">
        <w:rPr>
          <w:color w:val="231F20"/>
          <w:sz w:val="20"/>
          <w:szCs w:val="20"/>
        </w:rPr>
        <w:t>.</w:t>
      </w:r>
      <w:r w:rsidRPr="001623E9">
        <w:rPr>
          <w:color w:val="231F20"/>
          <w:sz w:val="20"/>
          <w:szCs w:val="20"/>
        </w:rPr>
        <w:t xml:space="preserve"> S</w:t>
      </w:r>
      <w:r w:rsidR="00D84FB5" w:rsidRPr="001623E9">
        <w:rPr>
          <w:color w:val="231F20"/>
          <w:sz w:val="20"/>
          <w:szCs w:val="20"/>
        </w:rPr>
        <w:t>.</w:t>
      </w:r>
      <w:r w:rsidRPr="001623E9">
        <w:rPr>
          <w:color w:val="231F20"/>
          <w:sz w:val="20"/>
          <w:szCs w:val="20"/>
        </w:rPr>
        <w:t xml:space="preserve"> Sweet, </w:t>
      </w:r>
      <w:r w:rsidRPr="001623E9">
        <w:rPr>
          <w:i/>
          <w:color w:val="231F20"/>
          <w:sz w:val="20"/>
          <w:szCs w:val="20"/>
        </w:rPr>
        <w:t>The Judicial Construction of Europe</w:t>
      </w:r>
      <w:r w:rsidRPr="001623E9">
        <w:rPr>
          <w:color w:val="231F20"/>
          <w:sz w:val="20"/>
          <w:szCs w:val="20"/>
        </w:rPr>
        <w:t xml:space="preserve">, (Oxford: Oxford University Press, 2004); J. H. H. </w:t>
      </w:r>
      <w:proofErr w:type="spellStart"/>
      <w:r w:rsidRPr="001623E9">
        <w:rPr>
          <w:color w:val="231F20"/>
          <w:sz w:val="20"/>
          <w:szCs w:val="20"/>
        </w:rPr>
        <w:t>Weiler</w:t>
      </w:r>
      <w:proofErr w:type="spellEnd"/>
      <w:r w:rsidRPr="001623E9">
        <w:rPr>
          <w:color w:val="231F20"/>
          <w:sz w:val="20"/>
          <w:szCs w:val="20"/>
        </w:rPr>
        <w:t xml:space="preserve">, ’The Transformation of Europe’ </w:t>
      </w:r>
      <w:r w:rsidRPr="001623E9">
        <w:rPr>
          <w:color w:val="000000"/>
          <w:sz w:val="20"/>
          <w:szCs w:val="20"/>
        </w:rPr>
        <w:t>(1991) 100 Yale L.J. 2403</w:t>
      </w:r>
      <w:r w:rsidRPr="001623E9">
        <w:rPr>
          <w:color w:val="231F20"/>
          <w:sz w:val="20"/>
          <w:szCs w:val="20"/>
        </w:rPr>
        <w:t>, pp. 2433- 2447.</w:t>
      </w:r>
    </w:p>
  </w:footnote>
  <w:footnote w:id="78">
    <w:p w14:paraId="3B01761C" w14:textId="74F54C2D" w:rsidR="000272D5" w:rsidRPr="001623E9" w:rsidRDefault="000272D5" w:rsidP="005F44F9">
      <w:pPr>
        <w:pStyle w:val="Fotnotstext"/>
        <w:spacing w:before="0"/>
      </w:pPr>
      <w:r w:rsidRPr="001623E9">
        <w:rPr>
          <w:rStyle w:val="Fotnotsreferens"/>
        </w:rPr>
        <w:footnoteRef/>
      </w:r>
      <w:r w:rsidRPr="001623E9">
        <w:t xml:space="preserve"> The Commission has for example reserved its right to challenge the legal basis of the PIF Directive in future litigation before the Court of Justice: Commission, ‘Communication from the Commission to the European Parliament pursuant to Article 294(6) of the Treaty on the Functioning of the European Union concerning the position of the Council at first reading with a view to the adoption of a Directive of the European Parliament and of the Council on the fight against fraud to the Union's financial interests by means of criminal law’, COM(2017) 246 final , 2-3.</w:t>
      </w:r>
    </w:p>
  </w:footnote>
  <w:footnote w:id="79">
    <w:p w14:paraId="71D7E94B" w14:textId="0CC37082" w:rsidR="000272D5" w:rsidRPr="001623E9" w:rsidRDefault="000272D5" w:rsidP="005F44F9">
      <w:pPr>
        <w:pStyle w:val="Fotnotstext"/>
        <w:spacing w:before="0"/>
      </w:pPr>
      <w:r w:rsidRPr="001623E9">
        <w:rPr>
          <w:rStyle w:val="Fotnotsreferens"/>
        </w:rPr>
        <w:footnoteRef/>
      </w:r>
      <w:r w:rsidRPr="001623E9">
        <w:t xml:space="preserve"> Money laundering has for a long time been a central policy for the EU legislator: See e.g. V. </w:t>
      </w:r>
      <w:proofErr w:type="spellStart"/>
      <w:r w:rsidRPr="001623E9">
        <w:t>Mitsilegas</w:t>
      </w:r>
      <w:proofErr w:type="spellEnd"/>
      <w:r w:rsidRPr="001623E9">
        <w:t xml:space="preserve">, </w:t>
      </w:r>
      <w:hyperlink r:id="rId2" w:history="1">
        <w:r w:rsidRPr="001623E9">
          <w:rPr>
            <w:i/>
            <w:iCs/>
          </w:rPr>
          <w:t>Money Laundering Counter-Measures in the EU: A New Paradigm of Security Governance versus Fundamental Legal Principles</w:t>
        </w:r>
      </w:hyperlink>
      <w:r w:rsidRPr="001623E9">
        <w:t xml:space="preserve"> (Alphen </w:t>
      </w:r>
      <w:proofErr w:type="spellStart"/>
      <w:r w:rsidRPr="001623E9">
        <w:t>aan</w:t>
      </w:r>
      <w:proofErr w:type="spellEnd"/>
      <w:r w:rsidRPr="001623E9">
        <w:t xml:space="preserve"> den Rijn: Kluwer Law International, 2003); </w:t>
      </w:r>
      <w:r w:rsidRPr="001623E9">
        <w:rPr>
          <w:rStyle w:val="author-name10"/>
          <w:rFonts w:eastAsiaTheme="majorEastAsia"/>
        </w:rPr>
        <w:t xml:space="preserve">B. Unger, J. </w:t>
      </w:r>
      <w:proofErr w:type="spellStart"/>
      <w:r w:rsidRPr="001623E9">
        <w:rPr>
          <w:rStyle w:val="author-name10"/>
          <w:rFonts w:eastAsiaTheme="majorEastAsia"/>
        </w:rPr>
        <w:t>Ferwerda</w:t>
      </w:r>
      <w:proofErr w:type="spellEnd"/>
      <w:r w:rsidRPr="001623E9">
        <w:rPr>
          <w:rStyle w:val="author-name10"/>
          <w:rFonts w:eastAsiaTheme="majorEastAsia"/>
        </w:rPr>
        <w:t xml:space="preserve">, M. van den </w:t>
      </w:r>
      <w:proofErr w:type="spellStart"/>
      <w:r w:rsidRPr="001623E9">
        <w:rPr>
          <w:rStyle w:val="author-name10"/>
          <w:rFonts w:eastAsiaTheme="majorEastAsia"/>
        </w:rPr>
        <w:t>Broek</w:t>
      </w:r>
      <w:proofErr w:type="spellEnd"/>
      <w:r w:rsidRPr="001623E9">
        <w:rPr>
          <w:rStyle w:val="author-name10"/>
          <w:rFonts w:eastAsiaTheme="majorEastAsia"/>
        </w:rPr>
        <w:t xml:space="preserve"> and I. </w:t>
      </w:r>
      <w:proofErr w:type="spellStart"/>
      <w:r w:rsidRPr="001623E9">
        <w:rPr>
          <w:rStyle w:val="author-name10"/>
          <w:rFonts w:eastAsiaTheme="majorEastAsia"/>
        </w:rPr>
        <w:t>Deleanu</w:t>
      </w:r>
      <w:proofErr w:type="spellEnd"/>
      <w:r w:rsidRPr="001623E9">
        <w:rPr>
          <w:rStyle w:val="author-name10"/>
          <w:rFonts w:eastAsiaTheme="majorEastAsia"/>
        </w:rPr>
        <w:t xml:space="preserve">, </w:t>
      </w:r>
      <w:r w:rsidRPr="001623E9">
        <w:rPr>
          <w:i/>
        </w:rPr>
        <w:t xml:space="preserve">The Economic and Legal Effectiveness of the European Union’s Anti-Money Laundering Policy </w:t>
      </w:r>
      <w:r w:rsidRPr="001623E9">
        <w:t xml:space="preserve">(Cheltenham: Edward Elgar Publishing, 2014); 1; European Council,’ The Stockholm Programme: An Open and Secure Europe Serving and Protecting Citizens’ (2010) OJ C 115/1. </w:t>
      </w:r>
    </w:p>
  </w:footnote>
  <w:footnote w:id="80">
    <w:p w14:paraId="35555DF9" w14:textId="2702E43D" w:rsidR="00D84FB5" w:rsidRPr="001623E9" w:rsidRDefault="000272D5" w:rsidP="005F44F9">
      <w:pPr>
        <w:pStyle w:val="Fotnotstext"/>
        <w:spacing w:before="0"/>
      </w:pPr>
      <w:r w:rsidRPr="001623E9">
        <w:rPr>
          <w:rStyle w:val="Fotnotsreferens"/>
        </w:rPr>
        <w:footnoteRef/>
      </w:r>
      <w:r w:rsidRPr="001623E9">
        <w:t xml:space="preserve"> See E. </w:t>
      </w:r>
      <w:proofErr w:type="spellStart"/>
      <w:r w:rsidRPr="001623E9">
        <w:t>Herlin-Karnell</w:t>
      </w:r>
      <w:proofErr w:type="spellEnd"/>
      <w:r w:rsidRPr="001623E9">
        <w:t xml:space="preserve">, </w:t>
      </w:r>
      <w:r w:rsidRPr="001623E9">
        <w:rPr>
          <w:i/>
        </w:rPr>
        <w:t>The Constitutional Dimension of European Criminal Law</w:t>
      </w:r>
      <w:r w:rsidRPr="001623E9">
        <w:t xml:space="preserve"> (Oxford: Hart Publishing, 2012) pp. 147–148. See for the debate in the United Kingdom: Letter of Lord Deighton on 4 December 2014 to Lord Boswell; Letter of Lord Deighton on 10 June 2014 to Lord Boswell; Letter from Lord Boswell on 14 January 2015 to Lord Deighton.</w:t>
      </w:r>
    </w:p>
  </w:footnote>
  <w:footnote w:id="81">
    <w:p w14:paraId="3C6DB71C" w14:textId="45DEB88D" w:rsidR="000272D5" w:rsidRPr="001623E9" w:rsidRDefault="000272D5" w:rsidP="005F44F9">
      <w:pPr>
        <w:pStyle w:val="Default"/>
        <w:rPr>
          <w:rFonts w:ascii="Times New Roman" w:hAnsi="Times New Roman" w:cs="Times New Roman"/>
          <w:sz w:val="20"/>
          <w:szCs w:val="20"/>
          <w:lang w:val="en-GB"/>
        </w:rPr>
      </w:pPr>
      <w:r w:rsidRPr="001623E9">
        <w:rPr>
          <w:rStyle w:val="Fotnotsreferens"/>
          <w:rFonts w:ascii="Times New Roman" w:hAnsi="Times New Roman" w:cs="Times New Roman"/>
          <w:sz w:val="20"/>
          <w:szCs w:val="20"/>
          <w:lang w:val="en-GB"/>
        </w:rPr>
        <w:footnoteRef/>
      </w:r>
      <w:r w:rsidRPr="001623E9">
        <w:rPr>
          <w:rFonts w:ascii="Times New Roman" w:hAnsi="Times New Roman" w:cs="Times New Roman"/>
          <w:sz w:val="20"/>
          <w:szCs w:val="20"/>
          <w:lang w:val="en-GB"/>
        </w:rPr>
        <w:t xml:space="preserve"> Commission, ’Proposal for a Directive of the European Parliament and of the Council on countering money laundering by criminal law’, COM (2016) 826 final. The Council has reached a general agreement on the text proposed by the Commission:</w:t>
      </w:r>
      <w:r w:rsidRPr="001623E9">
        <w:rPr>
          <w:sz w:val="20"/>
          <w:szCs w:val="20"/>
          <w:lang w:val="en-GB"/>
        </w:rPr>
        <w:t xml:space="preserve"> </w:t>
      </w:r>
      <w:hyperlink r:id="rId3" w:history="1">
        <w:r w:rsidRPr="001623E9">
          <w:rPr>
            <w:rFonts w:ascii="Times New Roman" w:hAnsi="Times New Roman" w:cs="Times New Roman"/>
            <w:sz w:val="20"/>
            <w:szCs w:val="20"/>
            <w:lang w:val="en-GB"/>
          </w:rPr>
          <w:t>http://www.consilium.europa.eu/en/press/press-releases/2017/06/08-countering-money-laundering-by-criminal-law/</w:t>
        </w:r>
      </w:hyperlink>
      <w:r w:rsidRPr="001623E9">
        <w:rPr>
          <w:rFonts w:ascii="Times New Roman" w:hAnsi="Times New Roman" w:cs="Times New Roman"/>
          <w:sz w:val="20"/>
          <w:szCs w:val="20"/>
          <w:lang w:val="en-GB"/>
        </w:rPr>
        <w:t xml:space="preserve">. See also Council, ‘Proposal for a Directive of the European Parliament and of the Council on countering money laundering by criminal law [First reading] - General approach’, </w:t>
      </w:r>
      <w:hyperlink r:id="rId4" w:history="1">
        <w:r w:rsidRPr="001623E9">
          <w:rPr>
            <w:rFonts w:ascii="Times New Roman" w:hAnsi="Times New Roman" w:cs="Times New Roman"/>
            <w:sz w:val="20"/>
            <w:szCs w:val="20"/>
            <w:lang w:val="en-GB"/>
          </w:rPr>
          <w:t>9718/17, 30 May 2017.</w:t>
        </w:r>
      </w:hyperlink>
    </w:p>
  </w:footnote>
  <w:footnote w:id="82">
    <w:p w14:paraId="58167660" w14:textId="4AB3E554" w:rsidR="000272D5" w:rsidRPr="001623E9" w:rsidRDefault="000272D5" w:rsidP="005F44F9">
      <w:pPr>
        <w:pStyle w:val="Fotnotstext"/>
        <w:spacing w:before="0"/>
      </w:pPr>
      <w:r w:rsidRPr="001623E9">
        <w:rPr>
          <w:rStyle w:val="Fotnotsreferens"/>
        </w:rPr>
        <w:footnoteRef/>
      </w:r>
      <w:r w:rsidRPr="001623E9">
        <w:t xml:space="preserve"> E. </w:t>
      </w:r>
      <w:proofErr w:type="spellStart"/>
      <w:r w:rsidRPr="001623E9">
        <w:t>Herlin-Karnell</w:t>
      </w:r>
      <w:proofErr w:type="spellEnd"/>
      <w:r w:rsidRPr="001623E9">
        <w:t>, ’</w:t>
      </w:r>
      <w:r w:rsidRPr="001623E9">
        <w:rPr>
          <w:bCs/>
        </w:rPr>
        <w:t>The Fight against White-Collar Crime as European Financial Crisis Rescuer: Regulatory Challenges and the Tough on Crime Approach’ in</w:t>
      </w:r>
      <w:r w:rsidRPr="001623E9">
        <w:t xml:space="preserve"> </w:t>
      </w:r>
      <w:r w:rsidRPr="001623E9">
        <w:rPr>
          <w:bCs/>
        </w:rPr>
        <w:t xml:space="preserve">L. Hinojosa and J. </w:t>
      </w:r>
      <w:proofErr w:type="spellStart"/>
      <w:r w:rsidRPr="001623E9">
        <w:rPr>
          <w:bCs/>
        </w:rPr>
        <w:t>Beneyto</w:t>
      </w:r>
      <w:proofErr w:type="spellEnd"/>
      <w:r w:rsidRPr="001623E9">
        <w:rPr>
          <w:b/>
          <w:bCs/>
        </w:rPr>
        <w:t xml:space="preserve"> </w:t>
      </w:r>
      <w:r w:rsidRPr="001623E9">
        <w:t>(eds</w:t>
      </w:r>
      <w:r w:rsidR="00B403EB" w:rsidRPr="001623E9">
        <w:t>.</w:t>
      </w:r>
      <w:r w:rsidRPr="001623E9">
        <w:t xml:space="preserve">), </w:t>
      </w:r>
      <w:r w:rsidRPr="001623E9">
        <w:rPr>
          <w:i/>
        </w:rPr>
        <w:t xml:space="preserve">European </w:t>
      </w:r>
      <w:r w:rsidRPr="001623E9">
        <w:rPr>
          <w:i/>
          <w:iCs/>
        </w:rPr>
        <w:t>Banking</w:t>
      </w:r>
      <w:r w:rsidRPr="001623E9">
        <w:t xml:space="preserve"> </w:t>
      </w:r>
      <w:r w:rsidRPr="001623E9">
        <w:rPr>
          <w:i/>
          <w:iCs/>
        </w:rPr>
        <w:t>Union:</w:t>
      </w:r>
      <w:r w:rsidRPr="001623E9">
        <w:t xml:space="preserve"> </w:t>
      </w:r>
      <w:r w:rsidRPr="001623E9">
        <w:rPr>
          <w:i/>
          <w:iCs/>
        </w:rPr>
        <w:t>The</w:t>
      </w:r>
      <w:r w:rsidRPr="001623E9">
        <w:t xml:space="preserve"> </w:t>
      </w:r>
      <w:r w:rsidRPr="001623E9">
        <w:rPr>
          <w:i/>
          <w:iCs/>
        </w:rPr>
        <w:t>New</w:t>
      </w:r>
      <w:r w:rsidRPr="001623E9">
        <w:t xml:space="preserve"> </w:t>
      </w:r>
      <w:r w:rsidRPr="001623E9">
        <w:rPr>
          <w:i/>
          <w:iCs/>
        </w:rPr>
        <w:t xml:space="preserve">Regime </w:t>
      </w:r>
      <w:r w:rsidRPr="001623E9">
        <w:t xml:space="preserve">(Alphen </w:t>
      </w:r>
      <w:proofErr w:type="spellStart"/>
      <w:r w:rsidRPr="001623E9">
        <w:t>aan</w:t>
      </w:r>
      <w:proofErr w:type="spellEnd"/>
      <w:r w:rsidRPr="001623E9">
        <w:t xml:space="preserve"> den Rijn: Kluwer Law International, 2015).</w:t>
      </w:r>
    </w:p>
  </w:footnote>
  <w:footnote w:id="83">
    <w:p w14:paraId="70C82C78" w14:textId="42F869A0" w:rsidR="000272D5" w:rsidRPr="001623E9" w:rsidRDefault="000272D5" w:rsidP="005F44F9">
      <w:pPr>
        <w:pStyle w:val="Fotnotstext"/>
        <w:spacing w:before="0"/>
      </w:pPr>
      <w:r w:rsidRPr="001623E9">
        <w:rPr>
          <w:rStyle w:val="Fotnotsreferens"/>
        </w:rPr>
        <w:footnoteRef/>
      </w:r>
      <w:r w:rsidRPr="001623E9">
        <w:t xml:space="preserve"> See above </w:t>
      </w:r>
      <w:proofErr w:type="spellStart"/>
      <w:r w:rsidRPr="001623E9">
        <w:t>fn</w:t>
      </w:r>
      <w:proofErr w:type="spellEnd"/>
      <w:r w:rsidRPr="001623E9">
        <w:t xml:space="preserve"> 81.</w:t>
      </w:r>
    </w:p>
  </w:footnote>
  <w:footnote w:id="84">
    <w:p w14:paraId="4A5EF180" w14:textId="41A53DB2" w:rsidR="000272D5" w:rsidRPr="001623E9" w:rsidRDefault="000272D5" w:rsidP="005F44F9">
      <w:pPr>
        <w:pStyle w:val="Default"/>
        <w:rPr>
          <w:rFonts w:ascii="Times New Roman" w:hAnsi="Times New Roman" w:cs="Times New Roman"/>
          <w:sz w:val="20"/>
          <w:szCs w:val="20"/>
          <w:lang w:val="en-GB"/>
        </w:rPr>
      </w:pPr>
      <w:r w:rsidRPr="001623E9">
        <w:rPr>
          <w:rStyle w:val="Fotnotsreferens"/>
          <w:rFonts w:ascii="Times New Roman" w:hAnsi="Times New Roman" w:cs="Times New Roman"/>
          <w:sz w:val="20"/>
          <w:szCs w:val="20"/>
          <w:lang w:val="en-GB"/>
        </w:rPr>
        <w:footnoteRef/>
      </w:r>
      <w:r w:rsidRPr="001623E9">
        <w:rPr>
          <w:rFonts w:ascii="Times New Roman" w:hAnsi="Times New Roman" w:cs="Times New Roman"/>
          <w:sz w:val="20"/>
          <w:szCs w:val="20"/>
          <w:lang w:val="en-GB"/>
        </w:rPr>
        <w:t xml:space="preserve"> </w:t>
      </w:r>
      <w:r w:rsidRPr="001623E9">
        <w:rPr>
          <w:rFonts w:ascii="Times New Roman" w:eastAsia="Times New Roman" w:hAnsi="Times New Roman" w:cs="Times New Roman"/>
          <w:color w:val="auto"/>
          <w:sz w:val="20"/>
          <w:szCs w:val="20"/>
          <w:lang w:val="en-GB"/>
        </w:rPr>
        <w:t>See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[2015] OJ L 141/73, art. 58(1).</w:t>
      </w:r>
    </w:p>
  </w:footnote>
  <w:footnote w:id="85">
    <w:p w14:paraId="0950C152" w14:textId="39E9FF12" w:rsidR="000272D5" w:rsidRPr="001623E9" w:rsidRDefault="000272D5" w:rsidP="005F44F9">
      <w:pPr>
        <w:pStyle w:val="Fotnotstext"/>
        <w:spacing w:before="0"/>
      </w:pPr>
      <w:r w:rsidRPr="001623E9">
        <w:rPr>
          <w:rStyle w:val="Fotnotsreferens"/>
        </w:rPr>
        <w:footnoteRef/>
      </w:r>
      <w:r w:rsidRPr="001623E9">
        <w:t>See Directive (EU) 2015/849 [2015] OJ L 141/73, art. 58(2).</w:t>
      </w:r>
    </w:p>
  </w:footnote>
  <w:footnote w:id="86">
    <w:p w14:paraId="1A010D11" w14:textId="0E57F52B"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Greece</w:t>
      </w:r>
      <w:r w:rsidRPr="001623E9">
        <w:t xml:space="preserve"> (68/88) </w:t>
      </w:r>
      <w:r w:rsidRPr="001623E9">
        <w:rPr>
          <w:rStyle w:val="outputecliaff"/>
        </w:rPr>
        <w:t>EU:C: 1989:339</w:t>
      </w:r>
      <w:r w:rsidRPr="001623E9">
        <w:t xml:space="preserve"> [1989], at [23–24].</w:t>
      </w:r>
    </w:p>
  </w:footnote>
  <w:footnote w:id="87">
    <w:p w14:paraId="0572D91B" w14:textId="42001990" w:rsidR="000272D5" w:rsidRPr="001623E9" w:rsidRDefault="000272D5" w:rsidP="005F44F9">
      <w:pPr>
        <w:pStyle w:val="Fotnotstext"/>
        <w:spacing w:before="0"/>
      </w:pPr>
      <w:r w:rsidRPr="001623E9">
        <w:rPr>
          <w:rStyle w:val="Fotnotsreferens"/>
        </w:rPr>
        <w:footnoteRef/>
      </w:r>
      <w:r w:rsidRPr="001623E9">
        <w:t xml:space="preserve"> See art. 4(3) TEU.</w:t>
      </w:r>
    </w:p>
  </w:footnote>
  <w:footnote w:id="88">
    <w:p w14:paraId="21FF8B72" w14:textId="31058AC3" w:rsidR="000272D5" w:rsidRPr="001623E9" w:rsidRDefault="000272D5" w:rsidP="005F44F9">
      <w:pPr>
        <w:pStyle w:val="Fotnotstext"/>
        <w:spacing w:before="0"/>
      </w:pPr>
      <w:r w:rsidRPr="001623E9">
        <w:rPr>
          <w:rStyle w:val="Fotnotsreferens"/>
        </w:rPr>
        <w:footnoteRef/>
      </w:r>
      <w:r w:rsidRPr="001623E9">
        <w:t xml:space="preserve"> See E. </w:t>
      </w:r>
      <w:proofErr w:type="spellStart"/>
      <w:r w:rsidRPr="001623E9">
        <w:t>Herlin-Karnell</w:t>
      </w:r>
      <w:proofErr w:type="spellEnd"/>
      <w:r w:rsidRPr="001623E9">
        <w:t xml:space="preserve">, </w:t>
      </w:r>
      <w:r w:rsidRPr="001623E9">
        <w:rPr>
          <w:i/>
        </w:rPr>
        <w:t>The Constitutional Dimension of European Criminal Law</w:t>
      </w:r>
      <w:r w:rsidRPr="001623E9">
        <w:t xml:space="preserve"> (Oxford: Hart Publishing, 2012), pp. 16–18, 152, 154; M. G. Faure, ‘Effective, proportional and dissuasive penalties in the implementation of the Environmental Crime and Ship-source Pollution Directives: Questions and Challenges’ (2010) 19 </w:t>
      </w:r>
      <w:r w:rsidRPr="001623E9">
        <w:rPr>
          <w:i/>
        </w:rPr>
        <w:t>European Energy and Environmental Law Review</w:t>
      </w:r>
      <w:r w:rsidRPr="001623E9">
        <w:t xml:space="preserve"> 256, 266.</w:t>
      </w:r>
    </w:p>
  </w:footnote>
  <w:footnote w:id="89">
    <w:p w14:paraId="63955573" w14:textId="61611422" w:rsidR="000272D5" w:rsidRPr="001623E9" w:rsidRDefault="000272D5" w:rsidP="005F44F9">
      <w:pPr>
        <w:pStyle w:val="Fotnotstext"/>
        <w:spacing w:before="0"/>
      </w:pPr>
      <w:r w:rsidRPr="001623E9">
        <w:rPr>
          <w:rStyle w:val="Fotnotsreferens"/>
        </w:rPr>
        <w:footnoteRef/>
      </w:r>
      <w:r w:rsidRPr="001623E9">
        <w:t xml:space="preserve"> See Directive (EU) 2015/849 [2015] OJ L 141/73) Recitals 1, 2, 9, 11 and 14, 21, 28, 33, 37, 42, 44, 51, 58, 59, 60; arts 1(3)(A)–(C), 3(4), 3(4)(C), 3(4)(F), 6(2)(C), 9(2)(A)(</w:t>
      </w:r>
      <w:proofErr w:type="spellStart"/>
      <w:r w:rsidRPr="001623E9">
        <w:t>i</w:t>
      </w:r>
      <w:proofErr w:type="spellEnd"/>
      <w:r w:rsidRPr="001623E9">
        <w:t xml:space="preserve">), 33(1)(A), 35(1), 37, 40(2), 45(8), 47(3), 55(2); 57, 58(2), 62(2). </w:t>
      </w:r>
    </w:p>
  </w:footnote>
  <w:footnote w:id="90">
    <w:p w14:paraId="72FC1017" w14:textId="6192B2A1" w:rsidR="000272D5" w:rsidRPr="001623E9" w:rsidRDefault="000272D5" w:rsidP="005F44F9">
      <w:pPr>
        <w:pStyle w:val="Fotnotstext"/>
        <w:spacing w:before="0"/>
      </w:pPr>
      <w:r w:rsidRPr="001623E9">
        <w:rPr>
          <w:rStyle w:val="Fotnotsreferens"/>
        </w:rPr>
        <w:footnoteRef/>
      </w:r>
      <w:r w:rsidRPr="001623E9">
        <w:t xml:space="preserve"> See Directive (EU) 2015/849 [2015] OJ L 141/73, art. 1(3) and art. 1(6).</w:t>
      </w:r>
    </w:p>
  </w:footnote>
  <w:footnote w:id="91">
    <w:p w14:paraId="4B023119" w14:textId="6C4A3A4A" w:rsidR="000272D5" w:rsidRPr="001623E9" w:rsidRDefault="000272D5" w:rsidP="005F44F9">
      <w:pPr>
        <w:pStyle w:val="Fotnotstext"/>
        <w:spacing w:before="0"/>
      </w:pPr>
      <w:r w:rsidRPr="001623E9">
        <w:rPr>
          <w:rStyle w:val="Fotnotsreferens"/>
        </w:rPr>
        <w:footnoteRef/>
      </w:r>
      <w:r w:rsidRPr="001623E9">
        <w:t xml:space="preserve"> See Directive (EU) 2015/849 [2015] OJ L 141/73, art. 58(2).</w:t>
      </w:r>
    </w:p>
  </w:footnote>
  <w:footnote w:id="92">
    <w:p w14:paraId="2E2277E8" w14:textId="3161E54B"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Nunes and De Matos</w:t>
      </w:r>
      <w:r w:rsidRPr="001623E9">
        <w:t xml:space="preserve"> (C-186/98) </w:t>
      </w:r>
      <w:r w:rsidRPr="001623E9">
        <w:rPr>
          <w:rStyle w:val="outputecliaff"/>
        </w:rPr>
        <w:t>EU:C: 1999:376</w:t>
      </w:r>
      <w:r w:rsidRPr="001623E9">
        <w:t xml:space="preserve">, at [9-14]; </w:t>
      </w:r>
      <w:proofErr w:type="spellStart"/>
      <w:r w:rsidRPr="001623E9">
        <w:rPr>
          <w:i/>
          <w:iCs/>
        </w:rPr>
        <w:t>Österreichische</w:t>
      </w:r>
      <w:proofErr w:type="spellEnd"/>
      <w:r w:rsidRPr="001623E9">
        <w:rPr>
          <w:i/>
          <w:iCs/>
        </w:rPr>
        <w:t xml:space="preserve"> Unilever</w:t>
      </w:r>
      <w:r w:rsidRPr="001623E9">
        <w:t xml:space="preserve"> (C-77/97) </w:t>
      </w:r>
      <w:r w:rsidRPr="001623E9">
        <w:rPr>
          <w:rStyle w:val="outputecliaff"/>
        </w:rPr>
        <w:t>EU:C:1999:30</w:t>
      </w:r>
      <w:r w:rsidRPr="001623E9">
        <w:t xml:space="preserve">, at [36]; </w:t>
      </w:r>
      <w:r w:rsidRPr="001623E9">
        <w:rPr>
          <w:i/>
        </w:rPr>
        <w:t xml:space="preserve">IMM </w:t>
      </w:r>
      <w:proofErr w:type="spellStart"/>
      <w:r w:rsidRPr="001623E9">
        <w:rPr>
          <w:i/>
          <w:iCs/>
        </w:rPr>
        <w:t>Zwartveld</w:t>
      </w:r>
      <w:proofErr w:type="spellEnd"/>
      <w:r w:rsidRPr="001623E9">
        <w:t xml:space="preserve"> (C-2/88) </w:t>
      </w:r>
      <w:r w:rsidRPr="001623E9">
        <w:rPr>
          <w:rStyle w:val="outputecli"/>
        </w:rPr>
        <w:t>EU:C:1990:315</w:t>
      </w:r>
      <w:r w:rsidRPr="001623E9">
        <w:t>.</w:t>
      </w:r>
    </w:p>
  </w:footnote>
  <w:footnote w:id="93">
    <w:p w14:paraId="7B5EC15D" w14:textId="72719477" w:rsidR="000272D5" w:rsidRPr="001623E9" w:rsidRDefault="000272D5" w:rsidP="005F44F9">
      <w:pPr>
        <w:pStyle w:val="Fotnotstext"/>
        <w:spacing w:before="0"/>
      </w:pPr>
      <w:r w:rsidRPr="001623E9">
        <w:rPr>
          <w:rStyle w:val="Fotnotsreferens"/>
        </w:rPr>
        <w:footnoteRef/>
      </w:r>
      <w:r w:rsidRPr="001623E9">
        <w:t xml:space="preserve"> See </w:t>
      </w:r>
      <w:r w:rsidRPr="001623E9">
        <w:rPr>
          <w:rFonts w:ascii="Times" w:hAnsi="Times"/>
        </w:rPr>
        <w:t>M. Dougan, ‘From the Velvet Glove to the Iron Fist: Criminal Sanctions for the Enforcement of Union Law’ in M. Cremona (ed</w:t>
      </w:r>
      <w:r w:rsidR="00B403EB" w:rsidRPr="001623E9">
        <w:rPr>
          <w:rFonts w:ascii="Times" w:hAnsi="Times"/>
        </w:rPr>
        <w:t>.</w:t>
      </w:r>
      <w:r w:rsidRPr="001623E9">
        <w:rPr>
          <w:rFonts w:ascii="Times" w:hAnsi="Times"/>
        </w:rPr>
        <w:t xml:space="preserve">), </w:t>
      </w:r>
      <w:r w:rsidRPr="001623E9">
        <w:rPr>
          <w:rFonts w:ascii="Times" w:hAnsi="Times"/>
          <w:i/>
        </w:rPr>
        <w:t>Compliance and the Enforcement of EU Law</w:t>
      </w:r>
      <w:r w:rsidRPr="001623E9">
        <w:rPr>
          <w:rFonts w:ascii="Times" w:hAnsi="Times"/>
        </w:rPr>
        <w:t xml:space="preserve"> (Oxford: Oxford University Press, 2012), pp.</w:t>
      </w:r>
      <w:r w:rsidRPr="001623E9">
        <w:t xml:space="preserve">81–82. </w:t>
      </w:r>
    </w:p>
  </w:footnote>
  <w:footnote w:id="94">
    <w:p w14:paraId="34CAC30D" w14:textId="3667A9A9" w:rsidR="000272D5" w:rsidRPr="001623E9" w:rsidRDefault="000272D5" w:rsidP="005F44F9">
      <w:pPr>
        <w:pStyle w:val="Fotnotstext"/>
        <w:spacing w:before="0"/>
      </w:pPr>
      <w:r w:rsidRPr="001623E9">
        <w:rPr>
          <w:rStyle w:val="Fotnotsreferens"/>
        </w:rPr>
        <w:footnoteRef/>
      </w:r>
      <w:r w:rsidRPr="001623E9">
        <w:t xml:space="preserve"> Council of Europe, </w:t>
      </w:r>
      <w:r w:rsidRPr="001623E9">
        <w:rPr>
          <w:iCs/>
        </w:rPr>
        <w:t>as amended by Protocols Nos. 11 and 14</w:t>
      </w:r>
      <w:r w:rsidRPr="001623E9">
        <w:t>, 4 November 1950, ETS 5.</w:t>
      </w:r>
    </w:p>
  </w:footnote>
  <w:footnote w:id="95">
    <w:p w14:paraId="7D2D14ED" w14:textId="4208E57B" w:rsidR="000272D5" w:rsidRPr="001623E9" w:rsidRDefault="000272D5" w:rsidP="005F44F9">
      <w:pPr>
        <w:pStyle w:val="Fotnotstext"/>
        <w:spacing w:before="0"/>
      </w:pPr>
      <w:r w:rsidRPr="001623E9">
        <w:rPr>
          <w:rStyle w:val="Fotnotsreferens"/>
        </w:rPr>
        <w:footnoteRef/>
      </w:r>
      <w:r w:rsidRPr="001623E9">
        <w:t xml:space="preserve"> See </w:t>
      </w:r>
      <w:r w:rsidR="00B403EB" w:rsidRPr="001623E9">
        <w:t>e.g.</w:t>
      </w:r>
      <w:r w:rsidRPr="001623E9">
        <w:t xml:space="preserve"> Judgment of the European Court of Human Rights of 21 February 1984, </w:t>
      </w:r>
      <w:proofErr w:type="spellStart"/>
      <w:r w:rsidRPr="001623E9">
        <w:rPr>
          <w:i/>
        </w:rPr>
        <w:t>Öztürk</w:t>
      </w:r>
      <w:proofErr w:type="spellEnd"/>
      <w:r w:rsidRPr="001623E9">
        <w:rPr>
          <w:i/>
        </w:rPr>
        <w:t xml:space="preserve"> v Germany</w:t>
      </w:r>
      <w:r w:rsidRPr="001623E9">
        <w:t>, Series A no 73</w:t>
      </w:r>
      <w:r w:rsidRPr="001623E9">
        <w:rPr>
          <w:b/>
          <w:bCs/>
        </w:rPr>
        <w:t xml:space="preserve"> </w:t>
      </w:r>
      <w:r w:rsidRPr="001623E9">
        <w:t>[1984] 6 EHRR 409, at [47–49].</w:t>
      </w:r>
    </w:p>
  </w:footnote>
  <w:footnote w:id="96">
    <w:p w14:paraId="2BB840E0" w14:textId="676D2151" w:rsidR="000272D5" w:rsidRPr="001623E9" w:rsidRDefault="000272D5" w:rsidP="005F44F9">
      <w:pPr>
        <w:pStyle w:val="Fotnotstext"/>
        <w:spacing w:before="0"/>
      </w:pPr>
      <w:r w:rsidRPr="001623E9">
        <w:rPr>
          <w:rStyle w:val="Fotnotsreferens"/>
        </w:rPr>
        <w:footnoteRef/>
      </w:r>
      <w:r w:rsidRPr="001623E9">
        <w:t xml:space="preserve"> See P. Asp, </w:t>
      </w:r>
      <w:r w:rsidRPr="001623E9">
        <w:rPr>
          <w:i/>
          <w:iCs/>
        </w:rPr>
        <w:t xml:space="preserve">The Substantive Criminal Law Competence of the EU—Towards an Area of Freedom, Security &amp; Justice—Part 1 </w:t>
      </w:r>
      <w:r w:rsidRPr="001623E9">
        <w:t>(Stockholm: Jure, 2013), pp. 60–68.</w:t>
      </w:r>
    </w:p>
  </w:footnote>
  <w:footnote w:id="97">
    <w:p w14:paraId="569DA3CC" w14:textId="7DD41E2E" w:rsidR="000272D5" w:rsidRPr="001623E9" w:rsidRDefault="000272D5" w:rsidP="005F44F9">
      <w:pPr>
        <w:pStyle w:val="Fotnotstext"/>
        <w:spacing w:before="0"/>
      </w:pPr>
      <w:r w:rsidRPr="001623E9">
        <w:rPr>
          <w:rStyle w:val="Fotnotsreferens"/>
        </w:rPr>
        <w:footnoteRef/>
      </w:r>
      <w:r w:rsidRPr="001623E9">
        <w:t xml:space="preserve"> Conditional sentences, community service orders and probation orders could for example be considered as such substitutes.</w:t>
      </w:r>
    </w:p>
  </w:footnote>
  <w:footnote w:id="98">
    <w:p w14:paraId="78A19B74" w14:textId="6A0F1CA1" w:rsidR="000272D5" w:rsidRPr="001623E9" w:rsidRDefault="000272D5" w:rsidP="005F44F9">
      <w:pPr>
        <w:pStyle w:val="Fotnotstext"/>
        <w:spacing w:before="0"/>
      </w:pPr>
      <w:r w:rsidRPr="001623E9">
        <w:rPr>
          <w:rStyle w:val="Fotnotsreferens"/>
          <w:rFonts w:eastAsiaTheme="majorEastAsia"/>
        </w:rPr>
        <w:footnoteRef/>
      </w:r>
      <w:r w:rsidRPr="001623E9">
        <w:t xml:space="preserve"> See Opinion of A.G. Mazak in </w:t>
      </w:r>
      <w:r w:rsidRPr="001623E9">
        <w:rPr>
          <w:i/>
        </w:rPr>
        <w:t>Commission v Council</w:t>
      </w:r>
      <w:r w:rsidRPr="001623E9">
        <w:t xml:space="preserve"> (</w:t>
      </w:r>
      <w:r w:rsidRPr="001623E9">
        <w:rPr>
          <w:i/>
          <w:iCs/>
        </w:rPr>
        <w:t>ship-source pollution)</w:t>
      </w:r>
      <w:r w:rsidRPr="001623E9">
        <w:t xml:space="preserve"> (C-440/05) </w:t>
      </w:r>
      <w:r w:rsidRPr="001623E9">
        <w:rPr>
          <w:rStyle w:val="outputecliaff"/>
        </w:rPr>
        <w:t>EU:C: 2007:625</w:t>
      </w:r>
      <w:r w:rsidRPr="001623E9">
        <w:t>, at [67];</w:t>
      </w:r>
      <w:r w:rsidRPr="001623E9">
        <w:rPr>
          <w:rFonts w:eastAsiaTheme="minorHAnsi"/>
        </w:rPr>
        <w:t xml:space="preserve"> </w:t>
      </w:r>
      <w:r w:rsidRPr="001623E9">
        <w:t xml:space="preserve">D. M. Kahan, ‘What do alternative sanctions mean?’ (1996) 63 </w:t>
      </w:r>
      <w:r w:rsidR="00540765" w:rsidRPr="001623E9">
        <w:t xml:space="preserve">U. Chi. L. Rev. </w:t>
      </w:r>
      <w:r w:rsidRPr="001623E9">
        <w:t xml:space="preserve">593, pp. 621–24, 645, 649, 652; J. Öberg, ‘The definition of criminal sanctions in the EU’ 3 (2013) </w:t>
      </w:r>
      <w:r w:rsidRPr="001623E9">
        <w:rPr>
          <w:i/>
        </w:rPr>
        <w:t>European Criminal Law Review</w:t>
      </w:r>
      <w:r w:rsidRPr="001623E9">
        <w:t xml:space="preserve"> 273.</w:t>
      </w:r>
    </w:p>
  </w:footnote>
  <w:footnote w:id="99">
    <w:p w14:paraId="6AD5A2E1" w14:textId="1DB4AA7A" w:rsidR="000272D5" w:rsidRPr="001623E9" w:rsidRDefault="000272D5" w:rsidP="005F44F9">
      <w:pPr>
        <w:pStyle w:val="Fotnotstext"/>
        <w:spacing w:before="0"/>
      </w:pPr>
      <w:r w:rsidRPr="001623E9">
        <w:rPr>
          <w:rStyle w:val="Fotnotsreferens"/>
        </w:rPr>
        <w:footnoteRef/>
      </w:r>
      <w:r w:rsidRPr="001623E9">
        <w:t xml:space="preserve"> This also seems to be the view of the Court of Justice; see</w:t>
      </w:r>
      <w:r w:rsidRPr="001623E9">
        <w:rPr>
          <w:i/>
        </w:rPr>
        <w:t xml:space="preserve"> Commission v Council</w:t>
      </w:r>
      <w:r w:rsidRPr="001623E9">
        <w:t xml:space="preserve"> (C-137/12)</w:t>
      </w:r>
      <w:r w:rsidRPr="001623E9">
        <w:rPr>
          <w:i/>
        </w:rPr>
        <w:t xml:space="preserve"> </w:t>
      </w:r>
      <w:r w:rsidRPr="001623E9">
        <w:rPr>
          <w:rStyle w:val="outputecliaff"/>
        </w:rPr>
        <w:t>EU:C: 2013:675</w:t>
      </w:r>
      <w:r w:rsidRPr="001623E9">
        <w:t xml:space="preserve">, at [72]. </w:t>
      </w:r>
    </w:p>
  </w:footnote>
  <w:footnote w:id="100">
    <w:p w14:paraId="20D687C1" w14:textId="74DA6A5E" w:rsidR="000272D5" w:rsidRPr="001623E9" w:rsidRDefault="000272D5" w:rsidP="005F44F9">
      <w:pPr>
        <w:pStyle w:val="Fotnotstext"/>
        <w:spacing w:before="0"/>
      </w:pPr>
      <w:r w:rsidRPr="001623E9">
        <w:rPr>
          <w:rStyle w:val="Fotnotsreferens"/>
        </w:rPr>
        <w:footnoteRef/>
      </w:r>
      <w:r w:rsidRPr="001623E9">
        <w:t xml:space="preserve"> See Directive (EU) 2015/849 [2015] OJ L 141/73, art. 59 for the list of the relevant sanctions in the directive. The fines, however, amount to at least EUR 5,000,000, which still makes them a significant penalty.</w:t>
      </w:r>
    </w:p>
  </w:footnote>
  <w:footnote w:id="101">
    <w:p w14:paraId="6122ADE2" w14:textId="7A2F85FD" w:rsidR="000272D5" w:rsidRPr="001623E9" w:rsidRDefault="000272D5" w:rsidP="005F44F9">
      <w:pPr>
        <w:pStyle w:val="Fotnotstext"/>
        <w:spacing w:before="0"/>
      </w:pPr>
      <w:r w:rsidRPr="001623E9">
        <w:rPr>
          <w:rStyle w:val="Fotnotsreferens"/>
        </w:rPr>
        <w:footnoteRef/>
      </w:r>
      <w:r w:rsidRPr="001623E9">
        <w:t xml:space="preserve"> See above </w:t>
      </w:r>
      <w:proofErr w:type="spellStart"/>
      <w:r w:rsidRPr="001623E9">
        <w:t>fn</w:t>
      </w:r>
      <w:proofErr w:type="spellEnd"/>
      <w:r w:rsidRPr="001623E9">
        <w:t xml:space="preserve"> 98 for discussion in Kahan and Öberg of this condition.</w:t>
      </w:r>
    </w:p>
  </w:footnote>
  <w:footnote w:id="102">
    <w:p w14:paraId="7E02ECF4" w14:textId="00C95439" w:rsidR="000272D5" w:rsidRPr="001623E9" w:rsidRDefault="000272D5" w:rsidP="005F44F9">
      <w:pPr>
        <w:pStyle w:val="Fotnotstext"/>
        <w:spacing w:before="0"/>
      </w:pPr>
      <w:r w:rsidRPr="001623E9">
        <w:rPr>
          <w:rStyle w:val="Fotnotsreferens"/>
        </w:rPr>
        <w:footnoteRef/>
      </w:r>
      <w:r w:rsidRPr="001623E9">
        <w:t xml:space="preserve"> See Commission, ‘Proposal for a Directive of the European Parliament of the Council on the prevention of the use of the financial system for the purpose of money laundering and terrorist financing’, COM (2013) 45 final, pp. 2, 6, 8, 12, recital 1–2; Commission,’ Commission Staff Working Document, Impact Assessment, Accompanying the document, Proposal for a Directive of the European Parliament and of the Council on the prevention of the use of the financial system for the purpose of money laundering, including terrorist financing and Proposal for a Regulation of the European Parliament and of the Council on information accompanying transfers of funds’, SWD (2013) 21, pp. 4, 7 16, 21, 26–30, 55, 58–59.</w:t>
      </w:r>
    </w:p>
  </w:footnote>
  <w:footnote w:id="103">
    <w:p w14:paraId="51494965" w14:textId="65B2DBA3"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Germany v Parliament and Council (Tobacco Advertising)</w:t>
      </w:r>
      <w:r w:rsidRPr="001623E9">
        <w:t xml:space="preserve"> (C-376/98) </w:t>
      </w:r>
      <w:r w:rsidRPr="001623E9">
        <w:rPr>
          <w:rStyle w:val="outputecliaff"/>
        </w:rPr>
        <w:t>EU:C: 2000:544</w:t>
      </w:r>
      <w:r w:rsidRPr="001623E9">
        <w:t xml:space="preserve">, at [86]. </w:t>
      </w:r>
    </w:p>
  </w:footnote>
  <w:footnote w:id="104">
    <w:p w14:paraId="4432A6F0" w14:textId="308584AC" w:rsidR="000272D5" w:rsidRPr="001623E9" w:rsidRDefault="000272D5" w:rsidP="005F44F9">
      <w:pPr>
        <w:pStyle w:val="Fotnotstext"/>
        <w:spacing w:before="0"/>
      </w:pPr>
      <w:r w:rsidRPr="001623E9">
        <w:rPr>
          <w:rStyle w:val="Fotnotsreferens"/>
        </w:rPr>
        <w:footnoteRef/>
      </w:r>
      <w:r w:rsidRPr="001623E9">
        <w:t xml:space="preserve"> See above </w:t>
      </w:r>
      <w:proofErr w:type="spellStart"/>
      <w:r w:rsidRPr="001623E9">
        <w:t>fn</w:t>
      </w:r>
      <w:proofErr w:type="spellEnd"/>
      <w:r w:rsidRPr="001623E9">
        <w:t xml:space="preserve"> 81.</w:t>
      </w:r>
    </w:p>
  </w:footnote>
  <w:footnote w:id="105">
    <w:p w14:paraId="1324A9DC" w14:textId="7FB6450A" w:rsidR="000272D5" w:rsidRPr="001623E9" w:rsidRDefault="000272D5" w:rsidP="005F44F9">
      <w:pPr>
        <w:pStyle w:val="Fotnotstext"/>
        <w:spacing w:before="0"/>
      </w:pPr>
      <w:r w:rsidRPr="001623E9">
        <w:rPr>
          <w:rStyle w:val="Fotnotsreferens"/>
        </w:rPr>
        <w:footnoteRef/>
      </w:r>
      <w:r w:rsidRPr="001623E9">
        <w:t xml:space="preserve"> See E. </w:t>
      </w:r>
      <w:proofErr w:type="spellStart"/>
      <w:r w:rsidRPr="001623E9">
        <w:t>Herlin</w:t>
      </w:r>
      <w:proofErr w:type="spellEnd"/>
      <w:r w:rsidRPr="001623E9">
        <w:t>–</w:t>
      </w:r>
      <w:proofErr w:type="spellStart"/>
      <w:r w:rsidRPr="001623E9">
        <w:t>Karnell</w:t>
      </w:r>
      <w:proofErr w:type="spellEnd"/>
      <w:r w:rsidRPr="001623E9">
        <w:t xml:space="preserve">, ‘Is There More to it Than the Fight Against ‘Dirty Money’? Article 95 EC and the Criminal Law’ (2008) 19 E.B.L. Rev. 557, pp. 561–563, 570, 574–575; E. </w:t>
      </w:r>
      <w:proofErr w:type="spellStart"/>
      <w:r w:rsidRPr="001623E9">
        <w:t>Herlin-Karnell</w:t>
      </w:r>
      <w:proofErr w:type="spellEnd"/>
      <w:r w:rsidRPr="001623E9">
        <w:t xml:space="preserve">, </w:t>
      </w:r>
      <w:r w:rsidRPr="001623E9">
        <w:rPr>
          <w:i/>
        </w:rPr>
        <w:t>The Constitutional Dimension of European Criminal Law</w:t>
      </w:r>
      <w:r w:rsidRPr="001623E9">
        <w:t xml:space="preserve"> (Oxford: Hart Publishing, 2012), pp. 147, 158–159, 185–189 for such compelling criticism.</w:t>
      </w:r>
    </w:p>
  </w:footnote>
  <w:footnote w:id="106">
    <w:p w14:paraId="571197D8" w14:textId="4A5A082A" w:rsidR="000272D5" w:rsidRPr="001623E9" w:rsidRDefault="000272D5" w:rsidP="005F44F9">
      <w:pPr>
        <w:pStyle w:val="Fotnotstext"/>
        <w:spacing w:before="0"/>
      </w:pPr>
      <w:r w:rsidRPr="001623E9">
        <w:rPr>
          <w:rStyle w:val="Fotnotsreferens"/>
        </w:rPr>
        <w:footnoteRef/>
      </w:r>
      <w:r w:rsidRPr="001623E9">
        <w:t xml:space="preserve"> See above </w:t>
      </w:r>
      <w:proofErr w:type="spellStart"/>
      <w:r w:rsidRPr="001623E9">
        <w:t>fn</w:t>
      </w:r>
      <w:proofErr w:type="spellEnd"/>
      <w:r w:rsidRPr="001623E9">
        <w:t xml:space="preserve"> 26 for the relevant references to the Convention documents.</w:t>
      </w:r>
    </w:p>
  </w:footnote>
  <w:footnote w:id="107">
    <w:p w14:paraId="5CCDAC50" w14:textId="332EE8F6" w:rsidR="000272D5" w:rsidRPr="001623E9" w:rsidRDefault="000272D5" w:rsidP="005F44F9">
      <w:pPr>
        <w:pStyle w:val="Fotnotstext"/>
        <w:spacing w:before="0"/>
      </w:pPr>
      <w:r w:rsidRPr="001623E9">
        <w:rPr>
          <w:rStyle w:val="Fotnotsreferens"/>
        </w:rPr>
        <w:footnoteRef/>
      </w:r>
      <w:r w:rsidRPr="001623E9">
        <w:t xml:space="preserve"> See P. Asp, </w:t>
      </w:r>
      <w:r w:rsidRPr="001623E9">
        <w:rPr>
          <w:i/>
          <w:iCs/>
        </w:rPr>
        <w:t xml:space="preserve">The Substantive Criminal Law Competence of the EU—Towards an Area of Freedom, Security &amp; Justice—Part 1 </w:t>
      </w:r>
      <w:r w:rsidRPr="001623E9">
        <w:t>(Stockholm: Jure, 2013), pp. 102-103, 110-125, 127.</w:t>
      </w:r>
    </w:p>
  </w:footnote>
  <w:footnote w:id="108">
    <w:p w14:paraId="70CC77A8" w14:textId="26B6D35F" w:rsidR="000272D5" w:rsidRPr="001623E9" w:rsidRDefault="000272D5" w:rsidP="005F44F9">
      <w:pPr>
        <w:pStyle w:val="Fotnotstext"/>
        <w:spacing w:before="0"/>
        <w:rPr>
          <w:b/>
          <w:bCs/>
        </w:rPr>
      </w:pPr>
      <w:r w:rsidRPr="001623E9">
        <w:rPr>
          <w:rStyle w:val="Fotnotsreferens"/>
        </w:rPr>
        <w:footnoteRef/>
      </w:r>
      <w:r w:rsidRPr="001623E9">
        <w:t xml:space="preserve"> See e.g. D</w:t>
      </w:r>
      <w:r w:rsidR="00540765" w:rsidRPr="001623E9">
        <w:t>.</w:t>
      </w:r>
      <w:r w:rsidRPr="001623E9">
        <w:t xml:space="preserve"> </w:t>
      </w:r>
      <w:proofErr w:type="spellStart"/>
      <w:r w:rsidRPr="001623E9">
        <w:t>Husak</w:t>
      </w:r>
      <w:proofErr w:type="spellEnd"/>
      <w:r w:rsidRPr="001623E9">
        <w:t xml:space="preserve"> </w:t>
      </w:r>
      <w:r w:rsidRPr="001623E9">
        <w:rPr>
          <w:i/>
        </w:rPr>
        <w:t>Overcriminalization: The Limits of the Criminal Law</w:t>
      </w:r>
      <w:r w:rsidRPr="001623E9">
        <w:t>, (Oxford: Oxford University Press, 2008) for a compelling account of this topic.</w:t>
      </w:r>
    </w:p>
  </w:footnote>
  <w:footnote w:id="109">
    <w:p w14:paraId="5B1941FC" w14:textId="383AD2AC" w:rsidR="000272D5" w:rsidRPr="001623E9" w:rsidRDefault="000272D5" w:rsidP="005F44F9">
      <w:pPr>
        <w:pStyle w:val="Fotnotstext"/>
        <w:spacing w:before="0"/>
      </w:pPr>
      <w:r w:rsidRPr="001623E9">
        <w:rPr>
          <w:rStyle w:val="Fotnotsreferens"/>
        </w:rPr>
        <w:footnoteRef/>
      </w:r>
      <w:r w:rsidRPr="001623E9">
        <w:t xml:space="preserve"> See art. 5 (1)- (2) TEU.</w:t>
      </w:r>
    </w:p>
  </w:footnote>
  <w:footnote w:id="110">
    <w:p w14:paraId="7E7991AB" w14:textId="0A5987FA"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w:t>
      </w:r>
      <w:r w:rsidRPr="001623E9">
        <w:rPr>
          <w:iCs/>
        </w:rPr>
        <w:t>(</w:t>
      </w:r>
      <w:r w:rsidRPr="001623E9">
        <w:rPr>
          <w:i/>
          <w:iCs/>
        </w:rPr>
        <w:t>environmental sanctions</w:t>
      </w:r>
      <w:r w:rsidRPr="001623E9">
        <w:t xml:space="preserve">) (C-176/03) EU:C: 2005:542, at [46-52]; </w:t>
      </w:r>
      <w:r w:rsidRPr="001623E9">
        <w:rPr>
          <w:i/>
        </w:rPr>
        <w:t>Commission v Council</w:t>
      </w:r>
      <w:r w:rsidRPr="001623E9">
        <w:t xml:space="preserve"> (</w:t>
      </w:r>
      <w:r w:rsidRPr="001623E9">
        <w:rPr>
          <w:i/>
          <w:iCs/>
        </w:rPr>
        <w:t>ship-source pollution)</w:t>
      </w:r>
      <w:r w:rsidRPr="001623E9">
        <w:t xml:space="preserve"> (C-440/05) </w:t>
      </w:r>
      <w:r w:rsidRPr="001623E9">
        <w:rPr>
          <w:rStyle w:val="outputecliaff"/>
        </w:rPr>
        <w:t xml:space="preserve">EU:C: 2007:625, </w:t>
      </w:r>
      <w:r w:rsidRPr="001623E9">
        <w:t xml:space="preserve">at [60-74]; </w:t>
      </w:r>
      <w:r w:rsidRPr="001623E9">
        <w:rPr>
          <w:rFonts w:ascii="Times" w:hAnsi="Times"/>
        </w:rPr>
        <w:t>M. Dougan, ‘From the Velvet Glove to the Iron Fist: Criminal Sanctions for the Enforcement of Union Law’ in M. Cremona (ed</w:t>
      </w:r>
      <w:r w:rsidR="00B403EB" w:rsidRPr="001623E9">
        <w:rPr>
          <w:rFonts w:ascii="Times" w:hAnsi="Times"/>
        </w:rPr>
        <w:t>.</w:t>
      </w:r>
      <w:r w:rsidRPr="001623E9">
        <w:rPr>
          <w:rFonts w:ascii="Times" w:hAnsi="Times"/>
        </w:rPr>
        <w:t xml:space="preserve">), </w:t>
      </w:r>
      <w:r w:rsidRPr="001623E9">
        <w:rPr>
          <w:rFonts w:ascii="Times" w:hAnsi="Times"/>
          <w:i/>
        </w:rPr>
        <w:t>Compliance and the Enforcement of EU Law</w:t>
      </w:r>
      <w:r w:rsidRPr="001623E9">
        <w:rPr>
          <w:rFonts w:ascii="Times" w:hAnsi="Times"/>
        </w:rPr>
        <w:t xml:space="preserve"> (Oxford: Oxford University Press, 2012), pp.</w:t>
      </w:r>
      <w:r w:rsidRPr="001623E9">
        <w:t>105-111.</w:t>
      </w:r>
    </w:p>
  </w:footnote>
  <w:footnote w:id="111">
    <w:p w14:paraId="07148AC3" w14:textId="4F292054" w:rsidR="000272D5" w:rsidRPr="001623E9" w:rsidRDefault="000272D5" w:rsidP="005F44F9">
      <w:pPr>
        <w:pStyle w:val="Fotnotstext"/>
        <w:spacing w:before="0"/>
      </w:pPr>
      <w:r w:rsidRPr="001623E9">
        <w:rPr>
          <w:rStyle w:val="Fotnotsreferens"/>
        </w:rPr>
        <w:footnoteRef/>
      </w:r>
      <w:r w:rsidRPr="001623E9">
        <w:t xml:space="preserve"> See arts 288 and 289 (1) TFEU.</w:t>
      </w:r>
    </w:p>
  </w:footnote>
  <w:footnote w:id="112">
    <w:p w14:paraId="5CE23CAF" w14:textId="27C24748" w:rsidR="000272D5" w:rsidRPr="001623E9" w:rsidRDefault="000272D5" w:rsidP="005F44F9">
      <w:pPr>
        <w:pStyle w:val="Fotnotstext"/>
        <w:spacing w:before="0"/>
      </w:pPr>
      <w:r w:rsidRPr="001623E9">
        <w:rPr>
          <w:rStyle w:val="Fotnotsreferens"/>
        </w:rPr>
        <w:footnoteRef/>
      </w:r>
      <w:r w:rsidRPr="001623E9">
        <w:t xml:space="preserve"> See </w:t>
      </w:r>
      <w:r w:rsidRPr="001623E9">
        <w:rPr>
          <w:rFonts w:ascii="Times" w:hAnsi="Times"/>
        </w:rPr>
        <w:t>M. Dougan, ‘From the Velvet Glove to the Iron Fist: Criminal Sanctions for the Enforcement of Union Law’ in M. Cremona (ed</w:t>
      </w:r>
      <w:r w:rsidR="00B403EB" w:rsidRPr="001623E9">
        <w:rPr>
          <w:rFonts w:ascii="Times" w:hAnsi="Times"/>
        </w:rPr>
        <w:t>.</w:t>
      </w:r>
      <w:r w:rsidRPr="001623E9">
        <w:rPr>
          <w:rFonts w:ascii="Times" w:hAnsi="Times"/>
        </w:rPr>
        <w:t xml:space="preserve">), </w:t>
      </w:r>
      <w:r w:rsidRPr="001623E9">
        <w:rPr>
          <w:rFonts w:ascii="Times" w:hAnsi="Times"/>
          <w:i/>
        </w:rPr>
        <w:t>Compliance and the Enforcement of EU Law</w:t>
      </w:r>
      <w:r w:rsidRPr="001623E9">
        <w:rPr>
          <w:rFonts w:ascii="Times" w:hAnsi="Times"/>
        </w:rPr>
        <w:t xml:space="preserve"> (Oxford: Oxford University Press, 2012), pp.</w:t>
      </w:r>
      <w:r w:rsidRPr="001623E9">
        <w:t>105-111.</w:t>
      </w:r>
    </w:p>
  </w:footnote>
  <w:footnote w:id="113">
    <w:p w14:paraId="326035BA" w14:textId="33DB6222" w:rsidR="000272D5" w:rsidRPr="001623E9" w:rsidRDefault="000272D5" w:rsidP="005F44F9">
      <w:pPr>
        <w:pStyle w:val="Fotnotstext"/>
        <w:spacing w:before="0"/>
        <w:rPr>
          <w:i/>
        </w:rPr>
      </w:pPr>
      <w:r w:rsidRPr="001623E9">
        <w:rPr>
          <w:rStyle w:val="Fotnotsreferens"/>
        </w:rPr>
        <w:footnoteRef/>
      </w:r>
      <w:r w:rsidRPr="001623E9">
        <w:t xml:space="preserve"> See above subs. ‘</w:t>
      </w:r>
      <w:r w:rsidRPr="001623E9">
        <w:rPr>
          <w:i/>
        </w:rPr>
        <w:t>Constitutional realities- the Court of Justice’s approach in legal basis disputes relating to criminal law’.</w:t>
      </w:r>
    </w:p>
  </w:footnote>
  <w:footnote w:id="114">
    <w:p w14:paraId="29259592" w14:textId="6DC99855" w:rsidR="000272D5" w:rsidRPr="001623E9" w:rsidRDefault="000272D5" w:rsidP="005F44F9">
      <w:pPr>
        <w:pStyle w:val="Fotnotstext"/>
        <w:spacing w:before="0"/>
      </w:pPr>
      <w:r w:rsidRPr="001623E9">
        <w:rPr>
          <w:rStyle w:val="Fotnotsreferens"/>
        </w:rPr>
        <w:footnoteRef/>
      </w:r>
      <w:r w:rsidRPr="001623E9">
        <w:t xml:space="preserve"> See J. Steiner, C. Twigg-</w:t>
      </w:r>
      <w:proofErr w:type="spellStart"/>
      <w:r w:rsidRPr="001623E9">
        <w:t>Flesner</w:t>
      </w:r>
      <w:proofErr w:type="spellEnd"/>
      <w:r w:rsidRPr="001623E9">
        <w:t xml:space="preserve"> and L. Woods, </w:t>
      </w:r>
      <w:r w:rsidRPr="001623E9">
        <w:rPr>
          <w:i/>
        </w:rPr>
        <w:t>EU Law</w:t>
      </w:r>
      <w:r w:rsidRPr="001623E9">
        <w:t xml:space="preserve"> (Oxford: Oxford University Press, 2006) 571; G. Monti, </w:t>
      </w:r>
      <w:r w:rsidRPr="001623E9">
        <w:rPr>
          <w:i/>
        </w:rPr>
        <w:t>EC Competition Law</w:t>
      </w:r>
      <w:r w:rsidRPr="001623E9">
        <w:t xml:space="preserve"> (Cambridge, Cambridge University Press, 2007) 401-404.</w:t>
      </w:r>
    </w:p>
  </w:footnote>
  <w:footnote w:id="115">
    <w:p w14:paraId="531F841F" w14:textId="77777777" w:rsidR="000272D5" w:rsidRPr="001623E9" w:rsidRDefault="000272D5" w:rsidP="005F44F9">
      <w:pPr>
        <w:pStyle w:val="Fotnotstext"/>
        <w:spacing w:before="0"/>
      </w:pPr>
      <w:r w:rsidRPr="001623E9">
        <w:rPr>
          <w:rStyle w:val="Fotnotsreferens"/>
        </w:rPr>
        <w:footnoteRef/>
      </w:r>
      <w:r w:rsidRPr="001623E9">
        <w:t xml:space="preserve"> The substantive prohibitions on competition policy were enshrined in Article 85 and Article 86 of the Treaty Establishing the European Economic Community [1957], March 25, 1957, 298 U.N.T.S. 11.</w:t>
      </w:r>
    </w:p>
  </w:footnote>
  <w:footnote w:id="116">
    <w:p w14:paraId="7B1C7E7D" w14:textId="6335573E" w:rsidR="000272D5" w:rsidRPr="001623E9" w:rsidRDefault="000272D5" w:rsidP="005F44F9">
      <w:pPr>
        <w:pStyle w:val="Fotnotstext"/>
        <w:spacing w:before="0"/>
      </w:pPr>
      <w:r w:rsidRPr="001623E9">
        <w:rPr>
          <w:rStyle w:val="Fotnotsreferens"/>
        </w:rPr>
        <w:footnoteRef/>
      </w:r>
      <w:r w:rsidRPr="001623E9">
        <w:t xml:space="preserve"> See </w:t>
      </w:r>
      <w:r w:rsidRPr="001623E9">
        <w:rPr>
          <w:rFonts w:ascii="Times" w:hAnsi="Times"/>
        </w:rPr>
        <w:t>M. Dougan, ‘From the Velvet Glove to the Iron Fist: Criminal Sanctions for the Enforcement of Union Law’ in M. Cremona (ed</w:t>
      </w:r>
      <w:r w:rsidR="00B403EB" w:rsidRPr="001623E9">
        <w:rPr>
          <w:rFonts w:ascii="Times" w:hAnsi="Times"/>
        </w:rPr>
        <w:t>.</w:t>
      </w:r>
      <w:r w:rsidRPr="001623E9">
        <w:rPr>
          <w:rFonts w:ascii="Times" w:hAnsi="Times"/>
        </w:rPr>
        <w:t xml:space="preserve">), </w:t>
      </w:r>
      <w:r w:rsidRPr="001623E9">
        <w:rPr>
          <w:rFonts w:ascii="Times" w:hAnsi="Times"/>
          <w:i/>
        </w:rPr>
        <w:t>Compliance and the Enforcement of EU Law</w:t>
      </w:r>
      <w:r w:rsidRPr="001623E9">
        <w:rPr>
          <w:rFonts w:ascii="Times" w:hAnsi="Times"/>
        </w:rPr>
        <w:t xml:space="preserve"> (Oxford: Oxford University Press, 2012), </w:t>
      </w:r>
      <w:r w:rsidRPr="001623E9">
        <w:t xml:space="preserve">p. 109; J. Öberg, </w:t>
      </w:r>
      <w:r w:rsidRPr="001623E9">
        <w:rPr>
          <w:bCs/>
        </w:rPr>
        <w:t>‘</w:t>
      </w:r>
      <w:r w:rsidRPr="001623E9">
        <w:rPr>
          <w:bCs/>
          <w:color w:val="000000"/>
        </w:rPr>
        <w:t xml:space="preserve">Union Regulatory Criminal Law Competence after Lisbon Treaty’ (2011) 19 </w:t>
      </w:r>
      <w:r w:rsidRPr="001623E9">
        <w:rPr>
          <w:bCs/>
          <w:i/>
          <w:color w:val="000000"/>
        </w:rPr>
        <w:t>European Journal of Crime, Criminal Law and Criminal Justice</w:t>
      </w:r>
      <w:r w:rsidRPr="001623E9">
        <w:rPr>
          <w:bCs/>
          <w:color w:val="000000"/>
        </w:rPr>
        <w:t xml:space="preserve"> 289, pp. 313-317 for a more comprehensive discussion of this condition.</w:t>
      </w:r>
    </w:p>
  </w:footnote>
  <w:footnote w:id="117">
    <w:p w14:paraId="0F2D6A77" w14:textId="11B43C34" w:rsidR="000272D5" w:rsidRPr="001623E9" w:rsidRDefault="000272D5" w:rsidP="005F44F9">
      <w:pPr>
        <w:autoSpaceDE w:val="0"/>
        <w:autoSpaceDN w:val="0"/>
        <w:adjustRightInd w:val="0"/>
        <w:spacing w:before="0" w:line="240" w:lineRule="auto"/>
        <w:rPr>
          <w:rFonts w:ascii="Times" w:hAnsi="Times"/>
          <w:bCs/>
          <w:sz w:val="20"/>
          <w:szCs w:val="20"/>
        </w:rPr>
      </w:pPr>
      <w:r w:rsidRPr="001623E9">
        <w:rPr>
          <w:rStyle w:val="Fotnotsreferens"/>
          <w:rFonts w:ascii="Times" w:hAnsi="Times"/>
          <w:sz w:val="20"/>
          <w:szCs w:val="20"/>
        </w:rPr>
        <w:footnoteRef/>
      </w:r>
      <w:r w:rsidRPr="001623E9">
        <w:rPr>
          <w:rStyle w:val="Fotnotsreferens"/>
          <w:rFonts w:ascii="Times" w:hAnsi="Times"/>
          <w:sz w:val="20"/>
          <w:szCs w:val="20"/>
        </w:rPr>
        <w:t xml:space="preserve"> </w:t>
      </w:r>
      <w:r w:rsidRPr="001623E9">
        <w:rPr>
          <w:rFonts w:ascii="Times" w:hAnsi="Times"/>
          <w:sz w:val="20"/>
          <w:szCs w:val="20"/>
        </w:rPr>
        <w:t xml:space="preserve">See </w:t>
      </w:r>
      <w:r w:rsidRPr="001623E9">
        <w:rPr>
          <w:rFonts w:ascii="Times" w:hAnsi="Times"/>
          <w:bCs/>
          <w:sz w:val="20"/>
          <w:szCs w:val="20"/>
        </w:rPr>
        <w:t>Council Regulation (EC) No 1/2003 of 16 December 2002 on the implementation of the rules on competition laid down in Articles 81 and 82 of the Treaty [2003] OJ L 1/1.</w:t>
      </w:r>
    </w:p>
  </w:footnote>
  <w:footnote w:id="118">
    <w:p w14:paraId="21758458" w14:textId="1C00CC19" w:rsidR="000272D5" w:rsidRPr="001623E9" w:rsidRDefault="000272D5" w:rsidP="005F44F9">
      <w:pPr>
        <w:pStyle w:val="Fotnotstext"/>
        <w:spacing w:before="0"/>
      </w:pPr>
      <w:r w:rsidRPr="001623E9">
        <w:rPr>
          <w:rStyle w:val="Fotnotsreferens"/>
        </w:rPr>
        <w:footnoteRef/>
      </w:r>
      <w:r w:rsidRPr="001623E9">
        <w:t xml:space="preserve"> See </w:t>
      </w:r>
      <w:r w:rsidRPr="001623E9">
        <w:rPr>
          <w:rFonts w:ascii="Times" w:hAnsi="Times"/>
        </w:rPr>
        <w:t xml:space="preserve">M. Dougan, ‘The Treaty of Lisbon 2007: Winning Minds, Not Hearts’ (2008) 45 </w:t>
      </w:r>
      <w:r w:rsidRPr="001623E9">
        <w:rPr>
          <w:color w:val="000000"/>
        </w:rPr>
        <w:t>C.M.L. Rev</w:t>
      </w:r>
      <w:r w:rsidR="00540765" w:rsidRPr="001623E9">
        <w:rPr>
          <w:color w:val="000000"/>
        </w:rPr>
        <w:t>.</w:t>
      </w:r>
      <w:r w:rsidRPr="001623E9">
        <w:rPr>
          <w:color w:val="000000"/>
        </w:rPr>
        <w:t xml:space="preserve"> </w:t>
      </w:r>
      <w:r w:rsidRPr="001623E9">
        <w:rPr>
          <w:rFonts w:ascii="Times" w:hAnsi="Times"/>
        </w:rPr>
        <w:t>617</w:t>
      </w:r>
      <w:r w:rsidRPr="001623E9">
        <w:t xml:space="preserve">, 638-39; A. </w:t>
      </w:r>
      <w:proofErr w:type="spellStart"/>
      <w:r w:rsidRPr="001623E9">
        <w:t>Türk</w:t>
      </w:r>
      <w:proofErr w:type="spellEnd"/>
      <w:r w:rsidRPr="001623E9">
        <w:t xml:space="preserve">, ‘Law-Making After Lisbon’ in A. Biondi, P. </w:t>
      </w:r>
      <w:proofErr w:type="spellStart"/>
      <w:r w:rsidRPr="001623E9">
        <w:t>Eeckhout</w:t>
      </w:r>
      <w:proofErr w:type="spellEnd"/>
      <w:r w:rsidRPr="001623E9">
        <w:t xml:space="preserve"> and S. Ripley</w:t>
      </w:r>
      <w:r w:rsidR="00B403EB" w:rsidRPr="001623E9">
        <w:t xml:space="preserve"> (eds.)</w:t>
      </w:r>
      <w:r w:rsidRPr="001623E9">
        <w:t xml:space="preserve">, </w:t>
      </w:r>
      <w:r w:rsidRPr="001623E9">
        <w:rPr>
          <w:i/>
        </w:rPr>
        <w:t>EU Law After Lisbon</w:t>
      </w:r>
      <w:r w:rsidRPr="001623E9">
        <w:t xml:space="preserve"> (Oxford: Oxford University Press, 2012)</w:t>
      </w:r>
      <w:r w:rsidR="00540765" w:rsidRPr="001623E9">
        <w:t>, p.</w:t>
      </w:r>
      <w:r w:rsidRPr="001623E9">
        <w:t xml:space="preserve"> 71 at n 53.</w:t>
      </w:r>
    </w:p>
  </w:footnote>
  <w:footnote w:id="119">
    <w:p w14:paraId="43C2B02D" w14:textId="29FED731" w:rsidR="000272D5" w:rsidRPr="001623E9" w:rsidRDefault="000272D5" w:rsidP="005F44F9">
      <w:pPr>
        <w:pStyle w:val="Fotnotstext"/>
        <w:spacing w:before="0"/>
        <w:rPr>
          <w:i/>
        </w:rPr>
      </w:pPr>
      <w:r w:rsidRPr="001623E9">
        <w:rPr>
          <w:rStyle w:val="Fotnotsreferens"/>
        </w:rPr>
        <w:footnoteRef/>
      </w:r>
      <w:r w:rsidRPr="001623E9">
        <w:t xml:space="preserve"> See below subs. ‘</w:t>
      </w:r>
      <w:r w:rsidRPr="001623E9">
        <w:rPr>
          <w:i/>
        </w:rPr>
        <w:t>Criminalisation for the benefit of the internal market- art. 114 vs art. 83(2) TFEU’</w:t>
      </w:r>
    </w:p>
  </w:footnote>
  <w:footnote w:id="120">
    <w:p w14:paraId="40B0C59A" w14:textId="1060C74F" w:rsidR="000272D5" w:rsidRPr="001623E9" w:rsidRDefault="000272D5" w:rsidP="005F44F9">
      <w:pPr>
        <w:pStyle w:val="Fotnotstext"/>
        <w:spacing w:before="0"/>
        <w:rPr>
          <w:b/>
          <w:bCs/>
        </w:rPr>
      </w:pPr>
      <w:r w:rsidRPr="001623E9">
        <w:rPr>
          <w:rStyle w:val="Fotnotsreferens"/>
          <w:rFonts w:eastAsiaTheme="majorEastAsia"/>
        </w:rPr>
        <w:footnoteRef/>
      </w:r>
      <w:r w:rsidRPr="001623E9">
        <w:t xml:space="preserve"> See Commission,’ Amended proposal for a Directive of the European Parliament and of the Council on criminal measures aimed at ensuring the enforcement of intellectual property rights’</w:t>
      </w:r>
      <w:r w:rsidRPr="001623E9">
        <w:rPr>
          <w:b/>
          <w:bCs/>
        </w:rPr>
        <w:t xml:space="preserve">, </w:t>
      </w:r>
      <w:r w:rsidRPr="001623E9">
        <w:t xml:space="preserve">COM (2006) 168 final. For scholarly support for the use of art. 114 TFEU for criminalization of substantive EU policies: P. Whelan, ‘Contemplating the Future: Personal Criminal Sanctions for Infringement of EC Competition Law’ (2008) 19 </w:t>
      </w:r>
      <w:hyperlink r:id="rId5" w:history="1">
        <w:r w:rsidRPr="001623E9">
          <w:rPr>
            <w:i/>
          </w:rPr>
          <w:t>King’s Law Journal</w:t>
        </w:r>
      </w:hyperlink>
      <w:r w:rsidRPr="001623E9">
        <w:t xml:space="preserve"> 364, 369; M. </w:t>
      </w:r>
      <w:proofErr w:type="spellStart"/>
      <w:r w:rsidRPr="001623E9">
        <w:t>Zuleeg</w:t>
      </w:r>
      <w:proofErr w:type="spellEnd"/>
      <w:r w:rsidRPr="001623E9">
        <w:t xml:space="preserve">, ‘Criminal Sanctions to be Imposed on Individuals as Enforcement Instruments in European Competition Law’ in C. D. </w:t>
      </w:r>
      <w:proofErr w:type="spellStart"/>
      <w:r w:rsidRPr="001623E9">
        <w:t>Ehlermann</w:t>
      </w:r>
      <w:proofErr w:type="spellEnd"/>
      <w:r w:rsidRPr="001623E9">
        <w:t xml:space="preserve"> and I. </w:t>
      </w:r>
      <w:proofErr w:type="spellStart"/>
      <w:r w:rsidRPr="001623E9">
        <w:t>Atanasiu</w:t>
      </w:r>
      <w:proofErr w:type="spellEnd"/>
      <w:r w:rsidRPr="001623E9">
        <w:t xml:space="preserve"> (eds</w:t>
      </w:r>
      <w:r w:rsidR="00B403EB" w:rsidRPr="001623E9">
        <w:t>.</w:t>
      </w:r>
      <w:r w:rsidRPr="001623E9">
        <w:t>),</w:t>
      </w:r>
      <w:r w:rsidRPr="001623E9">
        <w:rPr>
          <w:i/>
        </w:rPr>
        <w:t xml:space="preserve"> European Competition Law Annual 2001: Effective Private Enforcement of EC Antitrust Law</w:t>
      </w:r>
      <w:r w:rsidRPr="001623E9">
        <w:t xml:space="preserve"> (Oxford: Hart Publishing, 2003), 456-57;</w:t>
      </w:r>
    </w:p>
  </w:footnote>
  <w:footnote w:id="121">
    <w:p w14:paraId="477B611E" w14:textId="4C6758FA" w:rsidR="000272D5" w:rsidRPr="001623E9" w:rsidRDefault="000272D5" w:rsidP="005F44F9">
      <w:pPr>
        <w:autoSpaceDE w:val="0"/>
        <w:autoSpaceDN w:val="0"/>
        <w:adjustRightInd w:val="0"/>
        <w:spacing w:before="0" w:after="0" w:line="240" w:lineRule="auto"/>
        <w:rPr>
          <w:sz w:val="20"/>
          <w:szCs w:val="20"/>
        </w:rPr>
      </w:pPr>
      <w:r w:rsidRPr="001623E9">
        <w:rPr>
          <w:rStyle w:val="Fotnotsreferens"/>
          <w:sz w:val="20"/>
          <w:szCs w:val="20"/>
        </w:rPr>
        <w:footnoteRef/>
      </w:r>
      <w:r w:rsidRPr="001623E9">
        <w:rPr>
          <w:sz w:val="20"/>
          <w:szCs w:val="20"/>
        </w:rPr>
        <w:t xml:space="preserve"> Denominated after the lenient company regulation in the State of Delaware; see the seminal article by W. L. Cary, ‘</w:t>
      </w:r>
      <w:r w:rsidRPr="001623E9">
        <w:rPr>
          <w:iCs/>
          <w:sz w:val="20"/>
          <w:szCs w:val="20"/>
        </w:rPr>
        <w:t>Federalism and Corporate Law: Reflections upon Delaware’ (1974)</w:t>
      </w:r>
      <w:r w:rsidRPr="001623E9">
        <w:rPr>
          <w:i/>
          <w:iCs/>
          <w:sz w:val="20"/>
          <w:szCs w:val="20"/>
        </w:rPr>
        <w:t xml:space="preserve"> </w:t>
      </w:r>
      <w:r w:rsidRPr="001623E9">
        <w:rPr>
          <w:sz w:val="20"/>
          <w:szCs w:val="20"/>
        </w:rPr>
        <w:t xml:space="preserve">83 </w:t>
      </w:r>
      <w:r w:rsidRPr="001623E9">
        <w:rPr>
          <w:color w:val="000000"/>
          <w:sz w:val="20"/>
          <w:szCs w:val="20"/>
        </w:rPr>
        <w:t xml:space="preserve">Yale L.J. </w:t>
      </w:r>
      <w:r w:rsidRPr="001623E9">
        <w:rPr>
          <w:sz w:val="20"/>
          <w:szCs w:val="20"/>
        </w:rPr>
        <w:t>663, 663-668.</w:t>
      </w:r>
    </w:p>
  </w:footnote>
  <w:footnote w:id="122">
    <w:p w14:paraId="563F0DB7" w14:textId="43A2FF5D" w:rsidR="000272D5" w:rsidRPr="001623E9" w:rsidRDefault="000272D5" w:rsidP="005F44F9">
      <w:pPr>
        <w:pStyle w:val="Fotnotstext"/>
        <w:spacing w:before="0"/>
      </w:pPr>
      <w:r w:rsidRPr="001623E9">
        <w:rPr>
          <w:rStyle w:val="Fotnotsreferens"/>
        </w:rPr>
        <w:footnoteRef/>
      </w:r>
      <w:r w:rsidRPr="001623E9">
        <w:t xml:space="preserve"> See </w:t>
      </w:r>
      <w:r w:rsidRPr="001623E9">
        <w:rPr>
          <w:iCs/>
        </w:rPr>
        <w:t xml:space="preserve">H. G. </w:t>
      </w:r>
      <w:proofErr w:type="spellStart"/>
      <w:r w:rsidRPr="001623E9">
        <w:rPr>
          <w:iCs/>
        </w:rPr>
        <w:t>Sevenster</w:t>
      </w:r>
      <w:proofErr w:type="spellEnd"/>
      <w:r w:rsidRPr="001623E9">
        <w:rPr>
          <w:iCs/>
        </w:rPr>
        <w:t>, ‘Criminal Law and EC Law’ (1992) 29 C.M.L. Rev</w:t>
      </w:r>
      <w:r w:rsidR="00540765" w:rsidRPr="001623E9">
        <w:rPr>
          <w:iCs/>
        </w:rPr>
        <w:t>.</w:t>
      </w:r>
      <w:r w:rsidRPr="001623E9">
        <w:rPr>
          <w:iCs/>
        </w:rPr>
        <w:t xml:space="preserve"> 29; </w:t>
      </w:r>
      <w:r w:rsidRPr="001623E9">
        <w:t xml:space="preserve">Commission,’ Commission Staff Working Document, Accompanying Document to the Proposal for a Directive of the European Parliament and of the Council on the protection of the environment through criminal law, Impact Assessment’, SEC (2007) 160, 24; Commission, ‘Communication from the Commission to the European Parliament, the Council, the European and Social Committee and the Committee of the Regions, </w:t>
      </w:r>
      <w:r w:rsidRPr="001623E9">
        <w:rPr>
          <w:bCs/>
        </w:rPr>
        <w:t>Reinforcing sanctioning regimes in the financial services sector’</w:t>
      </w:r>
      <w:r w:rsidRPr="001623E9">
        <w:t>, COM (2010) 716 final, 10.</w:t>
      </w:r>
    </w:p>
  </w:footnote>
  <w:footnote w:id="123">
    <w:p w14:paraId="28D77C00" w14:textId="58338069"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Germany v Parliament and Council (Tobacco Advertising)</w:t>
      </w:r>
      <w:r w:rsidRPr="001623E9">
        <w:t xml:space="preserve"> (C-376/98) </w:t>
      </w:r>
      <w:r w:rsidRPr="001623E9">
        <w:rPr>
          <w:rStyle w:val="outputecliaff"/>
        </w:rPr>
        <w:t>EU:C: 2000:544</w:t>
      </w:r>
      <w:r w:rsidRPr="001623E9">
        <w:t xml:space="preserve"> at [109]; </w:t>
      </w:r>
      <w:r w:rsidRPr="001623E9">
        <w:rPr>
          <w:i/>
        </w:rPr>
        <w:t>Commission v Council</w:t>
      </w:r>
      <w:r w:rsidRPr="001623E9">
        <w:t xml:space="preserve"> </w:t>
      </w:r>
      <w:r w:rsidRPr="001623E9">
        <w:rPr>
          <w:i/>
        </w:rPr>
        <w:t>(Titanium Dioxide)</w:t>
      </w:r>
      <w:r w:rsidRPr="001623E9">
        <w:t xml:space="preserve"> (C-300/89) </w:t>
      </w:r>
      <w:r w:rsidRPr="001623E9">
        <w:rPr>
          <w:rStyle w:val="outputecliaff"/>
        </w:rPr>
        <w:t>EU:C: 1991:244</w:t>
      </w:r>
      <w:r w:rsidRPr="001623E9">
        <w:t>, at [12 and 23].</w:t>
      </w:r>
    </w:p>
  </w:footnote>
  <w:footnote w:id="124">
    <w:p w14:paraId="5F7B0351" w14:textId="74094823" w:rsidR="000272D5" w:rsidRPr="001623E9" w:rsidRDefault="000272D5" w:rsidP="005F44F9">
      <w:pPr>
        <w:pStyle w:val="Fotnotstext"/>
        <w:spacing w:before="0"/>
      </w:pPr>
      <w:r w:rsidRPr="001623E9">
        <w:rPr>
          <w:rStyle w:val="Fotnotsreferens"/>
        </w:rPr>
        <w:footnoteRef/>
      </w:r>
      <w:r w:rsidRPr="001623E9">
        <w:t xml:space="preserve"> P. </w:t>
      </w:r>
      <w:proofErr w:type="spellStart"/>
      <w:r w:rsidRPr="001623E9">
        <w:t>Bernasconi</w:t>
      </w:r>
      <w:proofErr w:type="spellEnd"/>
      <w:r w:rsidRPr="001623E9">
        <w:t>, ‘Transborder offences: Terrorism, Narcotics, Trafficking, White Collar Offenses’ in M. Delmas-Marty (ed</w:t>
      </w:r>
      <w:r w:rsidR="00B403EB" w:rsidRPr="001623E9">
        <w:t>.</w:t>
      </w:r>
      <w:r w:rsidRPr="001623E9">
        <w:t xml:space="preserve">) </w:t>
      </w:r>
      <w:r w:rsidRPr="001623E9">
        <w:rPr>
          <w:i/>
        </w:rPr>
        <w:t>What Kind of Criminal Policy for Europe</w:t>
      </w:r>
      <w:r w:rsidRPr="001623E9">
        <w:t xml:space="preserve"> ( Alphen </w:t>
      </w:r>
      <w:proofErr w:type="spellStart"/>
      <w:r w:rsidRPr="001623E9">
        <w:t>aan</w:t>
      </w:r>
      <w:proofErr w:type="spellEnd"/>
      <w:r w:rsidRPr="001623E9">
        <w:t xml:space="preserve"> den Rijn: Kluwer Law International, 1996), pp. 92-96; H. G. </w:t>
      </w:r>
      <w:proofErr w:type="spellStart"/>
      <w:r w:rsidRPr="001623E9">
        <w:t>Sevenster</w:t>
      </w:r>
      <w:proofErr w:type="spellEnd"/>
      <w:r w:rsidRPr="001623E9">
        <w:t>, ‘Criminal Law and EC Law’ (1992) 29 C.M.L. Rev</w:t>
      </w:r>
      <w:r w:rsidR="00540765" w:rsidRPr="001623E9">
        <w:t>.</w:t>
      </w:r>
      <w:r w:rsidRPr="001623E9">
        <w:t xml:space="preserve"> 29;</w:t>
      </w:r>
      <w:r w:rsidRPr="001623E9">
        <w:rPr>
          <w:rFonts w:ascii="Times" w:hAnsi="Times"/>
        </w:rPr>
        <w:t xml:space="preserve"> </w:t>
      </w:r>
      <w:r w:rsidRPr="001623E9">
        <w:t>55-60;</w:t>
      </w:r>
      <w:r w:rsidRPr="001623E9">
        <w:rPr>
          <w:bCs/>
        </w:rPr>
        <w:t xml:space="preserve"> </w:t>
      </w:r>
      <w:r w:rsidRPr="001623E9">
        <w:t>G. Grasso, ‘The Harmonization and Coordination of National Dispositions Relating to Penalties’, Commission of the European Communities (ed</w:t>
      </w:r>
      <w:r w:rsidR="00B403EB" w:rsidRPr="001623E9">
        <w:t>.</w:t>
      </w:r>
      <w:r w:rsidRPr="001623E9">
        <w:t xml:space="preserve">) </w:t>
      </w:r>
      <w:r w:rsidRPr="001623E9">
        <w:rPr>
          <w:i/>
          <w:iCs/>
        </w:rPr>
        <w:t>Legal Protection of the Financial Interests of the Community: Proceedings</w:t>
      </w:r>
      <w:r w:rsidRPr="001623E9">
        <w:t xml:space="preserve"> </w:t>
      </w:r>
      <w:r w:rsidRPr="001623E9">
        <w:rPr>
          <w:i/>
          <w:iCs/>
        </w:rPr>
        <w:t>of the Seminar Organised by the Directorate-General for Financial Control and the Legal Service</w:t>
      </w:r>
      <w:r w:rsidRPr="001623E9">
        <w:t xml:space="preserve"> </w:t>
      </w:r>
      <w:r w:rsidRPr="001623E9">
        <w:rPr>
          <w:i/>
          <w:iCs/>
        </w:rPr>
        <w:t>of the Commission of the European Communities on the 27, 28, and 29 Nov. 1989 in Brussels,</w:t>
      </w:r>
      <w:r w:rsidRPr="001623E9">
        <w:rPr>
          <w:iCs/>
        </w:rPr>
        <w:t xml:space="preserve"> (1990)</w:t>
      </w:r>
      <w:r w:rsidRPr="001623E9">
        <w:rPr>
          <w:bCs/>
        </w:rPr>
        <w:t xml:space="preserve"> Brussels,</w:t>
      </w:r>
      <w:r w:rsidR="00540765" w:rsidRPr="001623E9">
        <w:rPr>
          <w:bCs/>
        </w:rPr>
        <w:t xml:space="preserve"> pp.</w:t>
      </w:r>
      <w:r w:rsidRPr="001623E9">
        <w:rPr>
          <w:bCs/>
        </w:rPr>
        <w:t xml:space="preserve"> 250, 254, 260.</w:t>
      </w:r>
    </w:p>
  </w:footnote>
  <w:footnote w:id="125">
    <w:p w14:paraId="46F3F6D4" w14:textId="58E53C1D"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Germany v Parliament and Council (Tobacco Advertising)</w:t>
      </w:r>
      <w:r w:rsidRPr="001623E9">
        <w:t xml:space="preserve"> (C-376/98) </w:t>
      </w:r>
      <w:r w:rsidRPr="001623E9">
        <w:rPr>
          <w:rStyle w:val="outputecliaff"/>
        </w:rPr>
        <w:t>EU:C: 2000:544</w:t>
      </w:r>
      <w:r w:rsidRPr="001623E9">
        <w:t>, at [84]; art. 3(3) TEU.</w:t>
      </w:r>
    </w:p>
  </w:footnote>
  <w:footnote w:id="126">
    <w:p w14:paraId="20FA29B6" w14:textId="5F9D4E4D" w:rsidR="000272D5" w:rsidRPr="001623E9" w:rsidRDefault="000272D5" w:rsidP="005F44F9">
      <w:pPr>
        <w:pStyle w:val="Fotnotstext"/>
        <w:spacing w:before="0"/>
      </w:pPr>
      <w:r w:rsidRPr="001623E9">
        <w:rPr>
          <w:rStyle w:val="Fotnotsreferens"/>
        </w:rPr>
        <w:footnoteRef/>
      </w:r>
      <w:r w:rsidRPr="001623E9">
        <w:t xml:space="preserve"> See </w:t>
      </w:r>
      <w:r w:rsidRPr="001623E9">
        <w:rPr>
          <w:rFonts w:eastAsia="Calibri"/>
        </w:rPr>
        <w:t>D. Wyatt, ‘</w:t>
      </w:r>
      <w:hyperlink r:id="rId6" w:history="1">
        <w:r w:rsidRPr="001623E9">
          <w:t>Community Competence to Regulate the Internal Market</w:t>
        </w:r>
      </w:hyperlink>
      <w:r w:rsidRPr="001623E9">
        <w:t>’</w:t>
      </w:r>
      <w:r w:rsidRPr="001623E9">
        <w:rPr>
          <w:rFonts w:eastAsia="Calibri"/>
        </w:rPr>
        <w:t xml:space="preserve"> in M. Dougan and S. Currie (eds</w:t>
      </w:r>
      <w:r w:rsidR="00B403EB" w:rsidRPr="001623E9">
        <w:rPr>
          <w:rFonts w:eastAsia="Calibri"/>
        </w:rPr>
        <w:t>.</w:t>
      </w:r>
      <w:r w:rsidRPr="001623E9">
        <w:rPr>
          <w:rFonts w:eastAsia="Calibri"/>
        </w:rPr>
        <w:t xml:space="preserve">), </w:t>
      </w:r>
      <w:r w:rsidRPr="001623E9">
        <w:rPr>
          <w:rFonts w:eastAsia="Calibri"/>
          <w:i/>
          <w:iCs/>
        </w:rPr>
        <w:t xml:space="preserve">50 Year of the European Treaties: </w:t>
      </w:r>
      <w:r w:rsidRPr="001623E9">
        <w:rPr>
          <w:i/>
          <w:color w:val="000000"/>
        </w:rPr>
        <w:t>Looking Back and Thinking Forward</w:t>
      </w:r>
      <w:r w:rsidRPr="001623E9">
        <w:rPr>
          <w:color w:val="000000"/>
        </w:rPr>
        <w:t xml:space="preserve"> (Oxford: Hart Publishing, 2009);</w:t>
      </w:r>
      <w:r w:rsidRPr="001623E9">
        <w:t xml:space="preserve"> G. Davies, ‘Democracy and Legitimacy in the Shadow of Purposive Competence’ (2015) 21 E.L.J. 2. doi:10.1111/eulj.12079.</w:t>
      </w:r>
    </w:p>
  </w:footnote>
  <w:footnote w:id="127">
    <w:p w14:paraId="1F9CBFE1" w14:textId="19A4369B" w:rsidR="000272D5" w:rsidRPr="001623E9" w:rsidRDefault="000272D5" w:rsidP="005F44F9">
      <w:pPr>
        <w:pStyle w:val="Fotnotstext"/>
        <w:spacing w:before="0"/>
      </w:pPr>
      <w:r w:rsidRPr="001623E9">
        <w:rPr>
          <w:rStyle w:val="Fotnotsreferens"/>
        </w:rPr>
        <w:footnoteRef/>
      </w:r>
      <w:r w:rsidRPr="001623E9">
        <w:t xml:space="preserve"> See </w:t>
      </w:r>
      <w:bookmarkStart w:id="7" w:name="_Hlk495575685"/>
      <w:r w:rsidRPr="001623E9">
        <w:rPr>
          <w:color w:val="000000"/>
        </w:rPr>
        <w:t>R. Barents, ’The Internal Market Unlimited: Some Observations on the Legal Basis of Community Legislation’ (1993) 30 C.M.L. Rev</w:t>
      </w:r>
      <w:r w:rsidR="00540765" w:rsidRPr="001623E9">
        <w:rPr>
          <w:color w:val="000000"/>
        </w:rPr>
        <w:t>.</w:t>
      </w:r>
      <w:r w:rsidRPr="001623E9">
        <w:rPr>
          <w:color w:val="000000"/>
        </w:rPr>
        <w:t xml:space="preserve"> 85, </w:t>
      </w:r>
      <w:r w:rsidRPr="001623E9">
        <w:t>100–101, 107–109</w:t>
      </w:r>
      <w:bookmarkEnd w:id="7"/>
      <w:r w:rsidRPr="001623E9">
        <w:t>.</w:t>
      </w:r>
    </w:p>
  </w:footnote>
  <w:footnote w:id="128">
    <w:p w14:paraId="5B79EA50" w14:textId="77777777" w:rsidR="000272D5" w:rsidRPr="001623E9" w:rsidRDefault="000272D5" w:rsidP="005F44F9">
      <w:pPr>
        <w:pStyle w:val="Fotnotstext"/>
        <w:spacing w:before="0"/>
      </w:pPr>
      <w:r w:rsidRPr="001623E9">
        <w:rPr>
          <w:rStyle w:val="Fotnotsreferens"/>
        </w:rPr>
        <w:footnoteRef/>
      </w:r>
      <w:r w:rsidRPr="001623E9">
        <w:t xml:space="preserve"> Council Directive 89/428/EEC of 21 June 1989 on procedures for harmonising the programmes for the reduction and eventual elimination of pollution caused by waste from the titanium dioxide industry [1989] OJ L 201/56. </w:t>
      </w:r>
    </w:p>
  </w:footnote>
  <w:footnote w:id="129">
    <w:p w14:paraId="6F1ED527" w14:textId="75D6A2CF"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w:t>
      </w:r>
      <w:r w:rsidRPr="001623E9">
        <w:rPr>
          <w:i/>
        </w:rPr>
        <w:t>(Titanium Dioxide)</w:t>
      </w:r>
      <w:r w:rsidRPr="001623E9">
        <w:t xml:space="preserve"> (C-300/89) </w:t>
      </w:r>
      <w:r w:rsidRPr="001623E9">
        <w:rPr>
          <w:rStyle w:val="outputecliaff"/>
        </w:rPr>
        <w:t>EU:C: 1991:244, [</w:t>
      </w:r>
      <w:r w:rsidRPr="001623E9">
        <w:t xml:space="preserve">22–25]. </w:t>
      </w:r>
    </w:p>
  </w:footnote>
  <w:footnote w:id="130">
    <w:p w14:paraId="16F3FDAE" w14:textId="36877355" w:rsidR="000272D5" w:rsidRPr="001623E9" w:rsidRDefault="000272D5" w:rsidP="005F44F9">
      <w:pPr>
        <w:pStyle w:val="Fotnotstext"/>
        <w:spacing w:before="0"/>
      </w:pPr>
      <w:r w:rsidRPr="001623E9">
        <w:rPr>
          <w:rStyle w:val="Fotnotsreferens"/>
        </w:rPr>
        <w:footnoteRef/>
      </w:r>
      <w:r w:rsidRPr="001623E9">
        <w:t xml:space="preserve"> See Council Directive 89/428/EEC of 21 June 1989 on procedures for harmonising the programmes for the reduction and eventual elimination of pollution caused by waste from the titanium dioxide industry [1989] OJ L 201/56, recitals 2-6, arts 3-11.</w:t>
      </w:r>
    </w:p>
  </w:footnote>
  <w:footnote w:id="131">
    <w:p w14:paraId="0CE42E0F" w14:textId="4BA216B3" w:rsidR="000272D5" w:rsidRPr="001623E9" w:rsidRDefault="000272D5" w:rsidP="005F44F9">
      <w:pPr>
        <w:pStyle w:val="Fotnotstext"/>
        <w:spacing w:before="0"/>
      </w:pPr>
      <w:r w:rsidRPr="001623E9">
        <w:rPr>
          <w:rStyle w:val="Fotnotsreferens"/>
        </w:rPr>
        <w:footnoteRef/>
      </w:r>
      <w:r w:rsidRPr="001623E9">
        <w:t xml:space="preserve"> Council Directive 89/428/EEC of 21 June 1989 on procedures for harmonising the programmes for the reduction and eventual elimination of pollution caused by waste from the titanium dioxide industry [1989] OJ L 201/56, recital 2 and art. 3.</w:t>
      </w:r>
    </w:p>
  </w:footnote>
  <w:footnote w:id="132">
    <w:p w14:paraId="28C7B6B7" w14:textId="603EC44E" w:rsidR="000272D5" w:rsidRPr="001623E9" w:rsidRDefault="000272D5" w:rsidP="005F44F9">
      <w:pPr>
        <w:pStyle w:val="Fotnotstext"/>
        <w:spacing w:before="0"/>
      </w:pPr>
      <w:r w:rsidRPr="001623E9">
        <w:rPr>
          <w:rStyle w:val="Fotnotsreferens"/>
        </w:rPr>
        <w:footnoteRef/>
      </w:r>
      <w:r w:rsidRPr="001623E9">
        <w:t xml:space="preserve"> See art. 114(3) TFEU</w:t>
      </w:r>
      <w:r w:rsidRPr="001623E9">
        <w:rPr>
          <w:color w:val="000000"/>
        </w:rPr>
        <w:t>; art. 192(2) TFEU.</w:t>
      </w:r>
    </w:p>
  </w:footnote>
  <w:footnote w:id="133">
    <w:p w14:paraId="484D6A25" w14:textId="38622A51" w:rsidR="000272D5" w:rsidRPr="001623E9" w:rsidRDefault="000272D5" w:rsidP="005F44F9">
      <w:pPr>
        <w:pStyle w:val="Fotnotstext"/>
        <w:spacing w:before="0"/>
      </w:pPr>
      <w:r w:rsidRPr="001623E9">
        <w:rPr>
          <w:rStyle w:val="Fotnotsreferens"/>
        </w:rPr>
        <w:footnoteRef/>
      </w:r>
      <w:r w:rsidRPr="001623E9">
        <w:t xml:space="preserve"> The final version of the Directive was adopted under art. 83(2) TFEU: See</w:t>
      </w:r>
      <w:r w:rsidRPr="001623E9">
        <w:rPr>
          <w:rFonts w:eastAsia="Calibri"/>
        </w:rPr>
        <w:t xml:space="preserve"> </w:t>
      </w:r>
      <w:r w:rsidRPr="001623E9">
        <w:t>Directive 2014/57/EU of the European Parliament and of the Council of 16 April 2014 on criminal sanctions for market abuse (market abuse directive) [2014] OJ L 173/79.</w:t>
      </w:r>
    </w:p>
  </w:footnote>
  <w:footnote w:id="134">
    <w:p w14:paraId="4547224A" w14:textId="24E51EAA"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Germany v Parliament and Council</w:t>
      </w:r>
      <w:r w:rsidRPr="001623E9">
        <w:rPr>
          <w:rFonts w:eastAsia="Calibri"/>
        </w:rPr>
        <w:t xml:space="preserve"> </w:t>
      </w:r>
      <w:r w:rsidRPr="001623E9">
        <w:t xml:space="preserve">(C-380/03) </w:t>
      </w:r>
      <w:r w:rsidRPr="001623E9">
        <w:rPr>
          <w:rStyle w:val="outputecliaff"/>
        </w:rPr>
        <w:t>EU:C: 2006:772</w:t>
      </w:r>
      <w:r w:rsidRPr="001623E9">
        <w:t>.</w:t>
      </w:r>
    </w:p>
  </w:footnote>
  <w:footnote w:id="135">
    <w:p w14:paraId="62F05B67" w14:textId="4BCF96E0" w:rsidR="000272D5" w:rsidRPr="001623E9" w:rsidRDefault="000272D5" w:rsidP="005F44F9">
      <w:pPr>
        <w:pStyle w:val="Fotnotstext"/>
        <w:spacing w:before="0"/>
      </w:pPr>
      <w:r w:rsidRPr="001623E9">
        <w:rPr>
          <w:rStyle w:val="Fotnotsreferens"/>
          <w:rFonts w:eastAsiaTheme="majorEastAsia"/>
        </w:rPr>
        <w:footnoteRef/>
      </w:r>
      <w:r w:rsidRPr="001623E9">
        <w:t xml:space="preserve"> See E. </w:t>
      </w:r>
      <w:proofErr w:type="spellStart"/>
      <w:r w:rsidRPr="001623E9">
        <w:t>Herlin-Karnell</w:t>
      </w:r>
      <w:proofErr w:type="spellEnd"/>
      <w:r w:rsidRPr="001623E9">
        <w:t>, ‘White-collar crime and European financial crises: getting tough on EU market abuse’ (2012) 37 E.L. Rev</w:t>
      </w:r>
      <w:r w:rsidR="00540765" w:rsidRPr="001623E9">
        <w:t>.</w:t>
      </w:r>
      <w:r w:rsidRPr="001623E9">
        <w:t xml:space="preserve"> 481, 485–87.</w:t>
      </w:r>
    </w:p>
  </w:footnote>
  <w:footnote w:id="136">
    <w:p w14:paraId="72C12E92" w14:textId="214D9121" w:rsidR="000272D5" w:rsidRPr="001623E9" w:rsidRDefault="000272D5" w:rsidP="005F44F9">
      <w:pPr>
        <w:pStyle w:val="Fotnotstext"/>
        <w:spacing w:before="0"/>
      </w:pPr>
      <w:r w:rsidRPr="001623E9">
        <w:rPr>
          <w:rStyle w:val="Fotnotsreferens"/>
        </w:rPr>
        <w:footnoteRef/>
      </w:r>
      <w:r w:rsidRPr="001623E9">
        <w:t xml:space="preserve"> See</w:t>
      </w:r>
      <w:r w:rsidRPr="001623E9">
        <w:rPr>
          <w:i/>
        </w:rPr>
        <w:t xml:space="preserve"> Germany v Parliament and Council</w:t>
      </w:r>
      <w:r w:rsidRPr="001623E9">
        <w:rPr>
          <w:rFonts w:eastAsia="Calibri"/>
        </w:rPr>
        <w:t xml:space="preserve"> </w:t>
      </w:r>
      <w:r w:rsidRPr="001623E9">
        <w:t xml:space="preserve">(C-380/03) </w:t>
      </w:r>
      <w:r w:rsidRPr="001623E9">
        <w:rPr>
          <w:rStyle w:val="outputecliaff"/>
        </w:rPr>
        <w:t>EU:C: 2006:772</w:t>
      </w:r>
      <w:r w:rsidRPr="001623E9">
        <w:t>, at [15–24, 45–65, 70–88].</w:t>
      </w:r>
    </w:p>
  </w:footnote>
  <w:footnote w:id="137">
    <w:p w14:paraId="78247BD1" w14:textId="7728D155"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Swedish Match</w:t>
      </w:r>
      <w:r w:rsidRPr="001623E9">
        <w:t xml:space="preserve"> (C-210/03) </w:t>
      </w:r>
      <w:r w:rsidRPr="001623E9">
        <w:rPr>
          <w:rStyle w:val="outputecliaff"/>
        </w:rPr>
        <w:t>EU:C: 2004:802</w:t>
      </w:r>
      <w:r w:rsidRPr="001623E9">
        <w:t xml:space="preserve">; </w:t>
      </w:r>
      <w:r w:rsidRPr="001623E9">
        <w:rPr>
          <w:i/>
        </w:rPr>
        <w:t>Ireland v Parliament and Council</w:t>
      </w:r>
      <w:r w:rsidRPr="001623E9">
        <w:t xml:space="preserve"> (C-301/06) </w:t>
      </w:r>
      <w:r w:rsidRPr="001623E9">
        <w:rPr>
          <w:rStyle w:val="outputecliaff"/>
        </w:rPr>
        <w:t>EU:C: 2009:68</w:t>
      </w:r>
      <w:r w:rsidRPr="001623E9">
        <w:t xml:space="preserve">. </w:t>
      </w:r>
    </w:p>
  </w:footnote>
  <w:footnote w:id="138">
    <w:p w14:paraId="01A0C217" w14:textId="01C9FF4F"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(C-338/01) </w:t>
      </w:r>
      <w:r w:rsidRPr="001623E9">
        <w:rPr>
          <w:rStyle w:val="outputecliaff"/>
        </w:rPr>
        <w:t>EU:C: 2004:253</w:t>
      </w:r>
      <w:r w:rsidRPr="001623E9">
        <w:t>.</w:t>
      </w:r>
    </w:p>
  </w:footnote>
  <w:footnote w:id="139">
    <w:p w14:paraId="1F06C993" w14:textId="01395C9D" w:rsidR="000272D5" w:rsidRPr="001623E9" w:rsidRDefault="000272D5" w:rsidP="005F44F9">
      <w:pPr>
        <w:pStyle w:val="Fotnotstext"/>
        <w:spacing w:before="0"/>
      </w:pPr>
      <w:r w:rsidRPr="001623E9">
        <w:rPr>
          <w:rStyle w:val="Fotnotsreferens"/>
        </w:rPr>
        <w:footnoteRef/>
      </w:r>
      <w:r w:rsidRPr="001623E9">
        <w:t xml:space="preserve"> See </w:t>
      </w:r>
      <w:r w:rsidR="00540765" w:rsidRPr="001623E9">
        <w:t>a</w:t>
      </w:r>
      <w:r w:rsidRPr="001623E9">
        <w:t>rt</w:t>
      </w:r>
      <w:r w:rsidR="00540765" w:rsidRPr="001623E9">
        <w:t>.</w:t>
      </w:r>
      <w:r w:rsidRPr="001623E9">
        <w:t xml:space="preserve"> 114 (1) TFEU.</w:t>
      </w:r>
    </w:p>
  </w:footnote>
  <w:footnote w:id="140">
    <w:p w14:paraId="505FA12F" w14:textId="110497E1" w:rsidR="000272D5" w:rsidRPr="001623E9" w:rsidRDefault="000272D5" w:rsidP="005F44F9">
      <w:pPr>
        <w:pStyle w:val="Fotnotstext"/>
        <w:spacing w:before="0"/>
      </w:pPr>
      <w:r w:rsidRPr="001623E9">
        <w:rPr>
          <w:rStyle w:val="Fotnotsreferens"/>
        </w:rPr>
        <w:footnoteRef/>
      </w:r>
      <w:r w:rsidRPr="001623E9">
        <w:t xml:space="preserve"> The first paragraph of art. 114 reads as follows: ‘Save where otherwise provided in the Treaties, the following provisions shall apply for the achievement of the objectives set out in Article 26. The European Parliament and the Council shall, acting in accordance with the ordinary legislative procedure …. adopt the measures for the approximation of the provisions laid down by law….in Member States which have as their object the establishment and functioning of the internal market.’</w:t>
      </w:r>
    </w:p>
  </w:footnote>
  <w:footnote w:id="141">
    <w:p w14:paraId="2AAEE69B" w14:textId="2EA0F997" w:rsidR="000272D5" w:rsidRPr="001623E9" w:rsidRDefault="000272D5" w:rsidP="005F44F9">
      <w:pPr>
        <w:pStyle w:val="Fotnotstext"/>
        <w:spacing w:before="0"/>
      </w:pPr>
      <w:r w:rsidRPr="001623E9">
        <w:rPr>
          <w:rStyle w:val="Fotnotsreferens"/>
        </w:rPr>
        <w:footnoteRef/>
      </w:r>
      <w:r w:rsidRPr="001623E9">
        <w:t xml:space="preserve"> See </w:t>
      </w:r>
      <w:r w:rsidRPr="001623E9">
        <w:rPr>
          <w:color w:val="000000"/>
        </w:rPr>
        <w:t xml:space="preserve">H. </w:t>
      </w:r>
      <w:r w:rsidRPr="001623E9">
        <w:rPr>
          <w:rFonts w:eastAsia="Calibri"/>
        </w:rPr>
        <w:t xml:space="preserve">Cullen and A. Charlesworth, ‘Diplomacy by Other Means: The Use of Legal Basis Litigation as a Political Strategy by the European Parliament and Member States’ (1999) 36 </w:t>
      </w:r>
      <w:r w:rsidRPr="001623E9">
        <w:rPr>
          <w:color w:val="000000"/>
        </w:rPr>
        <w:t>C.M.L. Rev</w:t>
      </w:r>
      <w:r w:rsidR="00DF08FB" w:rsidRPr="001623E9">
        <w:rPr>
          <w:color w:val="000000"/>
        </w:rPr>
        <w:t>.</w:t>
      </w:r>
      <w:r w:rsidRPr="001623E9">
        <w:rPr>
          <w:color w:val="000000"/>
        </w:rPr>
        <w:t xml:space="preserve"> </w:t>
      </w:r>
      <w:r w:rsidRPr="001623E9">
        <w:rPr>
          <w:rFonts w:eastAsia="Calibri"/>
        </w:rPr>
        <w:t>1243, pp.</w:t>
      </w:r>
      <w:r w:rsidRPr="001623E9">
        <w:t xml:space="preserve">1262–63.  </w:t>
      </w:r>
    </w:p>
  </w:footnote>
  <w:footnote w:id="142">
    <w:p w14:paraId="12D18E85" w14:textId="199F6958"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(C-338/01) </w:t>
      </w:r>
      <w:r w:rsidRPr="001623E9">
        <w:rPr>
          <w:rStyle w:val="outputecliaff"/>
        </w:rPr>
        <w:t>EU:C: 2004:253.</w:t>
      </w:r>
    </w:p>
  </w:footnote>
  <w:footnote w:id="143">
    <w:p w14:paraId="0C553F5D" w14:textId="77777777" w:rsidR="000272D5" w:rsidRPr="001623E9" w:rsidRDefault="000272D5" w:rsidP="005F44F9">
      <w:pPr>
        <w:pStyle w:val="Fotnotstext"/>
        <w:spacing w:before="0"/>
      </w:pPr>
      <w:r w:rsidRPr="001623E9">
        <w:rPr>
          <w:rStyle w:val="Fotnotsreferens"/>
        </w:rPr>
        <w:footnoteRef/>
      </w:r>
      <w:r w:rsidRPr="001623E9">
        <w:t xml:space="preserve"> Council Directive 2001/44/EC of 15 June 2001 amending Directive 76/308/EEC on mutual assistance for the recovery of claims resulting from operations forming part of the system of financing the European Agricultural Guidance and Guarantee Fund, and of agricultural levies and customs duties and in respect of value added tax and certain excise duties [2001] OJ 2001 L 175/17.</w:t>
      </w:r>
    </w:p>
  </w:footnote>
  <w:footnote w:id="144">
    <w:p w14:paraId="3D6C8B5B" w14:textId="7FADD865"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(C-338/01) </w:t>
      </w:r>
      <w:r w:rsidRPr="001623E9">
        <w:rPr>
          <w:rStyle w:val="outputecliaff"/>
        </w:rPr>
        <w:t>EU:C: 2004:253, at [</w:t>
      </w:r>
      <w:r w:rsidRPr="001623E9">
        <w:t xml:space="preserve">13–14, 17–18, 54–57, 59–62, 67, 70–76]. </w:t>
      </w:r>
    </w:p>
  </w:footnote>
  <w:footnote w:id="145">
    <w:p w14:paraId="7FAE80B1" w14:textId="086FD3C0" w:rsidR="000272D5" w:rsidRPr="001623E9" w:rsidRDefault="000272D5" w:rsidP="005F44F9">
      <w:pPr>
        <w:pStyle w:val="Fotnotstext"/>
        <w:spacing w:before="0"/>
      </w:pPr>
      <w:r w:rsidRPr="001623E9">
        <w:rPr>
          <w:rStyle w:val="Fotnotsreferens"/>
        </w:rPr>
        <w:footnoteRef/>
      </w:r>
      <w:r w:rsidRPr="001623E9">
        <w:t xml:space="preserve"> See </w:t>
      </w:r>
      <w:r w:rsidRPr="001623E9">
        <w:rPr>
          <w:rFonts w:ascii="Times" w:hAnsi="Times"/>
          <w:i/>
        </w:rPr>
        <w:t>Commission v Council</w:t>
      </w:r>
      <w:r w:rsidRPr="001623E9">
        <w:rPr>
          <w:rFonts w:ascii="Times" w:hAnsi="Times"/>
        </w:rPr>
        <w:t xml:space="preserve"> </w:t>
      </w:r>
      <w:r w:rsidRPr="001623E9">
        <w:t xml:space="preserve">(C-155/91) </w:t>
      </w:r>
      <w:r w:rsidRPr="001623E9">
        <w:rPr>
          <w:rStyle w:val="outputecliaff"/>
        </w:rPr>
        <w:t>EU:C: 1993:98, at [</w:t>
      </w:r>
      <w:r w:rsidRPr="001623E9">
        <w:t xml:space="preserve">19–21]; </w:t>
      </w:r>
      <w:r w:rsidRPr="001623E9">
        <w:rPr>
          <w:i/>
        </w:rPr>
        <w:t>Commission v Council</w:t>
      </w:r>
      <w:r w:rsidRPr="001623E9">
        <w:t xml:space="preserve"> (C-533/03) </w:t>
      </w:r>
      <w:r w:rsidRPr="001623E9">
        <w:rPr>
          <w:rStyle w:val="outputecliaff"/>
        </w:rPr>
        <w:t xml:space="preserve">EU:C:2006:64, </w:t>
      </w:r>
      <w:r w:rsidRPr="001623E9">
        <w:t xml:space="preserve">at [45- 48]; </w:t>
      </w:r>
      <w:r w:rsidRPr="001623E9">
        <w:rPr>
          <w:i/>
        </w:rPr>
        <w:t>Commission v Council</w:t>
      </w:r>
      <w:r w:rsidRPr="001623E9">
        <w:t xml:space="preserve"> (C</w:t>
      </w:r>
      <w:r w:rsidRPr="001623E9">
        <w:noBreakHyphen/>
        <w:t xml:space="preserve">137/12) </w:t>
      </w:r>
      <w:r w:rsidRPr="001623E9">
        <w:rPr>
          <w:rStyle w:val="outputecliaff"/>
        </w:rPr>
        <w:t>EU:C: 2013:675</w:t>
      </w:r>
      <w:r w:rsidRPr="001623E9">
        <w:t>, at [51–76</w:t>
      </w:r>
      <w:bookmarkStart w:id="8" w:name="_Hlk495575789"/>
      <w:r w:rsidRPr="001623E9">
        <w:t xml:space="preserve">]; </w:t>
      </w:r>
      <w:r w:rsidRPr="001623E9">
        <w:rPr>
          <w:i/>
        </w:rPr>
        <w:t>Parliament v Council</w:t>
      </w:r>
      <w:r w:rsidRPr="001623E9">
        <w:t xml:space="preserve"> (C-187/93)</w:t>
      </w:r>
      <w:r w:rsidRPr="001623E9">
        <w:rPr>
          <w:i/>
        </w:rPr>
        <w:t xml:space="preserve"> </w:t>
      </w:r>
      <w:r w:rsidRPr="001623E9">
        <w:rPr>
          <w:rStyle w:val="outputecliaff"/>
        </w:rPr>
        <w:t>EU:C:1994:265</w:t>
      </w:r>
      <w:r w:rsidRPr="001623E9">
        <w:t>, at [18–28]</w:t>
      </w:r>
      <w:bookmarkEnd w:id="8"/>
      <w:r w:rsidRPr="001623E9">
        <w:t>.</w:t>
      </w:r>
    </w:p>
  </w:footnote>
  <w:footnote w:id="146">
    <w:p w14:paraId="5A2F84AC" w14:textId="2ADC541C" w:rsidR="000272D5" w:rsidRPr="001623E9" w:rsidRDefault="000272D5" w:rsidP="005F44F9">
      <w:pPr>
        <w:pStyle w:val="Fotnotstext"/>
        <w:spacing w:before="0"/>
        <w:rPr>
          <w:i/>
        </w:rPr>
      </w:pPr>
      <w:r w:rsidRPr="001623E9">
        <w:rPr>
          <w:rStyle w:val="Fotnotsreferens"/>
        </w:rPr>
        <w:footnoteRef/>
      </w:r>
      <w:r w:rsidRPr="001623E9">
        <w:t xml:space="preserve"> See above subs. ‘</w:t>
      </w:r>
      <w:r w:rsidRPr="001623E9">
        <w:rPr>
          <w:i/>
        </w:rPr>
        <w:t xml:space="preserve">The core argument- principled, systemic and teleological </w:t>
      </w:r>
      <w:proofErr w:type="gramStart"/>
      <w:r w:rsidRPr="001623E9">
        <w:rPr>
          <w:i/>
        </w:rPr>
        <w:t>considerations’</w:t>
      </w:r>
      <w:proofErr w:type="gramEnd"/>
      <w:r w:rsidRPr="001623E9">
        <w:rPr>
          <w:i/>
        </w:rPr>
        <w:t>.</w:t>
      </w:r>
    </w:p>
  </w:footnote>
  <w:footnote w:id="147">
    <w:p w14:paraId="057D0D61" w14:textId="3A2335F6" w:rsidR="000272D5" w:rsidRPr="001623E9" w:rsidRDefault="000272D5" w:rsidP="005F44F9">
      <w:pPr>
        <w:pStyle w:val="Fotnotstext"/>
        <w:spacing w:before="0"/>
        <w:rPr>
          <w:b/>
        </w:rPr>
      </w:pPr>
      <w:r w:rsidRPr="001623E9">
        <w:rPr>
          <w:rStyle w:val="Fotnotsreferens"/>
        </w:rPr>
        <w:footnoteRef/>
      </w:r>
      <w:r w:rsidRPr="001623E9">
        <w:t xml:space="preserve"> See above s. ‘Limits to the core argument: The (Narrow) Scope of art. 83(2) TFEU’ for a discussion of the limitations relating to the scope of art. 83(2) TFEU.</w:t>
      </w:r>
    </w:p>
  </w:footnote>
  <w:footnote w:id="148">
    <w:p w14:paraId="648C157D" w14:textId="1F063583" w:rsidR="000272D5" w:rsidRPr="001623E9" w:rsidRDefault="000272D5" w:rsidP="005F44F9">
      <w:pPr>
        <w:pStyle w:val="Fotnotstext"/>
        <w:spacing w:before="0"/>
      </w:pPr>
      <w:r w:rsidRPr="001623E9">
        <w:rPr>
          <w:rStyle w:val="Fotnotsreferens"/>
        </w:rPr>
        <w:footnoteRef/>
      </w:r>
      <w:r w:rsidRPr="001623E9">
        <w:t xml:space="preserve"> The PIF Directive was ultimately adopted under art. 83(2) TFEU.</w:t>
      </w:r>
    </w:p>
  </w:footnote>
  <w:footnote w:id="149">
    <w:p w14:paraId="5C22A8E9" w14:textId="704137A9" w:rsidR="000272D5" w:rsidRPr="001623E9" w:rsidRDefault="000272D5" w:rsidP="005F44F9">
      <w:pPr>
        <w:pStyle w:val="Fotnotstext"/>
        <w:spacing w:before="0"/>
      </w:pPr>
      <w:r w:rsidRPr="001623E9">
        <w:rPr>
          <w:rStyle w:val="Fotnotsreferens"/>
        </w:rPr>
        <w:footnoteRef/>
      </w:r>
      <w:r w:rsidRPr="001623E9">
        <w:t xml:space="preserve"> Art. 325 TFEU reads as follows in the relevant parts: ‘1. The Union and the Member States shall counter fraud and any other illegal activities affecting the financial interests of the Union through</w:t>
      </w:r>
      <w:r w:rsidRPr="001623E9">
        <w:rPr>
          <w:i/>
        </w:rPr>
        <w:t xml:space="preserve"> measures</w:t>
      </w:r>
      <w:r w:rsidRPr="001623E9">
        <w:t xml:space="preserve"> to be taken in accordance with this Article, which shall act as a </w:t>
      </w:r>
      <w:r w:rsidRPr="001623E9">
        <w:rPr>
          <w:i/>
        </w:rPr>
        <w:t xml:space="preserve">deterrent </w:t>
      </w:r>
      <w:r w:rsidRPr="001623E9">
        <w:t xml:space="preserve">and be such as to afford effective protection in the Member States, and in all the Union’s institutions, bodies, offices and agencies….’  2. Member States shall take the same measures to counter fraud affecting the financial interests of the Union as they take to counter fraud affecting their own financial interests’. …’4. The European Parliament and the Council, acting in accordance with the ordinary legislative procedure, …shall adopt the </w:t>
      </w:r>
      <w:r w:rsidRPr="001623E9">
        <w:rPr>
          <w:i/>
        </w:rPr>
        <w:t>necessary measures</w:t>
      </w:r>
      <w:r w:rsidRPr="001623E9">
        <w:t xml:space="preserve"> in the fields of the prevention of and fight against fraud affecting the financial interests of the Union with a view to affording </w:t>
      </w:r>
      <w:r w:rsidRPr="001623E9">
        <w:rPr>
          <w:i/>
        </w:rPr>
        <w:t>effective and equivalent protection</w:t>
      </w:r>
      <w:r w:rsidRPr="001623E9">
        <w:t xml:space="preserve"> in the Member States….’. The claimed implicit references to ‘criminal law’ in the provision have been underlined.</w:t>
      </w:r>
    </w:p>
  </w:footnote>
  <w:footnote w:id="150">
    <w:p w14:paraId="6D213ABE" w14:textId="7DF3BC03" w:rsidR="000272D5" w:rsidRPr="001623E9" w:rsidRDefault="000272D5" w:rsidP="005F44F9">
      <w:pPr>
        <w:pStyle w:val="Fotnotstext"/>
        <w:spacing w:before="0"/>
      </w:pPr>
      <w:r w:rsidRPr="001623E9">
        <w:rPr>
          <w:rStyle w:val="Fotnotsreferens"/>
        </w:rPr>
        <w:footnoteRef/>
      </w:r>
      <w:r w:rsidRPr="001623E9">
        <w:t xml:space="preserve"> See</w:t>
      </w:r>
      <w:r w:rsidRPr="001623E9">
        <w:rPr>
          <w:i/>
        </w:rPr>
        <w:t xml:space="preserve"> Commission v Council</w:t>
      </w:r>
      <w:r w:rsidRPr="001623E9">
        <w:t xml:space="preserve"> </w:t>
      </w:r>
      <w:r w:rsidRPr="001623E9">
        <w:rPr>
          <w:iCs/>
        </w:rPr>
        <w:t>(</w:t>
      </w:r>
      <w:r w:rsidRPr="001623E9">
        <w:rPr>
          <w:i/>
          <w:iCs/>
        </w:rPr>
        <w:t>environmental sanctions</w:t>
      </w:r>
      <w:r w:rsidRPr="001623E9">
        <w:t xml:space="preserve">) (C-176/03) EU:C: 2005:542; </w:t>
      </w:r>
      <w:r w:rsidRPr="001623E9">
        <w:rPr>
          <w:i/>
        </w:rPr>
        <w:t>Commission v Council</w:t>
      </w:r>
      <w:r w:rsidRPr="001623E9">
        <w:t xml:space="preserve"> (</w:t>
      </w:r>
      <w:r w:rsidRPr="001623E9">
        <w:rPr>
          <w:i/>
          <w:iCs/>
        </w:rPr>
        <w:t>ship-source pollution)</w:t>
      </w:r>
      <w:r w:rsidRPr="001623E9">
        <w:t xml:space="preserve"> (C-440/05) </w:t>
      </w:r>
      <w:r w:rsidRPr="001623E9">
        <w:rPr>
          <w:rStyle w:val="outputecliaff"/>
        </w:rPr>
        <w:t>EU:C: 2007:625</w:t>
      </w:r>
      <w:r w:rsidRPr="001623E9">
        <w:t>.</w:t>
      </w:r>
    </w:p>
  </w:footnote>
  <w:footnote w:id="151">
    <w:p w14:paraId="75036D76" w14:textId="07B8F7B0" w:rsidR="000272D5" w:rsidRPr="001623E9" w:rsidRDefault="000272D5" w:rsidP="005F44F9">
      <w:pPr>
        <w:pStyle w:val="Fotnotstext"/>
        <w:spacing w:before="0"/>
      </w:pPr>
      <w:r w:rsidRPr="001623E9">
        <w:rPr>
          <w:rStyle w:val="Fotnotsreferens"/>
        </w:rPr>
        <w:footnoteRef/>
      </w:r>
      <w:r w:rsidRPr="001623E9">
        <w:t xml:space="preserve"> It is worth noting, however, that the Parliament has in this case sided with the Council.</w:t>
      </w:r>
    </w:p>
  </w:footnote>
  <w:footnote w:id="152">
    <w:p w14:paraId="0B692041" w14:textId="59A4F036" w:rsidR="000272D5" w:rsidRPr="001623E9" w:rsidRDefault="000272D5" w:rsidP="005F44F9">
      <w:pPr>
        <w:pStyle w:val="Fotnotstext"/>
        <w:spacing w:before="0"/>
      </w:pPr>
      <w:r w:rsidRPr="001623E9">
        <w:rPr>
          <w:rStyle w:val="Fotnotsreferens"/>
        </w:rPr>
        <w:footnoteRef/>
      </w:r>
      <w:r w:rsidRPr="001623E9">
        <w:t xml:space="preserve"> See above subs. ‘</w:t>
      </w:r>
      <w:r w:rsidRPr="001623E9">
        <w:rPr>
          <w:i/>
        </w:rPr>
        <w:t>The core argument- principled, systemic and teleological considerations’</w:t>
      </w:r>
      <w:r w:rsidRPr="001623E9">
        <w:t xml:space="preserve"> for this contention.</w:t>
      </w:r>
    </w:p>
  </w:footnote>
  <w:footnote w:id="153">
    <w:p w14:paraId="4B201885" w14:textId="483531F8" w:rsidR="000272D5" w:rsidRPr="001623E9" w:rsidRDefault="000272D5" w:rsidP="005F44F9">
      <w:pPr>
        <w:pStyle w:val="Fotnotstext"/>
        <w:spacing w:before="0"/>
      </w:pPr>
      <w:r w:rsidRPr="001623E9">
        <w:rPr>
          <w:rStyle w:val="Fotnotsreferens"/>
        </w:rPr>
        <w:footnoteRef/>
      </w:r>
      <w:r w:rsidRPr="001623E9">
        <w:t xml:space="preserve"> See above subs. ‘</w:t>
      </w:r>
      <w:r w:rsidRPr="001623E9">
        <w:rPr>
          <w:i/>
        </w:rPr>
        <w:t>Other limitations to the use of art. 83(2) TFEU - ‘directives’, ‘decriminalisation’ and the ‘harmonisation’ requirement ‘</w:t>
      </w:r>
      <w:r w:rsidRPr="001623E9">
        <w:t>for a discussion of these conditions.</w:t>
      </w:r>
    </w:p>
  </w:footnote>
  <w:footnote w:id="154">
    <w:p w14:paraId="025DB82E" w14:textId="0CA63EFE" w:rsidR="000272D5" w:rsidRPr="001623E9" w:rsidRDefault="000272D5" w:rsidP="005F44F9">
      <w:pPr>
        <w:pStyle w:val="Fotnotstext"/>
        <w:spacing w:before="0"/>
      </w:pPr>
      <w:r w:rsidRPr="001623E9">
        <w:rPr>
          <w:rStyle w:val="Fotnotsreferens"/>
        </w:rPr>
        <w:footnoteRef/>
      </w:r>
      <w:r w:rsidRPr="001623E9">
        <w:t xml:space="preserve"> See P. Asp, </w:t>
      </w:r>
      <w:r w:rsidRPr="001623E9">
        <w:rPr>
          <w:i/>
          <w:iCs/>
        </w:rPr>
        <w:t xml:space="preserve">The Substantive Criminal Law Competence of the EU—Towards an Area of Freedom, Security &amp; Justice—Part 1 </w:t>
      </w:r>
      <w:r w:rsidRPr="001623E9">
        <w:t xml:space="preserve">(Stockholm: Jure, 2013), pp. 129-135; J. Öberg, </w:t>
      </w:r>
      <w:r w:rsidRPr="001623E9">
        <w:rPr>
          <w:bCs/>
        </w:rPr>
        <w:t>‘</w:t>
      </w:r>
      <w:r w:rsidRPr="001623E9">
        <w:rPr>
          <w:bCs/>
          <w:color w:val="000000"/>
        </w:rPr>
        <w:t xml:space="preserve">Union Regulatory Criminal Law Competence after Lisbon Treaty’ (2011) 19 </w:t>
      </w:r>
      <w:r w:rsidRPr="001623E9">
        <w:rPr>
          <w:bCs/>
          <w:i/>
          <w:color w:val="000000"/>
        </w:rPr>
        <w:t>European Journal of Crime, Criminal Law and Criminal Justice</w:t>
      </w:r>
      <w:r w:rsidRPr="001623E9">
        <w:rPr>
          <w:bCs/>
          <w:color w:val="000000"/>
        </w:rPr>
        <w:t xml:space="preserve"> 289, pp. 313-317 for a discussion of these conditions.</w:t>
      </w:r>
    </w:p>
  </w:footnote>
  <w:footnote w:id="155">
    <w:p w14:paraId="67027D0B" w14:textId="7E4144EF" w:rsidR="000272D5" w:rsidRPr="001623E9" w:rsidRDefault="000272D5" w:rsidP="005F44F9">
      <w:pPr>
        <w:pStyle w:val="Fotnotstext"/>
        <w:spacing w:before="0"/>
      </w:pPr>
      <w:r w:rsidRPr="001623E9">
        <w:rPr>
          <w:rStyle w:val="Fotnotsreferens"/>
        </w:rPr>
        <w:footnoteRef/>
      </w:r>
      <w:r w:rsidRPr="001623E9">
        <w:t xml:space="preserve"> European Parliament, ‘Resolution on the protection of the Communities’ financial interests—Fight against fraud—Annual Report 2009’ 2010/2247(INI), 04.06.2011, recital 2; Commission, ‘Report from the Commission to the European Parliament and the Council—Protection of the European Union’s financial interests—Fight against fraud—Annual Report 2010’, COM (2011)595 final; Commission, Proposal for a Directive of the European Parliament and of the Council on the fight against fraud to the Union’s financial interests by means of criminal law’, COM (2012) 363 final, pp. 2–5; Commission, ‘Commission Staff Working Paper—Impact Assessment (Part I), Accompanying the Document Proposal for a Directive of the European Parliament and of the Council on the protection of the financial interests of the European Union by criminal law, SWD(2012) 195 final, pp. 4-6, 10, 14, 18–19, 22, 25.</w:t>
      </w:r>
    </w:p>
  </w:footnote>
  <w:footnote w:id="156">
    <w:p w14:paraId="5DE33EDA" w14:textId="47C0BD6A" w:rsidR="000272D5" w:rsidRPr="001623E9" w:rsidRDefault="000272D5" w:rsidP="005F44F9">
      <w:pPr>
        <w:pStyle w:val="Fotnotstext"/>
        <w:spacing w:before="0"/>
      </w:pPr>
      <w:r w:rsidRPr="001623E9">
        <w:rPr>
          <w:rStyle w:val="Fotnotsreferens"/>
        </w:rPr>
        <w:footnoteRef/>
      </w:r>
      <w:r w:rsidRPr="001623E9">
        <w:t xml:space="preserve"> See art. 325(1) and (4) TFEU.</w:t>
      </w:r>
    </w:p>
  </w:footnote>
  <w:footnote w:id="157">
    <w:p w14:paraId="7C83F30C" w14:textId="6AA7EED2" w:rsidR="000272D5" w:rsidRPr="001623E9" w:rsidRDefault="000272D5" w:rsidP="005F44F9">
      <w:pPr>
        <w:pStyle w:val="Fotnotstext"/>
        <w:spacing w:before="0"/>
      </w:pPr>
      <w:r w:rsidRPr="001623E9">
        <w:rPr>
          <w:rStyle w:val="Fotnotsreferens"/>
        </w:rPr>
        <w:footnoteRef/>
      </w:r>
      <w:r w:rsidRPr="001623E9">
        <w:t xml:space="preserve"> See Commission, Proposal for a Directive of the European Parliament and of the Council on the fight against fraud to the Union’s financial interests by means of criminal law’, COM (2012) 363 final, pp. 6-7; Commission, ‘Commission Staff Working Paper—Impact Assessment (Part I), Accompanying the Document Proposal for a Directive of the European Parliament and of the Council on the protection of the financial interests of the European Union by criminal law, SWD (2012) 195 final, pp. 26-27. </w:t>
      </w:r>
    </w:p>
  </w:footnote>
  <w:footnote w:id="158">
    <w:p w14:paraId="303C81FA" w14:textId="55C79E46" w:rsidR="000272D5" w:rsidRPr="001623E9" w:rsidRDefault="000272D5" w:rsidP="005F44F9">
      <w:pPr>
        <w:pStyle w:val="Fotnotstext"/>
        <w:spacing w:before="0"/>
      </w:pPr>
      <w:r w:rsidRPr="001623E9">
        <w:rPr>
          <w:rStyle w:val="Fotnotsreferens"/>
        </w:rPr>
        <w:footnoteRef/>
      </w:r>
      <w:r w:rsidRPr="001623E9">
        <w:t xml:space="preserve"> See art. 83(2) TFEU.</w:t>
      </w:r>
    </w:p>
  </w:footnote>
  <w:footnote w:id="159">
    <w:p w14:paraId="557B18B0" w14:textId="62AE32A1" w:rsidR="000272D5" w:rsidRPr="001623E9" w:rsidRDefault="000272D5" w:rsidP="005F44F9">
      <w:pPr>
        <w:pStyle w:val="Fotnotstext"/>
        <w:spacing w:before="0"/>
      </w:pPr>
      <w:r w:rsidRPr="001623E9">
        <w:rPr>
          <w:rStyle w:val="Fotnotsreferens"/>
        </w:rPr>
        <w:footnoteRef/>
      </w:r>
      <w:r w:rsidRPr="001623E9">
        <w:t xml:space="preserve"> See above subs. ‘</w:t>
      </w:r>
      <w:r w:rsidRPr="001623E9">
        <w:rPr>
          <w:i/>
        </w:rPr>
        <w:t>Other limitations to the use of art. 83(2) TFEU - ‘directives’, ‘decriminalisation’ and the ‘harmonisation’ requirement ‘</w:t>
      </w:r>
      <w:r w:rsidRPr="001623E9">
        <w:t>for a discussion of this condition.</w:t>
      </w:r>
    </w:p>
  </w:footnote>
  <w:footnote w:id="160">
    <w:p w14:paraId="6D1012A9" w14:textId="77777777" w:rsidR="000272D5" w:rsidRPr="001623E9" w:rsidRDefault="000272D5" w:rsidP="005F44F9">
      <w:pPr>
        <w:pStyle w:val="Fotnotstext"/>
        <w:spacing w:before="0"/>
      </w:pPr>
      <w:r w:rsidRPr="001623E9">
        <w:rPr>
          <w:rStyle w:val="Fotnotsreferens"/>
        </w:rPr>
        <w:footnoteRef/>
      </w:r>
      <w:r w:rsidRPr="001623E9">
        <w:t xml:space="preserve"> See House of Common’ European Scrutiny Committee, ‘Twelfth Report’, Documents considered by the Committee on 12 September 2012, 10.27.</w:t>
      </w:r>
    </w:p>
  </w:footnote>
  <w:footnote w:id="161">
    <w:p w14:paraId="1CA8CE9D" w14:textId="748F0CF4" w:rsidR="000272D5" w:rsidRPr="001623E9" w:rsidRDefault="000272D5" w:rsidP="005F44F9">
      <w:pPr>
        <w:pStyle w:val="Fotnotstext"/>
        <w:spacing w:before="0"/>
      </w:pPr>
      <w:r w:rsidRPr="001623E9">
        <w:rPr>
          <w:rStyle w:val="Fotnotsreferens"/>
        </w:rPr>
        <w:footnoteRef/>
      </w:r>
      <w:r w:rsidRPr="001623E9">
        <w:t xml:space="preserve"> See Commission, Proposal for a Directive of the European Parliament and of the Council on the fight against fraud to the Union’s financial interests by means of criminal law’, COM (2012) 363 final, art. 1.</w:t>
      </w:r>
    </w:p>
  </w:footnote>
  <w:footnote w:id="162">
    <w:p w14:paraId="130B2232" w14:textId="11EE2A28" w:rsidR="000272D5" w:rsidRPr="001623E9" w:rsidRDefault="000272D5" w:rsidP="005F44F9">
      <w:pPr>
        <w:pStyle w:val="Fotnotstext"/>
        <w:spacing w:before="0"/>
        <w:rPr>
          <w:bCs/>
        </w:rPr>
      </w:pPr>
      <w:r w:rsidRPr="001623E9">
        <w:rPr>
          <w:rStyle w:val="Fotnotsreferens"/>
          <w:rFonts w:eastAsiaTheme="majorEastAsia"/>
        </w:rPr>
        <w:footnoteRef/>
      </w:r>
      <w:r w:rsidRPr="001623E9">
        <w:t xml:space="preserve"> See CONV 426/02,</w:t>
      </w:r>
      <w:r w:rsidRPr="001623E9">
        <w:rPr>
          <w:bCs/>
        </w:rPr>
        <w:t xml:space="preserve"> ‘Final report of Working Group X "Freedom, Security and Justice" ‘,</w:t>
      </w:r>
      <w:r w:rsidRPr="001623E9">
        <w:t xml:space="preserve"> </w:t>
      </w:r>
      <w:r w:rsidRPr="001623E9">
        <w:rPr>
          <w:bCs/>
        </w:rPr>
        <w:t>Brussels, 2 December 2002, p.</w:t>
      </w:r>
      <w:r w:rsidRPr="001623E9">
        <w:t>10.</w:t>
      </w:r>
    </w:p>
  </w:footnote>
  <w:footnote w:id="163">
    <w:p w14:paraId="3A29A96E" w14:textId="1D7079E0" w:rsidR="000272D5" w:rsidRPr="001623E9" w:rsidRDefault="000272D5" w:rsidP="005F44F9">
      <w:pPr>
        <w:pStyle w:val="Fotnotstext"/>
        <w:spacing w:before="0"/>
      </w:pPr>
      <w:r w:rsidRPr="001623E9">
        <w:rPr>
          <w:rStyle w:val="Fotnotsreferens"/>
        </w:rPr>
        <w:footnoteRef/>
      </w:r>
      <w:r w:rsidRPr="001623E9">
        <w:t xml:space="preserve"> See art. 83(3) TFEU.</w:t>
      </w:r>
    </w:p>
  </w:footnote>
  <w:footnote w:id="164">
    <w:p w14:paraId="7E5BD8EC" w14:textId="6F3BA622" w:rsidR="000272D5" w:rsidRPr="001623E9" w:rsidRDefault="000272D5" w:rsidP="005F44F9">
      <w:pPr>
        <w:pStyle w:val="Fotnotstext"/>
        <w:spacing w:before="0"/>
      </w:pPr>
      <w:r w:rsidRPr="001623E9">
        <w:rPr>
          <w:rStyle w:val="Fotnotsreferens"/>
        </w:rPr>
        <w:footnoteRef/>
      </w:r>
      <w:r w:rsidRPr="001623E9">
        <w:t xml:space="preserve"> See Council Legal Service, ‘Legal Opinion on</w:t>
      </w:r>
      <w:r w:rsidRPr="001623E9">
        <w:rPr>
          <w:b/>
          <w:bCs/>
        </w:rPr>
        <w:t xml:space="preserve"> </w:t>
      </w:r>
      <w:r w:rsidRPr="001623E9">
        <w:t>Proposal for a Directive of the European Parliament and of the Council on the fight</w:t>
      </w:r>
      <w:r w:rsidRPr="001623E9">
        <w:rPr>
          <w:b/>
          <w:bCs/>
        </w:rPr>
        <w:t xml:space="preserve"> </w:t>
      </w:r>
      <w:r w:rsidRPr="001623E9">
        <w:t>against fraud to the Union’s financial interests by means of criminal law’, 15309/12, 3–7; European Parliament, Committee on Legal Affairs, ‘On the legal basis for the proposal for a Directive of the European Parliament and of the Council on the fight against fraud to the Union’s financial interests by means of criminal law’, A7-0251/2014, at</w:t>
      </w:r>
      <w:r w:rsidRPr="001623E9">
        <w:rPr>
          <w:b/>
        </w:rPr>
        <w:t xml:space="preserve"> </w:t>
      </w:r>
      <w:r w:rsidRPr="001623E9">
        <w:t>[31–34].</w:t>
      </w:r>
    </w:p>
  </w:footnote>
  <w:footnote w:id="165">
    <w:p w14:paraId="204D1B78" w14:textId="62EC7A7C" w:rsidR="000272D5" w:rsidRPr="001623E9" w:rsidRDefault="000272D5" w:rsidP="005F44F9">
      <w:pPr>
        <w:pStyle w:val="Fotnotstext"/>
        <w:spacing w:before="0"/>
      </w:pPr>
      <w:r w:rsidRPr="001623E9">
        <w:rPr>
          <w:rStyle w:val="Fotnotsreferens"/>
        </w:rPr>
        <w:footnoteRef/>
      </w:r>
      <w:r w:rsidRPr="001623E9">
        <w:t xml:space="preserve"> See above </w:t>
      </w:r>
      <w:proofErr w:type="spellStart"/>
      <w:r w:rsidRPr="001623E9">
        <w:t>fn</w:t>
      </w:r>
      <w:proofErr w:type="spellEnd"/>
      <w:r w:rsidRPr="001623E9">
        <w:t xml:space="preserve"> 1 for the academic contributions analysing this case law. </w:t>
      </w:r>
    </w:p>
  </w:footnote>
  <w:footnote w:id="166">
    <w:p w14:paraId="249DD603" w14:textId="25FD81F9"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w:t>
      </w:r>
      <w:r w:rsidRPr="001623E9">
        <w:rPr>
          <w:i/>
        </w:rPr>
        <w:t>(Titanium Dioxide)</w:t>
      </w:r>
      <w:r w:rsidRPr="001623E9">
        <w:t xml:space="preserve"> (C-300/89) </w:t>
      </w:r>
      <w:r w:rsidRPr="001623E9">
        <w:rPr>
          <w:rStyle w:val="outputecliaff"/>
        </w:rPr>
        <w:t>EU:C: 1991:244</w:t>
      </w:r>
      <w:r w:rsidRPr="001623E9">
        <w:t xml:space="preserve">, at [10]; </w:t>
      </w:r>
      <w:r w:rsidRPr="001623E9">
        <w:rPr>
          <w:rFonts w:ascii="Times" w:hAnsi="Times"/>
          <w:i/>
        </w:rPr>
        <w:t>Commission v Council</w:t>
      </w:r>
      <w:r w:rsidRPr="001623E9">
        <w:rPr>
          <w:rFonts w:ascii="Times" w:hAnsi="Times"/>
        </w:rPr>
        <w:t xml:space="preserve"> </w:t>
      </w:r>
      <w:r w:rsidRPr="001623E9">
        <w:t xml:space="preserve">(C-155/91) </w:t>
      </w:r>
      <w:r w:rsidRPr="001623E9">
        <w:rPr>
          <w:rStyle w:val="outputecliaff"/>
        </w:rPr>
        <w:t>EU:C:1993:98</w:t>
      </w:r>
      <w:r w:rsidRPr="001623E9">
        <w:rPr>
          <w:rFonts w:ascii="Times" w:hAnsi="Times"/>
        </w:rPr>
        <w:t xml:space="preserve">, </w:t>
      </w:r>
      <w:r w:rsidRPr="001623E9">
        <w:t xml:space="preserve">at [7]; </w:t>
      </w:r>
      <w:r w:rsidRPr="001623E9">
        <w:rPr>
          <w:i/>
        </w:rPr>
        <w:t>Commission v Council</w:t>
      </w:r>
      <w:r w:rsidRPr="001623E9">
        <w:t xml:space="preserve"> (C-338/01) </w:t>
      </w:r>
      <w:r w:rsidRPr="001623E9">
        <w:rPr>
          <w:rStyle w:val="outputecliaff"/>
        </w:rPr>
        <w:t>EU:C: 2004:253, at [</w:t>
      </w:r>
      <w:r w:rsidRPr="001623E9">
        <w:t xml:space="preserve">54]. </w:t>
      </w:r>
    </w:p>
  </w:footnote>
  <w:footnote w:id="167">
    <w:p w14:paraId="562809BB" w14:textId="76711B0A" w:rsidR="000272D5" w:rsidRPr="001623E9" w:rsidRDefault="000272D5" w:rsidP="005F44F9">
      <w:pPr>
        <w:pStyle w:val="Fotnotstext"/>
        <w:spacing w:before="0"/>
      </w:pPr>
      <w:r w:rsidRPr="001623E9">
        <w:rPr>
          <w:rStyle w:val="Fotnotsreferens"/>
        </w:rPr>
        <w:footnoteRef/>
      </w:r>
      <w:r w:rsidRPr="001623E9">
        <w:t xml:space="preserve"> See </w:t>
      </w:r>
      <w:r w:rsidRPr="001623E9">
        <w:rPr>
          <w:rFonts w:ascii="Times" w:hAnsi="Times"/>
          <w:i/>
        </w:rPr>
        <w:t>Commission v Council</w:t>
      </w:r>
      <w:r w:rsidRPr="001623E9">
        <w:rPr>
          <w:rFonts w:ascii="Times" w:hAnsi="Times"/>
        </w:rPr>
        <w:t xml:space="preserve"> </w:t>
      </w:r>
      <w:r w:rsidRPr="001623E9">
        <w:t xml:space="preserve">(C-155/91) </w:t>
      </w:r>
      <w:r w:rsidRPr="001623E9">
        <w:rPr>
          <w:rStyle w:val="outputecliaff"/>
        </w:rPr>
        <w:t>EU:C: 1993:98</w:t>
      </w:r>
      <w:r w:rsidRPr="001623E9">
        <w:rPr>
          <w:rFonts w:ascii="Times" w:hAnsi="Times"/>
        </w:rPr>
        <w:t xml:space="preserve">, </w:t>
      </w:r>
      <w:r w:rsidRPr="001623E9">
        <w:t xml:space="preserve">at [19 and 21]; </w:t>
      </w:r>
      <w:r w:rsidRPr="001623E9">
        <w:rPr>
          <w:i/>
          <w:iCs/>
        </w:rPr>
        <w:t>Spain</w:t>
      </w:r>
      <w:r w:rsidRPr="001623E9">
        <w:t xml:space="preserve"> v </w:t>
      </w:r>
      <w:r w:rsidRPr="001623E9">
        <w:rPr>
          <w:i/>
          <w:iCs/>
        </w:rPr>
        <w:t>Council</w:t>
      </w:r>
      <w:r w:rsidRPr="001623E9">
        <w:t xml:space="preserve"> (C</w:t>
      </w:r>
      <w:r w:rsidRPr="001623E9">
        <w:noBreakHyphen/>
        <w:t xml:space="preserve">36/98) </w:t>
      </w:r>
      <w:r w:rsidRPr="001623E9">
        <w:rPr>
          <w:rStyle w:val="outputecliaff"/>
        </w:rPr>
        <w:t>EU:C:2001:64</w:t>
      </w:r>
      <w:r w:rsidRPr="001623E9">
        <w:t>, at [59].</w:t>
      </w:r>
    </w:p>
  </w:footnote>
  <w:footnote w:id="168">
    <w:p w14:paraId="590A2033" w14:textId="33A35803"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(C-338/01) </w:t>
      </w:r>
      <w:r w:rsidRPr="001623E9">
        <w:rPr>
          <w:rStyle w:val="outputecliaff"/>
        </w:rPr>
        <w:t xml:space="preserve">EU:C: 2004:253, </w:t>
      </w:r>
      <w:r w:rsidRPr="001623E9">
        <w:t>at [60],</w:t>
      </w:r>
      <w:r w:rsidRPr="001623E9">
        <w:rPr>
          <w:i/>
        </w:rPr>
        <w:t xml:space="preserve"> Commission v Council</w:t>
      </w:r>
      <w:r w:rsidRPr="001623E9">
        <w:t xml:space="preserve"> (C-533/03) </w:t>
      </w:r>
      <w:r w:rsidRPr="001623E9">
        <w:rPr>
          <w:rStyle w:val="outputecliaff"/>
        </w:rPr>
        <w:t>EU:C:2006:64</w:t>
      </w:r>
      <w:r w:rsidRPr="001623E9">
        <w:t xml:space="preserve">, at [45]; </w:t>
      </w:r>
      <w:r w:rsidRPr="001623E9">
        <w:rPr>
          <w:i/>
          <w:iCs/>
        </w:rPr>
        <w:t>European Parliament v Council of the European Union (EIB Guarantees)</w:t>
      </w:r>
      <w:r w:rsidRPr="001623E9">
        <w:t xml:space="preserve"> (C–155/07)</w:t>
      </w:r>
      <w:r w:rsidRPr="001623E9">
        <w:rPr>
          <w:i/>
          <w:iCs/>
        </w:rPr>
        <w:t xml:space="preserve"> </w:t>
      </w:r>
      <w:r w:rsidRPr="001623E9">
        <w:rPr>
          <w:rStyle w:val="outputecliaff"/>
        </w:rPr>
        <w:t>EU:C:2008:605</w:t>
      </w:r>
      <w:r w:rsidRPr="001623E9">
        <w:t>, at [34].</w:t>
      </w:r>
    </w:p>
  </w:footnote>
  <w:footnote w:id="169">
    <w:p w14:paraId="7482397D" w14:textId="0F1FDDF9" w:rsidR="000272D5" w:rsidRPr="001623E9" w:rsidRDefault="000272D5" w:rsidP="005F44F9">
      <w:pPr>
        <w:pStyle w:val="Fotnotstext"/>
        <w:spacing w:before="0"/>
      </w:pPr>
      <w:r w:rsidRPr="001623E9">
        <w:rPr>
          <w:rStyle w:val="Fotnotsreferens"/>
        </w:rPr>
        <w:footnoteRef/>
      </w:r>
      <w:r w:rsidRPr="001623E9">
        <w:t xml:space="preserve"> See P. Asp, </w:t>
      </w:r>
      <w:r w:rsidRPr="001623E9">
        <w:rPr>
          <w:i/>
          <w:iCs/>
        </w:rPr>
        <w:t xml:space="preserve">The Substantive Criminal Law Competence of the EU—Towards an Area of Freedom, Security &amp; Justice—Part 1 </w:t>
      </w:r>
      <w:r w:rsidRPr="001623E9">
        <w:t>(Stockholm: Jure, 2013), pp. 142–143, 147–148.</w:t>
      </w:r>
    </w:p>
  </w:footnote>
  <w:footnote w:id="170">
    <w:p w14:paraId="758A4CC2" w14:textId="4AE50FE0" w:rsidR="000272D5" w:rsidRPr="001623E9" w:rsidRDefault="000272D5" w:rsidP="005F44F9">
      <w:pPr>
        <w:pStyle w:val="Fotnotstext"/>
        <w:spacing w:before="0"/>
      </w:pPr>
      <w:r w:rsidRPr="001623E9">
        <w:rPr>
          <w:rStyle w:val="Fotnotsreferens"/>
        </w:rPr>
        <w:footnoteRef/>
      </w:r>
      <w:r w:rsidRPr="001623E9">
        <w:t xml:space="preserve"> See Commission, Proposal for a Directive of the European Parliament and of the Council on the fight against fraud to the Union’s financial interests by means of criminal law’, COM (2012) 363 final, pp. 3-6; Commission, ‘Commission Staff Working Paper—Impact Assessment (Part I), Accompanying the Document Proposal for a Directive of the European Parliament and of the Council on the protection of the financial interests of the European Union by criminal law, SWD (2012) 195 final, pp. 10–12.</w:t>
      </w:r>
    </w:p>
  </w:footnote>
  <w:footnote w:id="171">
    <w:p w14:paraId="4104D451" w14:textId="30D1D5FC" w:rsidR="000272D5" w:rsidRPr="001623E9" w:rsidRDefault="000272D5" w:rsidP="005F44F9">
      <w:pPr>
        <w:pStyle w:val="Fotnotstext"/>
        <w:spacing w:before="0"/>
      </w:pPr>
      <w:r w:rsidRPr="001623E9">
        <w:rPr>
          <w:rStyle w:val="Fotnotsreferens"/>
        </w:rPr>
        <w:footnoteRef/>
      </w:r>
      <w:r w:rsidRPr="001623E9">
        <w:t xml:space="preserve"> See above subs. ‘</w:t>
      </w:r>
      <w:r w:rsidRPr="001623E9">
        <w:rPr>
          <w:i/>
        </w:rPr>
        <w:t>Other limitations to the use of art. 83(2) TFEU - ‘directives’, ‘decriminalisation’ and the ‘harmonisation’ requirement ‘</w:t>
      </w:r>
      <w:r w:rsidRPr="001623E9">
        <w:t>for a discussion of this conditions</w:t>
      </w:r>
    </w:p>
  </w:footnote>
  <w:footnote w:id="172">
    <w:p w14:paraId="4E1D8719" w14:textId="61F628FA" w:rsidR="000272D5" w:rsidRPr="001623E9" w:rsidRDefault="000272D5" w:rsidP="005F44F9">
      <w:pPr>
        <w:autoSpaceDE w:val="0"/>
        <w:autoSpaceDN w:val="0"/>
        <w:adjustRightInd w:val="0"/>
        <w:spacing w:before="0" w:after="0" w:line="240" w:lineRule="auto"/>
        <w:rPr>
          <w:i/>
          <w:iCs/>
          <w:sz w:val="20"/>
          <w:szCs w:val="20"/>
        </w:rPr>
      </w:pPr>
      <w:r w:rsidRPr="001623E9">
        <w:rPr>
          <w:rStyle w:val="Fotnotsreferens"/>
          <w:sz w:val="20"/>
          <w:szCs w:val="20"/>
        </w:rPr>
        <w:footnoteRef/>
      </w:r>
      <w:r w:rsidRPr="001623E9">
        <w:rPr>
          <w:sz w:val="20"/>
          <w:szCs w:val="20"/>
        </w:rPr>
        <w:t xml:space="preserve"> The Commission referred to this evidence: A. Ashworth, ‘Sentencing’ </w:t>
      </w:r>
      <w:r w:rsidRPr="001623E9">
        <w:rPr>
          <w:iCs/>
          <w:sz w:val="20"/>
          <w:szCs w:val="20"/>
        </w:rPr>
        <w:t>in</w:t>
      </w:r>
      <w:r w:rsidRPr="001623E9">
        <w:rPr>
          <w:sz w:val="20"/>
          <w:szCs w:val="20"/>
        </w:rPr>
        <w:t xml:space="preserve"> M. </w:t>
      </w:r>
      <w:r w:rsidRPr="001623E9">
        <w:rPr>
          <w:bCs/>
          <w:sz w:val="20"/>
          <w:szCs w:val="20"/>
        </w:rPr>
        <w:t>Maguire</w:t>
      </w:r>
      <w:r w:rsidRPr="001623E9">
        <w:rPr>
          <w:sz w:val="20"/>
          <w:szCs w:val="20"/>
        </w:rPr>
        <w:t xml:space="preserve">, R. </w:t>
      </w:r>
      <w:r w:rsidRPr="001623E9">
        <w:rPr>
          <w:bCs/>
          <w:sz w:val="20"/>
          <w:szCs w:val="20"/>
        </w:rPr>
        <w:t>Morgan</w:t>
      </w:r>
      <w:r w:rsidRPr="001623E9">
        <w:rPr>
          <w:sz w:val="20"/>
          <w:szCs w:val="20"/>
        </w:rPr>
        <w:t xml:space="preserve">, and R. </w:t>
      </w:r>
      <w:r w:rsidRPr="001623E9">
        <w:rPr>
          <w:bCs/>
          <w:sz w:val="20"/>
          <w:szCs w:val="20"/>
        </w:rPr>
        <w:t>Reiner</w:t>
      </w:r>
      <w:r w:rsidRPr="001623E9">
        <w:rPr>
          <w:sz w:val="20"/>
          <w:szCs w:val="20"/>
        </w:rPr>
        <w:t xml:space="preserve"> (eds</w:t>
      </w:r>
      <w:r w:rsidR="00B403EB" w:rsidRPr="001623E9">
        <w:rPr>
          <w:sz w:val="20"/>
          <w:szCs w:val="20"/>
        </w:rPr>
        <w:t>.</w:t>
      </w:r>
      <w:r w:rsidRPr="001623E9">
        <w:rPr>
          <w:sz w:val="20"/>
          <w:szCs w:val="20"/>
        </w:rPr>
        <w:t xml:space="preserve">), </w:t>
      </w:r>
      <w:r w:rsidRPr="001623E9">
        <w:rPr>
          <w:i/>
          <w:iCs/>
          <w:sz w:val="20"/>
          <w:szCs w:val="20"/>
        </w:rPr>
        <w:t>The Oxford handbook of criminology</w:t>
      </w:r>
      <w:r w:rsidRPr="001623E9">
        <w:rPr>
          <w:sz w:val="20"/>
          <w:szCs w:val="20"/>
        </w:rPr>
        <w:t xml:space="preserve"> (Oxford: Oxford University Press, 2002), p. 1079; R. </w:t>
      </w:r>
      <w:proofErr w:type="spellStart"/>
      <w:r w:rsidRPr="001623E9">
        <w:rPr>
          <w:sz w:val="20"/>
          <w:szCs w:val="20"/>
        </w:rPr>
        <w:t>Gassin</w:t>
      </w:r>
      <w:proofErr w:type="spellEnd"/>
      <w:r w:rsidRPr="001623E9">
        <w:rPr>
          <w:sz w:val="20"/>
          <w:szCs w:val="20"/>
        </w:rPr>
        <w:t xml:space="preserve">, </w:t>
      </w:r>
      <w:proofErr w:type="spellStart"/>
      <w:r w:rsidRPr="001623E9">
        <w:rPr>
          <w:i/>
          <w:iCs/>
          <w:sz w:val="20"/>
          <w:szCs w:val="20"/>
        </w:rPr>
        <w:t>Criminologie</w:t>
      </w:r>
      <w:proofErr w:type="spellEnd"/>
      <w:r w:rsidRPr="001623E9">
        <w:rPr>
          <w:sz w:val="20"/>
          <w:szCs w:val="20"/>
        </w:rPr>
        <w:t xml:space="preserve">, (6th </w:t>
      </w:r>
      <w:proofErr w:type="spellStart"/>
      <w:r w:rsidRPr="001623E9">
        <w:rPr>
          <w:sz w:val="20"/>
          <w:szCs w:val="20"/>
        </w:rPr>
        <w:t>edn</w:t>
      </w:r>
      <w:proofErr w:type="spellEnd"/>
      <w:r w:rsidR="00B403EB" w:rsidRPr="001623E9">
        <w:rPr>
          <w:sz w:val="20"/>
          <w:szCs w:val="20"/>
        </w:rPr>
        <w:t>.</w:t>
      </w:r>
      <w:r w:rsidRPr="001623E9">
        <w:rPr>
          <w:sz w:val="20"/>
          <w:szCs w:val="20"/>
        </w:rPr>
        <w:t xml:space="preserve">, Paris: </w:t>
      </w:r>
      <w:proofErr w:type="spellStart"/>
      <w:r w:rsidRPr="001623E9">
        <w:rPr>
          <w:sz w:val="20"/>
          <w:szCs w:val="20"/>
        </w:rPr>
        <w:t>Dalloz</w:t>
      </w:r>
      <w:proofErr w:type="spellEnd"/>
      <w:r w:rsidRPr="001623E9">
        <w:rPr>
          <w:sz w:val="20"/>
          <w:szCs w:val="20"/>
        </w:rPr>
        <w:t xml:space="preserve">, 2007) pp. 633–34; U. Eisenberg, </w:t>
      </w:r>
      <w:proofErr w:type="spellStart"/>
      <w:r w:rsidRPr="001623E9">
        <w:rPr>
          <w:i/>
          <w:iCs/>
          <w:sz w:val="20"/>
          <w:szCs w:val="20"/>
        </w:rPr>
        <w:t>Kriminologie</w:t>
      </w:r>
      <w:proofErr w:type="spellEnd"/>
      <w:r w:rsidRPr="001623E9">
        <w:rPr>
          <w:sz w:val="20"/>
          <w:szCs w:val="20"/>
        </w:rPr>
        <w:t xml:space="preserve">, (5th </w:t>
      </w:r>
      <w:proofErr w:type="spellStart"/>
      <w:r w:rsidRPr="001623E9">
        <w:rPr>
          <w:sz w:val="20"/>
          <w:szCs w:val="20"/>
        </w:rPr>
        <w:t>edn</w:t>
      </w:r>
      <w:proofErr w:type="spellEnd"/>
      <w:r w:rsidR="00B403EB" w:rsidRPr="001623E9">
        <w:rPr>
          <w:sz w:val="20"/>
          <w:szCs w:val="20"/>
        </w:rPr>
        <w:t>.</w:t>
      </w:r>
      <w:r w:rsidRPr="001623E9">
        <w:rPr>
          <w:sz w:val="20"/>
          <w:szCs w:val="20"/>
        </w:rPr>
        <w:t xml:space="preserve"> ,Munich: </w:t>
      </w:r>
      <w:proofErr w:type="spellStart"/>
      <w:r w:rsidRPr="001623E9">
        <w:rPr>
          <w:sz w:val="20"/>
          <w:szCs w:val="20"/>
        </w:rPr>
        <w:t>Vahlen</w:t>
      </w:r>
      <w:proofErr w:type="spellEnd"/>
      <w:r w:rsidRPr="001623E9">
        <w:rPr>
          <w:sz w:val="20"/>
          <w:szCs w:val="20"/>
        </w:rPr>
        <w:t xml:space="preserve"> Franz </w:t>
      </w:r>
      <w:proofErr w:type="spellStart"/>
      <w:r w:rsidRPr="001623E9">
        <w:rPr>
          <w:sz w:val="20"/>
          <w:szCs w:val="20"/>
        </w:rPr>
        <w:t>Gmbh</w:t>
      </w:r>
      <w:proofErr w:type="spellEnd"/>
      <w:r w:rsidRPr="001623E9">
        <w:rPr>
          <w:sz w:val="20"/>
          <w:szCs w:val="20"/>
        </w:rPr>
        <w:t xml:space="preserve">, 2000) at [41], no 4; H. </w:t>
      </w:r>
      <w:proofErr w:type="spellStart"/>
      <w:r w:rsidRPr="001623E9">
        <w:rPr>
          <w:sz w:val="20"/>
          <w:szCs w:val="20"/>
        </w:rPr>
        <w:t>Tröndle</w:t>
      </w:r>
      <w:proofErr w:type="spellEnd"/>
      <w:r w:rsidRPr="001623E9">
        <w:rPr>
          <w:sz w:val="20"/>
          <w:szCs w:val="20"/>
        </w:rPr>
        <w:t xml:space="preserve"> and T. Fischer, </w:t>
      </w:r>
      <w:proofErr w:type="spellStart"/>
      <w:r w:rsidRPr="001623E9">
        <w:rPr>
          <w:i/>
          <w:iCs/>
          <w:sz w:val="20"/>
          <w:szCs w:val="20"/>
        </w:rPr>
        <w:t>Strafgesetzbuch</w:t>
      </w:r>
      <w:proofErr w:type="spellEnd"/>
      <w:r w:rsidRPr="001623E9">
        <w:rPr>
          <w:sz w:val="20"/>
          <w:szCs w:val="20"/>
        </w:rPr>
        <w:t xml:space="preserve"> (München: Verlag CH Beck, 2006) at [46], no 2; Commission, ‘Report from the Commission to the European Parliament and the Council—Protection of the European Union’s financial interests—Fight against fraud—Annual Report 2010’, COM (2011)595 final, p. 10, Table 1.</w:t>
      </w:r>
    </w:p>
  </w:footnote>
  <w:footnote w:id="173">
    <w:p w14:paraId="42F77704" w14:textId="7042F551" w:rsidR="000272D5" w:rsidRPr="001623E9" w:rsidRDefault="000272D5" w:rsidP="005F44F9">
      <w:pPr>
        <w:pStyle w:val="Fotnotstext"/>
        <w:spacing w:before="0"/>
      </w:pPr>
      <w:r w:rsidRPr="001623E9">
        <w:rPr>
          <w:rStyle w:val="Fotnotsreferens"/>
        </w:rPr>
        <w:footnoteRef/>
      </w:r>
      <w:r w:rsidRPr="001623E9">
        <w:t xml:space="preserve"> See Commission, Proposal for a Directive of the European Parliament and of the Council on the fight against fraud to the Union’s financial interests by means of criminal law’, COM (2012) 363 final, recitals 2, 3, 4 and 8.</w:t>
      </w:r>
    </w:p>
  </w:footnote>
  <w:footnote w:id="174">
    <w:p w14:paraId="2A9DB629" w14:textId="3DC513EA" w:rsidR="000272D5" w:rsidRPr="001623E9" w:rsidRDefault="000272D5" w:rsidP="005F44F9">
      <w:pPr>
        <w:pStyle w:val="Fotnotstext"/>
        <w:spacing w:before="0"/>
      </w:pPr>
      <w:r w:rsidRPr="001623E9">
        <w:rPr>
          <w:rStyle w:val="Fotnotsreferens"/>
        </w:rPr>
        <w:footnoteRef/>
      </w:r>
      <w:r w:rsidRPr="001623E9">
        <w:t xml:space="preserve"> See Commission, Proposal for a Directive of the European Parliament and of the Council on the fight against fraud to the Union’s financial interests by means of criminal law’, COM (2012) 363 final, arts 1, 3 and 4.</w:t>
      </w:r>
    </w:p>
  </w:footnote>
  <w:footnote w:id="175">
    <w:p w14:paraId="7F621756" w14:textId="13010652" w:rsidR="000272D5" w:rsidRPr="001623E9" w:rsidRDefault="000272D5" w:rsidP="005F44F9">
      <w:pPr>
        <w:pStyle w:val="Fotnotstext"/>
        <w:spacing w:before="0"/>
      </w:pPr>
      <w:r w:rsidRPr="001623E9">
        <w:rPr>
          <w:rStyle w:val="Fotnotsreferens"/>
        </w:rPr>
        <w:footnoteRef/>
      </w:r>
      <w:r w:rsidRPr="001623E9">
        <w:t xml:space="preserve"> Commission, Proposal for a Directive of the European Parliament and of the Council on the fight against fraud to the Union’s financial interests by means of criminal law’, COM (2012) 363 final, art. 1, Title II, arts 3, 4, Title III, arts 5, 6, 7, 8, 9,11. The words ‘criminal’ and ‘criminalisation’ are mentioned no less than 56 times in the proposal and its preamble.</w:t>
      </w:r>
    </w:p>
  </w:footnote>
  <w:footnote w:id="176">
    <w:p w14:paraId="71263347" w14:textId="4770A2CC" w:rsidR="000272D5" w:rsidRPr="001623E9" w:rsidRDefault="000272D5" w:rsidP="005F44F9">
      <w:pPr>
        <w:pStyle w:val="Fotnotstext"/>
        <w:spacing w:before="0"/>
      </w:pPr>
      <w:r w:rsidRPr="001623E9">
        <w:rPr>
          <w:rStyle w:val="Fotnotsreferens"/>
        </w:rPr>
        <w:footnoteRef/>
      </w:r>
      <w:r w:rsidRPr="001623E9">
        <w:t xml:space="preserve"> See</w:t>
      </w:r>
      <w:r w:rsidRPr="001623E9">
        <w:rPr>
          <w:rFonts w:eastAsia="Calibri"/>
        </w:rPr>
        <w:t xml:space="preserve"> </w:t>
      </w:r>
      <w:r w:rsidRPr="001623E9">
        <w:t xml:space="preserve">the German Constitutional Court’s distinctive treatment of ’criminal law’: </w:t>
      </w:r>
      <w:r w:rsidRPr="001623E9">
        <w:rPr>
          <w:rFonts w:ascii="Times" w:hAnsi="Times"/>
        </w:rPr>
        <w:t xml:space="preserve">Judgment of German Federal Constitutional Court of 30 June 2009, </w:t>
      </w:r>
      <w:r w:rsidRPr="001623E9">
        <w:rPr>
          <w:rFonts w:ascii="Times" w:hAnsi="Times"/>
          <w:i/>
          <w:iCs/>
        </w:rPr>
        <w:t>Lisbon Judgment</w:t>
      </w:r>
      <w:r w:rsidRPr="001623E9">
        <w:rPr>
          <w:rFonts w:ascii="Times" w:hAnsi="Times"/>
        </w:rPr>
        <w:t xml:space="preserve">, Case 2 </w:t>
      </w:r>
      <w:proofErr w:type="spellStart"/>
      <w:r w:rsidRPr="001623E9">
        <w:rPr>
          <w:rFonts w:ascii="Times" w:hAnsi="Times"/>
        </w:rPr>
        <w:t>BvE</w:t>
      </w:r>
      <w:proofErr w:type="spellEnd"/>
      <w:r w:rsidRPr="001623E9">
        <w:rPr>
          <w:rFonts w:ascii="Times" w:hAnsi="Times"/>
        </w:rPr>
        <w:t xml:space="preserve"> 2/08, 5/08, 2 </w:t>
      </w:r>
      <w:proofErr w:type="spellStart"/>
      <w:r w:rsidRPr="001623E9">
        <w:rPr>
          <w:rFonts w:ascii="Times" w:hAnsi="Times"/>
        </w:rPr>
        <w:t>BvR</w:t>
      </w:r>
      <w:proofErr w:type="spellEnd"/>
      <w:r w:rsidRPr="001623E9">
        <w:rPr>
          <w:rFonts w:ascii="Times" w:hAnsi="Times"/>
        </w:rPr>
        <w:t xml:space="preserve"> 1010/08, 1022/08, 1259/08, 182/09 (2009), </w:t>
      </w:r>
      <w:r w:rsidRPr="001623E9">
        <w:t>at [252-253, 352-366].</w:t>
      </w:r>
    </w:p>
  </w:footnote>
  <w:footnote w:id="177">
    <w:p w14:paraId="618A2081" w14:textId="4EAA9635" w:rsidR="000272D5" w:rsidRPr="001623E9" w:rsidRDefault="000272D5" w:rsidP="005F44F9">
      <w:pPr>
        <w:autoSpaceDE w:val="0"/>
        <w:autoSpaceDN w:val="0"/>
        <w:adjustRightInd w:val="0"/>
        <w:spacing w:before="0" w:after="0" w:line="240" w:lineRule="auto"/>
        <w:rPr>
          <w:i/>
          <w:iCs/>
          <w:sz w:val="20"/>
          <w:szCs w:val="20"/>
        </w:rPr>
      </w:pPr>
      <w:r w:rsidRPr="001623E9">
        <w:rPr>
          <w:rStyle w:val="Fotnotsreferens"/>
          <w:sz w:val="20"/>
          <w:szCs w:val="20"/>
        </w:rPr>
        <w:footnoteRef/>
      </w:r>
      <w:r w:rsidRPr="001623E9">
        <w:rPr>
          <w:sz w:val="20"/>
          <w:szCs w:val="20"/>
        </w:rPr>
        <w:t xml:space="preserve"> See </w:t>
      </w:r>
      <w:r w:rsidRPr="001623E9">
        <w:rPr>
          <w:i/>
          <w:iCs/>
          <w:sz w:val="20"/>
          <w:szCs w:val="20"/>
        </w:rPr>
        <w:t>Commission</w:t>
      </w:r>
      <w:r w:rsidRPr="001623E9">
        <w:rPr>
          <w:sz w:val="20"/>
          <w:szCs w:val="20"/>
        </w:rPr>
        <w:t xml:space="preserve"> v </w:t>
      </w:r>
      <w:r w:rsidRPr="001623E9">
        <w:rPr>
          <w:i/>
          <w:iCs/>
          <w:sz w:val="20"/>
          <w:szCs w:val="20"/>
        </w:rPr>
        <w:t>Council</w:t>
      </w:r>
      <w:r w:rsidRPr="001623E9">
        <w:rPr>
          <w:sz w:val="20"/>
          <w:szCs w:val="20"/>
        </w:rPr>
        <w:t xml:space="preserve"> (C</w:t>
      </w:r>
      <w:r w:rsidRPr="001623E9">
        <w:rPr>
          <w:sz w:val="20"/>
          <w:szCs w:val="20"/>
        </w:rPr>
        <w:noBreakHyphen/>
        <w:t xml:space="preserve">211/01) </w:t>
      </w:r>
      <w:r w:rsidRPr="001623E9">
        <w:rPr>
          <w:rStyle w:val="outputecliaff"/>
          <w:sz w:val="20"/>
          <w:szCs w:val="20"/>
        </w:rPr>
        <w:t>EU:C: 2003:452</w:t>
      </w:r>
      <w:r w:rsidRPr="001623E9">
        <w:rPr>
          <w:sz w:val="20"/>
          <w:szCs w:val="20"/>
        </w:rPr>
        <w:t>, at [40]; Case C</w:t>
      </w:r>
      <w:r w:rsidRPr="001623E9">
        <w:rPr>
          <w:sz w:val="20"/>
          <w:szCs w:val="20"/>
        </w:rPr>
        <w:noBreakHyphen/>
        <w:t xml:space="preserve">91/05 </w:t>
      </w:r>
      <w:r w:rsidRPr="001623E9">
        <w:rPr>
          <w:i/>
          <w:iCs/>
          <w:sz w:val="20"/>
          <w:szCs w:val="20"/>
        </w:rPr>
        <w:t>Commission</w:t>
      </w:r>
      <w:r w:rsidRPr="001623E9">
        <w:rPr>
          <w:sz w:val="20"/>
          <w:szCs w:val="20"/>
        </w:rPr>
        <w:t xml:space="preserve"> v </w:t>
      </w:r>
      <w:r w:rsidRPr="001623E9">
        <w:rPr>
          <w:i/>
          <w:iCs/>
          <w:sz w:val="20"/>
          <w:szCs w:val="20"/>
        </w:rPr>
        <w:t>Council</w:t>
      </w:r>
      <w:r w:rsidRPr="001623E9">
        <w:rPr>
          <w:sz w:val="20"/>
          <w:szCs w:val="20"/>
        </w:rPr>
        <w:t xml:space="preserve"> (</w:t>
      </w:r>
      <w:r w:rsidRPr="001623E9">
        <w:rPr>
          <w:i/>
          <w:sz w:val="20"/>
          <w:szCs w:val="20"/>
        </w:rPr>
        <w:t>ECOWAS</w:t>
      </w:r>
      <w:r w:rsidRPr="001623E9">
        <w:rPr>
          <w:sz w:val="20"/>
          <w:szCs w:val="20"/>
        </w:rPr>
        <w:t>) EU:C:2008:288, at [75].</w:t>
      </w:r>
    </w:p>
  </w:footnote>
  <w:footnote w:id="178">
    <w:p w14:paraId="0B0DDC7E" w14:textId="31A56084"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(C-338/01) </w:t>
      </w:r>
      <w:r w:rsidRPr="001623E9">
        <w:rPr>
          <w:rStyle w:val="outputecliaff"/>
        </w:rPr>
        <w:t>EU:C: 2004:253,</w:t>
      </w:r>
      <w:r w:rsidRPr="001623E9">
        <w:t xml:space="preserve"> at [57]; </w:t>
      </w:r>
      <w:r w:rsidRPr="001623E9">
        <w:rPr>
          <w:i/>
          <w:iCs/>
        </w:rPr>
        <w:t>Commission</w:t>
      </w:r>
      <w:r w:rsidRPr="001623E9">
        <w:t xml:space="preserve"> v </w:t>
      </w:r>
      <w:r w:rsidRPr="001623E9">
        <w:rPr>
          <w:i/>
          <w:iCs/>
        </w:rPr>
        <w:t>Council</w:t>
      </w:r>
      <w:r w:rsidRPr="001623E9">
        <w:t xml:space="preserve"> (C</w:t>
      </w:r>
      <w:r w:rsidRPr="001623E9">
        <w:noBreakHyphen/>
        <w:t>94/03)</w:t>
      </w:r>
      <w:r w:rsidRPr="001623E9">
        <w:rPr>
          <w:i/>
          <w:iCs/>
        </w:rPr>
        <w:t xml:space="preserve"> </w:t>
      </w:r>
      <w:r w:rsidRPr="001623E9">
        <w:rPr>
          <w:iCs/>
        </w:rPr>
        <w:t>EU:C:2006:2</w:t>
      </w:r>
      <w:r w:rsidRPr="001623E9">
        <w:rPr>
          <w:i/>
          <w:iCs/>
        </w:rPr>
        <w:t xml:space="preserve"> </w:t>
      </w:r>
      <w:r w:rsidRPr="001623E9">
        <w:t xml:space="preserve">at [52]; </w:t>
      </w:r>
      <w:r w:rsidRPr="001623E9">
        <w:rPr>
          <w:i/>
          <w:iCs/>
        </w:rPr>
        <w:t>Commission</w:t>
      </w:r>
      <w:r w:rsidRPr="001623E9">
        <w:t xml:space="preserve"> v </w:t>
      </w:r>
      <w:r w:rsidRPr="001623E9">
        <w:rPr>
          <w:i/>
          <w:iCs/>
        </w:rPr>
        <w:t>Parliament and Council</w:t>
      </w:r>
      <w:r w:rsidRPr="001623E9">
        <w:t xml:space="preserve"> (C</w:t>
      </w:r>
      <w:r w:rsidRPr="001623E9">
        <w:noBreakHyphen/>
        <w:t>178/03) EU:C:2006:4, at [57].</w:t>
      </w:r>
    </w:p>
  </w:footnote>
  <w:footnote w:id="179">
    <w:p w14:paraId="2DD08945" w14:textId="6A79BCAF" w:rsidR="000272D5" w:rsidRPr="001623E9" w:rsidRDefault="000272D5" w:rsidP="005F44F9">
      <w:pPr>
        <w:pStyle w:val="Fotnotstext"/>
        <w:spacing w:before="0"/>
        <w:rPr>
          <w:i/>
          <w:iCs/>
        </w:rPr>
      </w:pPr>
      <w:r w:rsidRPr="001623E9">
        <w:rPr>
          <w:rStyle w:val="Fotnotsreferens"/>
        </w:rPr>
        <w:footnoteRef/>
      </w:r>
      <w:r w:rsidRPr="001623E9">
        <w:t xml:space="preserve"> See </w:t>
      </w:r>
      <w:r w:rsidRPr="001623E9">
        <w:rPr>
          <w:i/>
        </w:rPr>
        <w:t>Parliament v Council</w:t>
      </w:r>
      <w:r w:rsidRPr="001623E9">
        <w:t xml:space="preserve"> (C-130/10) EU:C: 2012:472, at [79-82]; Case C</w:t>
      </w:r>
      <w:r w:rsidRPr="001623E9">
        <w:noBreakHyphen/>
        <w:t xml:space="preserve">91/05 </w:t>
      </w:r>
      <w:r w:rsidRPr="001623E9">
        <w:rPr>
          <w:i/>
          <w:iCs/>
        </w:rPr>
        <w:t>Commission</w:t>
      </w:r>
      <w:r w:rsidRPr="001623E9">
        <w:t xml:space="preserve"> v </w:t>
      </w:r>
      <w:r w:rsidRPr="001623E9">
        <w:rPr>
          <w:i/>
          <w:iCs/>
        </w:rPr>
        <w:t>Council</w:t>
      </w:r>
      <w:r w:rsidRPr="001623E9">
        <w:t xml:space="preserve"> (</w:t>
      </w:r>
      <w:r w:rsidRPr="001623E9">
        <w:rPr>
          <w:i/>
        </w:rPr>
        <w:t>ECOWAS</w:t>
      </w:r>
      <w:r w:rsidRPr="001623E9">
        <w:t>) EU:C:2008:288, at [75–77].</w:t>
      </w:r>
    </w:p>
  </w:footnote>
  <w:footnote w:id="180">
    <w:p w14:paraId="7CE81AA0" w14:textId="5736BF67" w:rsidR="000272D5" w:rsidRPr="001623E9" w:rsidRDefault="000272D5" w:rsidP="005F44F9">
      <w:pPr>
        <w:pStyle w:val="Fotnotstext"/>
        <w:spacing w:before="0"/>
      </w:pPr>
      <w:r w:rsidRPr="001623E9">
        <w:rPr>
          <w:rStyle w:val="Fotnotsreferens"/>
        </w:rPr>
        <w:footnoteRef/>
      </w:r>
      <w:r w:rsidRPr="001623E9">
        <w:t xml:space="preserve"> Art. 83(2) TFEU suggests that the relevant procedure is that ‘directives shall be adopted by the same ordinary or special legislative procedure as was followed for the adoption of the harmonisation measures in question’ (the ‘previous harmonisation measure’).</w:t>
      </w:r>
    </w:p>
  </w:footnote>
  <w:footnote w:id="181">
    <w:p w14:paraId="26F2DB37" w14:textId="4B5367CC" w:rsidR="000272D5" w:rsidRPr="001623E9" w:rsidRDefault="000272D5" w:rsidP="005F44F9">
      <w:pPr>
        <w:pStyle w:val="Fotnotstext"/>
        <w:spacing w:before="0"/>
      </w:pPr>
      <w:r w:rsidRPr="001623E9">
        <w:rPr>
          <w:rStyle w:val="Fotnotsreferens"/>
        </w:rPr>
        <w:footnoteRef/>
      </w:r>
      <w:r w:rsidRPr="001623E9">
        <w:t xml:space="preserve"> See </w:t>
      </w:r>
      <w:r w:rsidRPr="001623E9">
        <w:rPr>
          <w:i/>
          <w:iCs/>
        </w:rPr>
        <w:t>Commission</w:t>
      </w:r>
      <w:r w:rsidRPr="001623E9">
        <w:t xml:space="preserve"> v </w:t>
      </w:r>
      <w:r w:rsidRPr="001623E9">
        <w:rPr>
          <w:i/>
          <w:iCs/>
        </w:rPr>
        <w:t>Parliament and Council</w:t>
      </w:r>
      <w:r w:rsidRPr="001623E9">
        <w:t xml:space="preserve"> (C</w:t>
      </w:r>
      <w:r w:rsidRPr="001623E9">
        <w:noBreakHyphen/>
        <w:t xml:space="preserve">178/03) EU:C: 2006:4, at [57-60]; </w:t>
      </w:r>
      <w:r w:rsidRPr="001623E9">
        <w:rPr>
          <w:i/>
          <w:iCs/>
        </w:rPr>
        <w:t xml:space="preserve">Yassin Abdullah </w:t>
      </w:r>
      <w:proofErr w:type="spellStart"/>
      <w:r w:rsidRPr="001623E9">
        <w:rPr>
          <w:i/>
          <w:iCs/>
        </w:rPr>
        <w:t>Kadi</w:t>
      </w:r>
      <w:proofErr w:type="spellEnd"/>
      <w:r w:rsidRPr="001623E9">
        <w:rPr>
          <w:i/>
          <w:iCs/>
        </w:rPr>
        <w:t xml:space="preserve"> and Al </w:t>
      </w:r>
      <w:proofErr w:type="spellStart"/>
      <w:r w:rsidRPr="001623E9">
        <w:rPr>
          <w:i/>
          <w:iCs/>
        </w:rPr>
        <w:t>Barakaat</w:t>
      </w:r>
      <w:proofErr w:type="spellEnd"/>
      <w:r w:rsidRPr="001623E9">
        <w:rPr>
          <w:i/>
          <w:iCs/>
        </w:rPr>
        <w:t xml:space="preserve"> International Foundation v Council and Commission</w:t>
      </w:r>
      <w:r w:rsidRPr="001623E9">
        <w:rPr>
          <w:iCs/>
        </w:rPr>
        <w:t xml:space="preserve"> </w:t>
      </w:r>
      <w:r w:rsidRPr="001623E9">
        <w:t xml:space="preserve">(C-402 and C-415/05 P) </w:t>
      </w:r>
      <w:r w:rsidRPr="001623E9">
        <w:rPr>
          <w:iCs/>
        </w:rPr>
        <w:t>EU:C:2008:461</w:t>
      </w:r>
      <w:r w:rsidRPr="001623E9">
        <w:t>, at [235].</w:t>
      </w:r>
    </w:p>
  </w:footnote>
  <w:footnote w:id="182">
    <w:p w14:paraId="7B1323EA" w14:textId="6F9CE10E" w:rsidR="000272D5" w:rsidRPr="001623E9" w:rsidRDefault="000272D5" w:rsidP="005F44F9">
      <w:pPr>
        <w:pStyle w:val="Fotnotstext"/>
        <w:spacing w:before="0"/>
      </w:pPr>
      <w:r w:rsidRPr="001623E9">
        <w:rPr>
          <w:rStyle w:val="Fotnotsreferens"/>
        </w:rPr>
        <w:footnoteRef/>
      </w:r>
      <w:r w:rsidRPr="001623E9">
        <w:t xml:space="preserve"> See art. 294 TFEU.</w:t>
      </w:r>
    </w:p>
  </w:footnote>
  <w:footnote w:id="183">
    <w:p w14:paraId="78C8986D" w14:textId="2604BBE0" w:rsidR="000272D5" w:rsidRPr="001623E9" w:rsidRDefault="000272D5" w:rsidP="005F44F9">
      <w:pPr>
        <w:pStyle w:val="CM4"/>
        <w:spacing w:after="60"/>
        <w:rPr>
          <w:rFonts w:ascii="Times New Roman" w:hAnsi="Times New Roman" w:cs="Times New Roman"/>
          <w:color w:val="000000"/>
          <w:sz w:val="20"/>
          <w:szCs w:val="20"/>
          <w:lang w:val="en-GB"/>
        </w:rPr>
      </w:pPr>
      <w:r w:rsidRPr="001623E9">
        <w:rPr>
          <w:rStyle w:val="Fotnotsreferens"/>
          <w:rFonts w:ascii="Times New Roman" w:hAnsi="Times New Roman" w:cs="Times New Roman"/>
          <w:sz w:val="20"/>
          <w:szCs w:val="20"/>
          <w:lang w:val="en-GB"/>
        </w:rPr>
        <w:footnoteRef/>
      </w:r>
      <w:r w:rsidRPr="001623E9">
        <w:rPr>
          <w:rFonts w:ascii="Times New Roman" w:hAnsi="Times New Roman" w:cs="Times New Roman"/>
          <w:sz w:val="20"/>
          <w:szCs w:val="20"/>
          <w:lang w:val="en-GB"/>
        </w:rPr>
        <w:t xml:space="preserve"> </w:t>
      </w:r>
      <w:r w:rsidRPr="001623E9">
        <w:rPr>
          <w:rFonts w:ascii="Times New Roman" w:eastAsia="Times New Roman" w:hAnsi="Times New Roman" w:cs="Times New Roman"/>
          <w:sz w:val="20"/>
          <w:szCs w:val="20"/>
          <w:lang w:val="en-GB"/>
        </w:rPr>
        <w:t>See Protocol (No 22) on the position of Denmark, OJ C 83/299.</w:t>
      </w:r>
      <w:r w:rsidRPr="001623E9">
        <w:rPr>
          <w:rFonts w:ascii="Times New Roman" w:hAnsi="Times New Roman" w:cs="Times New Roman"/>
          <w:sz w:val="20"/>
          <w:szCs w:val="20"/>
          <w:lang w:val="en-GB"/>
        </w:rPr>
        <w:t xml:space="preserve"> </w:t>
      </w:r>
      <w:r w:rsidRPr="001623E9">
        <w:rPr>
          <w:rFonts w:ascii="Times New Roman" w:eastAsia="Times New Roman" w:hAnsi="Times New Roman" w:cs="Times New Roman"/>
          <w:sz w:val="20"/>
          <w:szCs w:val="20"/>
          <w:lang w:val="en-GB"/>
        </w:rPr>
        <w:t xml:space="preserve">Denmark is by means of this protocol excluded from all post-Lisbon AFSJ measures, arts 1 and 2. </w:t>
      </w:r>
    </w:p>
  </w:footnote>
  <w:footnote w:id="184">
    <w:p w14:paraId="428C943E" w14:textId="3B746356" w:rsidR="000272D5" w:rsidRPr="001623E9" w:rsidRDefault="000272D5" w:rsidP="005F44F9">
      <w:pPr>
        <w:pStyle w:val="Fotnotstext"/>
        <w:spacing w:before="0"/>
      </w:pPr>
      <w:r w:rsidRPr="001623E9">
        <w:rPr>
          <w:rStyle w:val="Fotnotsreferens"/>
        </w:rPr>
        <w:footnoteRef/>
      </w:r>
      <w:r w:rsidRPr="001623E9">
        <w:t xml:space="preserve"> See Protocol (No 21) on the position of the United Kingdom and Ireland in respect of the Area of Freedom, Security and Justice, OJ </w:t>
      </w:r>
      <w:r w:rsidRPr="001623E9">
        <w:rPr>
          <w:color w:val="000000"/>
        </w:rPr>
        <w:t>C 83/295,</w:t>
      </w:r>
      <w:r w:rsidRPr="001623E9">
        <w:t xml:space="preserve"> arts 1 and 3.</w:t>
      </w:r>
    </w:p>
  </w:footnote>
  <w:footnote w:id="185">
    <w:p w14:paraId="65C4F299" w14:textId="184726E2" w:rsidR="000272D5" w:rsidRPr="001623E9" w:rsidRDefault="000272D5" w:rsidP="005F44F9">
      <w:pPr>
        <w:pStyle w:val="Fotnotstext"/>
        <w:spacing w:before="0"/>
      </w:pPr>
      <w:r w:rsidRPr="001623E9">
        <w:rPr>
          <w:rStyle w:val="Fotnotsreferens"/>
        </w:rPr>
        <w:footnoteRef/>
      </w:r>
      <w:r w:rsidRPr="001623E9">
        <w:t xml:space="preserve"> See art. 76 TFEU.</w:t>
      </w:r>
    </w:p>
  </w:footnote>
  <w:footnote w:id="186">
    <w:p w14:paraId="261FF819" w14:textId="7358D713" w:rsidR="000272D5" w:rsidRPr="001623E9" w:rsidRDefault="000272D5" w:rsidP="005F44F9">
      <w:pPr>
        <w:pStyle w:val="Fotnotstext"/>
        <w:spacing w:before="0"/>
      </w:pPr>
      <w:r w:rsidRPr="001623E9">
        <w:rPr>
          <w:rStyle w:val="Fotnotsreferens"/>
        </w:rPr>
        <w:footnoteRef/>
      </w:r>
      <w:r w:rsidRPr="001623E9">
        <w:t xml:space="preserve"> See art. 69 TFEU; Protocol (No 2) On the Application of the Principles of Subsidiarity and Proportionality OJ [2010] C 83/206, art. 7(1) and art. 7(2).</w:t>
      </w:r>
    </w:p>
  </w:footnote>
  <w:footnote w:id="187">
    <w:p w14:paraId="17963800" w14:textId="3946AA4A" w:rsidR="000272D5" w:rsidRPr="001623E9" w:rsidRDefault="000272D5" w:rsidP="005F44F9">
      <w:pPr>
        <w:pStyle w:val="Fotnotstext"/>
        <w:spacing w:before="0"/>
      </w:pPr>
      <w:r w:rsidRPr="001623E9">
        <w:rPr>
          <w:rStyle w:val="Fotnotsreferens"/>
        </w:rPr>
        <w:footnoteRef/>
      </w:r>
      <w:r w:rsidRPr="001623E9">
        <w:t xml:space="preserve"> See </w:t>
      </w:r>
      <w:r w:rsidRPr="001623E9">
        <w:rPr>
          <w:i/>
        </w:rPr>
        <w:t>Commission v Council</w:t>
      </w:r>
      <w:r w:rsidRPr="001623E9">
        <w:t xml:space="preserve"> </w:t>
      </w:r>
      <w:r w:rsidRPr="001623E9">
        <w:rPr>
          <w:i/>
        </w:rPr>
        <w:t>(Titanium Dioxide)</w:t>
      </w:r>
      <w:r w:rsidRPr="001623E9">
        <w:t xml:space="preserve"> (C-300/89) </w:t>
      </w:r>
      <w:r w:rsidRPr="001623E9">
        <w:rPr>
          <w:rStyle w:val="outputecliaff"/>
        </w:rPr>
        <w:t>EU:C: 1991:244</w:t>
      </w:r>
      <w:r w:rsidRPr="001623E9">
        <w:t xml:space="preserve">, at [21–25]; </w:t>
      </w:r>
      <w:r w:rsidRPr="001623E9">
        <w:rPr>
          <w:i/>
          <w:iCs/>
        </w:rPr>
        <w:t>Commission of the European Communities v European Parliament and Council of the European Union (Shipments of waste)</w:t>
      </w:r>
      <w:r w:rsidRPr="001623E9">
        <w:t xml:space="preserve"> (C-411/06)</w:t>
      </w:r>
      <w:r w:rsidRPr="001623E9">
        <w:rPr>
          <w:i/>
          <w:iCs/>
        </w:rPr>
        <w:t xml:space="preserve"> </w:t>
      </w:r>
      <w:r w:rsidRPr="001623E9">
        <w:rPr>
          <w:iCs/>
        </w:rPr>
        <w:t>EU:C:2009:518</w:t>
      </w:r>
      <w:r w:rsidRPr="001623E9">
        <w:t xml:space="preserve">, at [61–76]; </w:t>
      </w:r>
      <w:r w:rsidRPr="001623E9">
        <w:rPr>
          <w:i/>
        </w:rPr>
        <w:t>Parliament v Council</w:t>
      </w:r>
      <w:r w:rsidRPr="001623E9">
        <w:t xml:space="preserve"> (C-130/10) EU:C: 2012:472, at [47–49, 67–78]. </w:t>
      </w:r>
    </w:p>
  </w:footnote>
  <w:footnote w:id="188">
    <w:p w14:paraId="78EF1942" w14:textId="378CE87B" w:rsidR="000272D5" w:rsidRPr="001623E9" w:rsidRDefault="000272D5" w:rsidP="005F44F9">
      <w:pPr>
        <w:pStyle w:val="Fotnotstext"/>
        <w:spacing w:before="0"/>
      </w:pPr>
      <w:r w:rsidRPr="001623E9">
        <w:rPr>
          <w:rStyle w:val="Fotnotsreferens"/>
        </w:rPr>
        <w:footnoteRef/>
      </w:r>
      <w:r w:rsidRPr="001623E9">
        <w:t xml:space="preserve"> See S. </w:t>
      </w:r>
      <w:proofErr w:type="spellStart"/>
      <w:r w:rsidRPr="001623E9">
        <w:t>Miettinen</w:t>
      </w:r>
      <w:proofErr w:type="spellEnd"/>
      <w:r w:rsidRPr="001623E9">
        <w:t xml:space="preserve">, ‘Criminal competence and the choice of legal basis: space in the margins?’ (2015) 5 </w:t>
      </w:r>
      <w:r w:rsidRPr="001623E9">
        <w:rPr>
          <w:i/>
        </w:rPr>
        <w:t>European Criminal Law Review</w:t>
      </w:r>
      <w:r w:rsidRPr="001623E9">
        <w:t xml:space="preserve"> 222, p. 234.</w:t>
      </w:r>
    </w:p>
  </w:footnote>
  <w:footnote w:id="189">
    <w:p w14:paraId="07A90133" w14:textId="09CC5302" w:rsidR="000272D5" w:rsidRPr="001623E9" w:rsidRDefault="000272D5" w:rsidP="005F44F9">
      <w:pPr>
        <w:pStyle w:val="Fotnotstext"/>
        <w:spacing w:before="0"/>
      </w:pPr>
      <w:r w:rsidRPr="001623E9">
        <w:rPr>
          <w:rStyle w:val="Fotnotsreferens"/>
          <w:rFonts w:eastAsiaTheme="majorEastAsia"/>
        </w:rPr>
        <w:footnoteRef/>
      </w:r>
      <w:r w:rsidRPr="001623E9">
        <w:t xml:space="preserve"> See Commission, ‘Communication from the Commission to the European Parliament, the Council, the European Economic and Social Committee and the Committee of the Regions—Towards an EU Criminal Policy: Ensuring the effective implementation of EU policies through criminal law’, COM 2011(573) final, p. 10.</w:t>
      </w:r>
    </w:p>
  </w:footnote>
  <w:footnote w:id="190">
    <w:p w14:paraId="799FBDB1" w14:textId="5FCA8440" w:rsidR="000272D5" w:rsidRPr="001623E9" w:rsidRDefault="000272D5" w:rsidP="005F44F9">
      <w:pPr>
        <w:pStyle w:val="Fotnotstext"/>
        <w:spacing w:before="0"/>
        <w:rPr>
          <w:i/>
        </w:rPr>
      </w:pPr>
      <w:r w:rsidRPr="001623E9">
        <w:rPr>
          <w:rStyle w:val="Fotnotsreferens"/>
        </w:rPr>
        <w:footnoteRef/>
      </w:r>
      <w:r w:rsidRPr="001623E9">
        <w:t xml:space="preserve"> See above subs. ‘</w:t>
      </w:r>
      <w:r w:rsidRPr="001623E9">
        <w:rPr>
          <w:i/>
        </w:rPr>
        <w:t>The definition of ‘criminal’ law’</w:t>
      </w:r>
      <w:r w:rsidRPr="001623E9">
        <w:t xml:space="preserve"> on the concept of ‘criminal law’.</w:t>
      </w:r>
    </w:p>
  </w:footnote>
  <w:footnote w:id="191">
    <w:p w14:paraId="003D2A0A" w14:textId="00D9C256" w:rsidR="000272D5" w:rsidRPr="001623E9" w:rsidRDefault="000272D5" w:rsidP="005F44F9">
      <w:pPr>
        <w:pStyle w:val="Fotnotstext"/>
        <w:spacing w:before="0"/>
      </w:pPr>
      <w:r w:rsidRPr="001623E9">
        <w:rPr>
          <w:rStyle w:val="Fotnotsreferens"/>
        </w:rPr>
        <w:footnoteRef/>
      </w:r>
      <w:r w:rsidRPr="001623E9">
        <w:t xml:space="preserve"> See above </w:t>
      </w:r>
      <w:proofErr w:type="spellStart"/>
      <w:r w:rsidRPr="001623E9">
        <w:t>fn</w:t>
      </w:r>
      <w:proofErr w:type="spellEnd"/>
      <w:r w:rsidRPr="001623E9">
        <w:t xml:space="preserve"> 175 for all the content references to ‘criminal law’ and ‘criminal sanctions’.</w:t>
      </w:r>
    </w:p>
  </w:footnote>
  <w:footnote w:id="192">
    <w:p w14:paraId="35629D62" w14:textId="3DC9BF5E" w:rsidR="000272D5" w:rsidRPr="001623E9" w:rsidRDefault="000272D5" w:rsidP="005F44F9">
      <w:pPr>
        <w:pStyle w:val="Fotnotstext"/>
        <w:spacing w:before="0"/>
      </w:pPr>
      <w:r w:rsidRPr="001623E9">
        <w:rPr>
          <w:rStyle w:val="Fotnotsreferens"/>
        </w:rPr>
        <w:footnoteRef/>
      </w:r>
      <w:r w:rsidRPr="001623E9">
        <w:t xml:space="preserve"> See art. 13(2) TEU.</w:t>
      </w:r>
    </w:p>
  </w:footnote>
  <w:footnote w:id="193">
    <w:p w14:paraId="051FF6C3" w14:textId="5A2089A3" w:rsidR="000272D5" w:rsidRPr="001623E9" w:rsidRDefault="000272D5" w:rsidP="005F44F9">
      <w:pPr>
        <w:pStyle w:val="Fotnotstext"/>
        <w:spacing w:before="0"/>
        <w:rPr>
          <w:i/>
        </w:rPr>
      </w:pPr>
      <w:r w:rsidRPr="001623E9">
        <w:rPr>
          <w:rStyle w:val="Fotnotsreferens"/>
        </w:rPr>
        <w:footnoteRef/>
      </w:r>
      <w:r w:rsidRPr="001623E9">
        <w:t xml:space="preserve"> See above subs. ‘</w:t>
      </w:r>
      <w:r w:rsidRPr="001623E9">
        <w:rPr>
          <w:i/>
        </w:rPr>
        <w:t xml:space="preserve">The core argument- principled, systemic and teleological </w:t>
      </w:r>
      <w:proofErr w:type="gramStart"/>
      <w:r w:rsidRPr="001623E9">
        <w:rPr>
          <w:i/>
        </w:rPr>
        <w:t>considerations’</w:t>
      </w:r>
      <w:proofErr w:type="gramEnd"/>
      <w:r w:rsidRPr="001623E9">
        <w:rPr>
          <w:i/>
        </w:rPr>
        <w:t>.</w:t>
      </w:r>
    </w:p>
  </w:footnote>
  <w:footnote w:id="194">
    <w:p w14:paraId="57B44F56" w14:textId="0052C112" w:rsidR="000272D5" w:rsidRPr="001623E9" w:rsidRDefault="000272D5" w:rsidP="005F44F9">
      <w:pPr>
        <w:pStyle w:val="Fotnotstext"/>
        <w:spacing w:before="0"/>
      </w:pPr>
      <w:r w:rsidRPr="001623E9">
        <w:rPr>
          <w:rStyle w:val="Fotnotsreferens"/>
        </w:rPr>
        <w:footnoteRef/>
      </w:r>
      <w:r w:rsidRPr="001623E9">
        <w:t xml:space="preserve"> See arts 83(1)- 83(2) TFEU.</w:t>
      </w:r>
    </w:p>
  </w:footnote>
  <w:footnote w:id="195">
    <w:p w14:paraId="734197A7" w14:textId="6A1DB7D6" w:rsidR="000272D5" w:rsidRPr="001623E9" w:rsidRDefault="000272D5" w:rsidP="005F44F9">
      <w:pPr>
        <w:pStyle w:val="Fotnotstext"/>
        <w:spacing w:before="0"/>
        <w:rPr>
          <w:b/>
        </w:rPr>
      </w:pPr>
      <w:r w:rsidRPr="001623E9">
        <w:rPr>
          <w:rStyle w:val="Fotnotsreferens"/>
        </w:rPr>
        <w:footnoteRef/>
      </w:r>
      <w:r w:rsidRPr="001623E9">
        <w:t xml:space="preserve"> See above s.</w:t>
      </w:r>
      <w:r w:rsidR="00B403EB" w:rsidRPr="001623E9">
        <w:t xml:space="preserve"> </w:t>
      </w:r>
      <w:r w:rsidRPr="001623E9">
        <w:t>’The core of the argument: the ‘</w:t>
      </w:r>
      <w:proofErr w:type="spellStart"/>
      <w:r w:rsidRPr="001623E9">
        <w:t>lex</w:t>
      </w:r>
      <w:proofErr w:type="spellEnd"/>
      <w:r w:rsidRPr="001623E9">
        <w:t xml:space="preserve"> </w:t>
      </w:r>
      <w:proofErr w:type="spellStart"/>
      <w:r w:rsidRPr="001623E9">
        <w:t>specialis</w:t>
      </w:r>
      <w:proofErr w:type="spellEnd"/>
      <w:r w:rsidRPr="001623E9">
        <w:t>’ nature of art. 83(2) TFEU’.</w:t>
      </w:r>
    </w:p>
  </w:footnote>
  <w:footnote w:id="196">
    <w:p w14:paraId="205BA016" w14:textId="7CDD4BB3" w:rsidR="000272D5" w:rsidRPr="001623E9" w:rsidRDefault="000272D5" w:rsidP="005F44F9">
      <w:pPr>
        <w:pStyle w:val="Fotnotstext"/>
        <w:spacing w:before="0"/>
      </w:pPr>
      <w:r w:rsidRPr="001623E9">
        <w:rPr>
          <w:rStyle w:val="Fotnotsreferens"/>
        </w:rPr>
        <w:footnoteRef/>
      </w:r>
      <w:r w:rsidRPr="001623E9">
        <w:t xml:space="preserve"> The structure of the argument and the use of the expression ’core argument’ is derived from J. Waldron: ‘The Core of the case against judicial review’ (2006) 115 </w:t>
      </w:r>
      <w:r w:rsidRPr="001623E9">
        <w:rPr>
          <w:color w:val="000000"/>
        </w:rPr>
        <w:t xml:space="preserve">Yale L.J. </w:t>
      </w:r>
      <w:r w:rsidRPr="001623E9">
        <w:t>1346.</w:t>
      </w:r>
    </w:p>
  </w:footnote>
  <w:footnote w:id="197">
    <w:p w14:paraId="4398F47C" w14:textId="5C0AF4A2" w:rsidR="000272D5" w:rsidRPr="001623E9" w:rsidRDefault="000272D5" w:rsidP="005F44F9">
      <w:pPr>
        <w:pStyle w:val="Fotnotstext"/>
        <w:spacing w:before="0"/>
        <w:rPr>
          <w:b/>
        </w:rPr>
      </w:pPr>
      <w:r w:rsidRPr="001623E9">
        <w:rPr>
          <w:rStyle w:val="Fotnotsreferens"/>
        </w:rPr>
        <w:footnoteRef/>
      </w:r>
      <w:r w:rsidRPr="001623E9">
        <w:t xml:space="preserve"> See above s. ‘Limits to the core argument: The (Narrow) Scope of art. 83(2) TFEU’.</w:t>
      </w:r>
    </w:p>
  </w:footnote>
  <w:footnote w:id="198">
    <w:p w14:paraId="306623DB" w14:textId="0E379FDF" w:rsidR="000272D5" w:rsidRPr="001623E9" w:rsidRDefault="000272D5" w:rsidP="005F44F9">
      <w:pPr>
        <w:pStyle w:val="Fotnotstext"/>
        <w:spacing w:before="0"/>
      </w:pPr>
      <w:r w:rsidRPr="001623E9">
        <w:rPr>
          <w:rStyle w:val="Fotnotsreferens"/>
        </w:rPr>
        <w:footnoteRef/>
      </w:r>
      <w:r w:rsidRPr="001623E9">
        <w:t xml:space="preserve"> See above s. ‘Illustrating the Core Argument- Conflicts between art. 83(2) TFEU and some Selected Legal Bases.’</w:t>
      </w:r>
    </w:p>
  </w:footnote>
  <w:footnote w:id="199">
    <w:p w14:paraId="7D4E3387" w14:textId="20F80CBC" w:rsidR="000272D5" w:rsidRPr="001623E9" w:rsidRDefault="000272D5" w:rsidP="005F44F9">
      <w:pPr>
        <w:pStyle w:val="Fotnotstext"/>
        <w:spacing w:before="0"/>
      </w:pPr>
      <w:r w:rsidRPr="001623E9">
        <w:rPr>
          <w:rStyle w:val="Fotnotsreferens"/>
        </w:rPr>
        <w:footnoteRef/>
      </w:r>
      <w:r w:rsidRPr="001623E9">
        <w:t xml:space="preserve"> The ACTA Agreement is a case in point. It contains criminal law obligations in art. 23 which, has been negotiated on the premise that the Union will not encroach on the Union’s internal competence under art. 83(2) TFEU to criminalize infringements of EU intellectual property rules; see Commission, ‘Proposal for a Council Decision on the conclusion of the Anti-Counterfeiting Trade Agreement between the European Union and its Member States, Australia, Canada, Japan, the Republic of Korea, the United Mexican States, the Kingdom of Morocco, New Zealand, the Republic of Singapore, the Swiss Confederation and the United States of America’, COM(2011)380 final, p. 2.</w:t>
      </w:r>
    </w:p>
  </w:footnote>
  <w:footnote w:id="200">
    <w:p w14:paraId="3C1BC924" w14:textId="603867C1" w:rsidR="000272D5" w:rsidRPr="001623E9" w:rsidRDefault="000272D5" w:rsidP="005F44F9">
      <w:pPr>
        <w:pStyle w:val="Fotnotstext"/>
        <w:spacing w:before="0"/>
        <w:rPr>
          <w:b/>
          <w:bCs/>
        </w:rPr>
      </w:pPr>
      <w:r w:rsidRPr="001623E9">
        <w:rPr>
          <w:rStyle w:val="Fotnotsreferens"/>
        </w:rPr>
        <w:footnoteRef/>
      </w:r>
      <w:r w:rsidRPr="001623E9">
        <w:t xml:space="preserve"> See E. </w:t>
      </w:r>
      <w:proofErr w:type="spellStart"/>
      <w:r w:rsidRPr="001623E9">
        <w:t>Herlin-Karnell</w:t>
      </w:r>
      <w:proofErr w:type="spellEnd"/>
      <w:r w:rsidRPr="001623E9">
        <w:t>, ‘Is administrative law still relevant? How the battle of sanctions has shaped EU criminal law’, Jean Monnet Working Paper 25/14, (2014), pp. 11–15, 21</w:t>
      </w:r>
      <w:r w:rsidRPr="001623E9">
        <w:rPr>
          <w:b/>
          <w:bCs/>
        </w:rPr>
        <w:t>.</w:t>
      </w:r>
    </w:p>
  </w:footnote>
  <w:footnote w:id="201">
    <w:p w14:paraId="110030BD" w14:textId="1CA2A7C9" w:rsidR="000272D5" w:rsidRPr="001623E9" w:rsidRDefault="000272D5" w:rsidP="005F44F9">
      <w:pPr>
        <w:pStyle w:val="Fotnotstext"/>
        <w:spacing w:before="0"/>
      </w:pPr>
      <w:r w:rsidRPr="001623E9">
        <w:rPr>
          <w:rStyle w:val="Fotnotsreferens"/>
        </w:rPr>
        <w:footnoteRef/>
      </w:r>
      <w:r w:rsidRPr="001623E9">
        <w:t xml:space="preserve"> See S. </w:t>
      </w:r>
      <w:proofErr w:type="spellStart"/>
      <w:r w:rsidRPr="001623E9">
        <w:t>Miettinen</w:t>
      </w:r>
      <w:proofErr w:type="spellEnd"/>
      <w:r w:rsidRPr="001623E9">
        <w:rPr>
          <w:i/>
        </w:rPr>
        <w:t xml:space="preserve"> The Europeanization of Criminal Law: Competence and its Control in the Lisbon Era</w:t>
      </w:r>
      <w:r w:rsidRPr="001623E9">
        <w:t>, (DPhil, University of Helsinki, 2015), pp. 371–72, 435–36, 483, 487–91, 499–503.</w:t>
      </w:r>
    </w:p>
  </w:footnote>
  <w:footnote w:id="202">
    <w:p w14:paraId="4F5A8126" w14:textId="4810E5A7" w:rsidR="000272D5" w:rsidRPr="001623E9" w:rsidRDefault="000272D5" w:rsidP="005F44F9">
      <w:pPr>
        <w:pStyle w:val="Fotnotstext"/>
        <w:spacing w:before="0"/>
      </w:pPr>
      <w:r w:rsidRPr="001623E9">
        <w:rPr>
          <w:rStyle w:val="Fotnotsreferens"/>
        </w:rPr>
        <w:footnoteRef/>
      </w:r>
      <w:r w:rsidRPr="001623E9">
        <w:t xml:space="preserve"> See Directive 2014/57/EU of the European Parliament and of the Council of 16 April 2014 on criminal sanctions for market abuse (market abuse directive) [2014] OJ L 173/79; Regulation (EU) No 596/2014 of the European Parliament and of the Council of 16 April 2014 on market abuse (market abuse regulation) and repealing Directive 2003/6/EC of the European Parliament and of the Council and Commission Directives 2003/124/EC, 2003/125/EC and 2004/72/EC [2014] OJ L 173/1.</w:t>
      </w:r>
    </w:p>
  </w:footnote>
  <w:footnote w:id="203">
    <w:p w14:paraId="129EF349" w14:textId="2904FF63" w:rsidR="000272D5" w:rsidRPr="001623E9" w:rsidRDefault="000272D5" w:rsidP="005F44F9">
      <w:pPr>
        <w:pStyle w:val="Fotnotstext"/>
        <w:spacing w:before="0"/>
      </w:pPr>
      <w:r w:rsidRPr="001623E9">
        <w:rPr>
          <w:rStyle w:val="Fotnotsreferens"/>
        </w:rPr>
        <w:footnoteRef/>
      </w:r>
      <w:r w:rsidRPr="001623E9">
        <w:t xml:space="preserve"> See</w:t>
      </w:r>
      <w:r w:rsidRPr="001623E9">
        <w:rPr>
          <w:rFonts w:eastAsia="Calibri"/>
          <w:bCs/>
        </w:rPr>
        <w:t xml:space="preserve"> E.</w:t>
      </w:r>
      <w:r w:rsidRPr="001623E9">
        <w:rPr>
          <w:rFonts w:eastAsia="Calibri"/>
        </w:rPr>
        <w:t xml:space="preserve"> A </w:t>
      </w:r>
      <w:r w:rsidRPr="001623E9">
        <w:rPr>
          <w:rFonts w:eastAsia="Calibri"/>
          <w:bCs/>
        </w:rPr>
        <w:t>Young</w:t>
      </w:r>
      <w:r w:rsidRPr="001623E9">
        <w:rPr>
          <w:rFonts w:eastAsia="Calibri"/>
        </w:rPr>
        <w:t>, ‘</w:t>
      </w:r>
      <w:r w:rsidRPr="001623E9">
        <w:rPr>
          <w:rFonts w:eastAsia="Calibri"/>
          <w:bCs/>
        </w:rPr>
        <w:t>Protecting Member State</w:t>
      </w:r>
      <w:r w:rsidRPr="001623E9">
        <w:rPr>
          <w:rFonts w:eastAsia="Calibri"/>
        </w:rPr>
        <w:t xml:space="preserve"> Autonomy in the European Union: Some Cautionary Tales from American Federalism’ (2002) 77 N. Y. U. L. Rev</w:t>
      </w:r>
      <w:r w:rsidR="00DF08FB" w:rsidRPr="001623E9">
        <w:rPr>
          <w:rFonts w:eastAsia="Calibri"/>
        </w:rPr>
        <w:t>.</w:t>
      </w:r>
      <w:r w:rsidRPr="001623E9">
        <w:rPr>
          <w:rFonts w:eastAsia="Calibri"/>
        </w:rPr>
        <w:t xml:space="preserve"> 1612</w:t>
      </w:r>
      <w:r w:rsidRPr="001623E9">
        <w:t xml:space="preserve">; </w:t>
      </w:r>
      <w:hyperlink r:id="rId7" w:history="1">
        <w:r w:rsidRPr="001623E9">
          <w:t xml:space="preserve">R. </w:t>
        </w:r>
        <w:proofErr w:type="spellStart"/>
        <w:r w:rsidRPr="001623E9">
          <w:t>Schütze</w:t>
        </w:r>
        <w:proofErr w:type="spellEnd"/>
      </w:hyperlink>
      <w:r w:rsidRPr="001623E9">
        <w:t>, ‘Subsidiarity After Lisbon: Reinforcing the Safeguards of Federalism’ 68 (2009) C.L.J. 525 for a more general discussion of safeguards of federalism within the Union.</w:t>
      </w:r>
    </w:p>
  </w:footnote>
  <w:footnote w:id="204">
    <w:p w14:paraId="12CD0A33" w14:textId="0D163FDB" w:rsidR="001623E9" w:rsidRPr="001623E9" w:rsidRDefault="001623E9">
      <w:pPr>
        <w:pStyle w:val="Fotnotstext"/>
      </w:pPr>
      <w:r w:rsidRPr="001623E9">
        <w:rPr>
          <w:rStyle w:val="Fotnotsreferens"/>
        </w:rPr>
        <w:footnoteRef/>
      </w:r>
      <w:r w:rsidRPr="001623E9">
        <w:t xml:space="preserve"> See above s. ‘‘Limits to the core argument: The (Narrow) Scope of art. 83(2) TFEU’.</w:t>
      </w:r>
    </w:p>
  </w:footnote>
  <w:footnote w:id="205">
    <w:p w14:paraId="7018A1F9" w14:textId="5250C586" w:rsidR="000272D5" w:rsidRPr="001623E9" w:rsidRDefault="000272D5" w:rsidP="005F44F9">
      <w:pPr>
        <w:pStyle w:val="Fotnotstext"/>
        <w:spacing w:before="0"/>
      </w:pPr>
      <w:r w:rsidRPr="001623E9">
        <w:rPr>
          <w:rStyle w:val="Fotnotsreferens"/>
        </w:rPr>
        <w:footnoteRef/>
      </w:r>
      <w:r w:rsidRPr="001623E9">
        <w:t xml:space="preserve"> See European Convention, CONV 375/1/02, ‘Final Report of Working Group V on Complementary Competencies’, Brussels, 4 November 2002, 2-4.</w:t>
      </w:r>
    </w:p>
  </w:footnote>
  <w:footnote w:id="206">
    <w:p w14:paraId="0C35FDDE" w14:textId="57E5543B" w:rsidR="000272D5" w:rsidRPr="001623E9" w:rsidRDefault="000272D5" w:rsidP="005F44F9">
      <w:pPr>
        <w:pStyle w:val="Fotnotstext"/>
        <w:spacing w:before="0"/>
      </w:pPr>
      <w:r w:rsidRPr="001623E9">
        <w:rPr>
          <w:rStyle w:val="Fotnotsreferens"/>
        </w:rPr>
        <w:footnoteRef/>
      </w:r>
      <w:r w:rsidRPr="001623E9">
        <w:t xml:space="preserve"> See </w:t>
      </w:r>
      <w:r w:rsidR="005B318E" w:rsidRPr="001623E9">
        <w:t>European Council, ‘</w:t>
      </w:r>
      <w:proofErr w:type="spellStart"/>
      <w:r w:rsidR="005B318E" w:rsidRPr="001623E9">
        <w:t>Laeken</w:t>
      </w:r>
      <w:proofErr w:type="spellEnd"/>
      <w:r w:rsidR="005B318E" w:rsidRPr="001623E9">
        <w:t xml:space="preserve"> Declaration on the future of the European Union’, 14–15 December 2001, </w:t>
      </w:r>
      <w:r w:rsidRPr="001623E9">
        <w:t>21-22;</w:t>
      </w:r>
      <w:r w:rsidR="005B318E" w:rsidRPr="001623E9">
        <w:t xml:space="preserve"> European Convention,</w:t>
      </w:r>
      <w:r w:rsidRPr="001623E9">
        <w:t xml:space="preserve"> </w:t>
      </w:r>
      <w:r w:rsidR="005B318E" w:rsidRPr="001623E9">
        <w:t>CONV 47/02, ‘</w:t>
      </w:r>
      <w:r w:rsidR="005B318E" w:rsidRPr="001623E9">
        <w:rPr>
          <w:bCs/>
        </w:rPr>
        <w:t>Delimitation of competence between the European Union and the</w:t>
      </w:r>
      <w:r w:rsidR="005B318E" w:rsidRPr="001623E9">
        <w:rPr>
          <w:b/>
          <w:bCs/>
        </w:rPr>
        <w:t xml:space="preserve"> </w:t>
      </w:r>
      <w:r w:rsidR="005B318E" w:rsidRPr="001623E9">
        <w:rPr>
          <w:bCs/>
        </w:rPr>
        <w:t>Member States – Existing system, problems and avenues to be explored’, Brussels,</w:t>
      </w:r>
      <w:r w:rsidR="005B318E" w:rsidRPr="001623E9">
        <w:rPr>
          <w:b/>
          <w:bCs/>
        </w:rPr>
        <w:t xml:space="preserve"> </w:t>
      </w:r>
      <w:r w:rsidR="005B318E" w:rsidRPr="001623E9">
        <w:t xml:space="preserve">15 May 2002, </w:t>
      </w:r>
      <w:r w:rsidRPr="001623E9">
        <w:t>3-5, 11-12, 14-16.</w:t>
      </w:r>
    </w:p>
  </w:footnote>
  <w:footnote w:id="207">
    <w:p w14:paraId="3AF28184" w14:textId="253DDA16" w:rsidR="000272D5" w:rsidRPr="001623E9" w:rsidRDefault="000272D5" w:rsidP="005F44F9">
      <w:pPr>
        <w:pStyle w:val="Fotnotstext"/>
        <w:spacing w:before="0"/>
      </w:pPr>
      <w:r w:rsidRPr="001623E9">
        <w:rPr>
          <w:rStyle w:val="Fotnotsreferens"/>
        </w:rPr>
        <w:footnoteRef/>
      </w:r>
      <w:r w:rsidRPr="001623E9">
        <w:t xml:space="preserve"> See S</w:t>
      </w:r>
      <w:r w:rsidR="003073D7" w:rsidRPr="001623E9">
        <w:t>.</w:t>
      </w:r>
      <w:r w:rsidRPr="001623E9">
        <w:t xml:space="preserve"> </w:t>
      </w:r>
      <w:proofErr w:type="spellStart"/>
      <w:r w:rsidRPr="001623E9">
        <w:t>Weatherill</w:t>
      </w:r>
      <w:proofErr w:type="spellEnd"/>
      <w:r w:rsidRPr="001623E9">
        <w:t xml:space="preserve">, ‘Competence creep and competence control’ (2004) 23 Y.E.L. 1, 1-20; R. </w:t>
      </w:r>
      <w:proofErr w:type="spellStart"/>
      <w:r w:rsidRPr="001623E9">
        <w:t>Schütze</w:t>
      </w:r>
      <w:proofErr w:type="spellEnd"/>
      <w:r w:rsidRPr="001623E9">
        <w:t xml:space="preserve">, </w:t>
      </w:r>
      <w:r w:rsidRPr="001623E9">
        <w:rPr>
          <w:i/>
        </w:rPr>
        <w:t>From Dual to Cooperative Federalism</w:t>
      </w:r>
      <w:r w:rsidRPr="001623E9">
        <w:t xml:space="preserve"> (Oxford: Oxford University Press, 2009) 150–151; </w:t>
      </w:r>
      <w:r w:rsidR="005B318E" w:rsidRPr="001623E9">
        <w:t xml:space="preserve">European Convention, CONV 375/1/02, ‘Final Report of Working Group V on Complementary Competencies’, Brussels, 4 November 2002, </w:t>
      </w:r>
      <w:r w:rsidRPr="001623E9">
        <w:t>4–5, 9, 14-15.</w:t>
      </w:r>
    </w:p>
  </w:footnote>
  <w:footnote w:id="208">
    <w:p w14:paraId="4B648B77" w14:textId="100F3340" w:rsidR="000272D5" w:rsidRPr="001623E9" w:rsidRDefault="000272D5" w:rsidP="005F44F9">
      <w:pPr>
        <w:pStyle w:val="Fotnotstext"/>
        <w:spacing w:before="0"/>
      </w:pPr>
      <w:r w:rsidRPr="001623E9">
        <w:rPr>
          <w:rStyle w:val="Fotnotsreferens"/>
        </w:rPr>
        <w:footnoteRef/>
      </w:r>
      <w:r w:rsidRPr="001623E9">
        <w:t xml:space="preserve"> See art. 2(6) TFEU.</w:t>
      </w:r>
    </w:p>
  </w:footnote>
  <w:footnote w:id="209">
    <w:p w14:paraId="34A158FB" w14:textId="4C51155F" w:rsidR="000272D5" w:rsidRPr="001623E9" w:rsidRDefault="000272D5" w:rsidP="005F44F9">
      <w:pPr>
        <w:pStyle w:val="Fotnotstext"/>
        <w:spacing w:before="0"/>
      </w:pPr>
      <w:r w:rsidRPr="001623E9">
        <w:rPr>
          <w:rStyle w:val="Fotnotsreferens"/>
        </w:rPr>
        <w:footnoteRef/>
      </w:r>
      <w:r w:rsidRPr="001623E9">
        <w:t xml:space="preserve"> See P. Craig, </w:t>
      </w:r>
      <w:r w:rsidRPr="001623E9">
        <w:rPr>
          <w:i/>
        </w:rPr>
        <w:t>EU Administrative Law</w:t>
      </w:r>
      <w:r w:rsidRPr="001623E9">
        <w:t xml:space="preserve"> (Oxford: Oxford University Press, 2012) 380, 399; </w:t>
      </w:r>
      <w:r w:rsidR="005B318E" w:rsidRPr="001623E9">
        <w:t>European Convention, CONV 47/02, ‘</w:t>
      </w:r>
      <w:r w:rsidR="005B318E" w:rsidRPr="001623E9">
        <w:rPr>
          <w:bCs/>
        </w:rPr>
        <w:t>Delimitation of competence between the European Union and the</w:t>
      </w:r>
      <w:r w:rsidR="005B318E" w:rsidRPr="001623E9">
        <w:rPr>
          <w:b/>
          <w:bCs/>
        </w:rPr>
        <w:t xml:space="preserve"> </w:t>
      </w:r>
      <w:r w:rsidR="005B318E" w:rsidRPr="001623E9">
        <w:rPr>
          <w:bCs/>
        </w:rPr>
        <w:t>Member States – Existing system, problems and avenues to be explored’, Brussels,</w:t>
      </w:r>
      <w:r w:rsidR="005B318E" w:rsidRPr="001623E9">
        <w:rPr>
          <w:b/>
          <w:bCs/>
        </w:rPr>
        <w:t xml:space="preserve"> </w:t>
      </w:r>
      <w:r w:rsidR="005B318E" w:rsidRPr="001623E9">
        <w:t xml:space="preserve">15 May 2002, </w:t>
      </w:r>
      <w:r w:rsidRPr="001623E9">
        <w:t>10-11, 15.</w:t>
      </w:r>
    </w:p>
  </w:footnote>
  <w:footnote w:id="210">
    <w:p w14:paraId="045F72CF" w14:textId="37E78767" w:rsidR="000272D5" w:rsidRPr="001623E9" w:rsidRDefault="000272D5" w:rsidP="005F44F9">
      <w:pPr>
        <w:pStyle w:val="Fotnotstext"/>
        <w:spacing w:before="0"/>
      </w:pPr>
      <w:r w:rsidRPr="001623E9">
        <w:rPr>
          <w:rStyle w:val="Fotnotsreferens"/>
        </w:rPr>
        <w:footnoteRef/>
      </w:r>
      <w:r w:rsidRPr="001623E9">
        <w:t xml:space="preserve"> See</w:t>
      </w:r>
      <w:r w:rsidR="00E81297" w:rsidRPr="001623E9">
        <w:t xml:space="preserve"> S. </w:t>
      </w:r>
      <w:proofErr w:type="spellStart"/>
      <w:r w:rsidR="00E81297" w:rsidRPr="001623E9">
        <w:t>Weatherill</w:t>
      </w:r>
      <w:proofErr w:type="spellEnd"/>
      <w:r w:rsidR="00E81297" w:rsidRPr="001623E9">
        <w:t xml:space="preserve">, ’The limits of legislative harmonisation ten years after Tobacco Advertising: how the Court’s case law has become a “drafting guide’ (2011) 12 </w:t>
      </w:r>
      <w:r w:rsidR="004E6C2B" w:rsidRPr="001623E9">
        <w:t xml:space="preserve">G.L.J. </w:t>
      </w:r>
      <w:r w:rsidR="00E81297" w:rsidRPr="001623E9">
        <w:t>827, pp.</w:t>
      </w:r>
      <w:r w:rsidRPr="001623E9">
        <w:t xml:space="preserve"> 855–856; </w:t>
      </w:r>
      <w:r w:rsidR="00E81297" w:rsidRPr="001623E9">
        <w:t xml:space="preserve">S. </w:t>
      </w:r>
      <w:proofErr w:type="spellStart"/>
      <w:r w:rsidR="00E81297" w:rsidRPr="001623E9">
        <w:t>Miettinen</w:t>
      </w:r>
      <w:proofErr w:type="spellEnd"/>
      <w:r w:rsidR="00E81297" w:rsidRPr="001623E9">
        <w:rPr>
          <w:i/>
        </w:rPr>
        <w:t xml:space="preserve"> The Europeanization of Criminal Law: Competence and its Control in the Lisbon Era</w:t>
      </w:r>
      <w:r w:rsidR="00E81297" w:rsidRPr="001623E9">
        <w:t xml:space="preserve">, (DPhil, University of Helsinki, 2015), pp. </w:t>
      </w:r>
      <w:r w:rsidRPr="001623E9">
        <w:t>502–03.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A679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21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D49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E00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9EB2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C433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025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EA0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42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08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67340"/>
    <w:multiLevelType w:val="hybridMultilevel"/>
    <w:tmpl w:val="6F7677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E2D4E20"/>
    <w:multiLevelType w:val="hybridMultilevel"/>
    <w:tmpl w:val="0462962E"/>
    <w:lvl w:ilvl="0" w:tplc="780A9866">
      <w:start w:val="1"/>
      <w:numFmt w:val="upperLetter"/>
      <w:lvlText w:val="%1)"/>
      <w:lvlJc w:val="left"/>
      <w:pPr>
        <w:ind w:left="1660" w:hanging="130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1304"/>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0D"/>
    <w:rsid w:val="000021B8"/>
    <w:rsid w:val="000031E9"/>
    <w:rsid w:val="00004773"/>
    <w:rsid w:val="000061A1"/>
    <w:rsid w:val="00007323"/>
    <w:rsid w:val="00007F7B"/>
    <w:rsid w:val="0001132E"/>
    <w:rsid w:val="0001378E"/>
    <w:rsid w:val="000137CD"/>
    <w:rsid w:val="000138C1"/>
    <w:rsid w:val="0001420F"/>
    <w:rsid w:val="0001458A"/>
    <w:rsid w:val="00022F43"/>
    <w:rsid w:val="000239F8"/>
    <w:rsid w:val="0002482D"/>
    <w:rsid w:val="00025AAF"/>
    <w:rsid w:val="000272D5"/>
    <w:rsid w:val="00027330"/>
    <w:rsid w:val="00031D1D"/>
    <w:rsid w:val="0003320D"/>
    <w:rsid w:val="000339C6"/>
    <w:rsid w:val="00037707"/>
    <w:rsid w:val="0004118B"/>
    <w:rsid w:val="00044E68"/>
    <w:rsid w:val="00045182"/>
    <w:rsid w:val="00045C38"/>
    <w:rsid w:val="00045D84"/>
    <w:rsid w:val="000465E3"/>
    <w:rsid w:val="00047250"/>
    <w:rsid w:val="00047448"/>
    <w:rsid w:val="00050C39"/>
    <w:rsid w:val="00051B6E"/>
    <w:rsid w:val="00051C62"/>
    <w:rsid w:val="000558ED"/>
    <w:rsid w:val="000565B7"/>
    <w:rsid w:val="00056EF8"/>
    <w:rsid w:val="0005782A"/>
    <w:rsid w:val="00061AA3"/>
    <w:rsid w:val="00063A53"/>
    <w:rsid w:val="0006458F"/>
    <w:rsid w:val="000661FA"/>
    <w:rsid w:val="00067749"/>
    <w:rsid w:val="00074D81"/>
    <w:rsid w:val="00075400"/>
    <w:rsid w:val="000840AF"/>
    <w:rsid w:val="00084552"/>
    <w:rsid w:val="00086328"/>
    <w:rsid w:val="00092EA6"/>
    <w:rsid w:val="00093421"/>
    <w:rsid w:val="00093FC9"/>
    <w:rsid w:val="00097C13"/>
    <w:rsid w:val="000A20B9"/>
    <w:rsid w:val="000A33E4"/>
    <w:rsid w:val="000A6725"/>
    <w:rsid w:val="000B0412"/>
    <w:rsid w:val="000B64C3"/>
    <w:rsid w:val="000B6AE0"/>
    <w:rsid w:val="000C0513"/>
    <w:rsid w:val="000C213D"/>
    <w:rsid w:val="000C45D4"/>
    <w:rsid w:val="000C5D4C"/>
    <w:rsid w:val="000D2A98"/>
    <w:rsid w:val="000D7AA5"/>
    <w:rsid w:val="000E0729"/>
    <w:rsid w:val="000E3244"/>
    <w:rsid w:val="000E44DB"/>
    <w:rsid w:val="000F4133"/>
    <w:rsid w:val="000F6A03"/>
    <w:rsid w:val="00102DFE"/>
    <w:rsid w:val="0010304A"/>
    <w:rsid w:val="00104486"/>
    <w:rsid w:val="00110540"/>
    <w:rsid w:val="00110FB9"/>
    <w:rsid w:val="00111466"/>
    <w:rsid w:val="0011260F"/>
    <w:rsid w:val="00112CC5"/>
    <w:rsid w:val="001178B3"/>
    <w:rsid w:val="0012302E"/>
    <w:rsid w:val="00124D0C"/>
    <w:rsid w:val="00125066"/>
    <w:rsid w:val="0012526A"/>
    <w:rsid w:val="00125BFC"/>
    <w:rsid w:val="00125DD2"/>
    <w:rsid w:val="00130A33"/>
    <w:rsid w:val="00132E46"/>
    <w:rsid w:val="001428FE"/>
    <w:rsid w:val="00155BB7"/>
    <w:rsid w:val="00157B9A"/>
    <w:rsid w:val="001623E9"/>
    <w:rsid w:val="00165232"/>
    <w:rsid w:val="00166DD5"/>
    <w:rsid w:val="00172A04"/>
    <w:rsid w:val="00176F28"/>
    <w:rsid w:val="00177863"/>
    <w:rsid w:val="00181AB0"/>
    <w:rsid w:val="00183CC8"/>
    <w:rsid w:val="00197D6A"/>
    <w:rsid w:val="001A0A36"/>
    <w:rsid w:val="001A2298"/>
    <w:rsid w:val="001A7A43"/>
    <w:rsid w:val="001A7CEE"/>
    <w:rsid w:val="001B317B"/>
    <w:rsid w:val="001B38EC"/>
    <w:rsid w:val="001C22DA"/>
    <w:rsid w:val="001C48C1"/>
    <w:rsid w:val="001C4B5F"/>
    <w:rsid w:val="001C6AD5"/>
    <w:rsid w:val="001C7ECE"/>
    <w:rsid w:val="001C7EE9"/>
    <w:rsid w:val="001D2750"/>
    <w:rsid w:val="001D29DC"/>
    <w:rsid w:val="001D3E02"/>
    <w:rsid w:val="001D4F51"/>
    <w:rsid w:val="001D56D3"/>
    <w:rsid w:val="001D6F05"/>
    <w:rsid w:val="001D7D6D"/>
    <w:rsid w:val="001E478C"/>
    <w:rsid w:val="001F54C7"/>
    <w:rsid w:val="0020056F"/>
    <w:rsid w:val="00201F56"/>
    <w:rsid w:val="002023D7"/>
    <w:rsid w:val="00214227"/>
    <w:rsid w:val="00214A6E"/>
    <w:rsid w:val="00216149"/>
    <w:rsid w:val="00216211"/>
    <w:rsid w:val="00216FE1"/>
    <w:rsid w:val="002214B1"/>
    <w:rsid w:val="00222801"/>
    <w:rsid w:val="00222A87"/>
    <w:rsid w:val="00223586"/>
    <w:rsid w:val="002264DD"/>
    <w:rsid w:val="00226989"/>
    <w:rsid w:val="0023086F"/>
    <w:rsid w:val="00234D53"/>
    <w:rsid w:val="00245136"/>
    <w:rsid w:val="00254479"/>
    <w:rsid w:val="00254A59"/>
    <w:rsid w:val="00254E0B"/>
    <w:rsid w:val="00260F4A"/>
    <w:rsid w:val="00264273"/>
    <w:rsid w:val="00275395"/>
    <w:rsid w:val="002850B4"/>
    <w:rsid w:val="002902A5"/>
    <w:rsid w:val="0029559B"/>
    <w:rsid w:val="002966A9"/>
    <w:rsid w:val="002A029C"/>
    <w:rsid w:val="002A2815"/>
    <w:rsid w:val="002A28F1"/>
    <w:rsid w:val="002A620D"/>
    <w:rsid w:val="002A6F4B"/>
    <w:rsid w:val="002A709B"/>
    <w:rsid w:val="002B2145"/>
    <w:rsid w:val="002C05C8"/>
    <w:rsid w:val="002C4CEA"/>
    <w:rsid w:val="002C53C2"/>
    <w:rsid w:val="002C6BB7"/>
    <w:rsid w:val="002D0205"/>
    <w:rsid w:val="002D109A"/>
    <w:rsid w:val="002D1D26"/>
    <w:rsid w:val="002D44CE"/>
    <w:rsid w:val="002E0BD9"/>
    <w:rsid w:val="002E4B15"/>
    <w:rsid w:val="002E6B93"/>
    <w:rsid w:val="002F0344"/>
    <w:rsid w:val="002F2673"/>
    <w:rsid w:val="002F338A"/>
    <w:rsid w:val="002F4846"/>
    <w:rsid w:val="002F4C00"/>
    <w:rsid w:val="002F5745"/>
    <w:rsid w:val="002F79CA"/>
    <w:rsid w:val="00301E4D"/>
    <w:rsid w:val="00301F3E"/>
    <w:rsid w:val="00304DDE"/>
    <w:rsid w:val="00305DCC"/>
    <w:rsid w:val="003070C5"/>
    <w:rsid w:val="003073D7"/>
    <w:rsid w:val="0032012E"/>
    <w:rsid w:val="00320A29"/>
    <w:rsid w:val="0032210A"/>
    <w:rsid w:val="003224FB"/>
    <w:rsid w:val="00325145"/>
    <w:rsid w:val="0033781F"/>
    <w:rsid w:val="00340015"/>
    <w:rsid w:val="003547AF"/>
    <w:rsid w:val="00360343"/>
    <w:rsid w:val="0036135B"/>
    <w:rsid w:val="003676AB"/>
    <w:rsid w:val="003721B1"/>
    <w:rsid w:val="00374960"/>
    <w:rsid w:val="00376DF5"/>
    <w:rsid w:val="0038037C"/>
    <w:rsid w:val="0038097C"/>
    <w:rsid w:val="00381949"/>
    <w:rsid w:val="00386089"/>
    <w:rsid w:val="00387872"/>
    <w:rsid w:val="00396B63"/>
    <w:rsid w:val="003A1298"/>
    <w:rsid w:val="003A1C3B"/>
    <w:rsid w:val="003A3F42"/>
    <w:rsid w:val="003A4C16"/>
    <w:rsid w:val="003B083F"/>
    <w:rsid w:val="003B1656"/>
    <w:rsid w:val="003B531F"/>
    <w:rsid w:val="003C5A1A"/>
    <w:rsid w:val="003C76B6"/>
    <w:rsid w:val="003D3B9D"/>
    <w:rsid w:val="003D5B97"/>
    <w:rsid w:val="003E1A31"/>
    <w:rsid w:val="003F06FF"/>
    <w:rsid w:val="003F57A1"/>
    <w:rsid w:val="003F5AFB"/>
    <w:rsid w:val="003F617C"/>
    <w:rsid w:val="003F63B9"/>
    <w:rsid w:val="00406593"/>
    <w:rsid w:val="00412A50"/>
    <w:rsid w:val="004176BF"/>
    <w:rsid w:val="00420B56"/>
    <w:rsid w:val="00424E81"/>
    <w:rsid w:val="00430700"/>
    <w:rsid w:val="004313B0"/>
    <w:rsid w:val="0043242E"/>
    <w:rsid w:val="00437DCB"/>
    <w:rsid w:val="00440D5B"/>
    <w:rsid w:val="00444A9C"/>
    <w:rsid w:val="00447BB3"/>
    <w:rsid w:val="00450D16"/>
    <w:rsid w:val="00451990"/>
    <w:rsid w:val="00454FA7"/>
    <w:rsid w:val="00455BC4"/>
    <w:rsid w:val="00456486"/>
    <w:rsid w:val="00457AD8"/>
    <w:rsid w:val="00460F34"/>
    <w:rsid w:val="00461320"/>
    <w:rsid w:val="00461C72"/>
    <w:rsid w:val="004622A4"/>
    <w:rsid w:val="0046436F"/>
    <w:rsid w:val="00464C18"/>
    <w:rsid w:val="00465D7A"/>
    <w:rsid w:val="00471F02"/>
    <w:rsid w:val="0047233F"/>
    <w:rsid w:val="004743B9"/>
    <w:rsid w:val="004806A2"/>
    <w:rsid w:val="004807BA"/>
    <w:rsid w:val="00482656"/>
    <w:rsid w:val="00483814"/>
    <w:rsid w:val="004844E2"/>
    <w:rsid w:val="00486DD8"/>
    <w:rsid w:val="00487AD4"/>
    <w:rsid w:val="00490F37"/>
    <w:rsid w:val="00495621"/>
    <w:rsid w:val="00496013"/>
    <w:rsid w:val="00496E2A"/>
    <w:rsid w:val="00497425"/>
    <w:rsid w:val="004A5CAF"/>
    <w:rsid w:val="004A62B4"/>
    <w:rsid w:val="004A7EA1"/>
    <w:rsid w:val="004A7FFC"/>
    <w:rsid w:val="004B159F"/>
    <w:rsid w:val="004B24D2"/>
    <w:rsid w:val="004B2D14"/>
    <w:rsid w:val="004B322E"/>
    <w:rsid w:val="004B3A12"/>
    <w:rsid w:val="004B47B7"/>
    <w:rsid w:val="004B6D57"/>
    <w:rsid w:val="004C17B1"/>
    <w:rsid w:val="004C21F2"/>
    <w:rsid w:val="004C359A"/>
    <w:rsid w:val="004C7E6B"/>
    <w:rsid w:val="004D6C2C"/>
    <w:rsid w:val="004D742F"/>
    <w:rsid w:val="004D78EC"/>
    <w:rsid w:val="004D7BCE"/>
    <w:rsid w:val="004E0275"/>
    <w:rsid w:val="004E0C6F"/>
    <w:rsid w:val="004E2D89"/>
    <w:rsid w:val="004E30A2"/>
    <w:rsid w:val="004E398B"/>
    <w:rsid w:val="004E5197"/>
    <w:rsid w:val="004E6C2B"/>
    <w:rsid w:val="004F5AB7"/>
    <w:rsid w:val="00502684"/>
    <w:rsid w:val="005043D4"/>
    <w:rsid w:val="00504D0B"/>
    <w:rsid w:val="00504F34"/>
    <w:rsid w:val="00507E9A"/>
    <w:rsid w:val="00513C24"/>
    <w:rsid w:val="00521DBB"/>
    <w:rsid w:val="00521F26"/>
    <w:rsid w:val="0053291F"/>
    <w:rsid w:val="00535D15"/>
    <w:rsid w:val="00536D20"/>
    <w:rsid w:val="00540765"/>
    <w:rsid w:val="00543DBE"/>
    <w:rsid w:val="00543F9A"/>
    <w:rsid w:val="00547EC0"/>
    <w:rsid w:val="00550596"/>
    <w:rsid w:val="0055075E"/>
    <w:rsid w:val="0055413D"/>
    <w:rsid w:val="00555508"/>
    <w:rsid w:val="00566970"/>
    <w:rsid w:val="00567763"/>
    <w:rsid w:val="00574758"/>
    <w:rsid w:val="00574FF1"/>
    <w:rsid w:val="005762EF"/>
    <w:rsid w:val="0058183A"/>
    <w:rsid w:val="00582BE0"/>
    <w:rsid w:val="00586139"/>
    <w:rsid w:val="00591F25"/>
    <w:rsid w:val="00595D76"/>
    <w:rsid w:val="00597043"/>
    <w:rsid w:val="00597A0F"/>
    <w:rsid w:val="005A0EE5"/>
    <w:rsid w:val="005A4CB5"/>
    <w:rsid w:val="005A5461"/>
    <w:rsid w:val="005B002C"/>
    <w:rsid w:val="005B318E"/>
    <w:rsid w:val="005B582E"/>
    <w:rsid w:val="005B6831"/>
    <w:rsid w:val="005B783F"/>
    <w:rsid w:val="005C107D"/>
    <w:rsid w:val="005C1207"/>
    <w:rsid w:val="005C35C2"/>
    <w:rsid w:val="005C3BCF"/>
    <w:rsid w:val="005C3FD7"/>
    <w:rsid w:val="005C61A2"/>
    <w:rsid w:val="005C75B9"/>
    <w:rsid w:val="005D069A"/>
    <w:rsid w:val="005D6AC6"/>
    <w:rsid w:val="005D7F14"/>
    <w:rsid w:val="005E1D31"/>
    <w:rsid w:val="005E5AAD"/>
    <w:rsid w:val="005E7135"/>
    <w:rsid w:val="005F017C"/>
    <w:rsid w:val="005F0C55"/>
    <w:rsid w:val="005F25D7"/>
    <w:rsid w:val="005F44F9"/>
    <w:rsid w:val="005F5147"/>
    <w:rsid w:val="005F51C1"/>
    <w:rsid w:val="005F56EC"/>
    <w:rsid w:val="006015F3"/>
    <w:rsid w:val="006028F3"/>
    <w:rsid w:val="00602FF2"/>
    <w:rsid w:val="00603B2A"/>
    <w:rsid w:val="00604813"/>
    <w:rsid w:val="00604F85"/>
    <w:rsid w:val="00605062"/>
    <w:rsid w:val="006135EB"/>
    <w:rsid w:val="0061375A"/>
    <w:rsid w:val="00613ED7"/>
    <w:rsid w:val="00617C41"/>
    <w:rsid w:val="0062091A"/>
    <w:rsid w:val="0062526C"/>
    <w:rsid w:val="00631C3C"/>
    <w:rsid w:val="00633300"/>
    <w:rsid w:val="00635935"/>
    <w:rsid w:val="00641042"/>
    <w:rsid w:val="00641A60"/>
    <w:rsid w:val="006422FF"/>
    <w:rsid w:val="0064703D"/>
    <w:rsid w:val="006475F2"/>
    <w:rsid w:val="00651E49"/>
    <w:rsid w:val="00655CD3"/>
    <w:rsid w:val="006625FE"/>
    <w:rsid w:val="00662D12"/>
    <w:rsid w:val="00662E79"/>
    <w:rsid w:val="00663A64"/>
    <w:rsid w:val="00663F5F"/>
    <w:rsid w:val="00675459"/>
    <w:rsid w:val="0067594A"/>
    <w:rsid w:val="00677681"/>
    <w:rsid w:val="0068192F"/>
    <w:rsid w:val="00681C50"/>
    <w:rsid w:val="00691553"/>
    <w:rsid w:val="00694DCB"/>
    <w:rsid w:val="00697F4C"/>
    <w:rsid w:val="006A1998"/>
    <w:rsid w:val="006A3E1C"/>
    <w:rsid w:val="006A41CB"/>
    <w:rsid w:val="006B0581"/>
    <w:rsid w:val="006B1E6A"/>
    <w:rsid w:val="006B324B"/>
    <w:rsid w:val="006B7C57"/>
    <w:rsid w:val="006B7E0D"/>
    <w:rsid w:val="006C21E6"/>
    <w:rsid w:val="006C7EF3"/>
    <w:rsid w:val="006D3A79"/>
    <w:rsid w:val="006D4F6E"/>
    <w:rsid w:val="006D761D"/>
    <w:rsid w:val="006E10EC"/>
    <w:rsid w:val="006E1142"/>
    <w:rsid w:val="006E14E4"/>
    <w:rsid w:val="006E3852"/>
    <w:rsid w:val="006E48EA"/>
    <w:rsid w:val="006E5F6F"/>
    <w:rsid w:val="006F2BC8"/>
    <w:rsid w:val="006F4038"/>
    <w:rsid w:val="006F42E3"/>
    <w:rsid w:val="006F4CDF"/>
    <w:rsid w:val="006F575E"/>
    <w:rsid w:val="006F60FA"/>
    <w:rsid w:val="007038FE"/>
    <w:rsid w:val="0071571A"/>
    <w:rsid w:val="00716A94"/>
    <w:rsid w:val="00721F27"/>
    <w:rsid w:val="00722871"/>
    <w:rsid w:val="00722C6B"/>
    <w:rsid w:val="00724821"/>
    <w:rsid w:val="007253A9"/>
    <w:rsid w:val="00731DE3"/>
    <w:rsid w:val="00735CD7"/>
    <w:rsid w:val="0074012D"/>
    <w:rsid w:val="00740A0B"/>
    <w:rsid w:val="007431CD"/>
    <w:rsid w:val="00743F68"/>
    <w:rsid w:val="007516C6"/>
    <w:rsid w:val="00751F31"/>
    <w:rsid w:val="00756C49"/>
    <w:rsid w:val="00763446"/>
    <w:rsid w:val="0076422B"/>
    <w:rsid w:val="0076614C"/>
    <w:rsid w:val="0077424E"/>
    <w:rsid w:val="00774808"/>
    <w:rsid w:val="00780784"/>
    <w:rsid w:val="0078150A"/>
    <w:rsid w:val="00782BA2"/>
    <w:rsid w:val="0078443A"/>
    <w:rsid w:val="00785401"/>
    <w:rsid w:val="007854E5"/>
    <w:rsid w:val="00796A0D"/>
    <w:rsid w:val="007A4734"/>
    <w:rsid w:val="007A4A18"/>
    <w:rsid w:val="007A60F5"/>
    <w:rsid w:val="007A622F"/>
    <w:rsid w:val="007B01CE"/>
    <w:rsid w:val="007B6098"/>
    <w:rsid w:val="007C0B5D"/>
    <w:rsid w:val="007C41F6"/>
    <w:rsid w:val="007C52CA"/>
    <w:rsid w:val="007C5AD1"/>
    <w:rsid w:val="007C66BE"/>
    <w:rsid w:val="007C7561"/>
    <w:rsid w:val="007D1626"/>
    <w:rsid w:val="007D3542"/>
    <w:rsid w:val="007E0544"/>
    <w:rsid w:val="007E1409"/>
    <w:rsid w:val="007E2983"/>
    <w:rsid w:val="007E2BE4"/>
    <w:rsid w:val="007E358E"/>
    <w:rsid w:val="007E46C5"/>
    <w:rsid w:val="007E607E"/>
    <w:rsid w:val="007F08B3"/>
    <w:rsid w:val="0080273F"/>
    <w:rsid w:val="00820066"/>
    <w:rsid w:val="00827F74"/>
    <w:rsid w:val="008316A3"/>
    <w:rsid w:val="008320F1"/>
    <w:rsid w:val="0083348E"/>
    <w:rsid w:val="00833870"/>
    <w:rsid w:val="00834464"/>
    <w:rsid w:val="00837631"/>
    <w:rsid w:val="00841E35"/>
    <w:rsid w:val="00842BBD"/>
    <w:rsid w:val="00845366"/>
    <w:rsid w:val="00851D9F"/>
    <w:rsid w:val="00853406"/>
    <w:rsid w:val="00854D87"/>
    <w:rsid w:val="00855742"/>
    <w:rsid w:val="008603FB"/>
    <w:rsid w:val="00860E9A"/>
    <w:rsid w:val="0086172B"/>
    <w:rsid w:val="00866322"/>
    <w:rsid w:val="00870BFE"/>
    <w:rsid w:val="00873153"/>
    <w:rsid w:val="00873FC0"/>
    <w:rsid w:val="0087539F"/>
    <w:rsid w:val="0087597A"/>
    <w:rsid w:val="0087784F"/>
    <w:rsid w:val="008779BD"/>
    <w:rsid w:val="00884065"/>
    <w:rsid w:val="00886A20"/>
    <w:rsid w:val="0089021B"/>
    <w:rsid w:val="0089065F"/>
    <w:rsid w:val="00892DDE"/>
    <w:rsid w:val="008947B4"/>
    <w:rsid w:val="00894A81"/>
    <w:rsid w:val="008A0D3D"/>
    <w:rsid w:val="008A258E"/>
    <w:rsid w:val="008A57B8"/>
    <w:rsid w:val="008A70FA"/>
    <w:rsid w:val="008B0C9F"/>
    <w:rsid w:val="008B0CBF"/>
    <w:rsid w:val="008B2122"/>
    <w:rsid w:val="008B23B1"/>
    <w:rsid w:val="008B635C"/>
    <w:rsid w:val="008B6383"/>
    <w:rsid w:val="008B725A"/>
    <w:rsid w:val="008C50A5"/>
    <w:rsid w:val="008C75B4"/>
    <w:rsid w:val="008D1757"/>
    <w:rsid w:val="008D2FFB"/>
    <w:rsid w:val="008D44CB"/>
    <w:rsid w:val="008D4882"/>
    <w:rsid w:val="008D7C91"/>
    <w:rsid w:val="008F0316"/>
    <w:rsid w:val="008F0E04"/>
    <w:rsid w:val="008F5039"/>
    <w:rsid w:val="008F6C12"/>
    <w:rsid w:val="00912431"/>
    <w:rsid w:val="00912E11"/>
    <w:rsid w:val="0091590C"/>
    <w:rsid w:val="00915B78"/>
    <w:rsid w:val="009204F0"/>
    <w:rsid w:val="00920A26"/>
    <w:rsid w:val="00923A66"/>
    <w:rsid w:val="00923D93"/>
    <w:rsid w:val="00924385"/>
    <w:rsid w:val="00925025"/>
    <w:rsid w:val="009310F4"/>
    <w:rsid w:val="00933561"/>
    <w:rsid w:val="009363FD"/>
    <w:rsid w:val="00936E50"/>
    <w:rsid w:val="00937E4E"/>
    <w:rsid w:val="00941692"/>
    <w:rsid w:val="00941B87"/>
    <w:rsid w:val="00951BAE"/>
    <w:rsid w:val="00952126"/>
    <w:rsid w:val="00954B89"/>
    <w:rsid w:val="009572D6"/>
    <w:rsid w:val="009670FE"/>
    <w:rsid w:val="00971B50"/>
    <w:rsid w:val="00974222"/>
    <w:rsid w:val="00975A06"/>
    <w:rsid w:val="009765F9"/>
    <w:rsid w:val="00983C60"/>
    <w:rsid w:val="009847CE"/>
    <w:rsid w:val="009857CF"/>
    <w:rsid w:val="0098685A"/>
    <w:rsid w:val="00990E1A"/>
    <w:rsid w:val="009939DF"/>
    <w:rsid w:val="009956C4"/>
    <w:rsid w:val="00996826"/>
    <w:rsid w:val="0099686F"/>
    <w:rsid w:val="009A0AA0"/>
    <w:rsid w:val="009A2233"/>
    <w:rsid w:val="009A2D62"/>
    <w:rsid w:val="009A7419"/>
    <w:rsid w:val="009B1C8B"/>
    <w:rsid w:val="009B2BAF"/>
    <w:rsid w:val="009B36F5"/>
    <w:rsid w:val="009B55CE"/>
    <w:rsid w:val="009B756F"/>
    <w:rsid w:val="009C0C0B"/>
    <w:rsid w:val="009C12C7"/>
    <w:rsid w:val="009C1FC3"/>
    <w:rsid w:val="009C3291"/>
    <w:rsid w:val="009C3481"/>
    <w:rsid w:val="009D12E1"/>
    <w:rsid w:val="009D1BDF"/>
    <w:rsid w:val="009D24A1"/>
    <w:rsid w:val="009D5F73"/>
    <w:rsid w:val="009D745E"/>
    <w:rsid w:val="009D7812"/>
    <w:rsid w:val="009E0B3A"/>
    <w:rsid w:val="009E1160"/>
    <w:rsid w:val="009E23C6"/>
    <w:rsid w:val="009E28C4"/>
    <w:rsid w:val="009E799F"/>
    <w:rsid w:val="009F2E85"/>
    <w:rsid w:val="009F3BC1"/>
    <w:rsid w:val="009F49ED"/>
    <w:rsid w:val="00A01159"/>
    <w:rsid w:val="00A07A73"/>
    <w:rsid w:val="00A07FAD"/>
    <w:rsid w:val="00A11B12"/>
    <w:rsid w:val="00A208D4"/>
    <w:rsid w:val="00A24A20"/>
    <w:rsid w:val="00A26B13"/>
    <w:rsid w:val="00A31788"/>
    <w:rsid w:val="00A33F7C"/>
    <w:rsid w:val="00A36FE3"/>
    <w:rsid w:val="00A37A4E"/>
    <w:rsid w:val="00A41B47"/>
    <w:rsid w:val="00A432A0"/>
    <w:rsid w:val="00A529AC"/>
    <w:rsid w:val="00A54595"/>
    <w:rsid w:val="00A546CB"/>
    <w:rsid w:val="00A5526E"/>
    <w:rsid w:val="00A555A2"/>
    <w:rsid w:val="00A55A3A"/>
    <w:rsid w:val="00A56127"/>
    <w:rsid w:val="00A635E0"/>
    <w:rsid w:val="00A73823"/>
    <w:rsid w:val="00A75BBB"/>
    <w:rsid w:val="00A7769F"/>
    <w:rsid w:val="00A80B13"/>
    <w:rsid w:val="00A8160F"/>
    <w:rsid w:val="00A859F0"/>
    <w:rsid w:val="00A86D82"/>
    <w:rsid w:val="00A875E9"/>
    <w:rsid w:val="00A90576"/>
    <w:rsid w:val="00A91A32"/>
    <w:rsid w:val="00A934AF"/>
    <w:rsid w:val="00A96601"/>
    <w:rsid w:val="00AA4C23"/>
    <w:rsid w:val="00AA5911"/>
    <w:rsid w:val="00AA7454"/>
    <w:rsid w:val="00AA7B2E"/>
    <w:rsid w:val="00AB243C"/>
    <w:rsid w:val="00AB417C"/>
    <w:rsid w:val="00AB5DBA"/>
    <w:rsid w:val="00AC0D57"/>
    <w:rsid w:val="00AC427E"/>
    <w:rsid w:val="00AC4AB0"/>
    <w:rsid w:val="00AC6F1E"/>
    <w:rsid w:val="00AD048A"/>
    <w:rsid w:val="00AD4BFE"/>
    <w:rsid w:val="00AD67AB"/>
    <w:rsid w:val="00AD69C3"/>
    <w:rsid w:val="00AD732D"/>
    <w:rsid w:val="00AE0641"/>
    <w:rsid w:val="00AE0C2B"/>
    <w:rsid w:val="00AE0C4D"/>
    <w:rsid w:val="00AE38B3"/>
    <w:rsid w:val="00AE7409"/>
    <w:rsid w:val="00AE7666"/>
    <w:rsid w:val="00AF6871"/>
    <w:rsid w:val="00AF73D5"/>
    <w:rsid w:val="00B01969"/>
    <w:rsid w:val="00B05BC8"/>
    <w:rsid w:val="00B06303"/>
    <w:rsid w:val="00B16C29"/>
    <w:rsid w:val="00B21EB9"/>
    <w:rsid w:val="00B27F4E"/>
    <w:rsid w:val="00B314F0"/>
    <w:rsid w:val="00B32264"/>
    <w:rsid w:val="00B37153"/>
    <w:rsid w:val="00B37E64"/>
    <w:rsid w:val="00B403EB"/>
    <w:rsid w:val="00B40BF5"/>
    <w:rsid w:val="00B4447A"/>
    <w:rsid w:val="00B4713B"/>
    <w:rsid w:val="00B533DD"/>
    <w:rsid w:val="00B54568"/>
    <w:rsid w:val="00B54EC9"/>
    <w:rsid w:val="00B559E6"/>
    <w:rsid w:val="00B6025D"/>
    <w:rsid w:val="00B603CB"/>
    <w:rsid w:val="00B60BC4"/>
    <w:rsid w:val="00B60F9B"/>
    <w:rsid w:val="00B62B76"/>
    <w:rsid w:val="00B678AB"/>
    <w:rsid w:val="00B7556E"/>
    <w:rsid w:val="00B87605"/>
    <w:rsid w:val="00B90C79"/>
    <w:rsid w:val="00B93471"/>
    <w:rsid w:val="00B95804"/>
    <w:rsid w:val="00BA2A77"/>
    <w:rsid w:val="00BA2AB7"/>
    <w:rsid w:val="00BA5452"/>
    <w:rsid w:val="00BB0AE1"/>
    <w:rsid w:val="00BB0E0C"/>
    <w:rsid w:val="00BB28C0"/>
    <w:rsid w:val="00BB5A78"/>
    <w:rsid w:val="00BB60AE"/>
    <w:rsid w:val="00BC452B"/>
    <w:rsid w:val="00BC5577"/>
    <w:rsid w:val="00BD0C8C"/>
    <w:rsid w:val="00BD14C8"/>
    <w:rsid w:val="00BD1E62"/>
    <w:rsid w:val="00BD4055"/>
    <w:rsid w:val="00BD4703"/>
    <w:rsid w:val="00BD49FD"/>
    <w:rsid w:val="00BD6F67"/>
    <w:rsid w:val="00BE0893"/>
    <w:rsid w:val="00BE19EC"/>
    <w:rsid w:val="00BE1BE1"/>
    <w:rsid w:val="00BE3CB2"/>
    <w:rsid w:val="00BE47B1"/>
    <w:rsid w:val="00BE62DC"/>
    <w:rsid w:val="00BE7546"/>
    <w:rsid w:val="00BE7698"/>
    <w:rsid w:val="00BF18BE"/>
    <w:rsid w:val="00BF2339"/>
    <w:rsid w:val="00C007A0"/>
    <w:rsid w:val="00C034CE"/>
    <w:rsid w:val="00C076B2"/>
    <w:rsid w:val="00C10AB2"/>
    <w:rsid w:val="00C131DF"/>
    <w:rsid w:val="00C132C9"/>
    <w:rsid w:val="00C15538"/>
    <w:rsid w:val="00C1752C"/>
    <w:rsid w:val="00C17A1D"/>
    <w:rsid w:val="00C204FA"/>
    <w:rsid w:val="00C215D7"/>
    <w:rsid w:val="00C2558D"/>
    <w:rsid w:val="00C31193"/>
    <w:rsid w:val="00C325A7"/>
    <w:rsid w:val="00C34237"/>
    <w:rsid w:val="00C37698"/>
    <w:rsid w:val="00C378BE"/>
    <w:rsid w:val="00C442DA"/>
    <w:rsid w:val="00C45655"/>
    <w:rsid w:val="00C569FC"/>
    <w:rsid w:val="00C56CCD"/>
    <w:rsid w:val="00C60129"/>
    <w:rsid w:val="00C60272"/>
    <w:rsid w:val="00C60FB1"/>
    <w:rsid w:val="00C617EC"/>
    <w:rsid w:val="00C61AB7"/>
    <w:rsid w:val="00C6420B"/>
    <w:rsid w:val="00C65465"/>
    <w:rsid w:val="00C657FE"/>
    <w:rsid w:val="00C66319"/>
    <w:rsid w:val="00C72508"/>
    <w:rsid w:val="00C72C76"/>
    <w:rsid w:val="00C73552"/>
    <w:rsid w:val="00C80857"/>
    <w:rsid w:val="00C810E9"/>
    <w:rsid w:val="00C8284C"/>
    <w:rsid w:val="00C86E70"/>
    <w:rsid w:val="00C90CA5"/>
    <w:rsid w:val="00C91041"/>
    <w:rsid w:val="00C9167F"/>
    <w:rsid w:val="00C91C77"/>
    <w:rsid w:val="00C91E45"/>
    <w:rsid w:val="00C9344F"/>
    <w:rsid w:val="00C97947"/>
    <w:rsid w:val="00CA1982"/>
    <w:rsid w:val="00CA358C"/>
    <w:rsid w:val="00CA7970"/>
    <w:rsid w:val="00CA7AD3"/>
    <w:rsid w:val="00CB2ECB"/>
    <w:rsid w:val="00CB4FF5"/>
    <w:rsid w:val="00CB6009"/>
    <w:rsid w:val="00CC2731"/>
    <w:rsid w:val="00CC4DE2"/>
    <w:rsid w:val="00CC5974"/>
    <w:rsid w:val="00CD14B2"/>
    <w:rsid w:val="00CD6068"/>
    <w:rsid w:val="00CE1217"/>
    <w:rsid w:val="00CE6289"/>
    <w:rsid w:val="00CF2DD8"/>
    <w:rsid w:val="00CF3198"/>
    <w:rsid w:val="00CF35C5"/>
    <w:rsid w:val="00CF4F6C"/>
    <w:rsid w:val="00CF5FBC"/>
    <w:rsid w:val="00CF7C53"/>
    <w:rsid w:val="00D00F92"/>
    <w:rsid w:val="00D0363A"/>
    <w:rsid w:val="00D0684A"/>
    <w:rsid w:val="00D0718E"/>
    <w:rsid w:val="00D12DFB"/>
    <w:rsid w:val="00D137FA"/>
    <w:rsid w:val="00D140FA"/>
    <w:rsid w:val="00D17C95"/>
    <w:rsid w:val="00D20EF1"/>
    <w:rsid w:val="00D212C7"/>
    <w:rsid w:val="00D213B6"/>
    <w:rsid w:val="00D24FCF"/>
    <w:rsid w:val="00D30CA6"/>
    <w:rsid w:val="00D32EFA"/>
    <w:rsid w:val="00D335AF"/>
    <w:rsid w:val="00D3509F"/>
    <w:rsid w:val="00D3551F"/>
    <w:rsid w:val="00D36220"/>
    <w:rsid w:val="00D42AE1"/>
    <w:rsid w:val="00D43C55"/>
    <w:rsid w:val="00D44F20"/>
    <w:rsid w:val="00D4771F"/>
    <w:rsid w:val="00D506A6"/>
    <w:rsid w:val="00D50957"/>
    <w:rsid w:val="00D50CB9"/>
    <w:rsid w:val="00D53C80"/>
    <w:rsid w:val="00D57B4E"/>
    <w:rsid w:val="00D60905"/>
    <w:rsid w:val="00D617F0"/>
    <w:rsid w:val="00D61A20"/>
    <w:rsid w:val="00D62F9A"/>
    <w:rsid w:val="00D73980"/>
    <w:rsid w:val="00D768EB"/>
    <w:rsid w:val="00D81038"/>
    <w:rsid w:val="00D815F8"/>
    <w:rsid w:val="00D82E94"/>
    <w:rsid w:val="00D84EDF"/>
    <w:rsid w:val="00D84FB5"/>
    <w:rsid w:val="00D858D2"/>
    <w:rsid w:val="00D871DE"/>
    <w:rsid w:val="00D9165E"/>
    <w:rsid w:val="00DA0E44"/>
    <w:rsid w:val="00DA1DEC"/>
    <w:rsid w:val="00DA338B"/>
    <w:rsid w:val="00DA3C17"/>
    <w:rsid w:val="00DA64C2"/>
    <w:rsid w:val="00DA7703"/>
    <w:rsid w:val="00DA77F4"/>
    <w:rsid w:val="00DB0537"/>
    <w:rsid w:val="00DB062A"/>
    <w:rsid w:val="00DB2E28"/>
    <w:rsid w:val="00DB4042"/>
    <w:rsid w:val="00DB4100"/>
    <w:rsid w:val="00DC0706"/>
    <w:rsid w:val="00DC085E"/>
    <w:rsid w:val="00DC0EAF"/>
    <w:rsid w:val="00DC2C86"/>
    <w:rsid w:val="00DC380E"/>
    <w:rsid w:val="00DC75FA"/>
    <w:rsid w:val="00DC7F01"/>
    <w:rsid w:val="00DD0021"/>
    <w:rsid w:val="00DD42C0"/>
    <w:rsid w:val="00DD4F01"/>
    <w:rsid w:val="00DE0DD5"/>
    <w:rsid w:val="00DE1424"/>
    <w:rsid w:val="00DE4CFE"/>
    <w:rsid w:val="00DF08FB"/>
    <w:rsid w:val="00DF1611"/>
    <w:rsid w:val="00DF279E"/>
    <w:rsid w:val="00E000BA"/>
    <w:rsid w:val="00E01BDE"/>
    <w:rsid w:val="00E02BFB"/>
    <w:rsid w:val="00E106A7"/>
    <w:rsid w:val="00E117A7"/>
    <w:rsid w:val="00E13BA6"/>
    <w:rsid w:val="00E165BF"/>
    <w:rsid w:val="00E20664"/>
    <w:rsid w:val="00E20CC5"/>
    <w:rsid w:val="00E2189D"/>
    <w:rsid w:val="00E23206"/>
    <w:rsid w:val="00E2725B"/>
    <w:rsid w:val="00E32A24"/>
    <w:rsid w:val="00E352F3"/>
    <w:rsid w:val="00E3618F"/>
    <w:rsid w:val="00E37045"/>
    <w:rsid w:val="00E40C43"/>
    <w:rsid w:val="00E41586"/>
    <w:rsid w:val="00E420CE"/>
    <w:rsid w:val="00E4490E"/>
    <w:rsid w:val="00E453E3"/>
    <w:rsid w:val="00E45B7F"/>
    <w:rsid w:val="00E52F70"/>
    <w:rsid w:val="00E6123E"/>
    <w:rsid w:val="00E63022"/>
    <w:rsid w:val="00E649A6"/>
    <w:rsid w:val="00E66541"/>
    <w:rsid w:val="00E66946"/>
    <w:rsid w:val="00E6767F"/>
    <w:rsid w:val="00E678A1"/>
    <w:rsid w:val="00E77C98"/>
    <w:rsid w:val="00E809F9"/>
    <w:rsid w:val="00E81297"/>
    <w:rsid w:val="00E82321"/>
    <w:rsid w:val="00E8396D"/>
    <w:rsid w:val="00E841AD"/>
    <w:rsid w:val="00E90679"/>
    <w:rsid w:val="00E960C4"/>
    <w:rsid w:val="00E96900"/>
    <w:rsid w:val="00EA2636"/>
    <w:rsid w:val="00EA75DC"/>
    <w:rsid w:val="00EB1E54"/>
    <w:rsid w:val="00EB28B1"/>
    <w:rsid w:val="00EC1408"/>
    <w:rsid w:val="00EC6D65"/>
    <w:rsid w:val="00ED3803"/>
    <w:rsid w:val="00ED394D"/>
    <w:rsid w:val="00EE221F"/>
    <w:rsid w:val="00EE4395"/>
    <w:rsid w:val="00EE4416"/>
    <w:rsid w:val="00EE7F2C"/>
    <w:rsid w:val="00EF241C"/>
    <w:rsid w:val="00EF3526"/>
    <w:rsid w:val="00EF3637"/>
    <w:rsid w:val="00EF75C2"/>
    <w:rsid w:val="00F0051F"/>
    <w:rsid w:val="00F02A29"/>
    <w:rsid w:val="00F03461"/>
    <w:rsid w:val="00F06684"/>
    <w:rsid w:val="00F06F0B"/>
    <w:rsid w:val="00F15BA1"/>
    <w:rsid w:val="00F164CB"/>
    <w:rsid w:val="00F2386E"/>
    <w:rsid w:val="00F23AF2"/>
    <w:rsid w:val="00F23F0B"/>
    <w:rsid w:val="00F24440"/>
    <w:rsid w:val="00F24713"/>
    <w:rsid w:val="00F2512F"/>
    <w:rsid w:val="00F31D3E"/>
    <w:rsid w:val="00F329C9"/>
    <w:rsid w:val="00F34F9F"/>
    <w:rsid w:val="00F36355"/>
    <w:rsid w:val="00F378B4"/>
    <w:rsid w:val="00F400B5"/>
    <w:rsid w:val="00F42B11"/>
    <w:rsid w:val="00F4567E"/>
    <w:rsid w:val="00F54513"/>
    <w:rsid w:val="00F54C74"/>
    <w:rsid w:val="00F62B87"/>
    <w:rsid w:val="00F701F0"/>
    <w:rsid w:val="00F73448"/>
    <w:rsid w:val="00F74C33"/>
    <w:rsid w:val="00F8147B"/>
    <w:rsid w:val="00F821CE"/>
    <w:rsid w:val="00F827D7"/>
    <w:rsid w:val="00F87729"/>
    <w:rsid w:val="00F92105"/>
    <w:rsid w:val="00F9227A"/>
    <w:rsid w:val="00F92743"/>
    <w:rsid w:val="00F937C0"/>
    <w:rsid w:val="00F9449C"/>
    <w:rsid w:val="00FA025F"/>
    <w:rsid w:val="00FA2DAD"/>
    <w:rsid w:val="00FA4CB0"/>
    <w:rsid w:val="00FB0468"/>
    <w:rsid w:val="00FB2E6E"/>
    <w:rsid w:val="00FB39A9"/>
    <w:rsid w:val="00FB468A"/>
    <w:rsid w:val="00FB51C3"/>
    <w:rsid w:val="00FB6DB8"/>
    <w:rsid w:val="00FC2767"/>
    <w:rsid w:val="00FC4252"/>
    <w:rsid w:val="00FC72C0"/>
    <w:rsid w:val="00FC7F57"/>
    <w:rsid w:val="00FD251E"/>
    <w:rsid w:val="00FD5B88"/>
    <w:rsid w:val="00FE09C8"/>
    <w:rsid w:val="00FE19DD"/>
    <w:rsid w:val="00FE3E3D"/>
    <w:rsid w:val="00FE3F45"/>
    <w:rsid w:val="00FE5A30"/>
    <w:rsid w:val="00FE6CE8"/>
    <w:rsid w:val="00FF3DE1"/>
    <w:rsid w:val="00FF4551"/>
    <w:rsid w:val="00FF6E2C"/>
    <w:rsid w:val="00FF7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4BBE"/>
  <w15:docId w15:val="{28AEDD86-F106-427B-B565-69304712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25F"/>
    <w:pPr>
      <w:spacing w:before="120" w:after="120" w:line="360" w:lineRule="auto"/>
      <w:jc w:val="both"/>
    </w:pPr>
    <w:rPr>
      <w:rFonts w:ascii="Times New Roman" w:eastAsia="Times New Roman" w:hAnsi="Times New Roman" w:cs="Times New Roman"/>
      <w:sz w:val="24"/>
      <w:szCs w:val="24"/>
      <w:lang w:val="en-GB"/>
    </w:rPr>
  </w:style>
  <w:style w:type="paragraph" w:styleId="Rubrik1">
    <w:name w:val="heading 1"/>
    <w:basedOn w:val="Normal"/>
    <w:next w:val="Normal"/>
    <w:link w:val="Rubrik1Char"/>
    <w:qFormat/>
    <w:rsid w:val="00FA025F"/>
    <w:pPr>
      <w:autoSpaceDE w:val="0"/>
      <w:autoSpaceDN w:val="0"/>
      <w:adjustRightInd w:val="0"/>
      <w:spacing w:before="480" w:after="360"/>
      <w:jc w:val="center"/>
      <w:outlineLvl w:val="0"/>
    </w:pPr>
    <w:rPr>
      <w:rFonts w:ascii="TimesNRMT" w:hAnsi="TimesNRMT" w:cs="TimesNRMT"/>
      <w:sz w:val="32"/>
      <w:szCs w:val="28"/>
    </w:rPr>
  </w:style>
  <w:style w:type="paragraph" w:styleId="Rubrik2">
    <w:name w:val="heading 2"/>
    <w:next w:val="Normal"/>
    <w:link w:val="Rubrik2Char"/>
    <w:qFormat/>
    <w:rsid w:val="00FA025F"/>
    <w:pPr>
      <w:spacing w:before="480" w:after="240" w:line="240" w:lineRule="auto"/>
      <w:outlineLvl w:val="1"/>
    </w:pPr>
    <w:rPr>
      <w:rFonts w:ascii="Times New Roman" w:eastAsia="Times New Roman" w:hAnsi="Times New Roman" w:cs="Times New Roman"/>
      <w:bCs/>
      <w:color w:val="000080"/>
      <w:sz w:val="28"/>
      <w:szCs w:val="28"/>
      <w:lang w:val="en-US"/>
    </w:rPr>
  </w:style>
  <w:style w:type="paragraph" w:styleId="Rubrik3">
    <w:name w:val="heading 3"/>
    <w:next w:val="Normal"/>
    <w:link w:val="Rubrik3Char"/>
    <w:qFormat/>
    <w:rsid w:val="00FA025F"/>
    <w:pPr>
      <w:keepNext/>
      <w:spacing w:before="360" w:after="240" w:line="240" w:lineRule="auto"/>
      <w:outlineLvl w:val="2"/>
    </w:pPr>
    <w:rPr>
      <w:rFonts w:ascii="Arial" w:eastAsia="Times New Roman" w:hAnsi="Arial" w:cs="Arial"/>
      <w:bCs/>
      <w:color w:val="FF0000"/>
      <w:sz w:val="24"/>
      <w:szCs w:val="24"/>
      <w:lang w:val="en-US"/>
    </w:rPr>
  </w:style>
  <w:style w:type="paragraph" w:styleId="Rubrik4">
    <w:name w:val="heading 4"/>
    <w:next w:val="Normal"/>
    <w:link w:val="Rubrik4Char"/>
    <w:qFormat/>
    <w:rsid w:val="00FA025F"/>
    <w:pPr>
      <w:spacing w:before="360" w:after="0" w:line="240" w:lineRule="auto"/>
      <w:outlineLvl w:val="3"/>
    </w:pPr>
    <w:rPr>
      <w:rFonts w:ascii="Times New Roman" w:eastAsia="Times New Roman" w:hAnsi="Times New Roman" w:cs="Times New Roman"/>
      <w:bCs/>
      <w:color w:val="800080"/>
      <w:sz w:val="24"/>
      <w:szCs w:val="24"/>
      <w:lang w:val="en-GB"/>
    </w:rPr>
  </w:style>
  <w:style w:type="paragraph" w:styleId="Rubrik5">
    <w:name w:val="heading 5"/>
    <w:basedOn w:val="Normal"/>
    <w:next w:val="Normal"/>
    <w:link w:val="Rubrik5Char"/>
    <w:qFormat/>
    <w:rsid w:val="00FA025F"/>
    <w:pPr>
      <w:spacing w:before="360"/>
      <w:outlineLvl w:val="4"/>
    </w:pPr>
    <w:rPr>
      <w:color w:val="FF660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rsid w:val="0003320D"/>
    <w:pPr>
      <w:spacing w:after="0" w:line="240" w:lineRule="auto"/>
    </w:pPr>
    <w:rPr>
      <w:sz w:val="20"/>
      <w:szCs w:val="20"/>
    </w:rPr>
  </w:style>
  <w:style w:type="character" w:customStyle="1" w:styleId="FotnotstextChar">
    <w:name w:val="Fotnotstext Char"/>
    <w:basedOn w:val="Standardstycketeckensnitt"/>
    <w:link w:val="Fotnotstext"/>
    <w:uiPriority w:val="99"/>
    <w:rsid w:val="0003320D"/>
    <w:rPr>
      <w:rFonts w:ascii="Times New Roman" w:eastAsia="Times New Roman" w:hAnsi="Times New Roman" w:cs="Times New Roman"/>
      <w:sz w:val="20"/>
      <w:szCs w:val="20"/>
      <w:lang w:val="en-US"/>
    </w:rPr>
  </w:style>
  <w:style w:type="character" w:styleId="Fotnotsreferens">
    <w:name w:val="footnote reference"/>
    <w:basedOn w:val="Standardstycketeckensnitt"/>
    <w:uiPriority w:val="99"/>
    <w:rsid w:val="0003320D"/>
    <w:rPr>
      <w:vertAlign w:val="superscript"/>
    </w:rPr>
  </w:style>
  <w:style w:type="character" w:customStyle="1" w:styleId="affairetitle">
    <w:name w:val="affaire_title"/>
    <w:basedOn w:val="Standardstycketeckensnitt"/>
    <w:rsid w:val="0003320D"/>
  </w:style>
  <w:style w:type="paragraph" w:customStyle="1" w:styleId="Default">
    <w:name w:val="Default"/>
    <w:rsid w:val="0003320D"/>
    <w:pPr>
      <w:autoSpaceDE w:val="0"/>
      <w:autoSpaceDN w:val="0"/>
      <w:adjustRightInd w:val="0"/>
      <w:spacing w:after="0" w:line="240" w:lineRule="auto"/>
    </w:pPr>
    <w:rPr>
      <w:rFonts w:ascii="Arial" w:hAnsi="Arial" w:cs="Arial"/>
      <w:color w:val="000000"/>
      <w:sz w:val="24"/>
      <w:szCs w:val="24"/>
      <w:lang w:eastAsia="ar-SA"/>
    </w:rPr>
  </w:style>
  <w:style w:type="paragraph" w:styleId="Ingetavstnd">
    <w:name w:val="No Spacing"/>
    <w:uiPriority w:val="1"/>
    <w:qFormat/>
    <w:rsid w:val="0003320D"/>
    <w:pPr>
      <w:spacing w:after="0" w:line="240" w:lineRule="auto"/>
    </w:pPr>
    <w:rPr>
      <w:lang w:val="en-GB" w:eastAsia="ar-SA"/>
    </w:rPr>
  </w:style>
  <w:style w:type="character" w:customStyle="1" w:styleId="author-name10">
    <w:name w:val="author-name10"/>
    <w:basedOn w:val="Standardstycketeckensnitt"/>
    <w:rsid w:val="0003320D"/>
  </w:style>
  <w:style w:type="paragraph" w:customStyle="1" w:styleId="CM4">
    <w:name w:val="CM4"/>
    <w:basedOn w:val="Default"/>
    <w:next w:val="Default"/>
    <w:uiPriority w:val="99"/>
    <w:rsid w:val="0003320D"/>
    <w:rPr>
      <w:rFonts w:ascii="EUAlbertina" w:hAnsi="EUAlbertina" w:cstheme="minorBidi"/>
      <w:color w:val="auto"/>
      <w:lang w:eastAsia="en-US"/>
    </w:rPr>
  </w:style>
  <w:style w:type="character" w:customStyle="1" w:styleId="Rubrik1Char">
    <w:name w:val="Rubrik 1 Char"/>
    <w:basedOn w:val="Standardstycketeckensnitt"/>
    <w:link w:val="Rubrik1"/>
    <w:rsid w:val="008D44CB"/>
    <w:rPr>
      <w:rFonts w:ascii="TimesNRMT" w:eastAsia="Times New Roman" w:hAnsi="TimesNRMT" w:cs="TimesNRMT"/>
      <w:sz w:val="32"/>
      <w:szCs w:val="28"/>
      <w:lang w:val="en-US"/>
    </w:rPr>
  </w:style>
  <w:style w:type="character" w:customStyle="1" w:styleId="Rubrik2Char">
    <w:name w:val="Rubrik 2 Char"/>
    <w:basedOn w:val="Standardstycketeckensnitt"/>
    <w:link w:val="Rubrik2"/>
    <w:rsid w:val="008D44CB"/>
    <w:rPr>
      <w:rFonts w:ascii="Times New Roman" w:eastAsia="Times New Roman" w:hAnsi="Times New Roman" w:cs="Times New Roman"/>
      <w:bCs/>
      <w:color w:val="000080"/>
      <w:sz w:val="28"/>
      <w:szCs w:val="28"/>
      <w:lang w:val="en-US"/>
    </w:rPr>
  </w:style>
  <w:style w:type="character" w:customStyle="1" w:styleId="Rubrik3Char">
    <w:name w:val="Rubrik 3 Char"/>
    <w:basedOn w:val="Standardstycketeckensnitt"/>
    <w:link w:val="Rubrik3"/>
    <w:rsid w:val="008D44CB"/>
    <w:rPr>
      <w:rFonts w:ascii="Arial" w:eastAsia="Times New Roman" w:hAnsi="Arial" w:cs="Arial"/>
      <w:bCs/>
      <w:color w:val="FF0000"/>
      <w:sz w:val="24"/>
      <w:szCs w:val="24"/>
      <w:lang w:val="en-US"/>
    </w:rPr>
  </w:style>
  <w:style w:type="character" w:customStyle="1" w:styleId="Rubrik4Char">
    <w:name w:val="Rubrik 4 Char"/>
    <w:basedOn w:val="Standardstycketeckensnitt"/>
    <w:link w:val="Rubrik4"/>
    <w:rsid w:val="008D44CB"/>
    <w:rPr>
      <w:rFonts w:ascii="Times New Roman" w:eastAsia="Times New Roman" w:hAnsi="Times New Roman" w:cs="Times New Roman"/>
      <w:bCs/>
      <w:color w:val="800080"/>
      <w:sz w:val="24"/>
      <w:szCs w:val="24"/>
      <w:lang w:val="en-GB"/>
    </w:rPr>
  </w:style>
  <w:style w:type="character" w:customStyle="1" w:styleId="Rubrik5Char">
    <w:name w:val="Rubrik 5 Char"/>
    <w:basedOn w:val="Standardstycketeckensnitt"/>
    <w:link w:val="Rubrik5"/>
    <w:rsid w:val="008D44CB"/>
    <w:rPr>
      <w:rFonts w:ascii="Times New Roman" w:eastAsia="Times New Roman" w:hAnsi="Times New Roman" w:cs="Times New Roman"/>
      <w:color w:val="FF6600"/>
      <w:lang w:val="en-US"/>
    </w:rPr>
  </w:style>
  <w:style w:type="paragraph" w:customStyle="1" w:styleId="ShortHead">
    <w:name w:val="ShortHead"/>
    <w:rsid w:val="00FA025F"/>
    <w:pPr>
      <w:tabs>
        <w:tab w:val="left" w:pos="567"/>
      </w:tabs>
      <w:spacing w:after="0" w:line="240" w:lineRule="auto"/>
    </w:pPr>
    <w:rPr>
      <w:rFonts w:ascii="Arial" w:eastAsia="Times New Roman" w:hAnsi="Arial" w:cs="Times New Roman"/>
      <w:b/>
      <w:color w:val="008000"/>
      <w:sz w:val="20"/>
      <w:szCs w:val="20"/>
      <w:lang w:val="en-GB" w:eastAsia="en-GB"/>
    </w:rPr>
  </w:style>
  <w:style w:type="paragraph" w:customStyle="1" w:styleId="Dedication">
    <w:name w:val="Dedication"/>
    <w:basedOn w:val="Normal"/>
    <w:rsid w:val="00FA025F"/>
    <w:pPr>
      <w:tabs>
        <w:tab w:val="left" w:pos="567"/>
      </w:tabs>
      <w:jc w:val="center"/>
    </w:pPr>
    <w:rPr>
      <w:rFonts w:ascii="Arial" w:hAnsi="Arial"/>
      <w:sz w:val="20"/>
      <w:szCs w:val="20"/>
      <w:lang w:eastAsia="en-GB"/>
    </w:rPr>
  </w:style>
  <w:style w:type="paragraph" w:customStyle="1" w:styleId="TitlePageSubtitle">
    <w:name w:val="TitlePageSubtitle"/>
    <w:basedOn w:val="TitlePageTitle"/>
    <w:rsid w:val="00FA025F"/>
    <w:rPr>
      <w:sz w:val="40"/>
    </w:rPr>
  </w:style>
  <w:style w:type="paragraph" w:customStyle="1" w:styleId="TitlePageTitle">
    <w:name w:val="TitlePageTitle"/>
    <w:rsid w:val="00FA025F"/>
    <w:pPr>
      <w:spacing w:after="0" w:line="240" w:lineRule="auto"/>
      <w:jc w:val="center"/>
    </w:pPr>
    <w:rPr>
      <w:rFonts w:ascii="Times New Roman" w:eastAsia="Times New Roman" w:hAnsi="Times New Roman" w:cs="Times New Roman"/>
      <w:sz w:val="52"/>
      <w:szCs w:val="24"/>
      <w:lang w:val="en-US"/>
    </w:rPr>
  </w:style>
  <w:style w:type="paragraph" w:customStyle="1" w:styleId="SeriesInfoTitle">
    <w:name w:val="SeriesInfoTitle"/>
    <w:basedOn w:val="Normal"/>
    <w:rsid w:val="00FA025F"/>
    <w:pPr>
      <w:jc w:val="center"/>
    </w:pPr>
    <w:rPr>
      <w:b/>
      <w:szCs w:val="20"/>
    </w:rPr>
  </w:style>
  <w:style w:type="paragraph" w:customStyle="1" w:styleId="HalfTitle">
    <w:name w:val="HalfTitle"/>
    <w:basedOn w:val="Normal"/>
    <w:rsid w:val="00FA025F"/>
    <w:pPr>
      <w:tabs>
        <w:tab w:val="left" w:pos="567"/>
      </w:tabs>
      <w:jc w:val="center"/>
    </w:pPr>
    <w:rPr>
      <w:rFonts w:ascii="Arial" w:hAnsi="Arial"/>
      <w:smallCaps/>
      <w:sz w:val="28"/>
      <w:szCs w:val="20"/>
      <w:lang w:eastAsia="en-GB"/>
    </w:rPr>
  </w:style>
  <w:style w:type="paragraph" w:styleId="Lista">
    <w:name w:val="List"/>
    <w:basedOn w:val="Normal"/>
    <w:rsid w:val="00FA025F"/>
    <w:pPr>
      <w:spacing w:before="240" w:line="240" w:lineRule="auto"/>
      <w:contextualSpacing/>
    </w:pPr>
  </w:style>
  <w:style w:type="paragraph" w:styleId="Lista2">
    <w:name w:val="List 2"/>
    <w:basedOn w:val="Normal"/>
    <w:rsid w:val="00FA025F"/>
    <w:pPr>
      <w:spacing w:before="0" w:line="240" w:lineRule="auto"/>
      <w:ind w:left="568" w:hanging="284"/>
      <w:contextualSpacing/>
    </w:pPr>
  </w:style>
  <w:style w:type="paragraph" w:styleId="Listafortstt">
    <w:name w:val="List Continue"/>
    <w:basedOn w:val="Lista"/>
    <w:rsid w:val="00FA025F"/>
  </w:style>
  <w:style w:type="paragraph" w:styleId="Listafortstt2">
    <w:name w:val="List Continue 2"/>
    <w:basedOn w:val="Lista2"/>
    <w:rsid w:val="00FA025F"/>
  </w:style>
  <w:style w:type="paragraph" w:customStyle="1" w:styleId="Index1">
    <w:name w:val="Index1"/>
    <w:next w:val="Normal"/>
    <w:rsid w:val="00FA025F"/>
    <w:pPr>
      <w:tabs>
        <w:tab w:val="right" w:pos="8312"/>
      </w:tabs>
      <w:spacing w:before="120" w:after="0" w:line="240" w:lineRule="auto"/>
    </w:pPr>
    <w:rPr>
      <w:rFonts w:ascii="Arial" w:eastAsia="Times New Roman" w:hAnsi="Arial" w:cs="Times New Roman"/>
      <w:sz w:val="20"/>
      <w:szCs w:val="20"/>
      <w:lang w:val="en-GB" w:eastAsia="en-GB"/>
    </w:rPr>
  </w:style>
  <w:style w:type="paragraph" w:customStyle="1" w:styleId="Index2">
    <w:name w:val="Index2"/>
    <w:rsid w:val="00FA025F"/>
    <w:pPr>
      <w:tabs>
        <w:tab w:val="right" w:pos="8312"/>
      </w:tabs>
      <w:spacing w:before="120" w:after="0" w:line="240" w:lineRule="auto"/>
      <w:ind w:left="567"/>
    </w:pPr>
    <w:rPr>
      <w:rFonts w:ascii="Arial" w:eastAsia="Times New Roman" w:hAnsi="Arial" w:cs="Times New Roman"/>
      <w:sz w:val="20"/>
      <w:szCs w:val="20"/>
      <w:lang w:val="en-GB" w:eastAsia="en-GB"/>
    </w:rPr>
  </w:style>
  <w:style w:type="paragraph" w:customStyle="1" w:styleId="Index3">
    <w:name w:val="Index3"/>
    <w:rsid w:val="00FA025F"/>
    <w:pPr>
      <w:tabs>
        <w:tab w:val="right" w:pos="8312"/>
      </w:tabs>
      <w:spacing w:before="120" w:after="0" w:line="240" w:lineRule="auto"/>
      <w:ind w:left="1134"/>
    </w:pPr>
    <w:rPr>
      <w:rFonts w:ascii="Arial" w:eastAsia="Times New Roman" w:hAnsi="Arial" w:cs="Times New Roman"/>
      <w:sz w:val="20"/>
      <w:szCs w:val="20"/>
      <w:lang w:val="en-GB" w:eastAsia="en-GB"/>
    </w:rPr>
  </w:style>
  <w:style w:type="paragraph" w:customStyle="1" w:styleId="Index4">
    <w:name w:val="Index4"/>
    <w:rsid w:val="00FA025F"/>
    <w:pPr>
      <w:tabs>
        <w:tab w:val="right" w:pos="8312"/>
      </w:tabs>
      <w:spacing w:before="120" w:after="0" w:line="240" w:lineRule="auto"/>
      <w:ind w:left="1701"/>
    </w:pPr>
    <w:rPr>
      <w:rFonts w:ascii="Arial" w:eastAsia="Times New Roman" w:hAnsi="Arial" w:cs="Times New Roman"/>
      <w:sz w:val="20"/>
      <w:szCs w:val="20"/>
      <w:lang w:val="en-GB" w:eastAsia="en-GB"/>
    </w:rPr>
  </w:style>
  <w:style w:type="paragraph" w:customStyle="1" w:styleId="ArtworkB">
    <w:name w:val="#ArtworkB"/>
    <w:rsid w:val="00FA025F"/>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Times New Roman"/>
      <w:b/>
      <w:color w:val="00FFFF"/>
      <w:sz w:val="20"/>
      <w:szCs w:val="20"/>
      <w:lang w:val="en-GB" w:eastAsia="en-GB"/>
    </w:rPr>
  </w:style>
  <w:style w:type="paragraph" w:customStyle="1" w:styleId="ArtworkE">
    <w:name w:val="#ArtworkE"/>
    <w:rsid w:val="00FA025F"/>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Times New Roman"/>
      <w:b/>
      <w:color w:val="00FFFF"/>
      <w:sz w:val="20"/>
      <w:szCs w:val="20"/>
      <w:lang w:val="en-GB" w:eastAsia="en-GB"/>
    </w:rPr>
  </w:style>
  <w:style w:type="paragraph" w:customStyle="1" w:styleId="Artwork">
    <w:name w:val="Artwork"/>
    <w:rsid w:val="00FA025F"/>
    <w:pPr>
      <w:tabs>
        <w:tab w:val="left" w:pos="567"/>
      </w:tabs>
      <w:spacing w:before="120" w:after="0" w:line="240" w:lineRule="auto"/>
    </w:pPr>
    <w:rPr>
      <w:rFonts w:ascii="Arial" w:eastAsia="Times New Roman" w:hAnsi="Arial" w:cs="Times New Roman"/>
      <w:b/>
      <w:color w:val="0000FF"/>
      <w:sz w:val="20"/>
      <w:szCs w:val="20"/>
      <w:lang w:val="en-GB" w:eastAsia="en-GB"/>
    </w:rPr>
  </w:style>
  <w:style w:type="paragraph" w:customStyle="1" w:styleId="Author">
    <w:name w:val="Author"/>
    <w:rsid w:val="00FA025F"/>
    <w:pPr>
      <w:tabs>
        <w:tab w:val="left" w:pos="567"/>
      </w:tabs>
      <w:spacing w:after="0" w:line="240" w:lineRule="auto"/>
      <w:jc w:val="center"/>
    </w:pPr>
    <w:rPr>
      <w:rFonts w:ascii="Arial" w:eastAsia="Times New Roman" w:hAnsi="Arial" w:cs="Times New Roman"/>
      <w:sz w:val="20"/>
      <w:szCs w:val="20"/>
      <w:lang w:val="en-GB" w:eastAsia="en-GB"/>
    </w:rPr>
  </w:style>
  <w:style w:type="paragraph" w:styleId="Citat">
    <w:name w:val="Quote"/>
    <w:link w:val="CitatChar"/>
    <w:qFormat/>
    <w:rsid w:val="00FA025F"/>
    <w:pPr>
      <w:tabs>
        <w:tab w:val="left" w:pos="567"/>
      </w:tabs>
      <w:spacing w:before="120" w:after="120" w:line="240" w:lineRule="auto"/>
      <w:ind w:left="680"/>
    </w:pPr>
    <w:rPr>
      <w:rFonts w:ascii="Times New Roman" w:eastAsia="Times New Roman" w:hAnsi="Times New Roman" w:cs="Times New Roman"/>
      <w:szCs w:val="20"/>
      <w:lang w:val="en-GB" w:eastAsia="en-GB"/>
    </w:rPr>
  </w:style>
  <w:style w:type="character" w:customStyle="1" w:styleId="CitatChar">
    <w:name w:val="Citat Char"/>
    <w:basedOn w:val="Standardstycketeckensnitt"/>
    <w:link w:val="Citat"/>
    <w:rsid w:val="008D44CB"/>
    <w:rPr>
      <w:rFonts w:ascii="Times New Roman" w:eastAsia="Times New Roman" w:hAnsi="Times New Roman" w:cs="Times New Roman"/>
      <w:szCs w:val="20"/>
      <w:lang w:val="en-GB" w:eastAsia="en-GB"/>
    </w:rPr>
  </w:style>
  <w:style w:type="paragraph" w:customStyle="1" w:styleId="QuoteContinued">
    <w:name w:val="QuoteContinued"/>
    <w:rsid w:val="00FA025F"/>
    <w:pPr>
      <w:tabs>
        <w:tab w:val="left" w:pos="567"/>
      </w:tabs>
      <w:spacing w:before="60" w:after="0" w:line="240" w:lineRule="auto"/>
      <w:ind w:left="680"/>
    </w:pPr>
    <w:rPr>
      <w:rFonts w:ascii="Times New Roman" w:eastAsia="Times New Roman" w:hAnsi="Times New Roman" w:cs="Times New Roman"/>
      <w:szCs w:val="20"/>
      <w:lang w:val="en-GB" w:eastAsia="en-GB"/>
    </w:rPr>
  </w:style>
  <w:style w:type="paragraph" w:customStyle="1" w:styleId="ChapNumber">
    <w:name w:val="ChapNumber"/>
    <w:rsid w:val="00FA025F"/>
    <w:pPr>
      <w:tabs>
        <w:tab w:val="left" w:pos="567"/>
      </w:tabs>
      <w:spacing w:before="120" w:after="0" w:line="240" w:lineRule="auto"/>
      <w:jc w:val="center"/>
    </w:pPr>
    <w:rPr>
      <w:rFonts w:ascii="Arial" w:eastAsia="Times New Roman" w:hAnsi="Arial" w:cs="Times New Roman"/>
      <w:sz w:val="32"/>
      <w:szCs w:val="20"/>
      <w:lang w:val="en-GB" w:eastAsia="en-GB"/>
    </w:rPr>
  </w:style>
  <w:style w:type="paragraph" w:customStyle="1" w:styleId="ChapTitle">
    <w:name w:val="ChapTitle"/>
    <w:rsid w:val="00FA025F"/>
    <w:pPr>
      <w:tabs>
        <w:tab w:val="left" w:pos="567"/>
      </w:tabs>
      <w:spacing w:before="240" w:after="0" w:line="240" w:lineRule="auto"/>
      <w:jc w:val="center"/>
    </w:pPr>
    <w:rPr>
      <w:rFonts w:ascii="Arial" w:eastAsia="Times New Roman" w:hAnsi="Arial" w:cs="Times New Roman"/>
      <w:sz w:val="40"/>
      <w:szCs w:val="20"/>
      <w:lang w:val="en-GB" w:eastAsia="en-GB"/>
    </w:rPr>
  </w:style>
  <w:style w:type="paragraph" w:customStyle="1" w:styleId="ChapSubtitle">
    <w:name w:val="ChapSubtitle"/>
    <w:basedOn w:val="Rubrik"/>
    <w:rsid w:val="00FA025F"/>
    <w:pPr>
      <w:spacing w:before="360" w:after="360"/>
      <w:outlineLvl w:val="9"/>
    </w:pPr>
    <w:rPr>
      <w:rFonts w:ascii="Times New Roman" w:hAnsi="Times New Roman" w:cs="Times New Roman"/>
      <w:kern w:val="0"/>
      <w:szCs w:val="28"/>
    </w:rPr>
  </w:style>
  <w:style w:type="paragraph" w:styleId="Rubrik">
    <w:name w:val="Title"/>
    <w:basedOn w:val="Normal"/>
    <w:link w:val="RubrikChar"/>
    <w:qFormat/>
    <w:rsid w:val="00FA025F"/>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rsid w:val="008D44CB"/>
    <w:rPr>
      <w:rFonts w:ascii="Arial" w:eastAsia="Times New Roman" w:hAnsi="Arial" w:cs="Arial"/>
      <w:b/>
      <w:bCs/>
      <w:kern w:val="28"/>
      <w:sz w:val="32"/>
      <w:szCs w:val="32"/>
      <w:lang w:val="en-US"/>
    </w:rPr>
  </w:style>
  <w:style w:type="paragraph" w:customStyle="1" w:styleId="NormalContinued">
    <w:name w:val="NormalContinued"/>
    <w:basedOn w:val="Normal"/>
    <w:rsid w:val="00FA025F"/>
  </w:style>
  <w:style w:type="paragraph" w:customStyle="1" w:styleId="BiblioEntry">
    <w:name w:val="BiblioEntry"/>
    <w:rsid w:val="00FA025F"/>
    <w:pPr>
      <w:tabs>
        <w:tab w:val="left" w:pos="567"/>
      </w:tabs>
      <w:spacing w:before="120" w:after="0" w:line="240" w:lineRule="auto"/>
      <w:ind w:left="567" w:hanging="567"/>
    </w:pPr>
    <w:rPr>
      <w:rFonts w:ascii="Times New Roman" w:eastAsia="Times New Roman" w:hAnsi="Times New Roman" w:cs="Times New Roman"/>
      <w:sz w:val="24"/>
      <w:szCs w:val="20"/>
      <w:lang w:val="en-GB" w:eastAsia="en-GB"/>
    </w:rPr>
  </w:style>
  <w:style w:type="paragraph" w:customStyle="1" w:styleId="TableB">
    <w:name w:val="#TableB"/>
    <w:rsid w:val="00FA025F"/>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Times New Roman"/>
      <w:b/>
      <w:sz w:val="20"/>
      <w:szCs w:val="20"/>
      <w:lang w:val="en-GB" w:eastAsia="en-GB"/>
    </w:rPr>
  </w:style>
  <w:style w:type="paragraph" w:customStyle="1" w:styleId="TableE">
    <w:name w:val="#TableE"/>
    <w:rsid w:val="00FA025F"/>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Times New Roman"/>
      <w:b/>
      <w:sz w:val="20"/>
      <w:szCs w:val="20"/>
      <w:lang w:val="en-GB" w:eastAsia="en-GB"/>
    </w:rPr>
  </w:style>
  <w:style w:type="paragraph" w:customStyle="1" w:styleId="Quote-list">
    <w:name w:val="Quote-list"/>
    <w:basedOn w:val="Citat"/>
    <w:rsid w:val="00FA025F"/>
    <w:pPr>
      <w:keepLines/>
      <w:contextualSpacing/>
    </w:pPr>
  </w:style>
  <w:style w:type="paragraph" w:customStyle="1" w:styleId="Quote-sublist">
    <w:name w:val="Quote-sublist"/>
    <w:basedOn w:val="Quote-list"/>
    <w:rsid w:val="00FA025F"/>
    <w:pPr>
      <w:ind w:left="1134"/>
    </w:pPr>
  </w:style>
  <w:style w:type="paragraph" w:customStyle="1" w:styleId="PartNumber">
    <w:name w:val="PartNumber"/>
    <w:rsid w:val="00FA025F"/>
    <w:pPr>
      <w:tabs>
        <w:tab w:val="left" w:pos="567"/>
      </w:tabs>
      <w:spacing w:before="240" w:after="0" w:line="240" w:lineRule="auto"/>
    </w:pPr>
    <w:rPr>
      <w:rFonts w:ascii="Arial" w:eastAsia="Times New Roman" w:hAnsi="Arial" w:cs="Times New Roman"/>
      <w:b/>
      <w:sz w:val="44"/>
      <w:szCs w:val="20"/>
      <w:lang w:val="en-GB" w:eastAsia="en-GB"/>
    </w:rPr>
  </w:style>
  <w:style w:type="paragraph" w:customStyle="1" w:styleId="PartTitle">
    <w:name w:val="PartTitle"/>
    <w:rsid w:val="00FA025F"/>
    <w:pPr>
      <w:tabs>
        <w:tab w:val="left" w:pos="567"/>
      </w:tabs>
      <w:spacing w:after="360" w:line="240" w:lineRule="auto"/>
    </w:pPr>
    <w:rPr>
      <w:rFonts w:ascii="Arial" w:eastAsia="Times New Roman" w:hAnsi="Arial" w:cs="Times New Roman"/>
      <w:sz w:val="44"/>
      <w:szCs w:val="20"/>
      <w:lang w:val="en-GB" w:eastAsia="en-GB"/>
    </w:rPr>
  </w:style>
  <w:style w:type="character" w:customStyle="1" w:styleId="leader-fill">
    <w:name w:val="leader-fill"/>
    <w:basedOn w:val="Standardstycketeckensnitt"/>
    <w:rsid w:val="00FA025F"/>
    <w:rPr>
      <w:rFonts w:cs="Times New Roman"/>
      <w:color w:val="800000"/>
      <w:shd w:val="clear" w:color="auto" w:fill="auto"/>
      <w:lang w:val="en-GB" w:eastAsia="x-none"/>
    </w:rPr>
  </w:style>
  <w:style w:type="paragraph" w:customStyle="1" w:styleId="Epigraph">
    <w:name w:val="Epigraph"/>
    <w:basedOn w:val="Citat"/>
    <w:rsid w:val="00FA025F"/>
    <w:pPr>
      <w:jc w:val="right"/>
    </w:pPr>
  </w:style>
  <w:style w:type="paragraph" w:customStyle="1" w:styleId="Figurecaption">
    <w:name w:val="Figure caption"/>
    <w:basedOn w:val="Normal"/>
    <w:rsid w:val="00FA025F"/>
    <w:pPr>
      <w:spacing w:before="240"/>
      <w:jc w:val="left"/>
    </w:pPr>
    <w:rPr>
      <w:b/>
    </w:rPr>
  </w:style>
  <w:style w:type="paragraph" w:customStyle="1" w:styleId="Abstract">
    <w:name w:val="Abstract"/>
    <w:basedOn w:val="Normal"/>
    <w:rsid w:val="00FA025F"/>
    <w:pPr>
      <w:ind w:left="284" w:right="284"/>
    </w:pPr>
    <w:rPr>
      <w:sz w:val="20"/>
    </w:rPr>
  </w:style>
  <w:style w:type="paragraph" w:customStyle="1" w:styleId="TableCaption">
    <w:name w:val="TableCaption"/>
    <w:basedOn w:val="Figurecaption"/>
    <w:next w:val="Normal"/>
    <w:rsid w:val="00FA025F"/>
    <w:pPr>
      <w:spacing w:line="240" w:lineRule="auto"/>
    </w:pPr>
  </w:style>
  <w:style w:type="paragraph" w:styleId="Ballongtext">
    <w:name w:val="Balloon Text"/>
    <w:basedOn w:val="Normal"/>
    <w:link w:val="BallongtextChar"/>
    <w:uiPriority w:val="99"/>
    <w:semiHidden/>
    <w:unhideWhenUsed/>
    <w:rsid w:val="003547AF"/>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47AF"/>
    <w:rPr>
      <w:rFonts w:ascii="Segoe UI" w:eastAsia="Times New Roman" w:hAnsi="Segoe UI" w:cs="Segoe UI"/>
      <w:sz w:val="18"/>
      <w:szCs w:val="18"/>
      <w:lang w:val="en-US"/>
    </w:rPr>
  </w:style>
  <w:style w:type="character" w:styleId="Kommentarsreferens">
    <w:name w:val="annotation reference"/>
    <w:basedOn w:val="Standardstycketeckensnitt"/>
    <w:uiPriority w:val="99"/>
    <w:semiHidden/>
    <w:unhideWhenUsed/>
    <w:rsid w:val="00A91A32"/>
    <w:rPr>
      <w:sz w:val="16"/>
      <w:szCs w:val="16"/>
    </w:rPr>
  </w:style>
  <w:style w:type="paragraph" w:styleId="Kommentarer">
    <w:name w:val="annotation text"/>
    <w:basedOn w:val="Normal"/>
    <w:link w:val="KommentarerChar"/>
    <w:uiPriority w:val="99"/>
    <w:semiHidden/>
    <w:unhideWhenUsed/>
    <w:rsid w:val="00A91A32"/>
    <w:pPr>
      <w:spacing w:line="240" w:lineRule="auto"/>
    </w:pPr>
    <w:rPr>
      <w:sz w:val="20"/>
      <w:szCs w:val="20"/>
    </w:rPr>
  </w:style>
  <w:style w:type="character" w:customStyle="1" w:styleId="KommentarerChar">
    <w:name w:val="Kommentarer Char"/>
    <w:basedOn w:val="Standardstycketeckensnitt"/>
    <w:link w:val="Kommentarer"/>
    <w:uiPriority w:val="99"/>
    <w:semiHidden/>
    <w:rsid w:val="00A91A32"/>
    <w:rPr>
      <w:rFonts w:ascii="Times New Roman" w:eastAsia="Times New Roman" w:hAnsi="Times New Roman" w:cs="Times New Roman"/>
      <w:sz w:val="20"/>
      <w:szCs w:val="20"/>
      <w:lang w:val="en-US"/>
    </w:rPr>
  </w:style>
  <w:style w:type="paragraph" w:styleId="Sidhuvud">
    <w:name w:val="header"/>
    <w:basedOn w:val="Normal"/>
    <w:link w:val="SidhuvudChar"/>
    <w:uiPriority w:val="99"/>
    <w:unhideWhenUsed/>
    <w:rsid w:val="00DD4F01"/>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DD4F01"/>
    <w:rPr>
      <w:rFonts w:ascii="Times New Roman" w:eastAsia="Times New Roman" w:hAnsi="Times New Roman" w:cs="Times New Roman"/>
      <w:sz w:val="24"/>
      <w:szCs w:val="24"/>
      <w:lang w:val="en-GB"/>
    </w:rPr>
  </w:style>
  <w:style w:type="paragraph" w:styleId="Sidfot">
    <w:name w:val="footer"/>
    <w:basedOn w:val="Normal"/>
    <w:link w:val="SidfotChar"/>
    <w:uiPriority w:val="99"/>
    <w:unhideWhenUsed/>
    <w:rsid w:val="00DD4F01"/>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DD4F01"/>
    <w:rPr>
      <w:rFonts w:ascii="Times New Roman" w:eastAsia="Times New Roman" w:hAnsi="Times New Roman" w:cs="Times New Roman"/>
      <w:sz w:val="24"/>
      <w:szCs w:val="24"/>
      <w:lang w:val="en-GB"/>
    </w:rPr>
  </w:style>
  <w:style w:type="character" w:styleId="Hyperlnk">
    <w:name w:val="Hyperlink"/>
    <w:basedOn w:val="Standardstycketeckensnitt"/>
    <w:uiPriority w:val="99"/>
    <w:unhideWhenUsed/>
    <w:rsid w:val="00490F37"/>
    <w:rPr>
      <w:color w:val="0000FF"/>
      <w:u w:val="single"/>
    </w:rPr>
  </w:style>
  <w:style w:type="paragraph" w:styleId="Slutnotstext">
    <w:name w:val="endnote text"/>
    <w:basedOn w:val="Normal"/>
    <w:link w:val="SlutnotstextChar"/>
    <w:uiPriority w:val="99"/>
    <w:semiHidden/>
    <w:unhideWhenUsed/>
    <w:rsid w:val="00AC0D57"/>
    <w:pPr>
      <w:spacing w:before="0" w:after="0" w:line="240" w:lineRule="auto"/>
    </w:pPr>
    <w:rPr>
      <w:sz w:val="20"/>
      <w:szCs w:val="20"/>
    </w:rPr>
  </w:style>
  <w:style w:type="character" w:customStyle="1" w:styleId="SlutnotstextChar">
    <w:name w:val="Slutnotstext Char"/>
    <w:basedOn w:val="Standardstycketeckensnitt"/>
    <w:link w:val="Slutnotstext"/>
    <w:uiPriority w:val="99"/>
    <w:semiHidden/>
    <w:rsid w:val="00AC0D57"/>
    <w:rPr>
      <w:rFonts w:ascii="Times New Roman" w:eastAsia="Times New Roman" w:hAnsi="Times New Roman" w:cs="Times New Roman"/>
      <w:sz w:val="20"/>
      <w:szCs w:val="20"/>
      <w:lang w:val="en-GB"/>
    </w:rPr>
  </w:style>
  <w:style w:type="character" w:styleId="Slutnotsreferens">
    <w:name w:val="endnote reference"/>
    <w:basedOn w:val="Standardstycketeckensnitt"/>
    <w:uiPriority w:val="99"/>
    <w:semiHidden/>
    <w:unhideWhenUsed/>
    <w:rsid w:val="00AC0D57"/>
    <w:rPr>
      <w:vertAlign w:val="superscript"/>
    </w:rPr>
  </w:style>
  <w:style w:type="character" w:styleId="Betoning">
    <w:name w:val="Emphasis"/>
    <w:basedOn w:val="Standardstycketeckensnitt"/>
    <w:uiPriority w:val="20"/>
    <w:qFormat/>
    <w:rsid w:val="00FC7F57"/>
    <w:rPr>
      <w:b/>
      <w:bCs/>
      <w:i w:val="0"/>
      <w:iCs w:val="0"/>
    </w:rPr>
  </w:style>
  <w:style w:type="character" w:customStyle="1" w:styleId="st">
    <w:name w:val="st"/>
    <w:basedOn w:val="Standardstycketeckensnitt"/>
    <w:rsid w:val="00FC7F57"/>
  </w:style>
  <w:style w:type="paragraph" w:customStyle="1" w:styleId="c01pointnumerotealtn">
    <w:name w:val="c01pointnumerotealtn"/>
    <w:basedOn w:val="Normal"/>
    <w:rsid w:val="00A934AF"/>
    <w:pPr>
      <w:spacing w:before="100" w:beforeAutospacing="1" w:after="100" w:afterAutospacing="1" w:line="240" w:lineRule="auto"/>
      <w:jc w:val="left"/>
    </w:pPr>
    <w:rPr>
      <w:lang w:val="sv-SE" w:eastAsia="sv-SE"/>
    </w:rPr>
  </w:style>
  <w:style w:type="paragraph" w:styleId="Liststycke">
    <w:name w:val="List Paragraph"/>
    <w:basedOn w:val="Normal"/>
    <w:uiPriority w:val="34"/>
    <w:qFormat/>
    <w:rsid w:val="00FF7326"/>
    <w:pPr>
      <w:ind w:left="720"/>
      <w:contextualSpacing/>
    </w:pPr>
  </w:style>
  <w:style w:type="paragraph" w:customStyle="1" w:styleId="c01pointaltn">
    <w:name w:val="c01pointaltn"/>
    <w:basedOn w:val="Normal"/>
    <w:rsid w:val="0071571A"/>
    <w:pPr>
      <w:spacing w:before="100" w:beforeAutospacing="1" w:after="100" w:afterAutospacing="1" w:line="240" w:lineRule="auto"/>
      <w:jc w:val="left"/>
    </w:pPr>
    <w:rPr>
      <w:lang w:val="sv-SE" w:eastAsia="sv-SE"/>
    </w:rPr>
  </w:style>
  <w:style w:type="character" w:customStyle="1" w:styleId="at8">
    <w:name w:val="a__t8"/>
    <w:basedOn w:val="Standardstycketeckensnitt"/>
    <w:rsid w:val="00222801"/>
  </w:style>
  <w:style w:type="character" w:styleId="AnvndHyperlnk">
    <w:name w:val="FollowedHyperlink"/>
    <w:basedOn w:val="Standardstycketeckensnitt"/>
    <w:uiPriority w:val="99"/>
    <w:semiHidden/>
    <w:unhideWhenUsed/>
    <w:rsid w:val="00EE221F"/>
    <w:rPr>
      <w:color w:val="800080" w:themeColor="followedHyperlink"/>
      <w:u w:val="single"/>
    </w:rPr>
  </w:style>
  <w:style w:type="character" w:customStyle="1" w:styleId="Olstomnmnande1">
    <w:name w:val="Olöst omnämnande1"/>
    <w:basedOn w:val="Standardstycketeckensnitt"/>
    <w:uiPriority w:val="99"/>
    <w:semiHidden/>
    <w:unhideWhenUsed/>
    <w:rsid w:val="00460F34"/>
    <w:rPr>
      <w:color w:val="808080"/>
      <w:shd w:val="clear" w:color="auto" w:fill="E6E6E6"/>
    </w:rPr>
  </w:style>
  <w:style w:type="paragraph" w:styleId="Kommentarsmne">
    <w:name w:val="annotation subject"/>
    <w:basedOn w:val="Kommentarer"/>
    <w:next w:val="Kommentarer"/>
    <w:link w:val="KommentarsmneChar"/>
    <w:uiPriority w:val="99"/>
    <w:semiHidden/>
    <w:unhideWhenUsed/>
    <w:rsid w:val="00782BA2"/>
    <w:rPr>
      <w:b/>
      <w:bCs/>
    </w:rPr>
  </w:style>
  <w:style w:type="character" w:customStyle="1" w:styleId="KommentarsmneChar">
    <w:name w:val="Kommentarsämne Char"/>
    <w:basedOn w:val="KommentarerChar"/>
    <w:link w:val="Kommentarsmne"/>
    <w:uiPriority w:val="99"/>
    <w:semiHidden/>
    <w:rsid w:val="00782BA2"/>
    <w:rPr>
      <w:rFonts w:ascii="Times New Roman" w:eastAsia="Times New Roman" w:hAnsi="Times New Roman" w:cs="Times New Roman"/>
      <w:b/>
      <w:bCs/>
      <w:sz w:val="20"/>
      <w:szCs w:val="20"/>
      <w:lang w:val="en-GB"/>
    </w:rPr>
  </w:style>
  <w:style w:type="paragraph" w:styleId="Revision">
    <w:name w:val="Revision"/>
    <w:hidden/>
    <w:uiPriority w:val="99"/>
    <w:semiHidden/>
    <w:rsid w:val="00D36220"/>
    <w:pPr>
      <w:spacing w:after="0" w:line="240" w:lineRule="auto"/>
    </w:pPr>
    <w:rPr>
      <w:rFonts w:ascii="Times New Roman" w:eastAsia="Times New Roman" w:hAnsi="Times New Roman" w:cs="Times New Roman"/>
      <w:sz w:val="24"/>
      <w:szCs w:val="24"/>
      <w:lang w:val="en-GB"/>
    </w:rPr>
  </w:style>
  <w:style w:type="character" w:customStyle="1" w:styleId="outputecliaff">
    <w:name w:val="outputecliaff"/>
    <w:basedOn w:val="Standardstycketeckensnitt"/>
    <w:rsid w:val="00873FC0"/>
  </w:style>
  <w:style w:type="character" w:customStyle="1" w:styleId="outputecli">
    <w:name w:val="outputecli"/>
    <w:basedOn w:val="Standardstycketeckensnitt"/>
    <w:rsid w:val="00AA7454"/>
  </w:style>
  <w:style w:type="character" w:customStyle="1" w:styleId="italic5">
    <w:name w:val="italic5"/>
    <w:basedOn w:val="Standardstycketeckensnitt"/>
    <w:rsid w:val="008D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2043">
      <w:bodyDiv w:val="1"/>
      <w:marLeft w:val="0"/>
      <w:marRight w:val="0"/>
      <w:marTop w:val="0"/>
      <w:marBottom w:val="0"/>
      <w:divBdr>
        <w:top w:val="none" w:sz="0" w:space="0" w:color="auto"/>
        <w:left w:val="none" w:sz="0" w:space="0" w:color="auto"/>
        <w:bottom w:val="none" w:sz="0" w:space="0" w:color="auto"/>
        <w:right w:val="none" w:sz="0" w:space="0" w:color="auto"/>
      </w:divBdr>
    </w:div>
    <w:div w:id="239213336">
      <w:bodyDiv w:val="1"/>
      <w:marLeft w:val="0"/>
      <w:marRight w:val="0"/>
      <w:marTop w:val="0"/>
      <w:marBottom w:val="0"/>
      <w:divBdr>
        <w:top w:val="none" w:sz="0" w:space="0" w:color="auto"/>
        <w:left w:val="none" w:sz="0" w:space="0" w:color="auto"/>
        <w:bottom w:val="none" w:sz="0" w:space="0" w:color="auto"/>
        <w:right w:val="none" w:sz="0" w:space="0" w:color="auto"/>
      </w:divBdr>
    </w:div>
    <w:div w:id="563298224">
      <w:bodyDiv w:val="1"/>
      <w:marLeft w:val="0"/>
      <w:marRight w:val="0"/>
      <w:marTop w:val="0"/>
      <w:marBottom w:val="0"/>
      <w:divBdr>
        <w:top w:val="none" w:sz="0" w:space="0" w:color="auto"/>
        <w:left w:val="none" w:sz="0" w:space="0" w:color="auto"/>
        <w:bottom w:val="none" w:sz="0" w:space="0" w:color="auto"/>
        <w:right w:val="none" w:sz="0" w:space="0" w:color="auto"/>
      </w:divBdr>
      <w:divsChild>
        <w:div w:id="710424597">
          <w:marLeft w:val="0"/>
          <w:marRight w:val="0"/>
          <w:marTop w:val="0"/>
          <w:marBottom w:val="0"/>
          <w:divBdr>
            <w:top w:val="none" w:sz="0" w:space="0" w:color="auto"/>
            <w:left w:val="none" w:sz="0" w:space="0" w:color="auto"/>
            <w:bottom w:val="none" w:sz="0" w:space="0" w:color="auto"/>
            <w:right w:val="none" w:sz="0" w:space="0" w:color="auto"/>
          </w:divBdr>
          <w:divsChild>
            <w:div w:id="999190924">
              <w:marLeft w:val="0"/>
              <w:marRight w:val="0"/>
              <w:marTop w:val="0"/>
              <w:marBottom w:val="0"/>
              <w:divBdr>
                <w:top w:val="none" w:sz="0" w:space="0" w:color="auto"/>
                <w:left w:val="none" w:sz="0" w:space="0" w:color="auto"/>
                <w:bottom w:val="none" w:sz="0" w:space="0" w:color="auto"/>
                <w:right w:val="none" w:sz="0" w:space="0" w:color="auto"/>
              </w:divBdr>
              <w:divsChild>
                <w:div w:id="3696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7084">
      <w:bodyDiv w:val="1"/>
      <w:marLeft w:val="0"/>
      <w:marRight w:val="0"/>
      <w:marTop w:val="0"/>
      <w:marBottom w:val="0"/>
      <w:divBdr>
        <w:top w:val="none" w:sz="0" w:space="0" w:color="auto"/>
        <w:left w:val="none" w:sz="0" w:space="0" w:color="auto"/>
        <w:bottom w:val="none" w:sz="0" w:space="0" w:color="auto"/>
        <w:right w:val="none" w:sz="0" w:space="0" w:color="auto"/>
      </w:divBdr>
      <w:divsChild>
        <w:div w:id="689722878">
          <w:marLeft w:val="0"/>
          <w:marRight w:val="0"/>
          <w:marTop w:val="0"/>
          <w:marBottom w:val="0"/>
          <w:divBdr>
            <w:top w:val="none" w:sz="0" w:space="0" w:color="auto"/>
            <w:left w:val="none" w:sz="0" w:space="0" w:color="auto"/>
            <w:bottom w:val="none" w:sz="0" w:space="0" w:color="auto"/>
            <w:right w:val="none" w:sz="0" w:space="0" w:color="auto"/>
          </w:divBdr>
          <w:divsChild>
            <w:div w:id="19083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7923">
      <w:bodyDiv w:val="1"/>
      <w:marLeft w:val="0"/>
      <w:marRight w:val="0"/>
      <w:marTop w:val="0"/>
      <w:marBottom w:val="0"/>
      <w:divBdr>
        <w:top w:val="none" w:sz="0" w:space="0" w:color="auto"/>
        <w:left w:val="none" w:sz="0" w:space="0" w:color="auto"/>
        <w:bottom w:val="none" w:sz="0" w:space="0" w:color="auto"/>
        <w:right w:val="none" w:sz="0" w:space="0" w:color="auto"/>
      </w:divBdr>
    </w:div>
    <w:div w:id="884023122">
      <w:bodyDiv w:val="1"/>
      <w:marLeft w:val="0"/>
      <w:marRight w:val="0"/>
      <w:marTop w:val="0"/>
      <w:marBottom w:val="0"/>
      <w:divBdr>
        <w:top w:val="none" w:sz="0" w:space="0" w:color="auto"/>
        <w:left w:val="none" w:sz="0" w:space="0" w:color="auto"/>
        <w:bottom w:val="none" w:sz="0" w:space="0" w:color="auto"/>
        <w:right w:val="none" w:sz="0" w:space="0" w:color="auto"/>
      </w:divBdr>
    </w:div>
    <w:div w:id="1102846625">
      <w:bodyDiv w:val="1"/>
      <w:marLeft w:val="0"/>
      <w:marRight w:val="0"/>
      <w:marTop w:val="0"/>
      <w:marBottom w:val="0"/>
      <w:divBdr>
        <w:top w:val="none" w:sz="0" w:space="0" w:color="auto"/>
        <w:left w:val="none" w:sz="0" w:space="0" w:color="auto"/>
        <w:bottom w:val="none" w:sz="0" w:space="0" w:color="auto"/>
        <w:right w:val="none" w:sz="0" w:space="0" w:color="auto"/>
      </w:divBdr>
    </w:div>
    <w:div w:id="1141843828">
      <w:bodyDiv w:val="1"/>
      <w:marLeft w:val="0"/>
      <w:marRight w:val="0"/>
      <w:marTop w:val="0"/>
      <w:marBottom w:val="0"/>
      <w:divBdr>
        <w:top w:val="none" w:sz="0" w:space="0" w:color="auto"/>
        <w:left w:val="none" w:sz="0" w:space="0" w:color="auto"/>
        <w:bottom w:val="none" w:sz="0" w:space="0" w:color="auto"/>
        <w:right w:val="none" w:sz="0" w:space="0" w:color="auto"/>
      </w:divBdr>
    </w:div>
    <w:div w:id="1151167710">
      <w:bodyDiv w:val="1"/>
      <w:marLeft w:val="0"/>
      <w:marRight w:val="0"/>
      <w:marTop w:val="0"/>
      <w:marBottom w:val="0"/>
      <w:divBdr>
        <w:top w:val="none" w:sz="0" w:space="0" w:color="auto"/>
        <w:left w:val="none" w:sz="0" w:space="0" w:color="auto"/>
        <w:bottom w:val="none" w:sz="0" w:space="0" w:color="auto"/>
        <w:right w:val="none" w:sz="0" w:space="0" w:color="auto"/>
      </w:divBdr>
    </w:div>
    <w:div w:id="1153984175">
      <w:bodyDiv w:val="1"/>
      <w:marLeft w:val="0"/>
      <w:marRight w:val="0"/>
      <w:marTop w:val="0"/>
      <w:marBottom w:val="0"/>
      <w:divBdr>
        <w:top w:val="none" w:sz="0" w:space="0" w:color="auto"/>
        <w:left w:val="none" w:sz="0" w:space="0" w:color="auto"/>
        <w:bottom w:val="none" w:sz="0" w:space="0" w:color="auto"/>
        <w:right w:val="none" w:sz="0" w:space="0" w:color="auto"/>
      </w:divBdr>
    </w:div>
    <w:div w:id="1207764488">
      <w:bodyDiv w:val="1"/>
      <w:marLeft w:val="0"/>
      <w:marRight w:val="0"/>
      <w:marTop w:val="0"/>
      <w:marBottom w:val="0"/>
      <w:divBdr>
        <w:top w:val="none" w:sz="0" w:space="0" w:color="auto"/>
        <w:left w:val="none" w:sz="0" w:space="0" w:color="auto"/>
        <w:bottom w:val="none" w:sz="0" w:space="0" w:color="auto"/>
        <w:right w:val="none" w:sz="0" w:space="0" w:color="auto"/>
      </w:divBdr>
      <w:divsChild>
        <w:div w:id="564679978">
          <w:marLeft w:val="0"/>
          <w:marRight w:val="0"/>
          <w:marTop w:val="0"/>
          <w:marBottom w:val="0"/>
          <w:divBdr>
            <w:top w:val="none" w:sz="0" w:space="0" w:color="auto"/>
            <w:left w:val="none" w:sz="0" w:space="0" w:color="auto"/>
            <w:bottom w:val="none" w:sz="0" w:space="0" w:color="auto"/>
            <w:right w:val="none" w:sz="0" w:space="0" w:color="auto"/>
          </w:divBdr>
          <w:divsChild>
            <w:div w:id="472672434">
              <w:marLeft w:val="0"/>
              <w:marRight w:val="0"/>
              <w:marTop w:val="0"/>
              <w:marBottom w:val="0"/>
              <w:divBdr>
                <w:top w:val="none" w:sz="0" w:space="0" w:color="auto"/>
                <w:left w:val="none" w:sz="0" w:space="0" w:color="auto"/>
                <w:bottom w:val="none" w:sz="0" w:space="0" w:color="auto"/>
                <w:right w:val="none" w:sz="0" w:space="0" w:color="auto"/>
              </w:divBdr>
              <w:divsChild>
                <w:div w:id="2710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75611">
      <w:bodyDiv w:val="1"/>
      <w:marLeft w:val="0"/>
      <w:marRight w:val="0"/>
      <w:marTop w:val="0"/>
      <w:marBottom w:val="0"/>
      <w:divBdr>
        <w:top w:val="none" w:sz="0" w:space="0" w:color="auto"/>
        <w:left w:val="none" w:sz="0" w:space="0" w:color="auto"/>
        <w:bottom w:val="none" w:sz="0" w:space="0" w:color="auto"/>
        <w:right w:val="none" w:sz="0" w:space="0" w:color="auto"/>
      </w:divBdr>
    </w:div>
    <w:div w:id="1227034624">
      <w:bodyDiv w:val="1"/>
      <w:marLeft w:val="0"/>
      <w:marRight w:val="0"/>
      <w:marTop w:val="0"/>
      <w:marBottom w:val="0"/>
      <w:divBdr>
        <w:top w:val="none" w:sz="0" w:space="0" w:color="auto"/>
        <w:left w:val="none" w:sz="0" w:space="0" w:color="auto"/>
        <w:bottom w:val="none" w:sz="0" w:space="0" w:color="auto"/>
        <w:right w:val="none" w:sz="0" w:space="0" w:color="auto"/>
      </w:divBdr>
    </w:div>
    <w:div w:id="1374187759">
      <w:bodyDiv w:val="1"/>
      <w:marLeft w:val="0"/>
      <w:marRight w:val="0"/>
      <w:marTop w:val="0"/>
      <w:marBottom w:val="0"/>
      <w:divBdr>
        <w:top w:val="none" w:sz="0" w:space="0" w:color="auto"/>
        <w:left w:val="none" w:sz="0" w:space="0" w:color="auto"/>
        <w:bottom w:val="none" w:sz="0" w:space="0" w:color="auto"/>
        <w:right w:val="none" w:sz="0" w:space="0" w:color="auto"/>
      </w:divBdr>
    </w:div>
    <w:div w:id="1466386983">
      <w:bodyDiv w:val="1"/>
      <w:marLeft w:val="0"/>
      <w:marRight w:val="0"/>
      <w:marTop w:val="0"/>
      <w:marBottom w:val="0"/>
      <w:divBdr>
        <w:top w:val="none" w:sz="0" w:space="0" w:color="auto"/>
        <w:left w:val="none" w:sz="0" w:space="0" w:color="auto"/>
        <w:bottom w:val="none" w:sz="0" w:space="0" w:color="auto"/>
        <w:right w:val="none" w:sz="0" w:space="0" w:color="auto"/>
      </w:divBdr>
    </w:div>
    <w:div w:id="1468549572">
      <w:bodyDiv w:val="1"/>
      <w:marLeft w:val="0"/>
      <w:marRight w:val="0"/>
      <w:marTop w:val="0"/>
      <w:marBottom w:val="0"/>
      <w:divBdr>
        <w:top w:val="none" w:sz="0" w:space="0" w:color="auto"/>
        <w:left w:val="none" w:sz="0" w:space="0" w:color="auto"/>
        <w:bottom w:val="none" w:sz="0" w:space="0" w:color="auto"/>
        <w:right w:val="none" w:sz="0" w:space="0" w:color="auto"/>
      </w:divBdr>
    </w:div>
    <w:div w:id="1531840303">
      <w:bodyDiv w:val="1"/>
      <w:marLeft w:val="0"/>
      <w:marRight w:val="0"/>
      <w:marTop w:val="0"/>
      <w:marBottom w:val="0"/>
      <w:divBdr>
        <w:top w:val="none" w:sz="0" w:space="0" w:color="auto"/>
        <w:left w:val="none" w:sz="0" w:space="0" w:color="auto"/>
        <w:bottom w:val="none" w:sz="0" w:space="0" w:color="auto"/>
        <w:right w:val="none" w:sz="0" w:space="0" w:color="auto"/>
      </w:divBdr>
      <w:divsChild>
        <w:div w:id="604265270">
          <w:marLeft w:val="0"/>
          <w:marRight w:val="0"/>
          <w:marTop w:val="0"/>
          <w:marBottom w:val="0"/>
          <w:divBdr>
            <w:top w:val="none" w:sz="0" w:space="0" w:color="auto"/>
            <w:left w:val="none" w:sz="0" w:space="0" w:color="auto"/>
            <w:bottom w:val="none" w:sz="0" w:space="0" w:color="auto"/>
            <w:right w:val="none" w:sz="0" w:space="0" w:color="auto"/>
          </w:divBdr>
          <w:divsChild>
            <w:div w:id="1189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2762">
      <w:bodyDiv w:val="1"/>
      <w:marLeft w:val="0"/>
      <w:marRight w:val="0"/>
      <w:marTop w:val="0"/>
      <w:marBottom w:val="0"/>
      <w:divBdr>
        <w:top w:val="none" w:sz="0" w:space="0" w:color="auto"/>
        <w:left w:val="none" w:sz="0" w:space="0" w:color="auto"/>
        <w:bottom w:val="none" w:sz="0" w:space="0" w:color="auto"/>
        <w:right w:val="none" w:sz="0" w:space="0" w:color="auto"/>
      </w:divBdr>
    </w:div>
    <w:div w:id="16627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press/press-releases/2017/06/08-countering-money-laundering-by-criminal-law/" TargetMode="External"/><Relationship Id="rId7" Type="http://schemas.openxmlformats.org/officeDocument/2006/relationships/hyperlink" Target="https://www.cambridge.org/core/search?filters%5BauthorTerms%5D=Robert%20Sch&#252;tze&amp;eventCode=SE-AU" TargetMode="External"/><Relationship Id="rId2" Type="http://schemas.openxmlformats.org/officeDocument/2006/relationships/hyperlink" Target="http://www.amazon.co.uk/Money-Laundering-Counter-Measures-European-Union/dp/9041121315/ref=sr_1_2/275-4204799-7731260?ie=UTF8&amp;s=books&amp;qid=1249463539&amp;sr=1-2" TargetMode="External"/><Relationship Id="rId1" Type="http://schemas.openxmlformats.org/officeDocument/2006/relationships/hyperlink" Target="https://db.eurocrim.org/db/en/doc/2798.pdf" TargetMode="External"/><Relationship Id="rId6" Type="http://schemas.openxmlformats.org/officeDocument/2006/relationships/hyperlink" Target="http://ssrn.com/abstract=997863" TargetMode="External"/><Relationship Id="rId5" Type="http://schemas.openxmlformats.org/officeDocument/2006/relationships/hyperlink" Target="http://www.ingentaconnect.com/content/hart/klj;jsessionid=7seno21sk5i18.alexandra" TargetMode="External"/><Relationship Id="rId4" Type="http://schemas.openxmlformats.org/officeDocument/2006/relationships/hyperlink" Target="https://db.eurocrim.org/db/en/doc/273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Desktop\WORK\Hart\HART%20TEMPLA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Bar93</b:Tag>
    <b:SourceType>ArticleInAPeriodical</b:SourceType>
    <b:Guid>{E9544747-8B5F-48D4-9A60-392C7D821896}</b:Guid>
    <b:Author>
      <b:Author>
        <b:NameList>
          <b:Person>
            <b:Last>Barents</b:Last>
            <b:First>René</b:First>
          </b:Person>
        </b:NameList>
      </b:Author>
    </b:Author>
    <b:Title>‘The Internal Market Unlimited: Some Observations on the Legal Basis of Community Legislation’</b:Title>
    <b:Year>(1993)</b:Year>
    <b:Publisher>30 Common Market Law Review 85</b:Publisher>
    <b:PeriodicalTitle>Common Market Law Review</b:PeriodicalTitle>
    <b:Pages>85-109</b:Pages>
    <b:RefOrder>1</b:RefOrder>
  </b:Source>
</b:Sources>
</file>

<file path=customXml/itemProps1.xml><?xml version="1.0" encoding="utf-8"?>
<ds:datastoreItem xmlns:ds="http://schemas.openxmlformats.org/officeDocument/2006/customXml" ds:itemID="{D8C1BF8A-46FE-408C-BC79-842C1B67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HART TEMPLATE</Template>
  <TotalTime>5</TotalTime>
  <Pages>34</Pages>
  <Words>12692</Words>
  <Characters>67268</Characters>
  <Application>Microsoft Office Word</Application>
  <DocSecurity>0</DocSecurity>
  <Lines>560</Lines>
  <Paragraphs>159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dc:creator>
  <cp:lastModifiedBy>Jacob Öberg</cp:lastModifiedBy>
  <cp:revision>3</cp:revision>
  <cp:lastPrinted>2018-09-28T17:53:00Z</cp:lastPrinted>
  <dcterms:created xsi:type="dcterms:W3CDTF">2018-09-28T17:48:00Z</dcterms:created>
  <dcterms:modified xsi:type="dcterms:W3CDTF">2018-09-28T17:53:00Z</dcterms:modified>
</cp:coreProperties>
</file>