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8" w:rsidRDefault="00785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Generation, </w:t>
      </w:r>
      <w:proofErr w:type="spellStart"/>
      <w:r>
        <w:rPr>
          <w:b/>
          <w:sz w:val="24"/>
          <w:szCs w:val="24"/>
        </w:rPr>
        <w:t>characterisation</w:t>
      </w:r>
      <w:proofErr w:type="spellEnd"/>
      <w:r>
        <w:rPr>
          <w:b/>
          <w:sz w:val="24"/>
          <w:szCs w:val="24"/>
        </w:rPr>
        <w:t xml:space="preserve"> and deposition of</w:t>
      </w:r>
      <w:r w:rsidR="009D352C" w:rsidRPr="009D352C">
        <w:rPr>
          <w:b/>
          <w:sz w:val="24"/>
          <w:szCs w:val="24"/>
        </w:rPr>
        <w:t xml:space="preserve"> spherical and agglomerated</w:t>
      </w:r>
    </w:p>
    <w:p w:rsidR="00187D13" w:rsidRDefault="009D352C">
      <w:pPr>
        <w:jc w:val="center"/>
        <w:rPr>
          <w:b/>
          <w:sz w:val="24"/>
          <w:szCs w:val="24"/>
        </w:rPr>
      </w:pPr>
      <w:r w:rsidRPr="009D352C">
        <w:rPr>
          <w:b/>
          <w:sz w:val="24"/>
          <w:szCs w:val="24"/>
        </w:rPr>
        <w:t xml:space="preserve"> </w:t>
      </w:r>
      <w:proofErr w:type="gramStart"/>
      <w:r w:rsidRPr="009D352C">
        <w:rPr>
          <w:b/>
          <w:sz w:val="24"/>
          <w:szCs w:val="24"/>
        </w:rPr>
        <w:t>metal</w:t>
      </w:r>
      <w:proofErr w:type="gramEnd"/>
      <w:r w:rsidRPr="009D352C">
        <w:rPr>
          <w:b/>
          <w:sz w:val="24"/>
          <w:szCs w:val="24"/>
        </w:rPr>
        <w:t xml:space="preserve"> </w:t>
      </w:r>
      <w:r w:rsidR="00E77D84">
        <w:rPr>
          <w:b/>
          <w:sz w:val="24"/>
          <w:szCs w:val="24"/>
        </w:rPr>
        <w:t xml:space="preserve">aerosol </w:t>
      </w:r>
      <w:r w:rsidRPr="009D352C">
        <w:rPr>
          <w:b/>
          <w:sz w:val="24"/>
          <w:szCs w:val="24"/>
        </w:rPr>
        <w:t>particles for protein corona and toxicological studies.</w:t>
      </w:r>
    </w:p>
    <w:p w:rsidR="00DA1113" w:rsidRPr="009D352C" w:rsidRDefault="00DA1113">
      <w:pPr>
        <w:jc w:val="center"/>
        <w:rPr>
          <w:b/>
          <w:sz w:val="24"/>
          <w:szCs w:val="24"/>
          <w:lang w:val="en-GB"/>
        </w:rPr>
      </w:pPr>
    </w:p>
    <w:p w:rsidR="00E77D84" w:rsidRDefault="009D352C">
      <w:pPr>
        <w:jc w:val="center"/>
      </w:pPr>
      <w:r w:rsidRPr="009D352C">
        <w:t>C. Svensson</w:t>
      </w:r>
      <w:r w:rsidR="00187D13" w:rsidRPr="009D352C">
        <w:rPr>
          <w:vertAlign w:val="superscript"/>
        </w:rPr>
        <w:t>1</w:t>
      </w:r>
      <w:r w:rsidR="00187D13" w:rsidRPr="009D352C">
        <w:t xml:space="preserve">, </w:t>
      </w:r>
      <w:r w:rsidR="003F42FE" w:rsidRPr="009D352C">
        <w:t>J</w:t>
      </w:r>
      <w:r w:rsidR="00475B8C">
        <w:t>.</w:t>
      </w:r>
      <w:r w:rsidR="003F42FE" w:rsidRPr="009D352C">
        <w:t xml:space="preserve"> Rissler</w:t>
      </w:r>
      <w:r w:rsidR="003F42FE" w:rsidRPr="009D352C">
        <w:rPr>
          <w:vertAlign w:val="superscript"/>
        </w:rPr>
        <w:t>1</w:t>
      </w:r>
      <w:r w:rsidR="003F42FE">
        <w:t>, M</w:t>
      </w:r>
      <w:r w:rsidRPr="009D352C">
        <w:t>. Messing</w:t>
      </w:r>
      <w:r w:rsidRPr="009D352C">
        <w:rPr>
          <w:vertAlign w:val="superscript"/>
        </w:rPr>
        <w:t>2</w:t>
      </w:r>
      <w:r w:rsidRPr="009D352C">
        <w:t>, K. Deppert</w:t>
      </w:r>
      <w:r w:rsidRPr="009D352C">
        <w:rPr>
          <w:vertAlign w:val="superscript"/>
        </w:rPr>
        <w:t>2</w:t>
      </w:r>
      <w:r w:rsidRPr="009D352C">
        <w:t>, T. Cederwall</w:t>
      </w:r>
      <w:r w:rsidRPr="009D352C">
        <w:rPr>
          <w:vertAlign w:val="superscript"/>
        </w:rPr>
        <w:t>3</w:t>
      </w:r>
      <w:r w:rsidRPr="009D352C">
        <w:t xml:space="preserve">, </w:t>
      </w:r>
    </w:p>
    <w:p w:rsidR="00187D13" w:rsidRPr="00B12848" w:rsidRDefault="009D352C">
      <w:pPr>
        <w:jc w:val="center"/>
        <w:rPr>
          <w:vertAlign w:val="superscript"/>
        </w:rPr>
      </w:pPr>
      <w:r w:rsidRPr="00B12848">
        <w:t>S. Linse</w:t>
      </w:r>
      <w:r w:rsidRPr="00B12848">
        <w:rPr>
          <w:vertAlign w:val="superscript"/>
        </w:rPr>
        <w:t>3</w:t>
      </w:r>
      <w:r w:rsidRPr="00B12848">
        <w:t xml:space="preserve">, </w:t>
      </w:r>
      <w:r w:rsidR="008936BD" w:rsidRPr="00B12848">
        <w:t>K. Broberg</w:t>
      </w:r>
      <w:r w:rsidR="008936BD" w:rsidRPr="00B12848">
        <w:rPr>
          <w:vertAlign w:val="superscript"/>
        </w:rPr>
        <w:t>4</w:t>
      </w:r>
      <w:r w:rsidR="008936BD" w:rsidRPr="00B12848">
        <w:t xml:space="preserve">, </w:t>
      </w:r>
      <w:r w:rsidR="00475B8C" w:rsidRPr="00B12848">
        <w:t>M. Bohgard</w:t>
      </w:r>
      <w:r w:rsidR="00475B8C" w:rsidRPr="00B12848">
        <w:rPr>
          <w:vertAlign w:val="superscript"/>
        </w:rPr>
        <w:t>1</w:t>
      </w:r>
      <w:r w:rsidR="00475B8C" w:rsidRPr="00B12848">
        <w:t xml:space="preserve">, </w:t>
      </w:r>
      <w:r w:rsidR="003F42FE" w:rsidRPr="00B12848">
        <w:t>J. Pagels</w:t>
      </w:r>
      <w:r w:rsidR="003F42FE" w:rsidRPr="00B12848">
        <w:rPr>
          <w:vertAlign w:val="superscript"/>
        </w:rPr>
        <w:t>1</w:t>
      </w:r>
    </w:p>
    <w:p w:rsidR="00187D13" w:rsidRPr="00B12848" w:rsidRDefault="00187D13">
      <w:pPr>
        <w:jc w:val="center"/>
      </w:pPr>
    </w:p>
    <w:p w:rsidR="00187D13" w:rsidRDefault="00187D13">
      <w:pPr>
        <w:jc w:val="center"/>
        <w:rPr>
          <w:lang w:val="en-GB"/>
        </w:rPr>
      </w:pPr>
      <w:r>
        <w:rPr>
          <w:vertAlign w:val="superscript"/>
          <w:lang w:val="en-GB"/>
        </w:rPr>
        <w:t>1</w:t>
      </w:r>
      <w:r w:rsidR="009D352C">
        <w:rPr>
          <w:lang w:val="en-GB"/>
        </w:rPr>
        <w:t>Ergonomics &amp; Aerosol Technology, Lund University, 221 00, Lund, Sweden</w:t>
      </w:r>
    </w:p>
    <w:p w:rsidR="009D352C" w:rsidRDefault="00187D13" w:rsidP="009E295E">
      <w:pPr>
        <w:jc w:val="center"/>
        <w:rPr>
          <w:vertAlign w:val="superscript"/>
          <w:lang w:val="en-GB"/>
        </w:rPr>
      </w:pPr>
      <w:r>
        <w:rPr>
          <w:vertAlign w:val="superscript"/>
          <w:lang w:val="en-GB"/>
        </w:rPr>
        <w:t>2</w:t>
      </w:r>
      <w:r w:rsidR="009D352C">
        <w:rPr>
          <w:lang w:val="en-GB"/>
        </w:rPr>
        <w:t>Div. Solid State Physics</w:t>
      </w:r>
      <w:r>
        <w:rPr>
          <w:lang w:val="en-GB"/>
        </w:rPr>
        <w:t xml:space="preserve">, </w:t>
      </w:r>
      <w:r w:rsidR="009D352C">
        <w:rPr>
          <w:lang w:val="en-GB"/>
        </w:rPr>
        <w:t>Lund University, 221 00, Lund, Sweden</w:t>
      </w:r>
      <w:r w:rsidR="009D352C">
        <w:rPr>
          <w:vertAlign w:val="superscript"/>
          <w:lang w:val="en-GB"/>
        </w:rPr>
        <w:t xml:space="preserve"> </w:t>
      </w:r>
    </w:p>
    <w:p w:rsidR="009E295E" w:rsidRDefault="009D352C">
      <w:pPr>
        <w:jc w:val="center"/>
        <w:rPr>
          <w:lang w:val="en-GB"/>
        </w:rPr>
      </w:pPr>
      <w:r>
        <w:rPr>
          <w:vertAlign w:val="superscript"/>
          <w:lang w:val="en-GB"/>
        </w:rPr>
        <w:t>3</w:t>
      </w:r>
      <w:r>
        <w:rPr>
          <w:lang w:val="en-GB"/>
        </w:rPr>
        <w:t>Div. Biochemistry</w:t>
      </w:r>
      <w:r w:rsidR="009E295E">
        <w:rPr>
          <w:lang w:val="en-GB"/>
        </w:rPr>
        <w:t xml:space="preserve">, </w:t>
      </w:r>
      <w:r>
        <w:rPr>
          <w:lang w:val="en-GB"/>
        </w:rPr>
        <w:t>Lund University, 221 00, Lund, Sweden</w:t>
      </w:r>
    </w:p>
    <w:p w:rsidR="003F42FE" w:rsidRDefault="003F42FE">
      <w:pPr>
        <w:jc w:val="center"/>
        <w:rPr>
          <w:lang w:val="en-GB"/>
        </w:rPr>
      </w:pPr>
      <w:r>
        <w:rPr>
          <w:lang w:val="en-GB"/>
        </w:rPr>
        <w:t>4 Div</w:t>
      </w:r>
      <w:r w:rsidR="00E77D84">
        <w:rPr>
          <w:lang w:val="en-GB"/>
        </w:rPr>
        <w:t>.</w:t>
      </w:r>
      <w:r>
        <w:rPr>
          <w:lang w:val="en-GB"/>
        </w:rPr>
        <w:t xml:space="preserve"> Occupational and Environmental Medicine, Lund University, 221 00, Lund, Sweden </w:t>
      </w:r>
    </w:p>
    <w:p w:rsidR="00187D13" w:rsidRDefault="00187D13">
      <w:pPr>
        <w:rPr>
          <w:lang w:val="en-GB"/>
        </w:rPr>
      </w:pPr>
    </w:p>
    <w:p w:rsidR="00187D13" w:rsidRDefault="00187D13" w:rsidP="00475B8C">
      <w:pPr>
        <w:jc w:val="center"/>
        <w:rPr>
          <w:lang w:val="en-GB"/>
        </w:rPr>
      </w:pPr>
      <w:r>
        <w:rPr>
          <w:lang w:val="en-GB"/>
        </w:rPr>
        <w:t xml:space="preserve">Keywords:   </w:t>
      </w:r>
      <w:r w:rsidR="00B12848">
        <w:rPr>
          <w:lang w:val="en-GB"/>
        </w:rPr>
        <w:t>Metal</w:t>
      </w:r>
      <w:r w:rsidR="009D352C">
        <w:rPr>
          <w:lang w:val="en-GB"/>
        </w:rPr>
        <w:t xml:space="preserve">, </w:t>
      </w:r>
      <w:r w:rsidR="00B12848">
        <w:rPr>
          <w:lang w:val="en-GB"/>
        </w:rPr>
        <w:t xml:space="preserve">Particle </w:t>
      </w:r>
      <w:r w:rsidR="009D352C">
        <w:rPr>
          <w:lang w:val="en-GB"/>
        </w:rPr>
        <w:t>Morpho</w:t>
      </w:r>
      <w:r w:rsidR="00B12848">
        <w:rPr>
          <w:lang w:val="en-GB"/>
        </w:rPr>
        <w:t>logy, In-vitro, Proteins</w:t>
      </w:r>
      <w:r w:rsidR="009D352C">
        <w:rPr>
          <w:lang w:val="en-GB"/>
        </w:rPr>
        <w:t xml:space="preserve"> </w:t>
      </w:r>
    </w:p>
    <w:p w:rsidR="00475B8C" w:rsidRPr="009D352C" w:rsidRDefault="00475B8C" w:rsidP="00475B8C">
      <w:pPr>
        <w:jc w:val="center"/>
        <w:rPr>
          <w:lang w:val="en-GB"/>
        </w:rPr>
      </w:pPr>
    </w:p>
    <w:p w:rsidR="00187D13" w:rsidRDefault="00187D13">
      <w:pPr>
        <w:rPr>
          <w:lang w:val="nl-NL"/>
        </w:rPr>
      </w:pPr>
    </w:p>
    <w:p w:rsidR="00DA1113" w:rsidRPr="00B264F1" w:rsidRDefault="00DA1113">
      <w:pPr>
        <w:rPr>
          <w:lang w:val="nl-NL"/>
        </w:rPr>
        <w:sectPr w:rsidR="00DA1113" w:rsidRPr="00B264F1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726FC0" w:rsidRDefault="00187D13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ab/>
      </w:r>
      <w:r w:rsidR="003F42FE">
        <w:rPr>
          <w:sz w:val="20"/>
          <w:lang w:val="en-GB"/>
        </w:rPr>
        <w:t>N</w:t>
      </w:r>
      <w:r w:rsidR="00B33FEC">
        <w:rPr>
          <w:sz w:val="20"/>
          <w:lang w:val="en-GB"/>
        </w:rPr>
        <w:t xml:space="preserve">anoparticles </w:t>
      </w:r>
      <w:r w:rsidR="003F42FE">
        <w:rPr>
          <w:sz w:val="20"/>
          <w:lang w:val="en-GB"/>
        </w:rPr>
        <w:t xml:space="preserve">of metals </w:t>
      </w:r>
      <w:r w:rsidR="00B33FEC">
        <w:rPr>
          <w:sz w:val="20"/>
          <w:lang w:val="en-GB"/>
        </w:rPr>
        <w:t>such as gold are of increased use in a large array of nanotechnology applications. At the</w:t>
      </w:r>
      <w:r w:rsidR="003F42FE">
        <w:rPr>
          <w:sz w:val="20"/>
          <w:lang w:val="en-GB"/>
        </w:rPr>
        <w:t xml:space="preserve"> same time there is a concern regarding</w:t>
      </w:r>
      <w:r w:rsidR="00B33FEC">
        <w:rPr>
          <w:sz w:val="20"/>
          <w:lang w:val="en-GB"/>
        </w:rPr>
        <w:t xml:space="preserve"> </w:t>
      </w:r>
      <w:r w:rsidR="00B12848">
        <w:rPr>
          <w:sz w:val="20"/>
          <w:lang w:val="en-GB"/>
        </w:rPr>
        <w:t xml:space="preserve">exposures and </w:t>
      </w:r>
      <w:r w:rsidR="00B33FEC">
        <w:rPr>
          <w:sz w:val="20"/>
          <w:lang w:val="en-GB"/>
        </w:rPr>
        <w:t>adverse health effects of metal particles. To further advance our understanding on how to exploit nanotechnology in a safe and sound way, there is a need to develop methods to generate well defined (size, structure</w:t>
      </w:r>
      <w:r w:rsidR="003F42FE">
        <w:rPr>
          <w:sz w:val="20"/>
          <w:lang w:val="en-GB"/>
        </w:rPr>
        <w:t xml:space="preserve">, surface composition etc) </w:t>
      </w:r>
      <w:r w:rsidR="00B33FEC">
        <w:rPr>
          <w:sz w:val="20"/>
          <w:lang w:val="en-GB"/>
        </w:rPr>
        <w:t xml:space="preserve">pure metal particles suitable for in-vitro cell toxicity studies and studies of the </w:t>
      </w:r>
      <w:proofErr w:type="spellStart"/>
      <w:r w:rsidR="00B33FEC">
        <w:rPr>
          <w:sz w:val="20"/>
          <w:lang w:val="en-GB"/>
        </w:rPr>
        <w:t>biomolecular</w:t>
      </w:r>
      <w:proofErr w:type="spellEnd"/>
      <w:r w:rsidR="00B33FEC">
        <w:rPr>
          <w:sz w:val="20"/>
          <w:lang w:val="en-GB"/>
        </w:rPr>
        <w:t xml:space="preserve"> corona</w:t>
      </w:r>
      <w:r w:rsidR="0004369B">
        <w:rPr>
          <w:sz w:val="20"/>
          <w:lang w:val="en-GB"/>
        </w:rPr>
        <w:t xml:space="preserve"> (</w:t>
      </w:r>
      <w:proofErr w:type="spellStart"/>
      <w:r w:rsidR="0004369B">
        <w:rPr>
          <w:sz w:val="20"/>
          <w:lang w:val="en-GB"/>
        </w:rPr>
        <w:t>Cederwall</w:t>
      </w:r>
      <w:proofErr w:type="spellEnd"/>
      <w:r w:rsidR="0004369B">
        <w:rPr>
          <w:sz w:val="20"/>
          <w:lang w:val="en-GB"/>
        </w:rPr>
        <w:t xml:space="preserve"> et al. 2007)</w:t>
      </w:r>
      <w:r w:rsidR="00B33FEC">
        <w:rPr>
          <w:sz w:val="20"/>
          <w:lang w:val="en-GB"/>
        </w:rPr>
        <w:t xml:space="preserve"> coating the particles once deposited in the respiratory tract. </w:t>
      </w:r>
    </w:p>
    <w:p w:rsidR="00B33FEC" w:rsidRDefault="00726FC0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ab/>
      </w:r>
      <w:r w:rsidR="008936BD">
        <w:rPr>
          <w:sz w:val="20"/>
          <w:lang w:val="en-GB"/>
        </w:rPr>
        <w:t>The aim of this work is to</w:t>
      </w:r>
      <w:r w:rsidR="00B33FEC">
        <w:rPr>
          <w:sz w:val="20"/>
          <w:lang w:val="en-GB"/>
        </w:rPr>
        <w:t xml:space="preserve"> </w:t>
      </w:r>
      <w:r w:rsidR="008936BD">
        <w:rPr>
          <w:sz w:val="20"/>
          <w:lang w:val="en-GB"/>
        </w:rPr>
        <w:t>describe a novel procedure cons</w:t>
      </w:r>
      <w:r w:rsidR="003F42FE">
        <w:rPr>
          <w:sz w:val="20"/>
          <w:lang w:val="en-GB"/>
        </w:rPr>
        <w:t>isting of particle generation from</w:t>
      </w:r>
      <w:r w:rsidR="008936BD">
        <w:rPr>
          <w:sz w:val="20"/>
          <w:lang w:val="en-GB"/>
        </w:rPr>
        <w:t xml:space="preserve"> the gas-phase, detailed on-line aerosol characterisation, direct particle deposition from the gas-phase onto either protein solutions or cells at the air-liquid interface. </w:t>
      </w:r>
    </w:p>
    <w:p w:rsidR="0038310C" w:rsidRDefault="008936BD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ab/>
        <w:t xml:space="preserve">Gold nanoparticles were generated </w:t>
      </w:r>
      <w:r w:rsidR="003F42FE">
        <w:rPr>
          <w:sz w:val="20"/>
          <w:lang w:val="en-GB"/>
        </w:rPr>
        <w:t>using either a high temperature (HT) oven or a spark discharge gene</w:t>
      </w:r>
      <w:r w:rsidR="0004369B">
        <w:rPr>
          <w:sz w:val="20"/>
          <w:lang w:val="en-GB"/>
        </w:rPr>
        <w:t>rator (SDG) (Messing et al. 2009</w:t>
      </w:r>
      <w:r w:rsidR="003F42FE">
        <w:rPr>
          <w:sz w:val="20"/>
          <w:lang w:val="en-GB"/>
        </w:rPr>
        <w:t>). Agglomerates with a close to monodisperse mobility diameter were selected using a differential mobility analyzer (DMA). Compact particles could be generated using a second oven and the reduced mobility diameter after compaction was determined using a second DMA and an electrometer. The mass of agglomerated and compact particles as a function of the mobility diameter was determined using an Aerosol Particle Mass Analyzer (APM). The primary particle size was determined from Transmission Electron Microscopy samples collected with an Electrostatic Precipita</w:t>
      </w:r>
      <w:r w:rsidR="00DA1113">
        <w:rPr>
          <w:sz w:val="20"/>
          <w:lang w:val="en-GB"/>
        </w:rPr>
        <w:t>tor (ESP). From this</w:t>
      </w:r>
      <w:r w:rsidR="0038310C">
        <w:rPr>
          <w:sz w:val="20"/>
          <w:lang w:val="en-GB"/>
        </w:rPr>
        <w:t>, the</w:t>
      </w:r>
      <w:r w:rsidR="003F42FE">
        <w:rPr>
          <w:sz w:val="20"/>
          <w:lang w:val="en-GB"/>
        </w:rPr>
        <w:t xml:space="preserve"> number of primary particles</w:t>
      </w:r>
      <w:r w:rsidR="00E77D84">
        <w:rPr>
          <w:sz w:val="20"/>
          <w:lang w:val="en-GB"/>
        </w:rPr>
        <w:t xml:space="preserve"> per aggregate and the part</w:t>
      </w:r>
      <w:r w:rsidR="00DA1113">
        <w:rPr>
          <w:sz w:val="20"/>
          <w:lang w:val="en-GB"/>
        </w:rPr>
        <w:t>icle surface area was estimated along with aerosol physical properties such as dynamic shape factor and mass-mobility exponent (</w:t>
      </w:r>
      <w:proofErr w:type="spellStart"/>
      <w:r w:rsidR="00DA1113">
        <w:rPr>
          <w:sz w:val="20"/>
          <w:lang w:val="en-GB"/>
        </w:rPr>
        <w:t>Dfm</w:t>
      </w:r>
      <w:proofErr w:type="spellEnd"/>
      <w:r w:rsidR="00DA1113">
        <w:rPr>
          <w:sz w:val="20"/>
          <w:lang w:val="en-GB"/>
        </w:rPr>
        <w:t>).</w:t>
      </w:r>
    </w:p>
    <w:p w:rsidR="00B61365" w:rsidRDefault="0038310C" w:rsidP="00B61365">
      <w:pPr>
        <w:pStyle w:val="BodyText"/>
        <w:tabs>
          <w:tab w:val="left" w:pos="567"/>
        </w:tabs>
        <w:jc w:val="both"/>
      </w:pPr>
      <w:r>
        <w:rPr>
          <w:sz w:val="20"/>
          <w:lang w:val="en-GB"/>
        </w:rPr>
        <w:tab/>
      </w:r>
      <w:r w:rsidR="00B12848">
        <w:rPr>
          <w:sz w:val="20"/>
          <w:lang w:val="en-GB"/>
        </w:rPr>
        <w:t>The particles w</w:t>
      </w:r>
      <w:r w:rsidR="00DA1113">
        <w:rPr>
          <w:sz w:val="20"/>
          <w:lang w:val="en-GB"/>
        </w:rPr>
        <w:t xml:space="preserve">ere </w:t>
      </w:r>
      <w:r w:rsidR="003368FC">
        <w:rPr>
          <w:sz w:val="20"/>
          <w:lang w:val="en-GB"/>
        </w:rPr>
        <w:t>deposit</w:t>
      </w:r>
      <w:r w:rsidR="00C6444D">
        <w:rPr>
          <w:sz w:val="20"/>
          <w:lang w:val="en-GB"/>
        </w:rPr>
        <w:t>ed directly from the gas-phase o</w:t>
      </w:r>
      <w:r w:rsidR="003368FC">
        <w:rPr>
          <w:sz w:val="20"/>
          <w:lang w:val="en-GB"/>
        </w:rPr>
        <w:t xml:space="preserve">nto protein solutions (Albumin and </w:t>
      </w:r>
      <w:proofErr w:type="spellStart"/>
      <w:r w:rsidR="003368FC">
        <w:rPr>
          <w:sz w:val="20"/>
          <w:lang w:val="en-GB"/>
        </w:rPr>
        <w:t>homocystein</w:t>
      </w:r>
      <w:proofErr w:type="spellEnd"/>
      <w:r>
        <w:rPr>
          <w:sz w:val="20"/>
          <w:lang w:val="en-GB"/>
        </w:rPr>
        <w:t xml:space="preserve">). </w:t>
      </w:r>
      <w:r w:rsidR="00B61365">
        <w:rPr>
          <w:sz w:val="20"/>
          <w:lang w:val="en-GB"/>
        </w:rPr>
        <w:t>Particles suspended in the liquid were characterised using Dynamic Light Scattering (DLS). Porcine blo</w:t>
      </w:r>
      <w:r w:rsidR="00DA1113">
        <w:rPr>
          <w:sz w:val="20"/>
          <w:lang w:val="en-GB"/>
        </w:rPr>
        <w:t xml:space="preserve">od serum and </w:t>
      </w:r>
      <w:proofErr w:type="spellStart"/>
      <w:r w:rsidR="00DA1113">
        <w:rPr>
          <w:sz w:val="20"/>
          <w:lang w:val="en-GB"/>
        </w:rPr>
        <w:t>lungfluid</w:t>
      </w:r>
      <w:proofErr w:type="spellEnd"/>
      <w:r w:rsidR="00DA1113">
        <w:rPr>
          <w:sz w:val="20"/>
          <w:lang w:val="en-GB"/>
        </w:rPr>
        <w:t xml:space="preserve"> was </w:t>
      </w:r>
      <w:r w:rsidR="00B61365">
        <w:rPr>
          <w:sz w:val="20"/>
          <w:lang w:val="en-GB"/>
        </w:rPr>
        <w:t>added to the samples and the corona of proteins attaching to the particle surface</w:t>
      </w:r>
      <w:r w:rsidR="00DA1113">
        <w:rPr>
          <w:sz w:val="20"/>
          <w:lang w:val="en-GB"/>
        </w:rPr>
        <w:t>s</w:t>
      </w:r>
      <w:r w:rsidR="00B61365">
        <w:rPr>
          <w:sz w:val="20"/>
          <w:lang w:val="en-GB"/>
        </w:rPr>
        <w:t xml:space="preserve"> was determined using SDS-PAG</w:t>
      </w:r>
      <w:r w:rsidR="00C6444D">
        <w:rPr>
          <w:sz w:val="20"/>
          <w:lang w:val="en-GB"/>
        </w:rPr>
        <w:t xml:space="preserve">E (Sodium </w:t>
      </w:r>
      <w:proofErr w:type="spellStart"/>
      <w:r w:rsidR="00C6444D">
        <w:rPr>
          <w:sz w:val="20"/>
          <w:lang w:val="en-GB"/>
        </w:rPr>
        <w:t>dodecyl</w:t>
      </w:r>
      <w:proofErr w:type="spellEnd"/>
      <w:r w:rsidR="00C6444D">
        <w:rPr>
          <w:sz w:val="20"/>
          <w:lang w:val="en-GB"/>
        </w:rPr>
        <w:t xml:space="preserve"> sulp</w:t>
      </w:r>
      <w:r w:rsidR="00C6444D">
        <w:rPr>
          <w:sz w:val="20"/>
          <w:lang w:val="en-GB"/>
        </w:rPr>
        <w:softHyphen/>
        <w:t xml:space="preserve">hate </w:t>
      </w:r>
      <w:proofErr w:type="spellStart"/>
      <w:r w:rsidR="00C6444D">
        <w:rPr>
          <w:sz w:val="20"/>
          <w:lang w:val="en-GB"/>
        </w:rPr>
        <w:t>poly</w:t>
      </w:r>
      <w:r w:rsidR="00B61365">
        <w:rPr>
          <w:sz w:val="20"/>
          <w:lang w:val="en-GB"/>
        </w:rPr>
        <w:t>acrylamide</w:t>
      </w:r>
      <w:proofErr w:type="spellEnd"/>
      <w:r w:rsidR="00B61365">
        <w:rPr>
          <w:sz w:val="20"/>
          <w:lang w:val="en-GB"/>
        </w:rPr>
        <w:t xml:space="preserve"> gel electro</w:t>
      </w:r>
      <w:r w:rsidR="00C6444D">
        <w:rPr>
          <w:sz w:val="20"/>
          <w:lang w:val="en-GB"/>
        </w:rPr>
        <w:softHyphen/>
      </w:r>
      <w:r w:rsidR="00B61365">
        <w:rPr>
          <w:sz w:val="20"/>
          <w:lang w:val="en-GB"/>
        </w:rPr>
        <w:t>phoresis). </w:t>
      </w:r>
    </w:p>
    <w:p w:rsidR="00E77D84" w:rsidRDefault="00C6444D" w:rsidP="0038310C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</w:rPr>
        <w:tab/>
      </w:r>
      <w:r w:rsidR="003368FC">
        <w:rPr>
          <w:sz w:val="20"/>
          <w:lang w:val="en-GB"/>
        </w:rPr>
        <w:t>Figure 1 shows TEM-images of agglomerated and compacted particles of the same mass</w:t>
      </w:r>
      <w:r w:rsidR="00E77D84">
        <w:rPr>
          <w:sz w:val="20"/>
          <w:lang w:val="en-GB"/>
        </w:rPr>
        <w:t xml:space="preserve"> generated with the SDG technique</w:t>
      </w:r>
      <w:r w:rsidR="003368FC">
        <w:rPr>
          <w:sz w:val="20"/>
          <w:lang w:val="en-GB"/>
        </w:rPr>
        <w:t>.</w:t>
      </w:r>
      <w:r w:rsidR="00E77D84">
        <w:rPr>
          <w:sz w:val="20"/>
          <w:lang w:val="en-GB"/>
        </w:rPr>
        <w:t xml:space="preserve"> The average primary particle diameter in the aggregates</w:t>
      </w:r>
      <w:r w:rsidR="003368FC">
        <w:rPr>
          <w:sz w:val="20"/>
          <w:lang w:val="en-GB"/>
        </w:rPr>
        <w:t xml:space="preserve"> </w:t>
      </w:r>
      <w:r w:rsidR="00E77D84">
        <w:rPr>
          <w:sz w:val="20"/>
          <w:lang w:val="en-GB"/>
        </w:rPr>
        <w:t xml:space="preserve">is </w:t>
      </w:r>
      <w:r w:rsidR="0004369B">
        <w:rPr>
          <w:sz w:val="20"/>
          <w:lang w:val="en-GB"/>
        </w:rPr>
        <w:t>5.5 nm</w:t>
      </w:r>
      <w:r w:rsidR="003368FC">
        <w:rPr>
          <w:sz w:val="20"/>
          <w:lang w:val="en-GB"/>
        </w:rPr>
        <w:t>.</w:t>
      </w:r>
      <w:r w:rsidR="00E77D84">
        <w:rPr>
          <w:sz w:val="20"/>
          <w:lang w:val="en-GB"/>
        </w:rPr>
        <w:t xml:space="preserve"> Upon sintering the particle mass rema</w:t>
      </w:r>
      <w:r w:rsidR="00B12848">
        <w:rPr>
          <w:sz w:val="20"/>
          <w:lang w:val="en-GB"/>
        </w:rPr>
        <w:t xml:space="preserve">ins constant while the </w:t>
      </w:r>
      <w:r w:rsidR="00E77D84">
        <w:rPr>
          <w:sz w:val="20"/>
          <w:lang w:val="en-GB"/>
        </w:rPr>
        <w:t>mobility diameter decr</w:t>
      </w:r>
      <w:r w:rsidR="00475B8C">
        <w:rPr>
          <w:sz w:val="20"/>
          <w:lang w:val="en-GB"/>
        </w:rPr>
        <w:t>eases from 60 to 31 nm, indicating that particle transport and deposition is strong</w:t>
      </w:r>
      <w:r w:rsidR="00B12848">
        <w:rPr>
          <w:sz w:val="20"/>
          <w:lang w:val="en-GB"/>
        </w:rPr>
        <w:t>ly altered</w:t>
      </w:r>
      <w:r w:rsidR="00475B8C">
        <w:rPr>
          <w:sz w:val="20"/>
          <w:lang w:val="en-GB"/>
        </w:rPr>
        <w:t>.</w:t>
      </w:r>
      <w:r w:rsidR="00E77D84">
        <w:rPr>
          <w:sz w:val="20"/>
          <w:lang w:val="en-GB"/>
        </w:rPr>
        <w:t xml:space="preserve"> At the same time the surface area (per mass unit) estimated from the mass and primary particle size decreases by about a factor of 6.</w:t>
      </w:r>
    </w:p>
    <w:p w:rsidR="0038310C" w:rsidRDefault="0038310C" w:rsidP="0038310C">
      <w:pPr>
        <w:pStyle w:val="BodyText"/>
        <w:tabs>
          <w:tab w:val="left" w:pos="567"/>
        </w:tabs>
        <w:jc w:val="both"/>
        <w:rPr>
          <w:sz w:val="20"/>
          <w:lang w:val="en-GB"/>
        </w:rPr>
      </w:pPr>
    </w:p>
    <w:p w:rsidR="0038310C" w:rsidRDefault="008C4ED1" w:rsidP="0038310C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3175</wp:posOffset>
            </wp:positionV>
            <wp:extent cx="1333519" cy="1390650"/>
            <wp:effectExtent l="19050" t="0" r="0" b="0"/>
            <wp:wrapNone/>
            <wp:docPr id="1" name="Picture 0" descr="compact particle 31 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 particle 31 nm.jpg"/>
                    <pic:cNvPicPr/>
                  </pic:nvPicPr>
                  <pic:blipFill>
                    <a:blip r:embed="rId8" cstate="print"/>
                    <a:srcRect r="-1" b="1351"/>
                    <a:stretch>
                      <a:fillRect/>
                    </a:stretch>
                  </pic:blipFill>
                  <pic:spPr>
                    <a:xfrm>
                      <a:off x="0" y="0"/>
                      <a:ext cx="133351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9B" w:rsidRPr="0004369B">
        <w:rPr>
          <w:sz w:val="20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28750" cy="139065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10C" w:rsidRDefault="0038310C" w:rsidP="0038310C">
      <w:pPr>
        <w:pStyle w:val="BodyText"/>
        <w:tabs>
          <w:tab w:val="left" w:pos="567"/>
        </w:tabs>
        <w:jc w:val="both"/>
        <w:rPr>
          <w:sz w:val="20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DA1113" w:rsidRDefault="00DA1113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</w:p>
    <w:p w:rsidR="0038310C" w:rsidRPr="0004369B" w:rsidRDefault="0038310C" w:rsidP="0038310C">
      <w:pPr>
        <w:pStyle w:val="BodyText"/>
        <w:tabs>
          <w:tab w:val="left" w:pos="567"/>
        </w:tabs>
        <w:jc w:val="both"/>
        <w:rPr>
          <w:sz w:val="16"/>
          <w:szCs w:val="16"/>
          <w:lang w:val="en-GB"/>
        </w:rPr>
      </w:pPr>
      <w:proofErr w:type="gramStart"/>
      <w:r w:rsidRPr="0004369B">
        <w:rPr>
          <w:sz w:val="16"/>
          <w:szCs w:val="16"/>
          <w:lang w:val="en-GB"/>
        </w:rPr>
        <w:t>Fig. 1</w:t>
      </w:r>
      <w:r w:rsidR="0004369B">
        <w:rPr>
          <w:sz w:val="16"/>
          <w:szCs w:val="16"/>
          <w:lang w:val="en-GB"/>
        </w:rPr>
        <w:t>.</w:t>
      </w:r>
      <w:proofErr w:type="gramEnd"/>
      <w:r w:rsidR="0004369B">
        <w:rPr>
          <w:sz w:val="16"/>
          <w:szCs w:val="16"/>
          <w:lang w:val="en-GB"/>
        </w:rPr>
        <w:t xml:space="preserve"> G</w:t>
      </w:r>
      <w:r w:rsidR="00E77D84">
        <w:rPr>
          <w:sz w:val="16"/>
          <w:szCs w:val="16"/>
          <w:lang w:val="en-GB"/>
        </w:rPr>
        <w:t xml:space="preserve">old </w:t>
      </w:r>
      <w:proofErr w:type="spellStart"/>
      <w:r w:rsidR="00E77D84">
        <w:rPr>
          <w:sz w:val="16"/>
          <w:szCs w:val="16"/>
          <w:lang w:val="en-GB"/>
        </w:rPr>
        <w:t>nanoparticles</w:t>
      </w:r>
      <w:proofErr w:type="spellEnd"/>
      <w:r w:rsidRPr="0004369B">
        <w:rPr>
          <w:sz w:val="16"/>
          <w:szCs w:val="16"/>
          <w:lang w:val="en-GB"/>
        </w:rPr>
        <w:t xml:space="preserve"> </w:t>
      </w:r>
      <w:r w:rsidR="0004369B">
        <w:rPr>
          <w:sz w:val="16"/>
          <w:szCs w:val="16"/>
          <w:lang w:val="en-GB"/>
        </w:rPr>
        <w:t xml:space="preserve">of the same mass (0.24 </w:t>
      </w:r>
      <w:proofErr w:type="spellStart"/>
      <w:proofErr w:type="gramStart"/>
      <w:r w:rsidRPr="0004369B">
        <w:rPr>
          <w:sz w:val="16"/>
          <w:szCs w:val="16"/>
          <w:lang w:val="en-GB"/>
        </w:rPr>
        <w:t>fg</w:t>
      </w:r>
      <w:proofErr w:type="spellEnd"/>
      <w:proofErr w:type="gramEnd"/>
      <w:r w:rsidRPr="0004369B">
        <w:rPr>
          <w:sz w:val="16"/>
          <w:szCs w:val="16"/>
          <w:lang w:val="en-GB"/>
        </w:rPr>
        <w:t>)</w:t>
      </w:r>
      <w:r w:rsidR="0004369B">
        <w:rPr>
          <w:sz w:val="16"/>
          <w:szCs w:val="16"/>
          <w:lang w:val="en-GB"/>
        </w:rPr>
        <w:t xml:space="preserve"> before</w:t>
      </w:r>
      <w:r w:rsidR="00475B8C">
        <w:rPr>
          <w:sz w:val="16"/>
          <w:szCs w:val="16"/>
          <w:lang w:val="en-GB"/>
        </w:rPr>
        <w:t xml:space="preserve"> (left)</w:t>
      </w:r>
      <w:r w:rsidR="0004369B">
        <w:rPr>
          <w:sz w:val="16"/>
          <w:szCs w:val="16"/>
          <w:lang w:val="en-GB"/>
        </w:rPr>
        <w:t xml:space="preserve"> and after sintering</w:t>
      </w:r>
      <w:r w:rsidR="00475B8C">
        <w:rPr>
          <w:sz w:val="16"/>
          <w:szCs w:val="16"/>
          <w:lang w:val="en-GB"/>
        </w:rPr>
        <w:t xml:space="preserve"> (right).</w:t>
      </w:r>
      <w:r w:rsidR="0004369B">
        <w:rPr>
          <w:sz w:val="16"/>
          <w:szCs w:val="16"/>
          <w:lang w:val="en-GB"/>
        </w:rPr>
        <w:t xml:space="preserve"> The mobility diameter decreased from 60 to</w:t>
      </w:r>
      <w:r w:rsidRPr="0004369B">
        <w:rPr>
          <w:sz w:val="16"/>
          <w:szCs w:val="16"/>
          <w:lang w:val="en-GB"/>
        </w:rPr>
        <w:t xml:space="preserve"> </w:t>
      </w:r>
      <w:r w:rsidR="0004369B">
        <w:rPr>
          <w:sz w:val="16"/>
          <w:szCs w:val="16"/>
          <w:lang w:val="en-GB"/>
        </w:rPr>
        <w:t>31 nm</w:t>
      </w:r>
      <w:r w:rsidR="00E77D84">
        <w:rPr>
          <w:sz w:val="16"/>
          <w:szCs w:val="16"/>
          <w:lang w:val="en-GB"/>
        </w:rPr>
        <w:t xml:space="preserve"> upon sintering.  </w:t>
      </w:r>
      <w:r w:rsidR="0004369B">
        <w:rPr>
          <w:sz w:val="16"/>
          <w:szCs w:val="16"/>
          <w:lang w:val="en-GB"/>
        </w:rPr>
        <w:t xml:space="preserve">   </w:t>
      </w:r>
    </w:p>
    <w:p w:rsidR="008936BD" w:rsidRDefault="008936BD">
      <w:pPr>
        <w:pStyle w:val="BodyText"/>
        <w:tabs>
          <w:tab w:val="left" w:pos="567"/>
        </w:tabs>
        <w:jc w:val="both"/>
        <w:rPr>
          <w:sz w:val="20"/>
          <w:lang w:val="en-GB"/>
        </w:rPr>
      </w:pPr>
    </w:p>
    <w:p w:rsidR="008936BD" w:rsidRDefault="003368FC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ab/>
        <w:t>Dynamic L</w:t>
      </w:r>
      <w:r w:rsidR="0038310C">
        <w:rPr>
          <w:sz w:val="20"/>
          <w:lang w:val="en-GB"/>
        </w:rPr>
        <w:t>ight Scattering showed that when gold parti</w:t>
      </w:r>
      <w:r w:rsidR="00475B8C">
        <w:rPr>
          <w:sz w:val="20"/>
          <w:lang w:val="en-GB"/>
        </w:rPr>
        <w:t>cles were deposited into</w:t>
      </w:r>
      <w:r w:rsidR="0038310C">
        <w:rPr>
          <w:sz w:val="20"/>
          <w:lang w:val="en-GB"/>
        </w:rPr>
        <w:t xml:space="preserve"> protein solutions, the suspensions were stable for several days. Analysis of the proteins </w:t>
      </w:r>
      <w:r w:rsidR="00E77D84">
        <w:rPr>
          <w:sz w:val="20"/>
          <w:lang w:val="en-GB"/>
        </w:rPr>
        <w:t xml:space="preserve">from biological fluids </w:t>
      </w:r>
      <w:r w:rsidR="0038310C">
        <w:rPr>
          <w:sz w:val="20"/>
          <w:lang w:val="en-GB"/>
        </w:rPr>
        <w:t xml:space="preserve">binding to the </w:t>
      </w:r>
      <w:proofErr w:type="spellStart"/>
      <w:r w:rsidR="0038310C">
        <w:rPr>
          <w:sz w:val="20"/>
          <w:lang w:val="en-GB"/>
        </w:rPr>
        <w:t>n</w:t>
      </w:r>
      <w:r w:rsidR="00F07682">
        <w:rPr>
          <w:sz w:val="20"/>
          <w:lang w:val="en-GB"/>
        </w:rPr>
        <w:t>anoparticles</w:t>
      </w:r>
      <w:proofErr w:type="spellEnd"/>
      <w:r w:rsidR="00F07682">
        <w:rPr>
          <w:sz w:val="20"/>
          <w:lang w:val="en-GB"/>
        </w:rPr>
        <w:t xml:space="preserve"> is</w:t>
      </w:r>
      <w:r w:rsidR="0038310C">
        <w:rPr>
          <w:sz w:val="20"/>
          <w:lang w:val="en-GB"/>
        </w:rPr>
        <w:t xml:space="preserve"> in progress. It is likely that both the protein corona (which is what the cell sees) and the properties of the bare particles are determinants of the particle toxicity. </w:t>
      </w:r>
    </w:p>
    <w:p w:rsidR="00B61365" w:rsidRDefault="00B61365">
      <w:pPr>
        <w:pStyle w:val="BodyText"/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ab/>
      </w:r>
      <w:r w:rsidR="00CB439A">
        <w:rPr>
          <w:sz w:val="20"/>
          <w:lang w:val="en-GB"/>
        </w:rPr>
        <w:t xml:space="preserve">In future studies </w:t>
      </w:r>
      <w:r w:rsidR="004F39EF">
        <w:rPr>
          <w:sz w:val="20"/>
          <w:lang w:val="en-GB"/>
        </w:rPr>
        <w:t xml:space="preserve">the set-up will be interfaced with </w:t>
      </w:r>
      <w:r>
        <w:rPr>
          <w:sz w:val="20"/>
          <w:lang w:val="en-GB"/>
        </w:rPr>
        <w:t>a novel deposition chamber at the air-liquid interface</w:t>
      </w:r>
      <w:r w:rsidR="00620AE0">
        <w:rPr>
          <w:sz w:val="20"/>
          <w:lang w:val="en-GB"/>
        </w:rPr>
        <w:t xml:space="preserve"> </w:t>
      </w:r>
      <w:r w:rsidR="004F39EF">
        <w:rPr>
          <w:sz w:val="20"/>
          <w:lang w:val="en-GB"/>
        </w:rPr>
        <w:t xml:space="preserve">for particle cell exposure studies (including whole genome expression and proteomics). </w:t>
      </w:r>
      <w:r w:rsidR="00CB439A">
        <w:rPr>
          <w:sz w:val="20"/>
          <w:lang w:val="en-GB"/>
        </w:rPr>
        <w:t xml:space="preserve"> </w:t>
      </w:r>
    </w:p>
    <w:p w:rsidR="003368FC" w:rsidRDefault="003368FC">
      <w:pPr>
        <w:pStyle w:val="BodyText"/>
        <w:tabs>
          <w:tab w:val="left" w:pos="567"/>
        </w:tabs>
        <w:jc w:val="both"/>
        <w:rPr>
          <w:sz w:val="20"/>
          <w:lang w:val="en-GB"/>
        </w:rPr>
      </w:pPr>
    </w:p>
    <w:p w:rsidR="00187D13" w:rsidRDefault="00187D13">
      <w:pPr>
        <w:jc w:val="both"/>
        <w:rPr>
          <w:lang w:val="en-GB"/>
        </w:rPr>
      </w:pPr>
      <w:r>
        <w:rPr>
          <w:lang w:val="en-GB"/>
        </w:rPr>
        <w:t>This work was supported by the Na</w:t>
      </w:r>
      <w:r w:rsidR="00B33FEC">
        <w:rPr>
          <w:lang w:val="en-GB"/>
        </w:rPr>
        <w:t>nometer Structure Consortium at Lund University and the Swedish research council FAS.</w:t>
      </w:r>
    </w:p>
    <w:p w:rsidR="004F39EF" w:rsidRDefault="004F39EF" w:rsidP="004F39EF">
      <w:pPr>
        <w:jc w:val="both"/>
        <w:rPr>
          <w:lang w:val="en-GB"/>
        </w:rPr>
      </w:pPr>
    </w:p>
    <w:p w:rsidR="004F39EF" w:rsidRPr="004F39EF" w:rsidRDefault="004F39EF" w:rsidP="004F39EF">
      <w:pPr>
        <w:jc w:val="both"/>
        <w:rPr>
          <w:lang w:val="nl-NL"/>
        </w:rPr>
      </w:pPr>
      <w:r w:rsidRPr="004F39EF">
        <w:rPr>
          <w:lang w:val="nl-NL"/>
        </w:rPr>
        <w:t>Cedervall, T; Lynch, I; Lindman, S, et al.</w:t>
      </w:r>
      <w:r>
        <w:rPr>
          <w:lang w:val="nl-NL"/>
        </w:rPr>
        <w:t xml:space="preserve"> (2007)</w:t>
      </w:r>
    </w:p>
    <w:p w:rsidR="0004369B" w:rsidRPr="00E77D84" w:rsidRDefault="004F39EF" w:rsidP="00B12848">
      <w:pPr>
        <w:ind w:firstLine="567"/>
        <w:jc w:val="both"/>
        <w:rPr>
          <w:lang w:val="nl-NL"/>
        </w:rPr>
      </w:pPr>
      <w:r w:rsidRPr="004F39EF">
        <w:rPr>
          <w:i/>
          <w:lang w:val="nl-NL"/>
        </w:rPr>
        <w:t>PNAS</w:t>
      </w:r>
      <w:r>
        <w:rPr>
          <w:lang w:val="nl-NL"/>
        </w:rPr>
        <w:t xml:space="preserve">, 7, </w:t>
      </w:r>
      <w:r w:rsidRPr="004F39EF">
        <w:rPr>
          <w:lang w:val="nl-NL"/>
        </w:rPr>
        <w:t>2050-2055</w:t>
      </w:r>
      <w:r>
        <w:rPr>
          <w:lang w:val="nl-NL"/>
        </w:rPr>
        <w:t>.</w:t>
      </w:r>
      <w:r w:rsidRPr="004F39EF">
        <w:rPr>
          <w:lang w:val="nl-NL"/>
        </w:rPr>
        <w:t xml:space="preserve">   </w:t>
      </w:r>
    </w:p>
    <w:p w:rsidR="00620AE0" w:rsidRDefault="00620AE0" w:rsidP="00E77D84">
      <w:pPr>
        <w:jc w:val="both"/>
        <w:rPr>
          <w:lang w:val="en-GB"/>
        </w:rPr>
      </w:pPr>
      <w:r>
        <w:rPr>
          <w:lang w:val="en-GB"/>
        </w:rPr>
        <w:t>Messing, ME, Dick, KA,</w:t>
      </w:r>
      <w:r w:rsidR="004F39EF" w:rsidRPr="004F39EF">
        <w:rPr>
          <w:lang w:val="en-GB"/>
        </w:rPr>
        <w:t xml:space="preserve"> Wallenberg, LR, et al.</w:t>
      </w:r>
      <w:r>
        <w:rPr>
          <w:lang w:val="en-GB"/>
        </w:rPr>
        <w:t xml:space="preserve"> </w:t>
      </w:r>
    </w:p>
    <w:p w:rsidR="00B12848" w:rsidRDefault="0004369B" w:rsidP="00B12848">
      <w:pPr>
        <w:ind w:firstLine="567"/>
        <w:jc w:val="both"/>
        <w:rPr>
          <w:lang w:val="en-GB"/>
        </w:rPr>
      </w:pPr>
      <w:proofErr w:type="gramStart"/>
      <w:r>
        <w:rPr>
          <w:lang w:val="en-GB"/>
        </w:rPr>
        <w:t>(2009</w:t>
      </w:r>
      <w:r w:rsidR="00620AE0">
        <w:rPr>
          <w:lang w:val="en-GB"/>
        </w:rPr>
        <w:t xml:space="preserve">) </w:t>
      </w:r>
      <w:r w:rsidR="00C6444D">
        <w:rPr>
          <w:i/>
          <w:lang w:val="en-GB"/>
        </w:rPr>
        <w:t>Gold</w:t>
      </w:r>
      <w:r w:rsidR="00620AE0" w:rsidRPr="00620AE0">
        <w:rPr>
          <w:i/>
          <w:lang w:val="en-GB"/>
        </w:rPr>
        <w:t xml:space="preserve"> B</w:t>
      </w:r>
      <w:r w:rsidR="00C6444D">
        <w:rPr>
          <w:i/>
          <w:lang w:val="en-GB"/>
        </w:rPr>
        <w:t>ull</w:t>
      </w:r>
      <w:r w:rsidR="00620AE0" w:rsidRPr="00620AE0">
        <w:rPr>
          <w:i/>
          <w:lang w:val="en-GB"/>
        </w:rPr>
        <w:t>.</w:t>
      </w:r>
      <w:proofErr w:type="gramEnd"/>
      <w:r w:rsidR="00620AE0">
        <w:rPr>
          <w:lang w:val="en-GB"/>
        </w:rPr>
        <w:t xml:space="preserve"> </w:t>
      </w:r>
      <w:r w:rsidR="004F39EF" w:rsidRPr="004F39EF">
        <w:rPr>
          <w:lang w:val="en-GB"/>
        </w:rPr>
        <w:t>42</w:t>
      </w:r>
      <w:r w:rsidR="00B12848">
        <w:rPr>
          <w:lang w:val="en-GB"/>
        </w:rPr>
        <w:t>, 20-26.</w:t>
      </w:r>
    </w:p>
    <w:sectPr w:rsidR="00B12848" w:rsidSect="00F624E1">
      <w:type w:val="continuous"/>
      <w:pgSz w:w="11907" w:h="16840" w:code="9"/>
      <w:pgMar w:top="1418" w:right="1418" w:bottom="1418" w:left="1418" w:header="709" w:footer="709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D1" w:rsidRDefault="008C4ED1">
      <w:r>
        <w:separator/>
      </w:r>
    </w:p>
  </w:endnote>
  <w:endnote w:type="continuationSeparator" w:id="0">
    <w:p w:rsidR="008C4ED1" w:rsidRDefault="008C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D1" w:rsidRDefault="008C4ED1">
      <w:r>
        <w:separator/>
      </w:r>
    </w:p>
  </w:footnote>
  <w:footnote w:type="continuationSeparator" w:id="0">
    <w:p w:rsidR="008C4ED1" w:rsidRDefault="008C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D1" w:rsidRDefault="008C4ED1">
    <w:pPr>
      <w:pStyle w:val="Header"/>
      <w:rPr>
        <w:sz w:val="22"/>
      </w:rPr>
    </w:pPr>
  </w:p>
  <w:p w:rsidR="008C4ED1" w:rsidRDefault="008C4ED1">
    <w:pPr>
      <w:pStyle w:val="Head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E6728D"/>
    <w:multiLevelType w:val="hybridMultilevel"/>
    <w:tmpl w:val="1CD226E4"/>
    <w:lvl w:ilvl="0" w:tplc="F27403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4FEA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E4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A1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03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A8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8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4A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8E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E1"/>
    <w:rsid w:val="000278CF"/>
    <w:rsid w:val="00042B4F"/>
    <w:rsid w:val="0004369B"/>
    <w:rsid w:val="000F637F"/>
    <w:rsid w:val="001808B6"/>
    <w:rsid w:val="001813E6"/>
    <w:rsid w:val="001877A4"/>
    <w:rsid w:val="00187D13"/>
    <w:rsid w:val="00241412"/>
    <w:rsid w:val="002A2080"/>
    <w:rsid w:val="002A731B"/>
    <w:rsid w:val="002C0303"/>
    <w:rsid w:val="002C5F7C"/>
    <w:rsid w:val="003156CD"/>
    <w:rsid w:val="003368FC"/>
    <w:rsid w:val="00375515"/>
    <w:rsid w:val="0038310C"/>
    <w:rsid w:val="003C5333"/>
    <w:rsid w:val="003F42FE"/>
    <w:rsid w:val="00466865"/>
    <w:rsid w:val="00475B8C"/>
    <w:rsid w:val="004F39EF"/>
    <w:rsid w:val="00563BEE"/>
    <w:rsid w:val="005A099C"/>
    <w:rsid w:val="005D7461"/>
    <w:rsid w:val="00620AE0"/>
    <w:rsid w:val="006D2F99"/>
    <w:rsid w:val="006F67A5"/>
    <w:rsid w:val="0070682E"/>
    <w:rsid w:val="00726FC0"/>
    <w:rsid w:val="00735636"/>
    <w:rsid w:val="00745DF3"/>
    <w:rsid w:val="00774AA8"/>
    <w:rsid w:val="00785BF9"/>
    <w:rsid w:val="007C6EFD"/>
    <w:rsid w:val="00854EC3"/>
    <w:rsid w:val="008801FD"/>
    <w:rsid w:val="0089092D"/>
    <w:rsid w:val="008936BD"/>
    <w:rsid w:val="008C4ED1"/>
    <w:rsid w:val="008D2343"/>
    <w:rsid w:val="00943630"/>
    <w:rsid w:val="009817F0"/>
    <w:rsid w:val="009B4A7A"/>
    <w:rsid w:val="009D352C"/>
    <w:rsid w:val="009E295E"/>
    <w:rsid w:val="00A45E43"/>
    <w:rsid w:val="00AC1CDC"/>
    <w:rsid w:val="00B12848"/>
    <w:rsid w:val="00B264F1"/>
    <w:rsid w:val="00B33FEC"/>
    <w:rsid w:val="00B61365"/>
    <w:rsid w:val="00BE2331"/>
    <w:rsid w:val="00BE7914"/>
    <w:rsid w:val="00C02A9C"/>
    <w:rsid w:val="00C4438B"/>
    <w:rsid w:val="00C6444D"/>
    <w:rsid w:val="00CB439A"/>
    <w:rsid w:val="00DA02FB"/>
    <w:rsid w:val="00DA1113"/>
    <w:rsid w:val="00DD7342"/>
    <w:rsid w:val="00DE0719"/>
    <w:rsid w:val="00E26F93"/>
    <w:rsid w:val="00E74B27"/>
    <w:rsid w:val="00E77D84"/>
    <w:rsid w:val="00E925E6"/>
    <w:rsid w:val="00ED48F7"/>
    <w:rsid w:val="00EE1AD5"/>
    <w:rsid w:val="00F07682"/>
    <w:rsid w:val="00F24FA6"/>
    <w:rsid w:val="00F27A48"/>
    <w:rsid w:val="00F624E1"/>
    <w:rsid w:val="00FC06AF"/>
    <w:rsid w:val="00FE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343"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343"/>
    <w:rPr>
      <w:sz w:val="22"/>
    </w:rPr>
  </w:style>
  <w:style w:type="paragraph" w:styleId="Header">
    <w:name w:val="header"/>
    <w:basedOn w:val="Normal"/>
    <w:rsid w:val="008D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3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92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5E6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3704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FUTURE AEROSOL TECHNOLOGICAL APPLICATIONS</vt:lpstr>
      <vt:lpstr>FUTURE AEROSOL TECHNOLOGICAL APPLICATIONS</vt:lpstr>
      <vt:lpstr>FUTURE AEROSOL TECHNOLOGICAL APPLICATIONS</vt:lpstr>
      <vt:lpstr>FUTURE AEROSOL TECHNOLOGICAL APPLICATIONS</vt:lpstr>
    </vt:vector>
  </TitlesOfParts>
  <Company>UGent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AEROSOL TECHNOLOGICAL APPLICATIONS</dc:title>
  <dc:creator>Maenhaut</dc:creator>
  <cp:lastModifiedBy>Joakim Pagels</cp:lastModifiedBy>
  <cp:revision>2</cp:revision>
  <cp:lastPrinted>2011-01-07T09:24:00Z</cp:lastPrinted>
  <dcterms:created xsi:type="dcterms:W3CDTF">2011-01-07T11:30:00Z</dcterms:created>
  <dcterms:modified xsi:type="dcterms:W3CDTF">2011-01-07T11:30:00Z</dcterms:modified>
</cp:coreProperties>
</file>