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37" w:rsidRPr="00C62937" w:rsidRDefault="00C62937" w:rsidP="00CC27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Publicerad i </w:t>
      </w:r>
      <w:r w:rsidRPr="00C62937">
        <w:rPr>
          <w:i/>
          <w:sz w:val="20"/>
        </w:rPr>
        <w:t xml:space="preserve">Läkartidningen, 8 november 2019 </w:t>
      </w:r>
      <w:r>
        <w:rPr>
          <w:i/>
          <w:sz w:val="20"/>
        </w:rPr>
        <w:br/>
      </w:r>
      <w:r w:rsidRPr="00C62937">
        <w:rPr>
          <w:i/>
          <w:sz w:val="20"/>
        </w:rPr>
        <w:t>(inskickad 2 oktober 2019)</w:t>
      </w:r>
    </w:p>
    <w:p w:rsidR="00C62937" w:rsidRDefault="00C62937" w:rsidP="00CC2792">
      <w:pPr>
        <w:spacing w:after="0" w:line="240" w:lineRule="auto"/>
        <w:rPr>
          <w:sz w:val="28"/>
        </w:rPr>
      </w:pPr>
      <w:bookmarkStart w:id="0" w:name="_GoBack"/>
      <w:bookmarkEnd w:id="0"/>
    </w:p>
    <w:p w:rsidR="00C62937" w:rsidRDefault="00C62937" w:rsidP="00CC2792">
      <w:pPr>
        <w:spacing w:after="0" w:line="240" w:lineRule="auto"/>
        <w:rPr>
          <w:sz w:val="28"/>
        </w:rPr>
      </w:pPr>
    </w:p>
    <w:p w:rsidR="00CC2792" w:rsidRPr="006474D2" w:rsidRDefault="00CC2792" w:rsidP="00CC2792">
      <w:pPr>
        <w:spacing w:after="0" w:line="240" w:lineRule="auto"/>
        <w:rPr>
          <w:sz w:val="28"/>
        </w:rPr>
      </w:pPr>
      <w:r w:rsidRPr="006474D2">
        <w:rPr>
          <w:sz w:val="28"/>
        </w:rPr>
        <w:t xml:space="preserve">Patientens tillit till den medicinska forskningen förutsätter </w:t>
      </w:r>
      <w:r w:rsidR="006474D2">
        <w:rPr>
          <w:sz w:val="28"/>
        </w:rPr>
        <w:br/>
      </w:r>
      <w:r w:rsidRPr="006474D2">
        <w:rPr>
          <w:sz w:val="28"/>
        </w:rPr>
        <w:t>ett sjukvårdssystem med tillit till vårdprofessionerna</w:t>
      </w:r>
    </w:p>
    <w:p w:rsidR="00CC2792" w:rsidRPr="006474D2" w:rsidRDefault="00CC2792" w:rsidP="00C64AEB"/>
    <w:p w:rsidR="00C64AEB" w:rsidRPr="001529DF" w:rsidRDefault="00576F8E" w:rsidP="00C64AEB">
      <w:r w:rsidRPr="001529DF">
        <w:t xml:space="preserve">God vård bygger på ömsesidig tillit mellan patient och läkare. </w:t>
      </w:r>
      <w:r w:rsidR="00AD5B5F">
        <w:t xml:space="preserve">En del av detta är handlar om att </w:t>
      </w:r>
      <w:r w:rsidR="00275CEF" w:rsidRPr="001529DF">
        <w:t>läkaren</w:t>
      </w:r>
      <w:r w:rsidR="00AD5B5F">
        <w:t xml:space="preserve"> behöver ha</w:t>
      </w:r>
      <w:r w:rsidR="00275CEF" w:rsidRPr="001529DF">
        <w:t xml:space="preserve"> tillit till patienten och är lyhörd för dennes erfarenhet</w:t>
      </w:r>
      <w:r w:rsidR="00A12317" w:rsidRPr="001529DF">
        <w:t>er</w:t>
      </w:r>
      <w:r w:rsidR="00275CEF" w:rsidRPr="001529DF">
        <w:t xml:space="preserve"> och </w:t>
      </w:r>
      <w:r w:rsidR="00A12317" w:rsidRPr="001529DF">
        <w:t>önskemål</w:t>
      </w:r>
      <w:r w:rsidR="00275CEF" w:rsidRPr="001529DF">
        <w:t xml:space="preserve">, något som vi i Sverige ibland talar om som </w:t>
      </w:r>
      <w:r w:rsidR="00275CEF" w:rsidRPr="001529DF">
        <w:rPr>
          <w:i/>
        </w:rPr>
        <w:t>personcentrerad vård</w:t>
      </w:r>
      <w:r w:rsidR="00275CEF" w:rsidRPr="001529DF">
        <w:t>. Men vad händer med tilliten i den andra riktningen, dvs patienten</w:t>
      </w:r>
      <w:r w:rsidR="00A12317" w:rsidRPr="001529DF">
        <w:t>s tillit</w:t>
      </w:r>
      <w:r w:rsidR="00275CEF" w:rsidRPr="001529DF">
        <w:t xml:space="preserve"> till den enskilde läkaren och till sjukvårdssystemet</w:t>
      </w:r>
      <w:r w:rsidR="00A12317" w:rsidRPr="001529DF">
        <w:t xml:space="preserve">? </w:t>
      </w:r>
      <w:r w:rsidR="00275CEF" w:rsidRPr="001529DF">
        <w:t xml:space="preserve"> </w:t>
      </w:r>
      <w:r w:rsidR="00A12317" w:rsidRPr="001529DF">
        <w:t>För att förstå detta behöver vi förstå förändringar i patientens tillit till den medicinska forskningen</w:t>
      </w:r>
      <w:r w:rsidR="00C614C0" w:rsidRPr="001529DF">
        <w:t xml:space="preserve">, men också sjukvårdssystemets försök att parera utvecklingen. </w:t>
      </w:r>
      <w:proofErr w:type="spellStart"/>
      <w:r w:rsidR="00C614C0" w:rsidRPr="001529DF">
        <w:rPr>
          <w:lang w:val="en-US"/>
        </w:rPr>
        <w:t>Det</w:t>
      </w:r>
      <w:proofErr w:type="spellEnd"/>
      <w:r w:rsidR="00C614C0" w:rsidRPr="001529DF">
        <w:rPr>
          <w:lang w:val="en-US"/>
        </w:rPr>
        <w:t xml:space="preserve"> </w:t>
      </w:r>
      <w:proofErr w:type="spellStart"/>
      <w:r w:rsidR="00A12317" w:rsidRPr="001529DF">
        <w:rPr>
          <w:lang w:val="en-US"/>
        </w:rPr>
        <w:t>menar</w:t>
      </w:r>
      <w:proofErr w:type="spellEnd"/>
      <w:r w:rsidR="00FF7E47">
        <w:rPr>
          <w:lang w:val="en-US"/>
        </w:rPr>
        <w:t xml:space="preserve"> Baron </w:t>
      </w:r>
      <w:proofErr w:type="spellStart"/>
      <w:proofErr w:type="gramStart"/>
      <w:r w:rsidR="00FF7E47">
        <w:rPr>
          <w:lang w:val="en-US"/>
        </w:rPr>
        <w:t>och</w:t>
      </w:r>
      <w:proofErr w:type="spellEnd"/>
      <w:proofErr w:type="gramEnd"/>
      <w:r w:rsidR="00FF7E47">
        <w:rPr>
          <w:lang w:val="en-US"/>
        </w:rPr>
        <w:t xml:space="preserve"> </w:t>
      </w:r>
      <w:proofErr w:type="spellStart"/>
      <w:r w:rsidR="00FF7E47">
        <w:rPr>
          <w:lang w:val="en-US"/>
        </w:rPr>
        <w:t>Berinsky</w:t>
      </w:r>
      <w:proofErr w:type="spellEnd"/>
      <w:r w:rsidR="00FF7E47">
        <w:rPr>
          <w:lang w:val="en-US"/>
        </w:rPr>
        <w:t xml:space="preserve"> [1]</w:t>
      </w:r>
      <w:r w:rsidRPr="001529DF">
        <w:rPr>
          <w:lang w:val="en-US"/>
        </w:rPr>
        <w:t xml:space="preserve"> </w:t>
      </w:r>
      <w:proofErr w:type="spellStart"/>
      <w:r w:rsidR="00A12317" w:rsidRPr="001529DF">
        <w:rPr>
          <w:lang w:val="en-US"/>
        </w:rPr>
        <w:t>i</w:t>
      </w:r>
      <w:proofErr w:type="spellEnd"/>
      <w:r w:rsidR="00A12317" w:rsidRPr="001529DF">
        <w:rPr>
          <w:lang w:val="en-US"/>
        </w:rPr>
        <w:t xml:space="preserve"> </w:t>
      </w:r>
      <w:proofErr w:type="spellStart"/>
      <w:r w:rsidR="00A12317" w:rsidRPr="001529DF">
        <w:rPr>
          <w:lang w:val="en-US"/>
        </w:rPr>
        <w:t>artikeln</w:t>
      </w:r>
      <w:proofErr w:type="spellEnd"/>
      <w:r w:rsidR="00A12317" w:rsidRPr="001529DF">
        <w:rPr>
          <w:lang w:val="en-US"/>
        </w:rPr>
        <w:t xml:space="preserve"> </w:t>
      </w:r>
      <w:r w:rsidRPr="001529DF">
        <w:rPr>
          <w:i/>
          <w:lang w:val="en-US"/>
        </w:rPr>
        <w:t>Mistrust in Science — A Threat to the Patient–Physician Relationship</w:t>
      </w:r>
      <w:r w:rsidR="00A435DF">
        <w:rPr>
          <w:i/>
          <w:lang w:val="en-US"/>
        </w:rPr>
        <w:t xml:space="preserve">, </w:t>
      </w:r>
      <w:r w:rsidR="00275CEF" w:rsidRPr="001529DF">
        <w:rPr>
          <w:lang w:val="en-US"/>
        </w:rPr>
        <w:t>New England Journal of Medicine</w:t>
      </w:r>
      <w:r w:rsidR="00A12317" w:rsidRPr="001529DF">
        <w:rPr>
          <w:lang w:val="en-US"/>
        </w:rPr>
        <w:t>.</w:t>
      </w:r>
      <w:r w:rsidR="00C614C0" w:rsidRPr="001529DF">
        <w:rPr>
          <w:lang w:val="en-US"/>
        </w:rPr>
        <w:t xml:space="preserve"> </w:t>
      </w:r>
      <w:r w:rsidR="00C614C0" w:rsidRPr="001529DF">
        <w:t xml:space="preserve">De </w:t>
      </w:r>
      <w:r w:rsidR="006C5B5D">
        <w:t xml:space="preserve">hävdar att </w:t>
      </w:r>
      <w:r w:rsidR="00C614C0" w:rsidRPr="001529DF">
        <w:t xml:space="preserve">patienter </w:t>
      </w:r>
      <w:r w:rsidR="00A12317" w:rsidRPr="001529DF">
        <w:t xml:space="preserve">tenderar att förlita sig allt mer på anekdoter och tyckande, </w:t>
      </w:r>
      <w:r w:rsidR="00C64AEB" w:rsidRPr="001529DF">
        <w:t xml:space="preserve">något som märks på hur </w:t>
      </w:r>
      <w:r w:rsidR="00A12317" w:rsidRPr="001529DF">
        <w:t xml:space="preserve">myter idag </w:t>
      </w:r>
      <w:r w:rsidR="00C64AEB" w:rsidRPr="001529DF">
        <w:t xml:space="preserve">snabbt </w:t>
      </w:r>
      <w:r w:rsidR="00A12317" w:rsidRPr="001529DF">
        <w:t>kan få stor spridning via sociala media</w:t>
      </w:r>
      <w:r w:rsidR="00C614C0" w:rsidRPr="001529DF">
        <w:t xml:space="preserve">. </w:t>
      </w:r>
      <w:r w:rsidR="00C64AEB" w:rsidRPr="001529DF">
        <w:t>Ett exempel är de</w:t>
      </w:r>
      <w:r w:rsidR="00A12317" w:rsidRPr="001529DF">
        <w:t xml:space="preserve"> myter om risker med mässlingsvaccin som har lett till att många barn inte blir vaccinerade</w:t>
      </w:r>
      <w:r w:rsidR="00C614C0" w:rsidRPr="001529DF">
        <w:t xml:space="preserve"> och att mässlingen därför </w:t>
      </w:r>
      <w:r w:rsidR="00C64AEB" w:rsidRPr="001529DF">
        <w:t xml:space="preserve">åter har fått </w:t>
      </w:r>
      <w:r w:rsidR="00C614C0" w:rsidRPr="001529DF">
        <w:t>spridning.</w:t>
      </w:r>
      <w:r w:rsidR="00C64AEB" w:rsidRPr="001529DF">
        <w:t xml:space="preserve"> </w:t>
      </w:r>
      <w:r w:rsidR="00AD5B5F">
        <w:t>Sjukvården kan inte längre ta patientens tillit till den medicinska forskningen för given, slår de fast.</w:t>
      </w:r>
    </w:p>
    <w:p w:rsidR="00D942AA" w:rsidRDefault="00511473" w:rsidP="001B2CD3">
      <w:r w:rsidRPr="001529DF">
        <w:t xml:space="preserve">Patientens tillit till den medicinska forskningen skapas utifrån såväl kollektiv expertis (läkarprofessionen) som individuell tillit (läkarrelationen), </w:t>
      </w:r>
      <w:r w:rsidR="00A435DF">
        <w:t xml:space="preserve">förklarar </w:t>
      </w:r>
      <w:r w:rsidRPr="001529DF">
        <w:t xml:space="preserve">Baron och </w:t>
      </w:r>
      <w:proofErr w:type="spellStart"/>
      <w:r w:rsidRPr="001529DF">
        <w:t>Berinsky</w:t>
      </w:r>
      <w:proofErr w:type="spellEnd"/>
      <w:r w:rsidR="00AD5B5F">
        <w:t xml:space="preserve">, och </w:t>
      </w:r>
      <w:r w:rsidR="008665FB" w:rsidRPr="001529DF">
        <w:t xml:space="preserve">betonar </w:t>
      </w:r>
      <w:r w:rsidR="00AD5B5F">
        <w:t xml:space="preserve">särskilt </w:t>
      </w:r>
      <w:r w:rsidR="00AD5B5F" w:rsidRPr="00874987">
        <w:rPr>
          <w:i/>
        </w:rPr>
        <w:t>betydelsen av den personliga relationen</w:t>
      </w:r>
      <w:r w:rsidRPr="001529DF">
        <w:t xml:space="preserve">. De beskriver hur strategier för att flytta tilliten från individ och profession till stora sjukvårdsinstitutioner utvecklades under efterkrigstiden. I stället för att fokusera på </w:t>
      </w:r>
      <w:r w:rsidR="00892D95" w:rsidRPr="001529DF">
        <w:t xml:space="preserve">den enskilde läkarens </w:t>
      </w:r>
      <w:r w:rsidRPr="001529DF">
        <w:t xml:space="preserve">kompetens och </w:t>
      </w:r>
      <w:r w:rsidR="00892D95" w:rsidRPr="001529DF">
        <w:t xml:space="preserve">bemötande, för att </w:t>
      </w:r>
      <w:r w:rsidRPr="001529DF">
        <w:t xml:space="preserve">bygga </w:t>
      </w:r>
      <w:r w:rsidR="00892D95" w:rsidRPr="001529DF">
        <w:t xml:space="preserve">starka </w:t>
      </w:r>
      <w:r w:rsidRPr="001529DF">
        <w:t>personliga relationer</w:t>
      </w:r>
      <w:r w:rsidR="00892D95" w:rsidRPr="001529DF">
        <w:t>,</w:t>
      </w:r>
      <w:r w:rsidRPr="001529DF">
        <w:t xml:space="preserve"> riktades ljuset då mot </w:t>
      </w:r>
      <w:r w:rsidR="00892D95" w:rsidRPr="001529DF">
        <w:t>vård</w:t>
      </w:r>
      <w:r w:rsidRPr="001529DF">
        <w:t>institutionens anseende</w:t>
      </w:r>
      <w:r w:rsidR="00892D95" w:rsidRPr="001529DF">
        <w:t xml:space="preserve">. Detta låg helt </w:t>
      </w:r>
      <w:r w:rsidRPr="001529DF">
        <w:t xml:space="preserve">i linje med den industriella logik som präglade perioden. Det ledde till ett ökat intresse för </w:t>
      </w:r>
      <w:proofErr w:type="spellStart"/>
      <w:r w:rsidRPr="001529DF">
        <w:t>varumärkesbyggande</w:t>
      </w:r>
      <w:proofErr w:type="spellEnd"/>
      <w:r w:rsidRPr="001529DF">
        <w:t xml:space="preserve"> och centralstyrd kommunikation</w:t>
      </w:r>
      <w:r w:rsidR="006C5B5D">
        <w:t xml:space="preserve"> och styrning</w:t>
      </w:r>
      <w:r w:rsidRPr="001529DF">
        <w:t>. På så vis blev den medicinska praktiken inbyggd i ett system som blev allt mer företagsli</w:t>
      </w:r>
      <w:r w:rsidR="00AD5B5F">
        <w:t xml:space="preserve">kt, samtidigt som professionen </w:t>
      </w:r>
      <w:r w:rsidRPr="001529DF">
        <w:t>försvagades internt.</w:t>
      </w:r>
      <w:r w:rsidR="00D942AA">
        <w:t xml:space="preserve"> </w:t>
      </w:r>
      <w:r w:rsidRPr="001529DF">
        <w:t>Den här strategin har haft begränsad framgång</w:t>
      </w:r>
      <w:r w:rsidR="00892D95" w:rsidRPr="001529DF">
        <w:t xml:space="preserve">, </w:t>
      </w:r>
      <w:r w:rsidR="00D942AA">
        <w:t xml:space="preserve">menar Baron och </w:t>
      </w:r>
      <w:proofErr w:type="spellStart"/>
      <w:r w:rsidR="00D942AA">
        <w:t>Berinsky</w:t>
      </w:r>
      <w:proofErr w:type="spellEnd"/>
      <w:r w:rsidR="006C5B5D">
        <w:t>.</w:t>
      </w:r>
    </w:p>
    <w:p w:rsidR="00A559A7" w:rsidRPr="001529DF" w:rsidRDefault="002060E8" w:rsidP="001B2CD3">
      <w:r w:rsidRPr="001529DF">
        <w:t xml:space="preserve">Mot slutet av artikeln diskuterar </w:t>
      </w:r>
      <w:r w:rsidR="00D942AA">
        <w:t xml:space="preserve">författarna </w:t>
      </w:r>
      <w:r w:rsidRPr="001529DF">
        <w:t xml:space="preserve">hur </w:t>
      </w:r>
      <w:r w:rsidR="00892D95" w:rsidRPr="001529DF">
        <w:t>tillit</w:t>
      </w:r>
      <w:r w:rsidR="006C5B5D">
        <w:t>en till den medicinska vetenskapen</w:t>
      </w:r>
      <w:r w:rsidR="00892D95" w:rsidRPr="001529DF">
        <w:t xml:space="preserve"> </w:t>
      </w:r>
      <w:r w:rsidRPr="001529DF">
        <w:t>skulle kunna värnas</w:t>
      </w:r>
      <w:r w:rsidR="006C5B5D">
        <w:t xml:space="preserve"> på ett bättre sätt</w:t>
      </w:r>
      <w:r w:rsidR="001B2CD3" w:rsidRPr="001529DF">
        <w:t xml:space="preserve">. De råd </w:t>
      </w:r>
      <w:r w:rsidRPr="001529DF">
        <w:t xml:space="preserve">som </w:t>
      </w:r>
      <w:r w:rsidR="001B2CD3" w:rsidRPr="001529DF">
        <w:t xml:space="preserve">de ger framstår som famlande, </w:t>
      </w:r>
      <w:r w:rsidR="004B1E6D" w:rsidRPr="001529DF">
        <w:t xml:space="preserve">men de </w:t>
      </w:r>
      <w:r w:rsidR="001B2CD3" w:rsidRPr="001529DF">
        <w:t xml:space="preserve">närmar sig </w:t>
      </w:r>
      <w:r w:rsidR="004B1E6D" w:rsidRPr="001529DF">
        <w:t>ett tema</w:t>
      </w:r>
      <w:r w:rsidR="001B2CD3" w:rsidRPr="001529DF">
        <w:t xml:space="preserve"> som även organisationsforskningen har funnit avgörande för tillit, </w:t>
      </w:r>
      <w:r w:rsidR="004B1E6D" w:rsidRPr="001529DF">
        <w:t xml:space="preserve">nämligen </w:t>
      </w:r>
      <w:r w:rsidRPr="001529DF">
        <w:t xml:space="preserve">utrymmet för </w:t>
      </w:r>
      <w:r w:rsidRPr="00874987">
        <w:rPr>
          <w:i/>
        </w:rPr>
        <w:t xml:space="preserve">professionell </w:t>
      </w:r>
      <w:r w:rsidR="001B2CD3" w:rsidRPr="00874987">
        <w:rPr>
          <w:i/>
        </w:rPr>
        <w:t>integritet</w:t>
      </w:r>
      <w:r w:rsidR="001B2CD3" w:rsidRPr="001529DF">
        <w:t xml:space="preserve"> </w:t>
      </w:r>
      <w:r w:rsidR="00A435DF">
        <w:t xml:space="preserve">[4]. </w:t>
      </w:r>
      <w:r w:rsidR="00892D95" w:rsidRPr="001529DF">
        <w:t>Här</w:t>
      </w:r>
      <w:r w:rsidR="004B1E6D" w:rsidRPr="001529DF">
        <w:t xml:space="preserve"> </w:t>
      </w:r>
      <w:r w:rsidR="00AE2AA8" w:rsidRPr="001529DF">
        <w:t>ligger det vi ser som det vik</w:t>
      </w:r>
      <w:r w:rsidRPr="001529DF">
        <w:t>tigaste budskapet med artikeln</w:t>
      </w:r>
      <w:r w:rsidR="00AD5B5F">
        <w:t xml:space="preserve">, nämligen </w:t>
      </w:r>
      <w:r w:rsidR="00A559A7" w:rsidRPr="001529DF">
        <w:t xml:space="preserve">insikten om </w:t>
      </w:r>
      <w:r w:rsidR="00AE2AA8" w:rsidRPr="001529DF">
        <w:t xml:space="preserve">den nära kopplingen mellan </w:t>
      </w:r>
      <w:r w:rsidR="00AE2AA8" w:rsidRPr="001529DF">
        <w:rPr>
          <w:i/>
        </w:rPr>
        <w:t>professionens integritet</w:t>
      </w:r>
      <w:r w:rsidR="00AE2AA8" w:rsidRPr="001529DF">
        <w:t xml:space="preserve"> och </w:t>
      </w:r>
      <w:r w:rsidR="003E77A4">
        <w:t>patientens tillit</w:t>
      </w:r>
      <w:r w:rsidR="00D942AA">
        <w:t xml:space="preserve"> till samhällets </w:t>
      </w:r>
      <w:r w:rsidR="00892D95" w:rsidRPr="001529DF">
        <w:rPr>
          <w:i/>
        </w:rPr>
        <w:t>sjukvårds</w:t>
      </w:r>
      <w:r w:rsidR="00AE2AA8" w:rsidRPr="001529DF">
        <w:rPr>
          <w:i/>
        </w:rPr>
        <w:t>institutione</w:t>
      </w:r>
      <w:r w:rsidR="00D942AA">
        <w:rPr>
          <w:i/>
        </w:rPr>
        <w:t>r</w:t>
      </w:r>
      <w:r w:rsidR="00892D95" w:rsidRPr="001529DF">
        <w:t>.</w:t>
      </w:r>
      <w:r w:rsidR="00AD5B5F">
        <w:t xml:space="preserve"> </w:t>
      </w:r>
      <w:r w:rsidR="00A559A7" w:rsidRPr="001529DF">
        <w:t xml:space="preserve">För att </w:t>
      </w:r>
      <w:r w:rsidR="00AE2AA8" w:rsidRPr="001529DF">
        <w:t xml:space="preserve">patienten </w:t>
      </w:r>
      <w:r w:rsidR="00A559A7" w:rsidRPr="001529DF">
        <w:t xml:space="preserve">ska hysa </w:t>
      </w:r>
      <w:r w:rsidR="00AE2AA8" w:rsidRPr="001529DF">
        <w:t xml:space="preserve">tillit till den medicinska forskningen behöver de känna sig trygga med vetskapen att den </w:t>
      </w:r>
      <w:r w:rsidR="00AD5B5F">
        <w:t xml:space="preserve">verkligen </w:t>
      </w:r>
      <w:r w:rsidR="00AE2AA8" w:rsidRPr="001529DF">
        <w:t>får genomsla</w:t>
      </w:r>
      <w:r w:rsidR="00AD5B5F">
        <w:t>g i sjukvårdssystemet som helhet och att professionernas integritet värnas</w:t>
      </w:r>
      <w:r w:rsidR="00AE2AA8" w:rsidRPr="001529DF">
        <w:t xml:space="preserve">. </w:t>
      </w:r>
      <w:r w:rsidR="00A559A7" w:rsidRPr="001529DF">
        <w:t xml:space="preserve">Det kan </w:t>
      </w:r>
      <w:r w:rsidRPr="001529DF">
        <w:t xml:space="preserve">exempelvis </w:t>
      </w:r>
      <w:r w:rsidR="00A559A7" w:rsidRPr="001529DF">
        <w:t xml:space="preserve">handla om </w:t>
      </w:r>
      <w:r w:rsidR="00AD5B5F">
        <w:t xml:space="preserve">att släppa fram professionen i frågor om </w:t>
      </w:r>
      <w:r w:rsidRPr="001529DF">
        <w:t xml:space="preserve">sjukvårdens interna </w:t>
      </w:r>
      <w:r w:rsidR="00A559A7" w:rsidRPr="001529DF">
        <w:t xml:space="preserve">styrning, </w:t>
      </w:r>
      <w:r w:rsidRPr="001529DF">
        <w:t xml:space="preserve">dess </w:t>
      </w:r>
      <w:r w:rsidR="00A559A7" w:rsidRPr="001529DF">
        <w:t>or</w:t>
      </w:r>
      <w:r w:rsidRPr="001529DF">
        <w:t xml:space="preserve">ganisering, strategiska beslut och </w:t>
      </w:r>
      <w:r w:rsidR="00A559A7" w:rsidRPr="001529DF">
        <w:t>medicinska pr</w:t>
      </w:r>
      <w:r w:rsidRPr="001529DF">
        <w:t>ioriteringar</w:t>
      </w:r>
      <w:r w:rsidR="00A559A7" w:rsidRPr="001529DF">
        <w:t>.</w:t>
      </w:r>
      <w:r w:rsidR="000072E2">
        <w:t xml:space="preserve"> Ett viktigt initiativ för att komma dit är arbetet med kunskapsstyrning nationellt och regionalt där professionens kunskap förväntas omsättas i klinisk praxis på ett ordnat och strukturerat sätt. </w:t>
      </w:r>
      <w:r w:rsidR="00A559A7" w:rsidRPr="001529DF">
        <w:t xml:space="preserve"> </w:t>
      </w:r>
      <w:r w:rsidR="00AD5B5F">
        <w:t xml:space="preserve">Det kan också handla om att sjukvårdsinstitutionerna </w:t>
      </w:r>
      <w:r w:rsidRPr="001529DF">
        <w:t>verka</w:t>
      </w:r>
      <w:r w:rsidR="00AD5B5F">
        <w:t>r</w:t>
      </w:r>
      <w:r w:rsidRPr="001529DF">
        <w:t xml:space="preserve"> för hög patientsäkerhet genom att bidra till en kultur av </w:t>
      </w:r>
      <w:r w:rsidR="00A559A7" w:rsidRPr="001529DF">
        <w:t>psykologisk trygghet</w:t>
      </w:r>
      <w:r w:rsidRPr="001529DF">
        <w:t xml:space="preserve">, där </w:t>
      </w:r>
      <w:r w:rsidR="00A559A7" w:rsidRPr="001529DF">
        <w:t xml:space="preserve">läkarprofessionen kan uttrycka </w:t>
      </w:r>
      <w:r w:rsidR="003E77A4">
        <w:t xml:space="preserve">förslag, men </w:t>
      </w:r>
      <w:r w:rsidR="00AD5B5F">
        <w:t xml:space="preserve">också kritiska </w:t>
      </w:r>
      <w:r w:rsidR="00A559A7" w:rsidRPr="001529DF">
        <w:t>åsikter, utan risk för vedergällningar.</w:t>
      </w:r>
    </w:p>
    <w:p w:rsidR="00FB71AD" w:rsidRDefault="00FB71AD" w:rsidP="00FB71AD">
      <w:r w:rsidRPr="001529DF">
        <w:t>Tilliten till läkarprofessionen</w:t>
      </w:r>
      <w:r w:rsidR="00AD5B5F">
        <w:t xml:space="preserve"> och till andra </w:t>
      </w:r>
      <w:r w:rsidRPr="001529DF">
        <w:t>vårdprofessioner</w:t>
      </w:r>
      <w:r w:rsidR="00AE2AA8" w:rsidRPr="001529DF">
        <w:t xml:space="preserve"> </w:t>
      </w:r>
      <w:r w:rsidR="00D9394E" w:rsidRPr="001529DF">
        <w:t xml:space="preserve">är sjukvårdssystemets </w:t>
      </w:r>
      <w:r w:rsidRPr="001529DF">
        <w:t>största tillgång</w:t>
      </w:r>
      <w:r w:rsidR="00D9394E" w:rsidRPr="001529DF">
        <w:t>.</w:t>
      </w:r>
      <w:r w:rsidR="00143550" w:rsidRPr="001529DF">
        <w:t xml:space="preserve"> </w:t>
      </w:r>
      <w:r w:rsidRPr="001529DF">
        <w:t xml:space="preserve">Denna tillit har en betydelse som inte </w:t>
      </w:r>
      <w:r w:rsidR="006C5B5D">
        <w:t>kan överskattas</w:t>
      </w:r>
      <w:r w:rsidRPr="001529DF">
        <w:t xml:space="preserve">. Inom </w:t>
      </w:r>
      <w:r w:rsidR="00AD5B5F">
        <w:t xml:space="preserve">samhällsvetenskapen </w:t>
      </w:r>
      <w:r w:rsidRPr="001529DF">
        <w:t xml:space="preserve">har antalet studier </w:t>
      </w:r>
      <w:r w:rsidRPr="001529DF">
        <w:lastRenderedPageBreak/>
        <w:t>om tillit ökat explosionsartat, i takt med att dess betydelse har blivit tydlig. Idag vet vi att tilliten kan kopplas till exempelvis goda prestationer</w:t>
      </w:r>
      <w:r w:rsidR="001529DF" w:rsidRPr="001529DF">
        <w:t xml:space="preserve"> och högt engagemang</w:t>
      </w:r>
      <w:r w:rsidR="0010170D" w:rsidRPr="001529DF">
        <w:t xml:space="preserve"> </w:t>
      </w:r>
      <w:r w:rsidR="00AD5B5F">
        <w:t>i arbetet</w:t>
      </w:r>
      <w:r w:rsidR="00A435DF">
        <w:t xml:space="preserve"> [2, 3]</w:t>
      </w:r>
      <w:r w:rsidRPr="001529DF">
        <w:t xml:space="preserve">. Men det som framför allt är nytt är insikten om att tilliten måste börja i </w:t>
      </w:r>
      <w:r w:rsidR="003E77A4">
        <w:t xml:space="preserve">politik, </w:t>
      </w:r>
      <w:r w:rsidRPr="001529DF">
        <w:t xml:space="preserve">chefsled och staber. Genom att ledningsskiktet visar sin tillit till vårdprofessionerna i praktisk handling och konkreta styrsystem, visar de också patienten att även denna kan ha tillit </w:t>
      </w:r>
      <w:r w:rsidR="006C5B5D">
        <w:t>vårdprofe</w:t>
      </w:r>
      <w:r w:rsidR="003E77A4">
        <w:t>ssioner</w:t>
      </w:r>
      <w:r w:rsidR="006C5B5D">
        <w:t>na</w:t>
      </w:r>
      <w:r w:rsidR="003E77A4">
        <w:t xml:space="preserve"> och </w:t>
      </w:r>
      <w:r w:rsidRPr="001529DF">
        <w:t xml:space="preserve">den medicinska forskning som </w:t>
      </w:r>
      <w:r w:rsidR="003E77A4">
        <w:t xml:space="preserve">de </w:t>
      </w:r>
      <w:r w:rsidR="00AD5B5F">
        <w:t>företräder</w:t>
      </w:r>
      <w:r w:rsidRPr="001529DF">
        <w:t xml:space="preserve">. Möjligheten för </w:t>
      </w:r>
      <w:r w:rsidR="006C5B5D">
        <w:t xml:space="preserve">dessa </w:t>
      </w:r>
      <w:r w:rsidRPr="001529DF">
        <w:t>professione</w:t>
      </w:r>
      <w:r w:rsidR="006C5B5D">
        <w:t>r</w:t>
      </w:r>
      <w:r w:rsidRPr="001529DF">
        <w:t xml:space="preserve"> att bedr</w:t>
      </w:r>
      <w:r>
        <w:t xml:space="preserve">iva forskning eller ta del av </w:t>
      </w:r>
      <w:r w:rsidR="00AA3814">
        <w:t xml:space="preserve">andras </w:t>
      </w:r>
      <w:r>
        <w:t xml:space="preserve">forskning är </w:t>
      </w:r>
      <w:r w:rsidR="003E77A4">
        <w:t xml:space="preserve">därför </w:t>
      </w:r>
      <w:r>
        <w:t xml:space="preserve">också en viktig del av detta </w:t>
      </w:r>
      <w:r w:rsidR="003E77A4">
        <w:t xml:space="preserve">viktiga </w:t>
      </w:r>
      <w:r>
        <w:t>tillitsbyggande arbete.</w:t>
      </w:r>
    </w:p>
    <w:p w:rsidR="00C62937" w:rsidRDefault="00C62937" w:rsidP="00C62937">
      <w:r>
        <w:t>Louise Bringselius</w:t>
      </w:r>
      <w:r>
        <w:br/>
      </w:r>
      <w:r>
        <w:t xml:space="preserve">Docent och lektor i </w:t>
      </w:r>
      <w:r>
        <w:t>organisation</w:t>
      </w:r>
      <w:r>
        <w:t>, Lunds universitet</w:t>
      </w:r>
      <w:r>
        <w:t xml:space="preserve">, </w:t>
      </w:r>
      <w:proofErr w:type="spellStart"/>
      <w:r>
        <w:t>fd</w:t>
      </w:r>
      <w:proofErr w:type="spellEnd"/>
      <w:r>
        <w:t xml:space="preserve"> f</w:t>
      </w:r>
      <w:r>
        <w:t>orskningsledare i Tillitsdelegationen</w:t>
      </w:r>
    </w:p>
    <w:p w:rsidR="00C62937" w:rsidRDefault="00C62937" w:rsidP="00C62937">
      <w:r>
        <w:t>Björn Eriksson</w:t>
      </w:r>
      <w:r>
        <w:br/>
      </w:r>
      <w:r>
        <w:t>Leg läkare, specialist i kardiologi, Med dr</w:t>
      </w:r>
      <w:r>
        <w:t xml:space="preserve">, </w:t>
      </w:r>
      <w:r>
        <w:t>Hälso- och sjukvårdsdirektör i Region Stockholm</w:t>
      </w:r>
    </w:p>
    <w:p w:rsidR="00C62937" w:rsidRDefault="00C62937" w:rsidP="00FB71AD"/>
    <w:p w:rsidR="009C1A58" w:rsidRPr="00492B67" w:rsidRDefault="009C1A58" w:rsidP="009C1A58">
      <w:pPr>
        <w:rPr>
          <w:b/>
        </w:rPr>
      </w:pPr>
      <w:r w:rsidRPr="00492B67">
        <w:rPr>
          <w:b/>
        </w:rPr>
        <w:t>Referenser</w:t>
      </w:r>
    </w:p>
    <w:p w:rsidR="00FF7E47" w:rsidRPr="00FF7E47" w:rsidRDefault="009C1A58" w:rsidP="00FF7E47">
      <w:pPr>
        <w:rPr>
          <w:lang w:val="en-US"/>
        </w:rPr>
      </w:pPr>
      <w:r>
        <w:rPr>
          <w:noProof/>
        </w:rPr>
        <w:fldChar w:fldCharType="begin"/>
      </w:r>
      <w:r w:rsidRPr="007E1115">
        <w:instrText xml:space="preserve"> ADDIN EN.REFLIST </w:instrText>
      </w:r>
      <w:r>
        <w:rPr>
          <w:noProof/>
        </w:rPr>
        <w:fldChar w:fldCharType="end"/>
      </w:r>
      <w:r w:rsidR="00FF7E47">
        <w:t xml:space="preserve">1. Baron, R. J., &amp; </w:t>
      </w:r>
      <w:proofErr w:type="spellStart"/>
      <w:r w:rsidR="00FF7E47">
        <w:t>Berinsky</w:t>
      </w:r>
      <w:proofErr w:type="spellEnd"/>
      <w:r w:rsidR="00FF7E47">
        <w:t xml:space="preserve">, A. J. (2019). </w:t>
      </w:r>
      <w:r w:rsidR="00FF7E47" w:rsidRPr="00FF7E47">
        <w:rPr>
          <w:lang w:val="en-US"/>
        </w:rPr>
        <w:t>Mistrust in science—a threat to the patient–physician relationship. In: Mass Medical Soc.</w:t>
      </w:r>
    </w:p>
    <w:p w:rsidR="00FF7E47" w:rsidRPr="00FF7E47" w:rsidRDefault="00FF7E47" w:rsidP="00FF7E47">
      <w:pPr>
        <w:rPr>
          <w:lang w:val="en-US"/>
        </w:rPr>
      </w:pPr>
      <w:r w:rsidRPr="00FF7E47">
        <w:rPr>
          <w:lang w:val="en-US"/>
        </w:rPr>
        <w:t>2.</w:t>
      </w:r>
      <w:r>
        <w:rPr>
          <w:lang w:val="en-US"/>
        </w:rPr>
        <w:t xml:space="preserve"> </w:t>
      </w:r>
      <w:r w:rsidRPr="00FF7E47">
        <w:rPr>
          <w:lang w:val="en-US"/>
        </w:rPr>
        <w:t>Bligh, M. C. (2017). Leadership and trust. In Leadership today (pp. 21-42): Springer.</w:t>
      </w:r>
    </w:p>
    <w:p w:rsidR="00FF7E47" w:rsidRPr="00FF7E47" w:rsidRDefault="00FF7E47" w:rsidP="00FF7E47">
      <w:pPr>
        <w:rPr>
          <w:lang w:val="en-US"/>
        </w:rPr>
      </w:pPr>
      <w:r>
        <w:t xml:space="preserve">3. De Jong, B. A., Dirks, K. T., &amp; Gillespie, N. (2016). </w:t>
      </w:r>
      <w:r w:rsidRPr="00FF7E47">
        <w:rPr>
          <w:lang w:val="en-US"/>
        </w:rPr>
        <w:t xml:space="preserve">Trust and team performance: A meta-analysis of main effects, moderators, and covariates. Journal of Applied Psychology, 101(8), 1134. </w:t>
      </w:r>
    </w:p>
    <w:p w:rsidR="00FF7E47" w:rsidRDefault="00FF7E47" w:rsidP="00FF7E47">
      <w:r w:rsidRPr="00FF7E47">
        <w:rPr>
          <w:lang w:val="en-US"/>
        </w:rPr>
        <w:t>4.</w:t>
      </w:r>
      <w:r>
        <w:rPr>
          <w:lang w:val="en-US"/>
        </w:rPr>
        <w:t xml:space="preserve"> </w:t>
      </w:r>
      <w:r w:rsidRPr="00FF7E47">
        <w:rPr>
          <w:lang w:val="en-US"/>
        </w:rPr>
        <w:t xml:space="preserve">Mayer, R. C., Davis, J. H., &amp; </w:t>
      </w:r>
      <w:proofErr w:type="spellStart"/>
      <w:r w:rsidRPr="00FF7E47">
        <w:rPr>
          <w:lang w:val="en-US"/>
        </w:rPr>
        <w:t>Schoorman</w:t>
      </w:r>
      <w:proofErr w:type="spellEnd"/>
      <w:r w:rsidRPr="00FF7E47">
        <w:rPr>
          <w:lang w:val="en-US"/>
        </w:rPr>
        <w:t xml:space="preserve">, F. D. (1995). An integrative model of organizational trust. </w:t>
      </w:r>
      <w:r>
        <w:t xml:space="preserve">Academy </w:t>
      </w:r>
      <w:proofErr w:type="spellStart"/>
      <w:r>
        <w:t>of</w:t>
      </w:r>
      <w:proofErr w:type="spellEnd"/>
      <w:r>
        <w:t xml:space="preserve"> Management Review, 20(3), 709-734. </w:t>
      </w:r>
    </w:p>
    <w:p w:rsidR="000D4F07" w:rsidRPr="00400CA1" w:rsidRDefault="000D4F07"/>
    <w:sectPr w:rsidR="000D4F07" w:rsidRPr="0040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713"/>
    <w:multiLevelType w:val="hybridMultilevel"/>
    <w:tmpl w:val="235CF1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932"/>
    <w:multiLevelType w:val="hybridMultilevel"/>
    <w:tmpl w:val="0AE2D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APA 6th - Sentence C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s95s22uf2dr2ertfj5wfsxts5sx9fzpxzw&quot;&gt;My EndNote Library&lt;record-ids&gt;&lt;item&gt;1658&lt;/item&gt;&lt;item&gt;1685&lt;/item&gt;&lt;/record-ids&gt;&lt;/item&gt;&lt;/Libraries&gt;"/>
  </w:docVars>
  <w:rsids>
    <w:rsidRoot w:val="00B64444"/>
    <w:rsid w:val="000072E2"/>
    <w:rsid w:val="00094D47"/>
    <w:rsid w:val="00097BF4"/>
    <w:rsid w:val="000D47F9"/>
    <w:rsid w:val="000D4F07"/>
    <w:rsid w:val="0010170D"/>
    <w:rsid w:val="00132547"/>
    <w:rsid w:val="00143550"/>
    <w:rsid w:val="0015100A"/>
    <w:rsid w:val="001529DF"/>
    <w:rsid w:val="001B2CD3"/>
    <w:rsid w:val="001D634C"/>
    <w:rsid w:val="001F0BAD"/>
    <w:rsid w:val="002060E8"/>
    <w:rsid w:val="00275CEF"/>
    <w:rsid w:val="00303642"/>
    <w:rsid w:val="00332391"/>
    <w:rsid w:val="003E77A4"/>
    <w:rsid w:val="00400CA1"/>
    <w:rsid w:val="004050D2"/>
    <w:rsid w:val="00447A64"/>
    <w:rsid w:val="00464EDA"/>
    <w:rsid w:val="00492B67"/>
    <w:rsid w:val="004A23EA"/>
    <w:rsid w:val="004B1E6D"/>
    <w:rsid w:val="00511473"/>
    <w:rsid w:val="0056095C"/>
    <w:rsid w:val="00576F8E"/>
    <w:rsid w:val="00595C4E"/>
    <w:rsid w:val="0061336A"/>
    <w:rsid w:val="006474D2"/>
    <w:rsid w:val="0067463B"/>
    <w:rsid w:val="00676E6D"/>
    <w:rsid w:val="006B1CD0"/>
    <w:rsid w:val="006C5B5D"/>
    <w:rsid w:val="006D066F"/>
    <w:rsid w:val="006F4789"/>
    <w:rsid w:val="0075778B"/>
    <w:rsid w:val="0077636C"/>
    <w:rsid w:val="007D72DD"/>
    <w:rsid w:val="007E1115"/>
    <w:rsid w:val="00804419"/>
    <w:rsid w:val="008665FB"/>
    <w:rsid w:val="00874987"/>
    <w:rsid w:val="008854D7"/>
    <w:rsid w:val="00892D95"/>
    <w:rsid w:val="008C7D45"/>
    <w:rsid w:val="008D227E"/>
    <w:rsid w:val="009C1A58"/>
    <w:rsid w:val="00A12317"/>
    <w:rsid w:val="00A435DF"/>
    <w:rsid w:val="00A559A7"/>
    <w:rsid w:val="00AA3814"/>
    <w:rsid w:val="00AD5B5F"/>
    <w:rsid w:val="00AE2AA8"/>
    <w:rsid w:val="00AE4470"/>
    <w:rsid w:val="00B64444"/>
    <w:rsid w:val="00C614C0"/>
    <w:rsid w:val="00C62937"/>
    <w:rsid w:val="00C64AEB"/>
    <w:rsid w:val="00CC2792"/>
    <w:rsid w:val="00D63041"/>
    <w:rsid w:val="00D9394E"/>
    <w:rsid w:val="00D942AA"/>
    <w:rsid w:val="00E23A34"/>
    <w:rsid w:val="00E47FF9"/>
    <w:rsid w:val="00F24AF3"/>
    <w:rsid w:val="00F53748"/>
    <w:rsid w:val="00F814D3"/>
    <w:rsid w:val="00F83A77"/>
    <w:rsid w:val="00FB71A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F6E"/>
  <w15:chartTrackingRefBased/>
  <w15:docId w15:val="{0EECCADB-ACA6-4F2E-9C37-7B42DA6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060E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2060E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60E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2060E8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0072E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2E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C279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C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4511</Characters>
  <Application>Microsoft Office Word</Application>
  <DocSecurity>0</DocSecurity>
  <Lines>67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4</cp:revision>
  <dcterms:created xsi:type="dcterms:W3CDTF">2019-09-10T06:46:00Z</dcterms:created>
  <dcterms:modified xsi:type="dcterms:W3CDTF">2020-05-19T18:25:00Z</dcterms:modified>
</cp:coreProperties>
</file>