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6126" w14:textId="77777777" w:rsidR="00392226" w:rsidRDefault="00392226" w:rsidP="001449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</w:p>
    <w:p w14:paraId="73A68393" w14:textId="21604BEB" w:rsidR="00392226" w:rsidRPr="00392226" w:rsidRDefault="00392226" w:rsidP="001449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92226">
        <w:rPr>
          <w:rFonts w:ascii="Times New Roman" w:hAnsi="Times New Roman" w:cs="Times New Roman"/>
          <w:sz w:val="24"/>
          <w:szCs w:val="24"/>
          <w:lang w:val="sv-SE"/>
        </w:rPr>
        <w:t xml:space="preserve">Corvellec, Hervé. 2020. "I tvärvetenskap är alla eviga migranter." In </w:t>
      </w:r>
      <w:r w:rsidRPr="00392226">
        <w:rPr>
          <w:rFonts w:ascii="Times New Roman" w:hAnsi="Times New Roman" w:cs="Times New Roman"/>
          <w:i/>
          <w:iCs/>
          <w:sz w:val="24"/>
          <w:szCs w:val="24"/>
          <w:lang w:val="sv-SE"/>
        </w:rPr>
        <w:t>1666 · 1999 · 2000 · 2020 Campus Helsingborg 20 år</w:t>
      </w:r>
      <w:r w:rsidRPr="00392226">
        <w:rPr>
          <w:rFonts w:ascii="Times New Roman" w:hAnsi="Times New Roman" w:cs="Times New Roman"/>
          <w:sz w:val="24"/>
          <w:szCs w:val="24"/>
          <w:lang w:val="sv-SE"/>
        </w:rPr>
        <w:t>, edited by Ida de Wit Sandström, Bodil Malmström and Magnus Bergström. Helsingborg.</w:t>
      </w:r>
    </w:p>
    <w:p w14:paraId="248F044B" w14:textId="63667271" w:rsidR="00392226" w:rsidRDefault="00392226" w:rsidP="001449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6C4154D4" w14:textId="77777777" w:rsidR="00392226" w:rsidRPr="00392226" w:rsidRDefault="00392226" w:rsidP="001449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34E35161" w14:textId="5612A69F" w:rsidR="00F460EE" w:rsidRPr="00C752FE" w:rsidRDefault="00F460EE" w:rsidP="001449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C752FE">
        <w:rPr>
          <w:rFonts w:ascii="Times New Roman" w:hAnsi="Times New Roman" w:cs="Times New Roman"/>
          <w:b/>
          <w:bCs/>
          <w:sz w:val="32"/>
          <w:szCs w:val="32"/>
          <w:lang w:val="sv-SE"/>
        </w:rPr>
        <w:t>I tvärvetenskap</w:t>
      </w:r>
      <w:r w:rsidR="002B32B9" w:rsidRPr="00C752FE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är alla eviga migranter</w:t>
      </w:r>
    </w:p>
    <w:p w14:paraId="0FB5CAD6" w14:textId="77777777" w:rsidR="002B32B9" w:rsidRDefault="002B32B9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C3329FD" w14:textId="77777777" w:rsidR="004376FC" w:rsidRPr="002B32B9" w:rsidRDefault="004376FC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2B32B9">
        <w:rPr>
          <w:rFonts w:ascii="Times New Roman" w:hAnsi="Times New Roman" w:cs="Times New Roman"/>
          <w:sz w:val="24"/>
          <w:szCs w:val="24"/>
          <w:lang w:val="sv-SE"/>
        </w:rPr>
        <w:t>ERVÉ CORVELLEC</w:t>
      </w:r>
    </w:p>
    <w:p w14:paraId="61DEBC3B" w14:textId="77777777" w:rsidR="004376FC" w:rsidRPr="002B32B9" w:rsidRDefault="004376FC" w:rsidP="0014496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</w:p>
    <w:p w14:paraId="37005732" w14:textId="026CA9BF" w:rsidR="004376FC" w:rsidRPr="002B32B9" w:rsidRDefault="002B32B9" w:rsidP="001449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b/>
          <w:sz w:val="24"/>
          <w:szCs w:val="24"/>
          <w:lang w:val="sv-SE"/>
        </w:rPr>
        <w:t>När man s</w:t>
      </w:r>
      <w:r w:rsidR="004376FC" w:rsidRPr="002B32B9">
        <w:rPr>
          <w:rFonts w:ascii="Times New Roman" w:hAnsi="Times New Roman" w:cs="Times New Roman"/>
          <w:b/>
          <w:sz w:val="24"/>
          <w:szCs w:val="24"/>
          <w:lang w:val="sv-SE"/>
        </w:rPr>
        <w:t>tuderar</w:t>
      </w:r>
      <w:r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ett ämne under många år så</w:t>
      </w:r>
      <w:r w:rsidR="004376FC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utvecklar man akademiska reflexer. </w:t>
      </w:r>
      <w:r w:rsidR="00763798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Med risk </w:t>
      </w:r>
      <w:r w:rsidR="002C5B71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för </w:t>
      </w:r>
      <w:r w:rsidR="00763798" w:rsidRPr="002B32B9">
        <w:rPr>
          <w:rFonts w:ascii="Times New Roman" w:hAnsi="Times New Roman" w:cs="Times New Roman"/>
          <w:b/>
          <w:sz w:val="24"/>
          <w:szCs w:val="24"/>
          <w:lang w:val="sv-SE"/>
        </w:rPr>
        <w:t>att förenkla</w:t>
      </w:r>
      <w:r w:rsidRPr="002B32B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="00763798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e</w:t>
      </w:r>
      <w:r w:rsidR="004376FC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n företagsekonom med specialisering inom organisationsteori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(som jag)</w:t>
      </w:r>
      <w:r w:rsidR="004376FC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763798" w:rsidRPr="002B32B9">
        <w:rPr>
          <w:rFonts w:ascii="Times New Roman" w:hAnsi="Times New Roman" w:cs="Times New Roman"/>
          <w:b/>
          <w:sz w:val="24"/>
          <w:szCs w:val="24"/>
          <w:lang w:val="sv-SE"/>
        </w:rPr>
        <w:t>tenderar att f</w:t>
      </w:r>
      <w:r w:rsidR="00DE2A24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okusera på </w:t>
      </w:r>
      <w:r w:rsidR="004376FC" w:rsidRPr="002B32B9">
        <w:rPr>
          <w:rFonts w:ascii="Times New Roman" w:hAnsi="Times New Roman" w:cs="Times New Roman"/>
          <w:b/>
          <w:sz w:val="24"/>
          <w:szCs w:val="24"/>
          <w:lang w:val="sv-SE"/>
        </w:rPr>
        <w:t>organiserandet</w:t>
      </w:r>
      <w:r w:rsidR="00763798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; en kulturgeograf tenderar att </w:t>
      </w:r>
      <w:r w:rsidR="00DE2A24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undra </w:t>
      </w:r>
      <w:r w:rsidR="00763798" w:rsidRPr="002B32B9">
        <w:rPr>
          <w:rFonts w:ascii="Times New Roman" w:hAnsi="Times New Roman" w:cs="Times New Roman"/>
          <w:b/>
          <w:sz w:val="24"/>
          <w:szCs w:val="24"/>
          <w:lang w:val="sv-SE"/>
        </w:rPr>
        <w:t>om plats och rum; en sociolog om hur det social</w:t>
      </w:r>
      <w:r w:rsidR="006E6EFB" w:rsidRPr="002B32B9">
        <w:rPr>
          <w:rFonts w:ascii="Times New Roman" w:hAnsi="Times New Roman" w:cs="Times New Roman"/>
          <w:b/>
          <w:sz w:val="24"/>
          <w:szCs w:val="24"/>
          <w:lang w:val="sv-SE"/>
        </w:rPr>
        <w:t>a</w:t>
      </w:r>
      <w:r w:rsidR="003409EB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uppstår</w:t>
      </w:r>
      <w:r w:rsidR="00763798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och vad det har för konsekvenser; en etnolog att förklara saker och ting i termer av kultur. </w:t>
      </w:r>
      <w:r w:rsidR="00AD7FA3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Hur </w:t>
      </w:r>
      <w:r w:rsidR="006E6EFB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man närmar sig </w:t>
      </w:r>
      <w:r w:rsidR="00DE2A24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olika </w:t>
      </w:r>
      <w:r w:rsidR="006E6EFB" w:rsidRPr="002B32B9">
        <w:rPr>
          <w:rFonts w:ascii="Times New Roman" w:hAnsi="Times New Roman" w:cs="Times New Roman"/>
          <w:b/>
          <w:sz w:val="24"/>
          <w:szCs w:val="24"/>
          <w:lang w:val="sv-SE"/>
        </w:rPr>
        <w:t>frågor</w:t>
      </w:r>
      <w:r w:rsidR="00AD7FA3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är inte </w:t>
      </w:r>
      <w:r w:rsidR="006E6EFB" w:rsidRPr="002B32B9">
        <w:rPr>
          <w:rFonts w:ascii="Times New Roman" w:hAnsi="Times New Roman" w:cs="Times New Roman"/>
          <w:b/>
          <w:sz w:val="24"/>
          <w:szCs w:val="24"/>
          <w:lang w:val="sv-SE"/>
        </w:rPr>
        <w:t>exakt bestämt</w:t>
      </w:r>
      <w:r w:rsidR="00AD7FA3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i förväg, men den allmänna ansatsen tendera</w:t>
      </w:r>
      <w:r w:rsidR="00501372">
        <w:rPr>
          <w:rFonts w:ascii="Times New Roman" w:hAnsi="Times New Roman" w:cs="Times New Roman"/>
          <w:b/>
          <w:sz w:val="24"/>
          <w:szCs w:val="24"/>
          <w:lang w:val="sv-SE"/>
        </w:rPr>
        <w:t>r att</w:t>
      </w:r>
      <w:r w:rsidR="00AD7FA3" w:rsidRPr="002B32B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vara det.</w:t>
      </w:r>
    </w:p>
    <w:p w14:paraId="231DFC12" w14:textId="77777777" w:rsidR="002B32B9" w:rsidRDefault="002B32B9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05C0F63" w14:textId="4AF4F689" w:rsidR="002B32B9" w:rsidRPr="002B32B9" w:rsidRDefault="002B32B9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>Jag har en bakgrund inom företagsekonomi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>, e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tt ämne som förvisso har en tradition av att låna från andra ämnen, bland andra statsvetenskap, nationalekonomi, psykologi, sociologi och etnologi. I min avhandling använde jag mig för att analysera årsredovisningar</w:t>
      </w:r>
      <w:r w:rsidR="00C752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exempelvis av litteraturvetenskap, närmare bestämt </w:t>
      </w:r>
      <w:r w:rsidRPr="002B32B9">
        <w:rPr>
          <w:rFonts w:ascii="Times New Roman" w:hAnsi="Times New Roman" w:cs="Times New Roman"/>
          <w:bCs/>
          <w:sz w:val="24"/>
          <w:szCs w:val="24"/>
          <w:lang w:val="sv-SE"/>
        </w:rPr>
        <w:t>receptionsteori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Pr="002B32B9">
        <w:rPr>
          <w:rFonts w:ascii="Times New Roman" w:hAnsi="Times New Roman" w:cs="Times New Roman"/>
          <w:i/>
          <w:sz w:val="24"/>
          <w:szCs w:val="24"/>
          <w:lang w:val="sv-SE"/>
        </w:rPr>
        <w:t>Rezeptionsästetik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) som betonar läsarens roll i skapandet av texter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och narratologi (</w:t>
      </w:r>
      <w:r w:rsidR="00C752FE">
        <w:rPr>
          <w:rFonts w:ascii="Times New Roman" w:hAnsi="Times New Roman" w:cs="Times New Roman"/>
          <w:i/>
          <w:sz w:val="24"/>
          <w:szCs w:val="24"/>
          <w:lang w:val="sv-SE"/>
        </w:rPr>
        <w:t>n</w:t>
      </w:r>
      <w:r w:rsidRPr="002B32B9">
        <w:rPr>
          <w:rFonts w:ascii="Times New Roman" w:hAnsi="Times New Roman" w:cs="Times New Roman"/>
          <w:i/>
          <w:sz w:val="24"/>
          <w:szCs w:val="24"/>
          <w:lang w:val="sv-SE"/>
        </w:rPr>
        <w:t>arratology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) som studerar berättelsernas formella egenskaper. Men det var i samband med att jag</w:t>
      </w:r>
      <w:r w:rsidR="00BA518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 xml:space="preserve">år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2003 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 xml:space="preserve">kom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till 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nstitution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för service management, som den då hette, som min resa mot tvärvetenskapligheten 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 xml:space="preserve">riktigt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tog fart.</w:t>
      </w:r>
    </w:p>
    <w:p w14:paraId="76C7226D" w14:textId="77777777" w:rsidR="002B32B9" w:rsidRPr="002B32B9" w:rsidRDefault="002B32B9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080AB27" w14:textId="13418EFD" w:rsidR="00763798" w:rsidRDefault="002B32B9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Om man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>börjar</w:t>
      </w:r>
      <w:r w:rsidR="00AD7FA3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arbeta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på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en flervetenskaplig institution </w:t>
      </w:r>
      <w:r w:rsidR="00AD7FA3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börjar man 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umgås 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med folk 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som kommer från 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>andra ämne</w:t>
      </w:r>
      <w:r w:rsidR="002C5B71" w:rsidRPr="002B32B9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AD7FA3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Då 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inser man snabbt att 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>ens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reflexer är ämnesspecifika, betingade av ett längre umgänge med 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begrepp 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som 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kanske 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 xml:space="preserve">är 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>allmänt kända inom ämne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>, men knappast utanför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Man inser att 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>personen bredvid ser helt andra saker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i det som man tittar på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 xml:space="preserve"> – 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>först med förvåning, sedan med nyfikenhet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>. När de</w:t>
      </w:r>
      <w:r w:rsidR="002C5B71" w:rsidRPr="002B32B9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ena undrar om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hur tjänster 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rganiseras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>, undrar den andra om plats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en där den 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>utförs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AD7FA3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medan den tredje funderar på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vad en tjänste</w:t>
      </w:r>
      <w:r w:rsidR="00AD7FA3" w:rsidRPr="002B32B9">
        <w:rPr>
          <w:rFonts w:ascii="Times New Roman" w:hAnsi="Times New Roman" w:cs="Times New Roman"/>
          <w:sz w:val="24"/>
          <w:szCs w:val="24"/>
          <w:lang w:val="sv-SE"/>
        </w:rPr>
        <w:t>kultur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kan vara</w:t>
      </w:r>
      <w:r w:rsidR="00763798" w:rsidRPr="002B32B9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D65ED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D7FA3" w:rsidRPr="002B32B9">
        <w:rPr>
          <w:rFonts w:ascii="Times New Roman" w:hAnsi="Times New Roman" w:cs="Times New Roman"/>
          <w:sz w:val="24"/>
          <w:szCs w:val="24"/>
          <w:lang w:val="sv-SE"/>
        </w:rPr>
        <w:t>Och a</w:t>
      </w:r>
      <w:r w:rsidR="00D65ED0" w:rsidRPr="002B32B9">
        <w:rPr>
          <w:rFonts w:ascii="Times New Roman" w:hAnsi="Times New Roman" w:cs="Times New Roman"/>
          <w:sz w:val="24"/>
          <w:szCs w:val="24"/>
          <w:lang w:val="sv-SE"/>
        </w:rPr>
        <w:t>rbetar man en längre tid tillsammans lär man sig, börjar man t</w:t>
      </w:r>
      <w:r w:rsidR="005502FD">
        <w:rPr>
          <w:rFonts w:ascii="Times New Roman" w:hAnsi="Times New Roman" w:cs="Times New Roman"/>
          <w:sz w:val="24"/>
          <w:szCs w:val="24"/>
          <w:lang w:val="sv-SE"/>
        </w:rPr>
        <w:t>ill och med</w:t>
      </w:r>
      <w:r w:rsidR="00D65ED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förvänta sig</w:t>
      </w:r>
      <w:r w:rsidR="0050137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D65ED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den andras </w:t>
      </w:r>
      <w:r w:rsidR="002F408E">
        <w:rPr>
          <w:rFonts w:ascii="Times New Roman" w:hAnsi="Times New Roman" w:cs="Times New Roman"/>
          <w:sz w:val="24"/>
          <w:szCs w:val="24"/>
          <w:lang w:val="sv-SE"/>
        </w:rPr>
        <w:t>synsätt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på de frågor som intresserar en</w:t>
      </w:r>
      <w:r w:rsidR="00D65ED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>Tvärvetenskapligheten föds av möte</w:t>
      </w:r>
      <w:r w:rsidR="002C5B71" w:rsidRPr="002B32B9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mellan ämne</w:t>
      </w:r>
      <w:r w:rsidR="002C5B71" w:rsidRPr="002B32B9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7332E53C" w14:textId="77777777" w:rsidR="005502FD" w:rsidRPr="002B32B9" w:rsidRDefault="005502FD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291287C" w14:textId="4E8AD192" w:rsidR="00763798" w:rsidRPr="002B32B9" w:rsidRDefault="00AD7FA3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Man upptäcker också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snart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att alla 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inte skriver på samma sätt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inom akademin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. A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>tt man under sina studieår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lärt sig mycket specifika skrivsätt 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blir snart uppenbart.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Det kan illustreras me</w:t>
      </w:r>
      <w:r w:rsidR="002C5B71" w:rsidRPr="002B32B9">
        <w:rPr>
          <w:rFonts w:ascii="Times New Roman" w:hAnsi="Times New Roman" w:cs="Times New Roman"/>
          <w:sz w:val="24"/>
          <w:szCs w:val="24"/>
          <w:lang w:val="sv-SE"/>
        </w:rPr>
        <w:t>d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en grupp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diskussion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som uppstod för några år sedan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bland handledarna 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>om huruvida teori ska komma förre eller efter metoden i student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>ernas kandidatuppsatser</w:t>
      </w:r>
      <w:r w:rsidR="000A1D78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>Representanter från historia eller etnologi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två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>ämne</w:t>
      </w:r>
      <w:r w:rsidR="00086AFC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där metoden är central för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ämnets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särart,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uttryckte att de föredrar att metoden kommer först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att </w:t>
      </w:r>
      <w:r w:rsidR="00086AFC">
        <w:rPr>
          <w:rFonts w:ascii="Times New Roman" w:hAnsi="Times New Roman" w:cs="Times New Roman"/>
          <w:sz w:val="24"/>
          <w:szCs w:val="24"/>
          <w:lang w:val="sv-SE"/>
        </w:rPr>
        <w:t xml:space="preserve">först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veta vad man pratar om </w:t>
      </w:r>
      <w:r w:rsidR="00086AFC">
        <w:rPr>
          <w:rFonts w:ascii="Times New Roman" w:hAnsi="Times New Roman" w:cs="Times New Roman"/>
          <w:sz w:val="24"/>
          <w:szCs w:val="24"/>
          <w:lang w:val="sv-SE"/>
        </w:rPr>
        <w:t>och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därefter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>förklara med hjälp av teori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Men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lastRenderedPageBreak/>
        <w:t>r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>epresentanter</w:t>
      </w:r>
      <w:r w:rsidR="002C5B71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från företagsekonomi och human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ekologi,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två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>ämne</w:t>
      </w:r>
      <w:r w:rsidR="002C5B71" w:rsidRPr="002B32B9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där man snarare utgår från teorier, uttryckte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att de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förespråkar att teori kommer först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för att sedan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>operationaliseras i metoden</w:t>
      </w:r>
      <w:r w:rsidR="00086AF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så att denna hjälper till att besvara forskningsfrågan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lla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var självfallet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>överens att det beror på vad studenterna vill göra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en det fanns en tydlig skiljelinje mellan hur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lärarna tyck</w:t>
      </w:r>
      <w:r w:rsidR="00117E16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e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att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>man b</w:t>
      </w:r>
      <w:r w:rsidR="00117E16">
        <w:rPr>
          <w:rFonts w:ascii="Times New Roman" w:hAnsi="Times New Roman" w:cs="Times New Roman"/>
          <w:sz w:val="24"/>
          <w:szCs w:val="24"/>
          <w:lang w:val="sv-SE"/>
        </w:rPr>
        <w:t>orde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>skriva.</w:t>
      </w:r>
    </w:p>
    <w:p w14:paraId="269BE272" w14:textId="77777777" w:rsidR="00086AFC" w:rsidRDefault="00086AFC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0977764" w14:textId="238024F9" w:rsidR="00D65ED0" w:rsidRPr="002B32B9" w:rsidRDefault="00D65ED0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>Att lära sig arbeta tvärvetenskaplig</w:t>
      </w:r>
      <w:r w:rsidR="00086AFC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kräver att man blir medveten om sina reflexer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inser hur ämnesspecifika de är, 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och </w:t>
      </w:r>
      <w:r w:rsidR="00047414" w:rsidRPr="002B32B9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086A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4741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stället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utveckla</w:t>
      </w:r>
      <w:r w:rsidR="00785A0F" w:rsidRPr="002B32B9">
        <w:rPr>
          <w:rFonts w:ascii="Times New Roman" w:hAnsi="Times New Roman" w:cs="Times New Roman"/>
          <w:sz w:val="24"/>
          <w:szCs w:val="24"/>
          <w:lang w:val="sv-SE"/>
        </w:rPr>
        <w:t>r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öppenhet</w:t>
      </w:r>
      <w:r w:rsidR="00086AFC">
        <w:rPr>
          <w:rFonts w:ascii="Times New Roman" w:hAnsi="Times New Roman" w:cs="Times New Roman"/>
          <w:sz w:val="24"/>
          <w:szCs w:val="24"/>
          <w:lang w:val="sv-SE"/>
        </w:rPr>
        <w:t>sreflexer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6DCBFBF6" w14:textId="77777777" w:rsidR="004004EC" w:rsidRPr="002B32B9" w:rsidRDefault="004004EC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58DF4E4" w14:textId="77777777" w:rsidR="00D65ED0" w:rsidRPr="005502FD" w:rsidRDefault="00D65ED0" w:rsidP="0014496D">
      <w:pPr>
        <w:pStyle w:val="Rubrik2"/>
        <w:spacing w:before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v-SE"/>
        </w:rPr>
      </w:pPr>
      <w:r w:rsidRPr="005502FD">
        <w:rPr>
          <w:rFonts w:ascii="Times New Roman" w:hAnsi="Times New Roman" w:cs="Times New Roman"/>
          <w:b/>
          <w:color w:val="auto"/>
          <w:sz w:val="24"/>
          <w:szCs w:val="24"/>
          <w:lang w:val="sv-SE"/>
        </w:rPr>
        <w:t>Relationer</w:t>
      </w:r>
    </w:p>
    <w:p w14:paraId="6DAA5FED" w14:textId="28DAC5D8" w:rsidR="005502FD" w:rsidRPr="00117E16" w:rsidRDefault="00B900DE" w:rsidP="0014496D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Att lära sig arbeta tvärvetenskapligt är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också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att utveckla nya relationer: till begrepp, till studieobjekt, till metod, och inte minst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>till andra</w:t>
      </w:r>
      <w:r w:rsidR="00086AFC">
        <w:rPr>
          <w:rFonts w:ascii="Times New Roman" w:hAnsi="Times New Roman" w:cs="Times New Roman"/>
          <w:sz w:val="24"/>
          <w:szCs w:val="24"/>
          <w:lang w:val="sv-SE"/>
        </w:rPr>
        <w:t xml:space="preserve"> människor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Dessa nya relationer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skapar ett nytt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akademiskt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rum för forskning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>en,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menar Richard Ek och </w:t>
      </w:r>
      <w:r w:rsidR="00DE2A24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undertecknad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begin"/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instrText xml:space="preserve"> ADDIN EN.CITE &lt;EndNote&gt;&lt;Cite&gt;&lt;Author&gt;Corvellec&lt;/Author&gt;&lt;Year&gt;2015&lt;/Year&gt;&lt;RecNum&gt;3343&lt;/RecNum&gt;&lt;DisplayText&gt;(Corvellec &amp;amp; Ek, 2015)&lt;/DisplayText&gt;&lt;record&gt;&lt;rec-number&gt;3343&lt;/rec-number&gt;&lt;foreign-keys&gt;&lt;key app="EN" db-id="txwvp9efbt9tfzetvrzxsvwmtfsraeva905v" timestamp="1463307504"&gt;3343&lt;/key&gt;&lt;/foreign-keys&gt;&lt;ref-type name="Book Section"&gt;5&lt;/ref-type&gt;&lt;contributors&gt;&lt;authors&gt;&lt;author&gt;Corvellec, Hervé &lt;/author&gt;&lt;author&gt;Ek, Richard&lt;/author&gt;&lt;/authors&gt;&lt;secondary-authors&gt;&lt;author&gt;Andersson, Gunnar&lt;/author&gt;&lt;author&gt;Jerneck, Magnus&lt;/author&gt;&lt;/secondary-authors&gt;&lt;/contributors&gt;&lt;titles&gt;&lt;title&gt;Tvärvetenskap – ”Nej, ers majestät, det är en revolution”&lt;/title&gt;&lt;secondary-title&gt;Samhällsvetenskapliga fakulteten i Lund – en vital 50-åring. En jubileumsskift&lt;/secondary-title&gt;&lt;/titles&gt;&lt;pages&gt;291-300&lt;/pages&gt;&lt;dates&gt;&lt;year&gt;2015&lt;/year&gt;&lt;/dates&gt;&lt;pub-location&gt;Lund&lt;/pub-location&gt;&lt;publisher&gt;Samhällsvetenskapliga fakulteten, Lunds universitet&lt;/publisher&gt;&lt;urls&gt;&lt;/urls&gt;&lt;/record&gt;&lt;/Cite&gt;&lt;/EndNote&gt;</w:instrTex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separate"/>
      </w:r>
      <w:r w:rsidR="00CC6E26" w:rsidRPr="002B32B9">
        <w:rPr>
          <w:rFonts w:ascii="Times New Roman" w:hAnsi="Times New Roman" w:cs="Times New Roman"/>
          <w:noProof/>
          <w:sz w:val="24"/>
          <w:szCs w:val="24"/>
          <w:lang w:val="sv-SE"/>
        </w:rPr>
        <w:t>(Corvellec &amp; Ek 2015)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end"/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Traditionella </w:t>
      </w:r>
      <w:r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>ämne</w:t>
      </w:r>
      <w:r w:rsidR="00086AFC">
        <w:rPr>
          <w:rFonts w:ascii="Times New Roman" w:hAnsi="Times New Roman" w:cs="Times New Roman"/>
          <w:color w:val="000000"/>
          <w:sz w:val="24"/>
          <w:szCs w:val="24"/>
          <w:lang w:val="sv-SE"/>
        </w:rPr>
        <w:t>n</w:t>
      </w:r>
      <w:r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delar </w:t>
      </w:r>
      <w:r w:rsidR="00086AF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in </w:t>
      </w:r>
      <w:r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det akademiska </w:t>
      </w:r>
      <w:r w:rsidR="00CC6E2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>territoriet</w:t>
      </w:r>
      <w:r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i regionala enheter, med underdiscipliner som har växt fram historiskt och som förvaltas genom utbildningar, forsk</w:t>
      </w:r>
      <w:r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softHyphen/>
        <w:t>ningsa</w:t>
      </w:r>
      <w:r w:rsidR="0002089B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>nslag, tidskrifter, professurer</w:t>
      </w:r>
      <w:r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och medieframträdanden</w:t>
      </w:r>
      <w:r w:rsidR="00CC6E2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. Tvärvetenskapligheten skapar </w:t>
      </w:r>
      <w:r w:rsidR="0092149E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i gengäld </w:t>
      </w:r>
      <w:r w:rsidR="00CC6E2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ett akademiskt rum </w:t>
      </w:r>
      <w:r w:rsidR="0092149E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med </w:t>
      </w:r>
      <w:r w:rsidR="00CC6E2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>upplösta</w:t>
      </w:r>
      <w:r w:rsidR="00AA185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92149E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>gränser</w:t>
      </w:r>
      <w:r w:rsidR="00AA185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. I tvärvetenskaplighet finns det </w:t>
      </w:r>
      <w:r w:rsidR="00CC6E2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>maskhål som tar en direkt från den ena punkt</w:t>
      </w:r>
      <w:r w:rsidR="0092149E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>en</w:t>
      </w:r>
      <w:r w:rsidR="00CC6E2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till den andra utan att</w:t>
      </w:r>
      <w:r w:rsidR="00086AF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man</w:t>
      </w:r>
      <w:r w:rsidR="00CC6E2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behöv</w:t>
      </w:r>
      <w:r w:rsidR="00086AFC">
        <w:rPr>
          <w:rFonts w:ascii="Times New Roman" w:hAnsi="Times New Roman" w:cs="Times New Roman"/>
          <w:color w:val="000000"/>
          <w:sz w:val="24"/>
          <w:szCs w:val="24"/>
          <w:lang w:val="sv-SE"/>
        </w:rPr>
        <w:t>er</w:t>
      </w:r>
      <w:r w:rsidR="00CC6E2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AA185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gå igenom </w:t>
      </w:r>
      <w:r w:rsidR="00CC6E2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>allt som finns emellan</w:t>
      </w:r>
      <w:r w:rsidR="00AA1856" w:rsidRPr="002B32B9">
        <w:rPr>
          <w:rFonts w:ascii="Times New Roman" w:hAnsi="Times New Roman" w:cs="Times New Roman"/>
          <w:color w:val="000000"/>
          <w:sz w:val="24"/>
          <w:szCs w:val="24"/>
          <w:lang w:val="sv-SE"/>
        </w:rPr>
        <w:t>:</w:t>
      </w:r>
    </w:p>
    <w:p w14:paraId="7063874F" w14:textId="3818F27D" w:rsidR="005502FD" w:rsidRPr="00086AFC" w:rsidRDefault="00CC6E26" w:rsidP="0014496D">
      <w:pPr>
        <w:pStyle w:val="Citat"/>
        <w:spacing w:line="276" w:lineRule="auto"/>
        <w:ind w:left="862" w:right="86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</w:pPr>
      <w:r w:rsidRPr="00117E16"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  <w:t>Att arbeta tvärvetenskapligt är som att färdas genom relativitetsteorins maskhål: det känns konstigt och man vet inte var man kommer ut. Bara att man förhoppningsvis landar i ett nydesignat vetenskapligt rum där den mänskliga föreställnings- och för</w:t>
      </w:r>
      <w:r w:rsidRPr="00117E16"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  <w:softHyphen/>
        <w:t>ståelsehorisonten vidgas så att det blir möjligt att</w:t>
      </w:r>
      <w:r w:rsidR="00FF5BB9" w:rsidRPr="00117E16"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  <w:t xml:space="preserve"> utveckla </w:t>
      </w:r>
      <w:r w:rsidRPr="00117E16"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  <w:t>arbetshypote</w:t>
      </w:r>
      <w:r w:rsidRPr="00117E16"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  <w:softHyphen/>
        <w:t xml:space="preserve">ser, teorier, begrepp, och resonemang som inte styrs av de </w:t>
      </w:r>
      <w:r w:rsidRPr="00086AFC"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  <w:t>konventionella ämnesgränserna</w:t>
      </w:r>
      <w:r w:rsidR="00575D5D" w:rsidRPr="00086AFC"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  <w:t xml:space="preserve"> (</w:t>
      </w:r>
      <w:r w:rsidR="00086AFC" w:rsidRPr="00086AFC"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  <w:t>Corvellec &amp; Ek</w:t>
      </w:r>
      <w:r w:rsidR="00086AFC" w:rsidRPr="00117E16"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  <w:t xml:space="preserve"> 2015, </w:t>
      </w:r>
      <w:r w:rsidR="00575D5D" w:rsidRPr="00117E16"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  <w:t>s. 298)</w:t>
      </w:r>
      <w:r w:rsidR="00086AFC" w:rsidRPr="00117E16">
        <w:rPr>
          <w:rFonts w:ascii="Times New Roman" w:hAnsi="Times New Roman" w:cs="Times New Roman"/>
          <w:i w:val="0"/>
          <w:iCs w:val="0"/>
          <w:sz w:val="24"/>
          <w:szCs w:val="24"/>
          <w:lang w:val="sv-SE"/>
        </w:rPr>
        <w:t>.</w:t>
      </w:r>
    </w:p>
    <w:p w14:paraId="354AC4C1" w14:textId="1603EA6F" w:rsidR="00CC6E26" w:rsidRDefault="0092149E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Notera att detta stycke är ett exempel på vad jag menar i det </w:t>
      </w:r>
      <w:r w:rsidR="00086AFC">
        <w:rPr>
          <w:rFonts w:ascii="Times New Roman" w:hAnsi="Times New Roman" w:cs="Times New Roman"/>
          <w:sz w:val="24"/>
          <w:szCs w:val="24"/>
          <w:lang w:val="sv-SE"/>
        </w:rPr>
        <w:t>att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de</w:t>
      </w:r>
      <w:r w:rsidR="00086AFC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skrivs av en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>företagsekonom</w:t>
      </w:r>
      <w:r w:rsidR="00117E1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men utifrån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>den kultur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geografiska teorin om topologi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5502F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På ett mer konkret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sätt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 xml:space="preserve"> kan det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752FE">
        <w:rPr>
          <w:rFonts w:ascii="Times New Roman" w:hAnsi="Times New Roman" w:cs="Times New Roman"/>
          <w:sz w:val="24"/>
          <w:szCs w:val="24"/>
          <w:lang w:val="sv-SE"/>
        </w:rPr>
        <w:t xml:space="preserve">faktum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att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tvärvetenskaplighet leder till nya relationer illustreras med en artikel som </w:t>
      </w:r>
      <w:r w:rsidR="005502FD">
        <w:rPr>
          <w:rFonts w:ascii="Times New Roman" w:hAnsi="Times New Roman" w:cs="Times New Roman"/>
          <w:sz w:val="24"/>
          <w:szCs w:val="24"/>
          <w:lang w:val="sv-SE"/>
        </w:rPr>
        <w:t>vi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>skrev</w:t>
      </w:r>
      <w:r w:rsidR="00891C2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om kollektivåkande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begin"/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instrText xml:space="preserve"> ADDIN EN.CITE &lt;EndNote&gt;&lt;Cite&gt;&lt;Author&gt;Corvellec&lt;/Author&gt;&lt;Year&gt;2012&lt;/Year&gt;&lt;RecNum&gt;1280&lt;/RecNum&gt;&lt;DisplayText&gt;(Corvellec &amp;amp; Odell, 2012)&lt;/DisplayText&gt;&lt;record&gt;&lt;rec-number&gt;1280&lt;/rec-number&gt;&lt;foreign-keys&gt;&lt;key app="EN" db-id="txwvp9efbt9tfzetvrzxsvwmtfsraeva905v" timestamp="0"&gt;1280&lt;/key&gt;&lt;/foreign-keys&gt;&lt;ref-type name="Journal Article"&gt;17&lt;/ref-type&gt;&lt;contributors&gt;&lt;authors&gt;&lt;author&gt;Corvellec, Hervé&lt;/author&gt;&lt;author&gt;Odell, Tom&lt;/author&gt;&lt;/authors&gt;&lt;/contributors&gt;&lt;titles&gt;&lt;title&gt;Demanding Hosts and Ungrateful Guests – The Everyday Drama of Public Transportation in Three Acts and Academic Prose&lt;/title&gt;&lt;secondary-title&gt;Culture and Organizations&lt;/secondary-title&gt;&lt;/titles&gt;&lt;pages&gt;231-249&lt;/pages&gt;&lt;volume&gt;18&lt;/volume&gt;&lt;number&gt;3&lt;/number&gt;&lt;dates&gt;&lt;year&gt;2012&lt;/year&gt;&lt;/dates&gt;&lt;urls&gt;&lt;/urls&gt;&lt;/record&gt;&lt;/Cite&gt;&lt;/EndNote&gt;</w:instrTex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separate"/>
      </w:r>
      <w:r w:rsidR="00CC6E26" w:rsidRPr="002B32B9">
        <w:rPr>
          <w:rFonts w:ascii="Times New Roman" w:hAnsi="Times New Roman" w:cs="Times New Roman"/>
          <w:noProof/>
          <w:sz w:val="24"/>
          <w:szCs w:val="24"/>
          <w:lang w:val="sv-SE"/>
        </w:rPr>
        <w:t>(Corvellec &amp; O</w:t>
      </w:r>
      <w:r w:rsidR="005502FD">
        <w:rPr>
          <w:rFonts w:ascii="Times New Roman" w:hAnsi="Times New Roman" w:cs="Times New Roman"/>
          <w:noProof/>
          <w:sz w:val="24"/>
          <w:szCs w:val="24"/>
          <w:lang w:val="sv-SE"/>
        </w:rPr>
        <w:t>'D</w:t>
      </w:r>
      <w:r w:rsidR="00CC6E26" w:rsidRPr="002B32B9">
        <w:rPr>
          <w:rFonts w:ascii="Times New Roman" w:hAnsi="Times New Roman" w:cs="Times New Roman"/>
          <w:noProof/>
          <w:sz w:val="24"/>
          <w:szCs w:val="24"/>
          <w:lang w:val="sv-SE"/>
        </w:rPr>
        <w:t>ell 2012)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end"/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I den beskriver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vi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hur två typer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av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gästvänlighet konfronteras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vid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pendling. Den ena är Skånetrafikens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byråkratiska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gästvänlighet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som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organisera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resor dit resenärer är välkomna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42B61">
        <w:rPr>
          <w:rFonts w:ascii="Times New Roman" w:hAnsi="Times New Roman" w:cs="Times New Roman"/>
          <w:sz w:val="24"/>
          <w:szCs w:val="24"/>
          <w:lang w:val="sv-SE"/>
        </w:rPr>
        <w:t>med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villkoren att ha löst biljett, komma i tid, och följa </w:t>
      </w:r>
      <w:r w:rsidR="0002089B" w:rsidRPr="002B32B9">
        <w:rPr>
          <w:rFonts w:ascii="Times New Roman" w:hAnsi="Times New Roman" w:cs="Times New Roman"/>
          <w:sz w:val="24"/>
          <w:szCs w:val="24"/>
          <w:lang w:val="sv-SE"/>
        </w:rPr>
        <w:t>reglerna ombord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>. Den andra är resenärernas gästvänlighet att låta Skånetrafiken bli en del av deras vardag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liga rutiner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och hemkänsla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Vi menar att b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>åd</w:t>
      </w:r>
      <w:r w:rsidR="0002089B" w:rsidRPr="002B32B9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Skånetrafiken och pendlaren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>ser sig själv som värd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medan </w:t>
      </w:r>
      <w:r w:rsidR="00CC6E26" w:rsidRPr="002B32B9">
        <w:rPr>
          <w:rFonts w:ascii="Times New Roman" w:hAnsi="Times New Roman" w:cs="Times New Roman"/>
          <w:sz w:val="24"/>
          <w:szCs w:val="24"/>
          <w:lang w:val="sv-SE"/>
        </w:rPr>
        <w:t>båd</w:t>
      </w:r>
      <w:r w:rsidR="00891C2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av den andra betraktas som g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äst </w:t>
      </w:r>
      <w:r w:rsidR="0002089B" w:rsidRPr="002B32B9">
        <w:rPr>
          <w:rFonts w:ascii="Times New Roman" w:hAnsi="Times New Roman" w:cs="Times New Roman"/>
          <w:sz w:val="24"/>
          <w:szCs w:val="24"/>
          <w:lang w:val="sv-SE"/>
        </w:rPr>
        <w:t>– med motstridig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891C2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syn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punkter</w:t>
      </w:r>
      <w:r w:rsidR="00891C2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på ansvar och förpliktelser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som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nog kan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>förklara en och annan frustration när tåget inte kommer fram i tid</w:t>
      </w:r>
      <w:r w:rsidR="00891C2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Hade vi stannat inom v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å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ra traditionella akademiska territori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er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91C2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hade vi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inte </w:t>
      </w:r>
      <w:r w:rsidR="00891C2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kunnat </w:t>
      </w:r>
      <w:r w:rsidR="00AA1856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koppla ihop byråkratin och hemkänslan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på detta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sätt</w:t>
      </w:r>
      <w:r w:rsidR="00891C20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106AFF0D" w14:textId="77777777" w:rsidR="005502FD" w:rsidRPr="005502FD" w:rsidRDefault="005502FD" w:rsidP="0014496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73C74E84" w14:textId="7C615D19" w:rsidR="00CC6E26" w:rsidRPr="002B32B9" w:rsidRDefault="00891C20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>Ett annat exempel är när Richard Ek</w:t>
      </w:r>
      <w:r w:rsidR="00C9025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117E16">
        <w:rPr>
          <w:rFonts w:ascii="Times New Roman" w:hAnsi="Times New Roman" w:cs="Times New Roman"/>
          <w:sz w:val="24"/>
          <w:szCs w:val="24"/>
          <w:lang w:val="sv-SE"/>
        </w:rPr>
        <w:t>jag själv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C9025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tillsammans med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en sociolog och en 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>förvaltningsekonom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från Göteborgs universitet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begin"/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instrText xml:space="preserve"> ADDIN EN.CITE &lt;EndNote&gt;&lt;Cite&gt;&lt;Author&gt;Corvellec&lt;/Author&gt;&lt;Year&gt;2018&lt;/Year&gt;&lt;RecNum&gt;5083&lt;/RecNum&gt;&lt;DisplayText&gt;(Corvellec, Ek, Zapata, &amp;amp; Zapata Campos, 2018)&lt;/DisplayText&gt;&lt;record&gt;&lt;rec-number&gt;5083&lt;/rec-number&gt;&lt;foreign-keys&gt;&lt;key app="EN" db-id="txwvp9efbt9tfzetvrzxsvwmtfsraeva905v" timestamp="1529066005"&gt;5083&lt;/key&gt;&lt;/foreign-keys&gt;&lt;ref-type name="Journal Article"&gt;17&lt;/ref-type&gt;&lt;contributors&gt;&lt;authors&gt;&lt;author&gt;Corvellec, Hervé&lt;/author&gt;&lt;author&gt;Ek, Richard&lt;/author&gt;&lt;author&gt;Zapata, Patrik&lt;/author&gt;&lt;author&gt;Zapata Campos, María José&lt;/author&gt;&lt;/authors&gt;&lt;/contributors&gt;&lt;titles&gt;&lt;title&gt;Acting on distances: A topology of accounting inscriptions&lt;/title&gt;&lt;secondary-title&gt;Accounting, Organizations and Society&lt;/secondary-title&gt;&lt;/titles&gt;&lt;periodical&gt;&lt;full-title&gt;Accounting, Organizations and Society&lt;/full-title&gt;&lt;/periodical&gt;&lt;pages&gt;56-65&lt;/pages&gt;&lt;volume&gt;67&lt;/volume&gt;&lt;keywords&gt;&lt;keyword&gt;Inscription&lt;/keyword&gt;&lt;keyword&gt;Topology&lt;/keyword&gt;&lt;keyword&gt;Environmental governance&lt;/keyword&gt;&lt;keyword&gt;Invoice&lt;/keyword&gt;&lt;keyword&gt;Waste&lt;/keyword&gt;&lt;keyword&gt;Pay-as-you-throw&lt;/keyword&gt;&lt;/keywords&gt;&lt;dates&gt;&lt;year&gt;2018&lt;/year&gt;&lt;pub-dates&gt;&lt;date&gt;2018/05/01/&lt;/date&gt;&lt;/pub-dates&gt;&lt;/dates&gt;&lt;isbn&gt;0361-3682&lt;/isbn&gt;&lt;urls&gt;&lt;related-urls&gt;&lt;url&gt;http://www.sciencedirect.com/science/article/pii/S036136821630006X&lt;/url&gt;&lt;/related-urls&gt;&lt;/urls&gt;&lt;electronic-resource-num&gt;https://doi.org/10.1016/j.aos.2016.02.005&lt;/electronic-resource-num&gt;&lt;/record&gt;&lt;/Cite&gt;&lt;/EndNote&gt;</w:instrTex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separate"/>
      </w:r>
      <w:r w:rsidRPr="002B32B9">
        <w:rPr>
          <w:rFonts w:ascii="Times New Roman" w:hAnsi="Times New Roman" w:cs="Times New Roman"/>
          <w:noProof/>
          <w:sz w:val="24"/>
          <w:szCs w:val="24"/>
          <w:lang w:val="sv-SE"/>
        </w:rPr>
        <w:t>(Corvellec, Ek, Zapata &amp; Zapata Campos 2018)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end"/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visade hur avfallsfakturor i 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>ett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>viktbaserat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system ändrar </w:t>
      </w:r>
      <w:r w:rsidR="0092149E" w:rsidRPr="002B32B9">
        <w:rPr>
          <w:rFonts w:ascii="Times New Roman" w:hAnsi="Times New Roman" w:cs="Times New Roman"/>
          <w:sz w:val="24"/>
          <w:szCs w:val="24"/>
          <w:lang w:val="sv-SE"/>
        </w:rPr>
        <w:t>medborgarnas förhållande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2149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till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sin produktion av avfall, sin konsumtion och miljöpolitik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117E16">
        <w:rPr>
          <w:rFonts w:ascii="Times New Roman" w:hAnsi="Times New Roman" w:cs="Times New Roman"/>
          <w:sz w:val="24"/>
          <w:szCs w:val="24"/>
          <w:lang w:val="sv-SE"/>
        </w:rPr>
        <w:t>Våra olika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kompetens</w:t>
      </w:r>
      <w:r w:rsidR="00117E16">
        <w:rPr>
          <w:rFonts w:ascii="Times New Roman" w:hAnsi="Times New Roman" w:cs="Times New Roman"/>
          <w:sz w:val="24"/>
          <w:szCs w:val="24"/>
          <w:lang w:val="sv-SE"/>
        </w:rPr>
        <w:t>er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inom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redovisning, offentligt ledarskap, miljösociologi och subjektivitetens geografi </w:t>
      </w:r>
      <w:r w:rsidR="0092149E" w:rsidRPr="002B32B9">
        <w:rPr>
          <w:rFonts w:ascii="Times New Roman" w:hAnsi="Times New Roman" w:cs="Times New Roman"/>
          <w:sz w:val="24"/>
          <w:szCs w:val="24"/>
          <w:lang w:val="sv-SE"/>
        </w:rPr>
        <w:t>la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de</w:t>
      </w:r>
      <w:r w:rsidR="0092149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grund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92149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till en </w:t>
      </w:r>
      <w:r w:rsidR="0092149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innovativ </w:t>
      </w:r>
      <w:r w:rsidR="00C9025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syn på relationer mellan människor och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 xml:space="preserve">det </w:t>
      </w:r>
      <w:r w:rsidR="00C9025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material som är kvar efter konsumtion – och </w:t>
      </w:r>
      <w:r w:rsidR="0092149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öppnade dörren till en 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>av världen</w:t>
      </w:r>
      <w:r w:rsidR="00421219" w:rsidRPr="002B32B9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högst rankad</w:t>
      </w:r>
      <w:r w:rsidR="00421219" w:rsidRPr="002B32B9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redovisningstidskrift</w:t>
      </w:r>
      <w:r w:rsidR="00421219" w:rsidRPr="002B32B9">
        <w:rPr>
          <w:rFonts w:ascii="Times New Roman" w:hAnsi="Times New Roman" w:cs="Times New Roman"/>
          <w:sz w:val="24"/>
          <w:szCs w:val="24"/>
          <w:lang w:val="sv-SE"/>
        </w:rPr>
        <w:t>er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01C1204" w14:textId="77777777" w:rsidR="005502FD" w:rsidRDefault="005502FD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FEC0B3B" w14:textId="771F255E" w:rsidR="00CC6E26" w:rsidRPr="002B32B9" w:rsidRDefault="009C578B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>Ytterligare ett exempel är det fleråriga samarbete som kulturgeografen Johan Hultman och undertecknad har haft kring avfall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där vi </w:t>
      </w:r>
      <w:r w:rsidR="00421219" w:rsidRPr="002B32B9">
        <w:rPr>
          <w:rFonts w:ascii="Times New Roman" w:hAnsi="Times New Roman" w:cs="Times New Roman"/>
          <w:sz w:val="24"/>
          <w:szCs w:val="24"/>
          <w:lang w:val="sv-SE"/>
        </w:rPr>
        <w:t>kombinerat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våra kompetens</w:t>
      </w:r>
      <w:r w:rsidR="00421219" w:rsidRPr="002B32B9">
        <w:rPr>
          <w:rFonts w:ascii="Times New Roman" w:hAnsi="Times New Roman" w:cs="Times New Roman"/>
          <w:sz w:val="24"/>
          <w:szCs w:val="24"/>
          <w:lang w:val="sv-SE"/>
        </w:rPr>
        <w:t>er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för att beskriva hur avfallstjänster står för en bukett av värdeerbjudande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begin"/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instrText xml:space="preserve"> ADDIN EN.CITE &lt;EndNote&gt;&lt;Cite&gt;&lt;Author&gt;Corvellec&lt;/Author&gt;&lt;Year&gt;2014&lt;/Year&gt;&lt;RecNum&gt;2226&lt;/RecNum&gt;&lt;DisplayText&gt;(Corvellec &amp;amp; Hultman, 2014)&lt;/DisplayText&gt;&lt;record&gt;&lt;rec-number&gt;2226&lt;/rec-number&gt;&lt;foreign-keys&gt;&lt;key app="EN" db-id="txwvp9efbt9tfzetvrzxsvwmtfsraeva905v" timestamp="1384578283"&gt;2226&lt;/key&gt;&lt;/foreign-keys&gt;&lt;ref-type name="Journal Article"&gt;17&lt;/ref-type&gt;&lt;contributors&gt;&lt;authors&gt;&lt;author&gt;Corvellec, Hervé&lt;/author&gt;&lt;author&gt;Hultman, Johan&lt;/author&gt;&lt;/authors&gt;&lt;/contributors&gt;&lt;titles&gt;&lt;title&gt;Managing the politics of value propositions&lt;/title&gt;&lt;secondary-title&gt;Marketing Theory&lt;/secondary-title&gt;&lt;/titles&gt;&lt;periodical&gt;&lt;full-title&gt;Marketing Theory&lt;/full-title&gt;&lt;/periodical&gt;&lt;pages&gt;355-375&lt;/pages&gt;&lt;volume&gt;14&lt;/volume&gt;&lt;number&gt;4&lt;/number&gt;&lt;dates&gt;&lt;year&gt;2014&lt;/year&gt;&lt;/dates&gt;&lt;urls&gt;&lt;/urls&gt;&lt;electronic-resource-num&gt;10.1177/1470593114523445&lt;/electronic-resource-num&gt;&lt;/record&gt;&lt;/Cite&gt;&lt;/EndNote&gt;</w:instrTex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separate"/>
      </w:r>
      <w:r w:rsidRPr="002B32B9">
        <w:rPr>
          <w:rFonts w:ascii="Times New Roman" w:hAnsi="Times New Roman" w:cs="Times New Roman"/>
          <w:noProof/>
          <w:sz w:val="24"/>
          <w:szCs w:val="24"/>
          <w:lang w:val="sv-SE"/>
        </w:rPr>
        <w:t>(Corvellec &amp; Hultman 2014)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end"/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medan avfallstrappan avser </w:t>
      </w:r>
      <w:r w:rsidR="0092149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att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omdefiniera förhållande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mellan ekonomi och ekologi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begin"/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instrText xml:space="preserve"> ADDIN EN.CITE &lt;EndNote&gt;&lt;Cite&gt;&lt;Author&gt;Hultman&lt;/Author&gt;&lt;Year&gt;2012&lt;/Year&gt;&lt;RecNum&gt;944&lt;/RecNum&gt;&lt;DisplayText&gt;(Hultman &amp;amp; Corvellec, 2012)&lt;/DisplayText&gt;&lt;record&gt;&lt;rec-number&gt;944&lt;/rec-number&gt;&lt;foreign-keys&gt;&lt;key app="EN" db-id="txwvp9efbt9tfzetvrzxsvwmtfsraeva905v" timestamp="0"&gt;944&lt;/key&gt;&lt;/foreign-keys&gt;&lt;ref-type name="Journal Article"&gt;17&lt;/ref-type&gt;&lt;contributors&gt;&lt;authors&gt;&lt;author&gt;Hultman, Johan&lt;/author&gt;&lt;author&gt;Corvellec, Hervé&lt;/author&gt;&lt;/authors&gt;&lt;/contributors&gt;&lt;titles&gt;&lt;title&gt;The European Waste Hierarchy: from the sociomateriality of waste to a politics of consumption&lt;/title&gt;&lt;secondary-title&gt;Environment &amp;amp; Planning A&lt;/secondary-title&gt;&lt;/titles&gt;&lt;pages&gt;2413 – 2427&lt;/pages&gt;&lt;volume&gt;44&lt;/volume&gt;&lt;number&gt;10&lt;/number&gt;&lt;dates&gt;&lt;year&gt;2012&lt;/year&gt;&lt;/dates&gt;&lt;urls&gt;&lt;/urls&gt;&lt;/record&gt;&lt;/Cite&gt;&lt;/EndNote&gt;</w:instrTex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separate"/>
      </w:r>
      <w:r w:rsidRPr="002B32B9">
        <w:rPr>
          <w:rFonts w:ascii="Times New Roman" w:hAnsi="Times New Roman" w:cs="Times New Roman"/>
          <w:noProof/>
          <w:sz w:val="24"/>
          <w:szCs w:val="24"/>
          <w:lang w:val="sv-SE"/>
        </w:rPr>
        <w:t>(Hultman &amp; Corvellec 2012)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end"/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Precis som genom ett maskhål kom vi </w:t>
      </w:r>
      <w:r w:rsidR="0092149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flera gånger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 xml:space="preserve">ut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på ställe</w:t>
      </w:r>
      <w:r w:rsidR="00421219" w:rsidRPr="002B32B9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som ingen av oss kun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nat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föreställa oss i förväg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, eftersom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vi </w:t>
      </w:r>
      <w:r w:rsidR="0042121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hela tiden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utmanade våra förutsättningar och analytiska verktyg.</w:t>
      </w:r>
    </w:p>
    <w:p w14:paraId="6D779FDC" w14:textId="77777777" w:rsidR="005502FD" w:rsidRDefault="005502FD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13CBB6D" w14:textId="5A01C1D0" w:rsidR="004004EC" w:rsidRPr="002B32B9" w:rsidRDefault="00FF5BB9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>Tvärvetenskapligheten vilar på att n</w:t>
      </w:r>
      <w:r w:rsidR="009C578B" w:rsidRPr="002B32B9">
        <w:rPr>
          <w:rFonts w:ascii="Times New Roman" w:hAnsi="Times New Roman" w:cs="Times New Roman"/>
          <w:sz w:val="24"/>
          <w:szCs w:val="24"/>
          <w:lang w:val="sv-SE"/>
        </w:rPr>
        <w:t>ya relationer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skapas hela tiden. </w:t>
      </w:r>
      <w:r w:rsidR="004004EC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Men det gäller att arbeta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gemensamt</w:t>
      </w:r>
      <w:r w:rsidR="004004EC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, i forskning </w:t>
      </w:r>
      <w:r w:rsidR="00117E16">
        <w:rPr>
          <w:rFonts w:ascii="Times New Roman" w:hAnsi="Times New Roman" w:cs="Times New Roman"/>
          <w:sz w:val="24"/>
          <w:szCs w:val="24"/>
          <w:lang w:val="sv-SE"/>
        </w:rPr>
        <w:t xml:space="preserve">såväl </w:t>
      </w:r>
      <w:r w:rsidR="004004EC" w:rsidRPr="002B32B9">
        <w:rPr>
          <w:rFonts w:ascii="Times New Roman" w:hAnsi="Times New Roman" w:cs="Times New Roman"/>
          <w:sz w:val="24"/>
          <w:szCs w:val="24"/>
          <w:lang w:val="sv-SE"/>
        </w:rPr>
        <w:t>som i undervisning. Tvärvetenskaplighet uppstår i</w:t>
      </w:r>
      <w:r w:rsidR="00EB6687" w:rsidRPr="002B32B9">
        <w:rPr>
          <w:rFonts w:ascii="Times New Roman" w:hAnsi="Times New Roman" w:cs="Times New Roman"/>
          <w:sz w:val="24"/>
          <w:szCs w:val="24"/>
          <w:lang w:val="sv-SE"/>
        </w:rPr>
        <w:t>nte i</w:t>
      </w:r>
      <w:r w:rsidR="004004EC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förkunnelser utan i praktiska samarbeten.</w:t>
      </w:r>
    </w:p>
    <w:p w14:paraId="31EF0BDB" w14:textId="77777777" w:rsidR="009C578B" w:rsidRPr="002B32B9" w:rsidRDefault="009C578B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AA6A06F" w14:textId="77777777" w:rsidR="009C578B" w:rsidRPr="005502FD" w:rsidRDefault="00FF5BB9" w:rsidP="0014496D">
      <w:pPr>
        <w:pStyle w:val="Rubrik2"/>
        <w:spacing w:before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v-SE"/>
        </w:rPr>
      </w:pPr>
      <w:r w:rsidRPr="005502FD">
        <w:rPr>
          <w:rFonts w:ascii="Times New Roman" w:hAnsi="Times New Roman" w:cs="Times New Roman"/>
          <w:b/>
          <w:color w:val="auto"/>
          <w:sz w:val="24"/>
          <w:szCs w:val="24"/>
          <w:lang w:val="sv-SE"/>
        </w:rPr>
        <w:t>Resa</w:t>
      </w:r>
      <w:r w:rsidR="006E6EFB" w:rsidRPr="005502FD">
        <w:rPr>
          <w:rFonts w:ascii="Times New Roman" w:hAnsi="Times New Roman" w:cs="Times New Roman"/>
          <w:b/>
          <w:color w:val="auto"/>
          <w:sz w:val="24"/>
          <w:szCs w:val="24"/>
          <w:lang w:val="sv-SE"/>
        </w:rPr>
        <w:t>ndet</w:t>
      </w:r>
    </w:p>
    <w:p w14:paraId="25658DEE" w14:textId="66D9761F" w:rsidR="00CC6E26" w:rsidRDefault="004004EC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värvetenskaplighet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är som en resa: ett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upptäck</w:t>
      </w:r>
      <w:r w:rsidR="00EB7110" w:rsidRPr="002B32B9">
        <w:rPr>
          <w:rFonts w:ascii="Times New Roman" w:hAnsi="Times New Roman" w:cs="Times New Roman"/>
          <w:sz w:val="24"/>
          <w:szCs w:val="24"/>
          <w:lang w:val="sv-SE"/>
        </w:rPr>
        <w:t>ande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av nya landskap, nya dofter, nya smak</w:t>
      </w:r>
      <w:r w:rsidR="00EB7110" w:rsidRPr="002B32B9">
        <w:rPr>
          <w:rFonts w:ascii="Times New Roman" w:hAnsi="Times New Roman" w:cs="Times New Roman"/>
          <w:sz w:val="24"/>
          <w:szCs w:val="24"/>
          <w:lang w:val="sv-SE"/>
        </w:rPr>
        <w:t>er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och nya erfarenheter. Och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>liksom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Ulysses förändrades så mycket av sin långa resa att han blev ett med den, har jag blivit ett med min resa i tvärvetenskaplighet. Det handlar inte bara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om att ha publicerat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i företagsekonomiska, geografiska, socialantropologiska och tekniska tidskrifter – en </w:t>
      </w:r>
      <w:r w:rsidR="00C9025E" w:rsidRPr="002B32B9">
        <w:rPr>
          <w:rFonts w:ascii="Times New Roman" w:hAnsi="Times New Roman" w:cs="Times New Roman"/>
          <w:sz w:val="24"/>
          <w:szCs w:val="24"/>
          <w:lang w:val="sv-SE"/>
        </w:rPr>
        <w:t>blandning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som jag är särskilt stolt över. Det handlar om att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 xml:space="preserve">ha 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>utvecklat en syn på forskning</w:t>
      </w:r>
      <w:r w:rsidR="006E6EFB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och undervisning 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som präglas av att inte ta för givet att </w:t>
      </w:r>
      <w:r w:rsidR="006E6EFB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mottagaren </w:t>
      </w:r>
      <w:r w:rsidR="0047013B" w:rsidRPr="002B32B9">
        <w:rPr>
          <w:rFonts w:ascii="Times New Roman" w:hAnsi="Times New Roman" w:cs="Times New Roman"/>
          <w:sz w:val="24"/>
          <w:szCs w:val="24"/>
          <w:lang w:val="sv-SE"/>
        </w:rPr>
        <w:t>vet man pratar om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 xml:space="preserve">av 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en medvetenhet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 xml:space="preserve">om 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att det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alltid </w:t>
      </w:r>
      <w:r w:rsidR="002E051E">
        <w:rPr>
          <w:rFonts w:ascii="Times New Roman" w:hAnsi="Times New Roman" w:cs="Times New Roman"/>
          <w:sz w:val="24"/>
          <w:szCs w:val="24"/>
          <w:lang w:val="sv-SE"/>
        </w:rPr>
        <w:t xml:space="preserve">är </w:t>
      </w:r>
      <w:r w:rsidR="00FF5BB9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möjligt att närma sig frågan från något helt annat håll. </w:t>
      </w:r>
    </w:p>
    <w:p w14:paraId="1962DFDF" w14:textId="77777777" w:rsidR="002E051E" w:rsidRPr="002B32B9" w:rsidRDefault="002E051E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402A180" w14:textId="174828BE" w:rsidR="006E6EFB" w:rsidRPr="002B32B9" w:rsidRDefault="006E6EFB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>Visst saknar jag ibland att ha kollegor som vet exakt vad jag arbetar med</w:t>
      </w:r>
      <w:r w:rsidR="004004EC" w:rsidRPr="002B32B9">
        <w:rPr>
          <w:rFonts w:ascii="Times New Roman" w:hAnsi="Times New Roman" w:cs="Times New Roman"/>
          <w:sz w:val="24"/>
          <w:szCs w:val="24"/>
          <w:lang w:val="sv-SE"/>
        </w:rPr>
        <w:t>, vilket jag hade haft i en ett-ämnesinstitution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Men förutom att jag </w:t>
      </w:r>
      <w:r w:rsidR="004004EC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alltid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kan hitta sådana om jag anstränger mig lite, kompenseras jag flera gånger </w:t>
      </w:r>
      <w:r w:rsidR="00C9025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om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av att ha kollegor som </w:t>
      </w:r>
      <w:r w:rsidR="004004EC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kanske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bara </w:t>
      </w:r>
      <w:r w:rsidR="00224011">
        <w:rPr>
          <w:rFonts w:ascii="Times New Roman" w:hAnsi="Times New Roman" w:cs="Times New Roman"/>
          <w:sz w:val="24"/>
          <w:szCs w:val="24"/>
          <w:lang w:val="sv-SE"/>
        </w:rPr>
        <w:t xml:space="preserve">har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en vag idé om</w:t>
      </w:r>
      <w:r w:rsidR="00C9025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vad jag sysslar med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224011">
        <w:rPr>
          <w:rFonts w:ascii="Times New Roman" w:hAnsi="Times New Roman" w:cs="Times New Roman"/>
          <w:sz w:val="24"/>
          <w:szCs w:val="24"/>
          <w:lang w:val="sv-SE"/>
        </w:rPr>
        <w:t xml:space="preserve">som </w:t>
      </w:r>
      <w:r w:rsidR="004004EC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vet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massor </w:t>
      </w:r>
      <w:r w:rsidR="00C9025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om </w:t>
      </w:r>
      <w:r w:rsidR="004004EC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saker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som jag </w:t>
      </w:r>
      <w:r w:rsidR="00C9025E"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själv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bara </w:t>
      </w:r>
      <w:r w:rsidR="00224011">
        <w:rPr>
          <w:rFonts w:ascii="Times New Roman" w:hAnsi="Times New Roman" w:cs="Times New Roman"/>
          <w:sz w:val="24"/>
          <w:szCs w:val="24"/>
          <w:lang w:val="sv-SE"/>
        </w:rPr>
        <w:t xml:space="preserve">har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en vag idé om. Det </w:t>
      </w:r>
      <w:r w:rsidR="00224011">
        <w:rPr>
          <w:rFonts w:ascii="Times New Roman" w:hAnsi="Times New Roman" w:cs="Times New Roman"/>
          <w:sz w:val="24"/>
          <w:szCs w:val="24"/>
          <w:lang w:val="sv-SE"/>
        </w:rPr>
        <w:t>räcker med att jag t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224011">
        <w:rPr>
          <w:rFonts w:ascii="Times New Roman" w:hAnsi="Times New Roman" w:cs="Times New Roman"/>
          <w:sz w:val="24"/>
          <w:szCs w:val="24"/>
          <w:lang w:val="sv-SE"/>
        </w:rPr>
        <w:t>r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några steg i deras riktning.</w:t>
      </w:r>
    </w:p>
    <w:p w14:paraId="33FA94A0" w14:textId="77777777" w:rsidR="005502FD" w:rsidRDefault="005502FD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F2491E5" w14:textId="16093BF9" w:rsidR="006E6EFB" w:rsidRPr="002B32B9" w:rsidRDefault="006E6EFB" w:rsidP="00144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="0047013B" w:rsidRPr="002B32B9">
        <w:rPr>
          <w:rFonts w:ascii="Times New Roman" w:hAnsi="Times New Roman" w:cs="Times New Roman"/>
          <w:sz w:val="24"/>
          <w:szCs w:val="24"/>
          <w:lang w:val="sv-SE"/>
        </w:rPr>
        <w:t>tvärvetenskapligheten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är </w:t>
      </w:r>
      <w:r w:rsidR="00224011">
        <w:rPr>
          <w:rFonts w:ascii="Times New Roman" w:hAnsi="Times New Roman" w:cs="Times New Roman"/>
          <w:sz w:val="24"/>
          <w:szCs w:val="24"/>
          <w:lang w:val="sv-SE"/>
        </w:rPr>
        <w:t xml:space="preserve">vi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alla eviga migranter. </w:t>
      </w:r>
    </w:p>
    <w:p w14:paraId="28FDDAE1" w14:textId="77777777" w:rsidR="00CC6E26" w:rsidRPr="002B32B9" w:rsidRDefault="00CC6E26" w:rsidP="002B32B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15F8A7A" w14:textId="77777777" w:rsidR="0014496D" w:rsidRDefault="0014496D" w:rsidP="002B32B9">
      <w:pPr>
        <w:pStyle w:val="Rubrik2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sv-SE"/>
        </w:rPr>
      </w:pPr>
    </w:p>
    <w:p w14:paraId="2DC2B7AA" w14:textId="51235C22" w:rsidR="00CC6E26" w:rsidRPr="00B27146" w:rsidRDefault="00CC6E26" w:rsidP="002B32B9">
      <w:pPr>
        <w:pStyle w:val="Rubrik2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B2714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Referenser</w:t>
      </w:r>
    </w:p>
    <w:p w14:paraId="54925D84" w14:textId="0E1A70A4" w:rsidR="00A42B61" w:rsidRPr="00B27146" w:rsidRDefault="00A42B61" w:rsidP="00A42B61">
      <w:pPr>
        <w:rPr>
          <w:lang w:val="fr-FR"/>
        </w:rPr>
      </w:pPr>
    </w:p>
    <w:p w14:paraId="275388BC" w14:textId="7056450F" w:rsidR="00A42B61" w:rsidRPr="00B27146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7146">
        <w:rPr>
          <w:rFonts w:ascii="Times New Roman" w:hAnsi="Times New Roman" w:cs="Times New Roman"/>
          <w:sz w:val="24"/>
          <w:szCs w:val="24"/>
          <w:lang w:val="fr-FR"/>
        </w:rPr>
        <w:t xml:space="preserve">Corvellec, H., Ek, R., Zapata, P. &amp; Zapata Campos, M. J. (2018). </w:t>
      </w:r>
      <w:r w:rsidRPr="002B32B9">
        <w:rPr>
          <w:rFonts w:ascii="Times New Roman" w:hAnsi="Times New Roman" w:cs="Times New Roman"/>
          <w:sz w:val="24"/>
          <w:szCs w:val="24"/>
        </w:rPr>
        <w:t xml:space="preserve">Acting on distances: A topology of accounting inscriptions. </w:t>
      </w:r>
      <w:r w:rsidRPr="00B27146">
        <w:rPr>
          <w:rFonts w:ascii="Times New Roman" w:hAnsi="Times New Roman" w:cs="Times New Roman"/>
          <w:bCs/>
          <w:i/>
          <w:sz w:val="24"/>
          <w:szCs w:val="24"/>
        </w:rPr>
        <w:t>Accounting, Organizations and Society</w:t>
      </w:r>
      <w:r w:rsidRPr="00B27146">
        <w:rPr>
          <w:rFonts w:ascii="Times New Roman" w:hAnsi="Times New Roman" w:cs="Times New Roman"/>
          <w:bCs/>
          <w:sz w:val="24"/>
          <w:szCs w:val="24"/>
        </w:rPr>
        <w:t>,</w:t>
      </w:r>
      <w:r w:rsidRPr="00B27146">
        <w:rPr>
          <w:rFonts w:ascii="Times New Roman" w:hAnsi="Times New Roman" w:cs="Times New Roman"/>
          <w:sz w:val="24"/>
          <w:szCs w:val="24"/>
        </w:rPr>
        <w:t xml:space="preserve"> 67:56–65.</w:t>
      </w:r>
    </w:p>
    <w:p w14:paraId="38A45154" w14:textId="12D0C72E" w:rsidR="00A42B61" w:rsidRPr="00B27146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B918B0" w14:textId="04327AD4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Corvellec, H. &amp; Ek, R. </w:t>
      </w:r>
      <w:r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2015</w:t>
      </w:r>
      <w:r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 Tvärvetenskap – ”Nej, ers majestät, det är en revolution”. I Andersson,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G.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>&amp; Jerneck</w:t>
      </w:r>
      <w:r>
        <w:rPr>
          <w:rFonts w:ascii="Times New Roman" w:hAnsi="Times New Roman" w:cs="Times New Roman"/>
          <w:sz w:val="24"/>
          <w:szCs w:val="24"/>
          <w:lang w:val="sv-SE"/>
        </w:rPr>
        <w:t>, M.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v-SE"/>
        </w:rPr>
        <w:t>red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.), </w:t>
      </w:r>
      <w:r w:rsidRPr="00631470">
        <w:rPr>
          <w:rFonts w:ascii="Times New Roman" w:hAnsi="Times New Roman" w:cs="Times New Roman"/>
          <w:bCs/>
          <w:i/>
          <w:sz w:val="24"/>
          <w:szCs w:val="24"/>
          <w:lang w:val="sv-SE"/>
        </w:rPr>
        <w:t>Samhällsvetenskapliga fakulteten i Lund – en vital 50-åring. En jubileumsskift</w:t>
      </w:r>
      <w:r>
        <w:rPr>
          <w:rFonts w:ascii="Times New Roman" w:hAnsi="Times New Roman" w:cs="Times New Roman"/>
          <w:bCs/>
          <w:i/>
          <w:sz w:val="24"/>
          <w:szCs w:val="24"/>
          <w:lang w:val="sv-SE"/>
        </w:rPr>
        <w:t>.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Lund: Samhällsvetenskapliga fakulteten, Lunds universitet.</w:t>
      </w:r>
    </w:p>
    <w:p w14:paraId="1F9EDB6D" w14:textId="26E4CAF6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24FE341" w14:textId="77777777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E16">
        <w:rPr>
          <w:rFonts w:ascii="Times New Roman" w:hAnsi="Times New Roman" w:cs="Times New Roman"/>
          <w:sz w:val="24"/>
          <w:szCs w:val="24"/>
          <w:lang w:val="sv-SE"/>
        </w:rPr>
        <w:t xml:space="preserve">Corvellec, H. &amp; Hultman, J. (2014). </w:t>
      </w:r>
      <w:r w:rsidRPr="002B32B9">
        <w:rPr>
          <w:rFonts w:ascii="Times New Roman" w:hAnsi="Times New Roman" w:cs="Times New Roman"/>
          <w:sz w:val="24"/>
          <w:szCs w:val="24"/>
        </w:rPr>
        <w:t xml:space="preserve">Managing the politics of value propositions. </w:t>
      </w:r>
      <w:r w:rsidRPr="005929C1">
        <w:rPr>
          <w:rFonts w:ascii="Times New Roman" w:hAnsi="Times New Roman" w:cs="Times New Roman"/>
          <w:bCs/>
          <w:i/>
          <w:sz w:val="24"/>
          <w:szCs w:val="24"/>
        </w:rPr>
        <w:t>Marketing Theory</w:t>
      </w:r>
      <w:r w:rsidRPr="005929C1">
        <w:rPr>
          <w:rFonts w:ascii="Times New Roman" w:hAnsi="Times New Roman" w:cs="Times New Roman"/>
          <w:bCs/>
          <w:sz w:val="24"/>
          <w:szCs w:val="24"/>
        </w:rPr>
        <w:t>,</w:t>
      </w:r>
      <w:r w:rsidRPr="002B32B9">
        <w:rPr>
          <w:rFonts w:ascii="Times New Roman" w:hAnsi="Times New Roman" w:cs="Times New Roman"/>
          <w:sz w:val="24"/>
          <w:szCs w:val="24"/>
        </w:rPr>
        <w:t xml:space="preserve"> 14(4):355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32B9">
        <w:rPr>
          <w:rFonts w:ascii="Times New Roman" w:hAnsi="Times New Roman" w:cs="Times New Roman"/>
          <w:sz w:val="24"/>
          <w:szCs w:val="24"/>
        </w:rPr>
        <w:t>375.</w:t>
      </w:r>
    </w:p>
    <w:p w14:paraId="4DCDE71D" w14:textId="77777777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B26DE3" w14:textId="7C17D28C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32B9">
        <w:rPr>
          <w:rFonts w:ascii="Times New Roman" w:hAnsi="Times New Roman" w:cs="Times New Roman"/>
          <w:sz w:val="24"/>
          <w:szCs w:val="24"/>
        </w:rPr>
        <w:t xml:space="preserve">Corvellec, H. &amp; Odell, T.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32B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32B9">
        <w:rPr>
          <w:rFonts w:ascii="Times New Roman" w:hAnsi="Times New Roman" w:cs="Times New Roman"/>
          <w:sz w:val="24"/>
          <w:szCs w:val="24"/>
        </w:rPr>
        <w:t xml:space="preserve">. Demanding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B32B9">
        <w:rPr>
          <w:rFonts w:ascii="Times New Roman" w:hAnsi="Times New Roman" w:cs="Times New Roman"/>
          <w:sz w:val="24"/>
          <w:szCs w:val="24"/>
        </w:rPr>
        <w:t xml:space="preserve">osts and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B32B9">
        <w:rPr>
          <w:rFonts w:ascii="Times New Roman" w:hAnsi="Times New Roman" w:cs="Times New Roman"/>
          <w:sz w:val="24"/>
          <w:szCs w:val="24"/>
        </w:rPr>
        <w:t xml:space="preserve">ngrateful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B32B9">
        <w:rPr>
          <w:rFonts w:ascii="Times New Roman" w:hAnsi="Times New Roman" w:cs="Times New Roman"/>
          <w:sz w:val="24"/>
          <w:szCs w:val="24"/>
        </w:rPr>
        <w:t>uests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3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B32B9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32B9">
        <w:rPr>
          <w:rFonts w:ascii="Times New Roman" w:hAnsi="Times New Roman" w:cs="Times New Roman"/>
          <w:sz w:val="24"/>
          <w:szCs w:val="24"/>
        </w:rPr>
        <w:t xml:space="preserve">veryday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B32B9">
        <w:rPr>
          <w:rFonts w:ascii="Times New Roman" w:hAnsi="Times New Roman" w:cs="Times New Roman"/>
          <w:sz w:val="24"/>
          <w:szCs w:val="24"/>
        </w:rPr>
        <w:t xml:space="preserve">rama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B32B9">
        <w:rPr>
          <w:rFonts w:ascii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B32B9">
        <w:rPr>
          <w:rFonts w:ascii="Times New Roman" w:hAnsi="Times New Roman" w:cs="Times New Roman"/>
          <w:sz w:val="24"/>
          <w:szCs w:val="24"/>
        </w:rPr>
        <w:t xml:space="preserve">ransportation 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B32B9">
        <w:rPr>
          <w:rFonts w:ascii="Times New Roman" w:hAnsi="Times New Roman" w:cs="Times New Roman"/>
          <w:sz w:val="24"/>
          <w:szCs w:val="24"/>
        </w:rPr>
        <w:t xml:space="preserve">hree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32B9">
        <w:rPr>
          <w:rFonts w:ascii="Times New Roman" w:hAnsi="Times New Roman" w:cs="Times New Roman"/>
          <w:sz w:val="24"/>
          <w:szCs w:val="24"/>
        </w:rPr>
        <w:t xml:space="preserve">cts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32B9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B32B9">
        <w:rPr>
          <w:rFonts w:ascii="Times New Roman" w:hAnsi="Times New Roman" w:cs="Times New Roman"/>
          <w:sz w:val="24"/>
          <w:szCs w:val="24"/>
        </w:rPr>
        <w:t xml:space="preserve">rose. </w:t>
      </w:r>
      <w:r w:rsidRPr="005929C1">
        <w:rPr>
          <w:rFonts w:ascii="Times New Roman" w:hAnsi="Times New Roman" w:cs="Times New Roman"/>
          <w:bCs/>
          <w:i/>
          <w:sz w:val="24"/>
          <w:szCs w:val="24"/>
        </w:rPr>
        <w:t>Culture and Organizations</w:t>
      </w:r>
      <w:r w:rsidRPr="005929C1">
        <w:rPr>
          <w:rFonts w:ascii="Times New Roman" w:hAnsi="Times New Roman" w:cs="Times New Roman"/>
          <w:bCs/>
          <w:sz w:val="24"/>
          <w:szCs w:val="24"/>
        </w:rPr>
        <w:t>,</w:t>
      </w:r>
      <w:r w:rsidRPr="002B32B9">
        <w:rPr>
          <w:rFonts w:ascii="Times New Roman" w:hAnsi="Times New Roman" w:cs="Times New Roman"/>
          <w:sz w:val="24"/>
          <w:szCs w:val="24"/>
        </w:rPr>
        <w:t xml:space="preserve"> 18(3):231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32B9">
        <w:rPr>
          <w:rFonts w:ascii="Times New Roman" w:hAnsi="Times New Roman" w:cs="Times New Roman"/>
          <w:sz w:val="24"/>
          <w:szCs w:val="24"/>
        </w:rPr>
        <w:t>249.</w:t>
      </w:r>
      <w:r w:rsidRPr="00117E16">
        <w:rPr>
          <w:rFonts w:ascii="Times New Roman" w:hAnsi="Times New Roman" w:cs="Times New Roman"/>
          <w:sz w:val="24"/>
          <w:szCs w:val="24"/>
        </w:rPr>
        <w:t xml:space="preserve"> 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begin"/>
      </w:r>
      <w:r w:rsidRPr="00117E1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separate"/>
      </w:r>
    </w:p>
    <w:p w14:paraId="0D2E72F6" w14:textId="77777777" w:rsidR="00A42B61" w:rsidRPr="002B32B9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FD0482" w14:textId="77777777" w:rsidR="00A42B61" w:rsidRPr="002B32B9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553F6">
        <w:rPr>
          <w:rFonts w:ascii="Times New Roman" w:hAnsi="Times New Roman" w:cs="Times New Roman"/>
          <w:sz w:val="24"/>
          <w:szCs w:val="24"/>
        </w:rPr>
        <w:t>Hultman, J. &amp; Corvellec, H. (2012). The European waste hierarchy: from the sociomateriality of</w:t>
      </w:r>
      <w:r w:rsidRPr="002B32B9">
        <w:rPr>
          <w:rFonts w:ascii="Times New Roman" w:hAnsi="Times New Roman" w:cs="Times New Roman"/>
          <w:sz w:val="24"/>
          <w:szCs w:val="24"/>
        </w:rPr>
        <w:t xml:space="preserve"> waste to a politics of consumption. </w:t>
      </w:r>
      <w:r w:rsidRPr="005929C1">
        <w:rPr>
          <w:rFonts w:ascii="Times New Roman" w:hAnsi="Times New Roman" w:cs="Times New Roman"/>
          <w:bCs/>
          <w:i/>
          <w:sz w:val="24"/>
          <w:szCs w:val="24"/>
        </w:rPr>
        <w:t>Environment &amp; Planning A</w:t>
      </w:r>
      <w:r w:rsidRPr="002B32B9">
        <w:rPr>
          <w:rFonts w:ascii="Times New Roman" w:hAnsi="Times New Roman" w:cs="Times New Roman"/>
          <w:sz w:val="24"/>
          <w:szCs w:val="24"/>
        </w:rPr>
        <w:t>, 44(10):2413–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2B9">
        <w:rPr>
          <w:rFonts w:ascii="Times New Roman" w:hAnsi="Times New Roman" w:cs="Times New Roman"/>
          <w:sz w:val="24"/>
          <w:szCs w:val="24"/>
        </w:rPr>
        <w:t>427.</w:t>
      </w:r>
      <w:r w:rsidRPr="002B32B9">
        <w:rPr>
          <w:rFonts w:ascii="Times New Roman" w:hAnsi="Times New Roman" w:cs="Times New Roman"/>
          <w:sz w:val="24"/>
          <w:szCs w:val="24"/>
          <w:lang w:val="sv-SE"/>
        </w:rPr>
        <w:fldChar w:fldCharType="end"/>
      </w:r>
    </w:p>
    <w:p w14:paraId="492C0B18" w14:textId="77777777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E034390" w14:textId="1E43C155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4AA0B13" w14:textId="77777777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1A86EE" w14:textId="77777777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930B56" w14:textId="77777777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CDA004" w14:textId="49B72F01" w:rsidR="00A42B61" w:rsidRPr="002B32B9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B32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46F4EA6F" w14:textId="77777777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CD27DA4" w14:textId="77777777" w:rsidR="00A42B61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75E402" w14:textId="77777777" w:rsidR="00A42B61" w:rsidRPr="002B32B9" w:rsidRDefault="00A42B61" w:rsidP="00A42B61">
      <w:pPr>
        <w:pStyle w:val="EndNoteBibliography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03B35B" w14:textId="4610FF7F" w:rsidR="00224011" w:rsidRPr="00224011" w:rsidRDefault="00224011" w:rsidP="00224011">
      <w:pPr>
        <w:rPr>
          <w:lang w:val="sv-SE"/>
        </w:rPr>
      </w:pPr>
    </w:p>
    <w:sectPr w:rsidR="00224011" w:rsidRPr="0022401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7C98E" w14:textId="77777777" w:rsidR="003C65D8" w:rsidRDefault="003C65D8" w:rsidP="00CC6E26">
      <w:pPr>
        <w:spacing w:after="0" w:line="240" w:lineRule="auto"/>
      </w:pPr>
      <w:r>
        <w:separator/>
      </w:r>
    </w:p>
  </w:endnote>
  <w:endnote w:type="continuationSeparator" w:id="0">
    <w:p w14:paraId="3B2D124C" w14:textId="77777777" w:rsidR="003C65D8" w:rsidRDefault="003C65D8" w:rsidP="00CC6E26">
      <w:pPr>
        <w:spacing w:after="0" w:line="240" w:lineRule="auto"/>
      </w:pPr>
      <w:r>
        <w:continuationSeparator/>
      </w:r>
    </w:p>
  </w:endnote>
  <w:endnote w:type="continuationNotice" w:id="1">
    <w:p w14:paraId="33E15865" w14:textId="77777777" w:rsidR="003C65D8" w:rsidRDefault="003C6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377807"/>
      <w:docPartObj>
        <w:docPartGallery w:val="Page Numbers (Bottom of Page)"/>
        <w:docPartUnique/>
      </w:docPartObj>
    </w:sdtPr>
    <w:sdtEndPr/>
    <w:sdtContent>
      <w:p w14:paraId="1B46E886" w14:textId="25895F4B" w:rsidR="006E6EFB" w:rsidRDefault="006E6EF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E16" w:rsidRPr="00117E16">
          <w:rPr>
            <w:noProof/>
            <w:lang w:val="sv-SE"/>
          </w:rPr>
          <w:t>4</w:t>
        </w:r>
        <w:r>
          <w:fldChar w:fldCharType="end"/>
        </w:r>
      </w:p>
    </w:sdtContent>
  </w:sdt>
  <w:p w14:paraId="0A531E65" w14:textId="77777777" w:rsidR="006E6EFB" w:rsidRDefault="006E6E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99F62" w14:textId="77777777" w:rsidR="003C65D8" w:rsidRDefault="003C65D8" w:rsidP="00CC6E26">
      <w:pPr>
        <w:spacing w:after="0" w:line="240" w:lineRule="auto"/>
      </w:pPr>
      <w:r>
        <w:separator/>
      </w:r>
    </w:p>
  </w:footnote>
  <w:footnote w:type="continuationSeparator" w:id="0">
    <w:p w14:paraId="1E3427E7" w14:textId="77777777" w:rsidR="003C65D8" w:rsidRDefault="003C65D8" w:rsidP="00CC6E26">
      <w:pPr>
        <w:spacing w:after="0" w:line="240" w:lineRule="auto"/>
      </w:pPr>
      <w:r>
        <w:continuationSeparator/>
      </w:r>
    </w:p>
  </w:footnote>
  <w:footnote w:type="continuationNotice" w:id="1">
    <w:p w14:paraId="560C7274" w14:textId="77777777" w:rsidR="003C65D8" w:rsidRDefault="003C6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53A3" w14:textId="77777777" w:rsidR="00986B75" w:rsidRDefault="00986B7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ademy Management Review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wvp9efbt9tfzetvrzxsvwmtfsraeva905v&quot;&gt;Jan 2 2019 HCO Endnote Library Copy&lt;record-ids&gt;&lt;item&gt;944&lt;/item&gt;&lt;item&gt;1280&lt;/item&gt;&lt;item&gt;2226&lt;/item&gt;&lt;item&gt;3343&lt;/item&gt;&lt;item&gt;5083&lt;/item&gt;&lt;/record-ids&gt;&lt;/item&gt;&lt;/Libraries&gt;"/>
  </w:docVars>
  <w:rsids>
    <w:rsidRoot w:val="004376FC"/>
    <w:rsid w:val="0002089B"/>
    <w:rsid w:val="00047414"/>
    <w:rsid w:val="00086AFC"/>
    <w:rsid w:val="000A1D78"/>
    <w:rsid w:val="000B4265"/>
    <w:rsid w:val="00117E16"/>
    <w:rsid w:val="0014496D"/>
    <w:rsid w:val="00224011"/>
    <w:rsid w:val="002B32B9"/>
    <w:rsid w:val="002B6135"/>
    <w:rsid w:val="002C5B71"/>
    <w:rsid w:val="002E051E"/>
    <w:rsid w:val="002F408E"/>
    <w:rsid w:val="00311E94"/>
    <w:rsid w:val="0033522D"/>
    <w:rsid w:val="003409EB"/>
    <w:rsid w:val="00392226"/>
    <w:rsid w:val="003C65D8"/>
    <w:rsid w:val="004004EC"/>
    <w:rsid w:val="00414349"/>
    <w:rsid w:val="00421219"/>
    <w:rsid w:val="004376FC"/>
    <w:rsid w:val="0047013B"/>
    <w:rsid w:val="004B7B2A"/>
    <w:rsid w:val="004E5CDE"/>
    <w:rsid w:val="00501372"/>
    <w:rsid w:val="005502FD"/>
    <w:rsid w:val="00575D5D"/>
    <w:rsid w:val="00585308"/>
    <w:rsid w:val="005929C1"/>
    <w:rsid w:val="005E5580"/>
    <w:rsid w:val="00631470"/>
    <w:rsid w:val="00641C0C"/>
    <w:rsid w:val="006D1D42"/>
    <w:rsid w:val="006E600C"/>
    <w:rsid w:val="006E6EFB"/>
    <w:rsid w:val="00706F5F"/>
    <w:rsid w:val="00756213"/>
    <w:rsid w:val="00763798"/>
    <w:rsid w:val="00785A0F"/>
    <w:rsid w:val="00834854"/>
    <w:rsid w:val="00891C20"/>
    <w:rsid w:val="0092149E"/>
    <w:rsid w:val="00962EAB"/>
    <w:rsid w:val="00986B75"/>
    <w:rsid w:val="00991352"/>
    <w:rsid w:val="009A0793"/>
    <w:rsid w:val="009C578B"/>
    <w:rsid w:val="009D6410"/>
    <w:rsid w:val="00A07FF1"/>
    <w:rsid w:val="00A16662"/>
    <w:rsid w:val="00A42B61"/>
    <w:rsid w:val="00AA1856"/>
    <w:rsid w:val="00AD7FA3"/>
    <w:rsid w:val="00B27146"/>
    <w:rsid w:val="00B56FCB"/>
    <w:rsid w:val="00B900DE"/>
    <w:rsid w:val="00BA518E"/>
    <w:rsid w:val="00C752FE"/>
    <w:rsid w:val="00C9025E"/>
    <w:rsid w:val="00CC6E26"/>
    <w:rsid w:val="00CD331A"/>
    <w:rsid w:val="00D3312D"/>
    <w:rsid w:val="00D553F6"/>
    <w:rsid w:val="00D65ED0"/>
    <w:rsid w:val="00D76942"/>
    <w:rsid w:val="00DC1D9A"/>
    <w:rsid w:val="00DE2A24"/>
    <w:rsid w:val="00E323C9"/>
    <w:rsid w:val="00E3732E"/>
    <w:rsid w:val="00E64D89"/>
    <w:rsid w:val="00EB6687"/>
    <w:rsid w:val="00EB7110"/>
    <w:rsid w:val="00ED1C1D"/>
    <w:rsid w:val="00F460EE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6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3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3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37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63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B900D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B900D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900D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rdstycketeckensnitt"/>
    <w:link w:val="EndNoteBibliography"/>
    <w:rsid w:val="00B900DE"/>
    <w:rPr>
      <w:rFonts w:ascii="Calibri" w:hAnsi="Calibri"/>
      <w:noProof/>
    </w:rPr>
  </w:style>
  <w:style w:type="paragraph" w:customStyle="1" w:styleId="Pa11">
    <w:name w:val="Pa11"/>
    <w:basedOn w:val="Normal"/>
    <w:next w:val="Normal"/>
    <w:uiPriority w:val="99"/>
    <w:rsid w:val="00B900DE"/>
    <w:pPr>
      <w:autoSpaceDE w:val="0"/>
      <w:autoSpaceDN w:val="0"/>
      <w:adjustRightInd w:val="0"/>
      <w:spacing w:after="0" w:line="201" w:lineRule="atLeast"/>
    </w:pPr>
    <w:rPr>
      <w:rFonts w:ascii="Sabon LT Std" w:hAnsi="Sabon LT Std"/>
      <w:sz w:val="24"/>
      <w:szCs w:val="24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6E2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6E2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C6E26"/>
    <w:rPr>
      <w:vertAlign w:val="superscript"/>
    </w:rPr>
  </w:style>
  <w:style w:type="character" w:customStyle="1" w:styleId="A12">
    <w:name w:val="A12"/>
    <w:uiPriority w:val="99"/>
    <w:rsid w:val="00CC6E26"/>
    <w:rPr>
      <w:rFonts w:cs="Sabon LT Std"/>
      <w:color w:val="000000"/>
      <w:sz w:val="11"/>
      <w:szCs w:val="11"/>
    </w:rPr>
  </w:style>
  <w:style w:type="paragraph" w:styleId="Sidhuvud">
    <w:name w:val="header"/>
    <w:basedOn w:val="Normal"/>
    <w:link w:val="SidhuvudChar"/>
    <w:uiPriority w:val="99"/>
    <w:unhideWhenUsed/>
    <w:rsid w:val="006E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6EFB"/>
  </w:style>
  <w:style w:type="paragraph" w:styleId="Sidfot">
    <w:name w:val="footer"/>
    <w:basedOn w:val="Normal"/>
    <w:link w:val="SidfotChar"/>
    <w:uiPriority w:val="99"/>
    <w:unhideWhenUsed/>
    <w:rsid w:val="006E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6EFB"/>
  </w:style>
  <w:style w:type="paragraph" w:styleId="Citat">
    <w:name w:val="Quote"/>
    <w:basedOn w:val="Normal"/>
    <w:next w:val="Normal"/>
    <w:link w:val="CitatChar"/>
    <w:uiPriority w:val="29"/>
    <w:qFormat/>
    <w:rsid w:val="00086A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86AFC"/>
    <w:rPr>
      <w:i/>
      <w:iCs/>
      <w:color w:val="404040" w:themeColor="text1" w:themeTint="B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CD4B-91B3-45F8-966C-04DBCE6F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2212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2020-09-02T09:40:00Z</dcterms:created>
  <dcterms:modified xsi:type="dcterms:W3CDTF">2021-02-03T08:27:00Z</dcterms:modified>
</cp:coreProperties>
</file>