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7B1B" w14:textId="528D8F43" w:rsid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8"/>
          <w:szCs w:val="48"/>
          <w:lang w:val="en-GB"/>
        </w:rPr>
      </w:pPr>
      <w:r w:rsidRPr="006002EF">
        <w:rPr>
          <w:rFonts w:ascii="AGaramondPro-Regular" w:hAnsi="AGaramondPro-Regular" w:cs="AGaramondPro-Regular"/>
          <w:sz w:val="48"/>
          <w:szCs w:val="48"/>
          <w:lang w:val="en-GB"/>
        </w:rPr>
        <w:t>Popular Science Summary</w:t>
      </w:r>
    </w:p>
    <w:p w14:paraId="1BBDD29C" w14:textId="5C457945" w:rsid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8"/>
          <w:szCs w:val="48"/>
          <w:lang w:val="en-GB"/>
        </w:rPr>
      </w:pPr>
    </w:p>
    <w:p w14:paraId="704A3AA8" w14:textId="6AB94321" w:rsidR="006002EF" w:rsidRDefault="006002EF" w:rsidP="006002EF">
      <w:pPr>
        <w:autoSpaceDE w:val="0"/>
        <w:autoSpaceDN w:val="0"/>
        <w:adjustRightInd w:val="0"/>
        <w:spacing w:after="0" w:line="240" w:lineRule="auto"/>
        <w:ind w:right="54"/>
        <w:rPr>
          <w:rFonts w:ascii="AGaramondPro-Regular" w:hAnsi="AGaramondPro-Regular" w:cs="AGaramondPro-Regular"/>
          <w:sz w:val="48"/>
          <w:szCs w:val="48"/>
          <w:lang w:val="en-GB"/>
        </w:rPr>
      </w:pPr>
    </w:p>
    <w:p w14:paraId="60512BD1" w14:textId="77777777" w:rsidR="006002EF" w:rsidRP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48"/>
          <w:szCs w:val="48"/>
          <w:lang w:val="en-GB"/>
        </w:rPr>
      </w:pPr>
    </w:p>
    <w:p w14:paraId="656978C5" w14:textId="0E14400C" w:rsid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t>This thesis sets out to advance knowledge on how a transition towards a more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sustainable energy system and society can be supported by insightful and deliberate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evaluation of research and policy incentives.</w:t>
      </w:r>
    </w:p>
    <w:p w14:paraId="39E9C17C" w14:textId="77777777" w:rsidR="006002EF" w:rsidRP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</w:p>
    <w:p w14:paraId="0A85391A" w14:textId="5972CFC4" w:rsidR="006002EF" w:rsidRP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t xml:space="preserve">It does so by promoting </w:t>
      </w:r>
      <w:r w:rsidRPr="006002EF">
        <w:rPr>
          <w:rFonts w:ascii="AGaramondPro-Italic" w:hAnsi="AGaramondPro-Italic" w:cs="AGaramondPro-Italic"/>
          <w:i/>
          <w:iCs/>
          <w:lang w:val="en-GB"/>
        </w:rPr>
        <w:t xml:space="preserve">transformative evaluation, </w:t>
      </w:r>
      <w:r w:rsidRPr="006002EF">
        <w:rPr>
          <w:rFonts w:ascii="AGaramondPro-Regular" w:hAnsi="AGaramondPro-Regular" w:cs="AGaramondPro-Regular"/>
          <w:lang w:val="en-GB"/>
        </w:rPr>
        <w:t>which is an interdisciplinary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foundation for evaluation that synthesizes key insights from transition research,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evaluation theory, sociology of science, and policy analysis. Transformative evaluation,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as proposed in this thesis, seeks to support rigorous knowledge creation that can provide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insights into how transformative contributions of an </w:t>
      </w:r>
      <w:r w:rsidRPr="006002EF">
        <w:rPr>
          <w:rFonts w:ascii="AGaramondPro-Italic" w:hAnsi="AGaramondPro-Italic" w:cs="AGaramondPro-Italic"/>
          <w:i/>
          <w:iCs/>
          <w:lang w:val="en-GB"/>
        </w:rPr>
        <w:t xml:space="preserve">evaluand </w:t>
      </w:r>
      <w:r w:rsidRPr="006002EF">
        <w:rPr>
          <w:rFonts w:ascii="AGaramondPro-Regular" w:hAnsi="AGaramondPro-Regular" w:cs="AGaramondPro-Regular"/>
          <w:lang w:val="en-GB"/>
        </w:rPr>
        <w:t>- the object that is being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evaluated - relate to and influence large-scale changes in society. Thus, it proposes a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more holistic approach to evaluation than what is seen in traditional evaluation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approaches, which are mainly oriented around programme processes and </w:t>
      </w:r>
      <w:proofErr w:type="gramStart"/>
      <w:r w:rsidRPr="006002EF">
        <w:rPr>
          <w:rFonts w:ascii="AGaramondPro-Regular" w:hAnsi="AGaramondPro-Regular" w:cs="AGaramondPro-Regular"/>
          <w:lang w:val="en-GB"/>
        </w:rPr>
        <w:t>goal</w:t>
      </w:r>
      <w:proofErr w:type="gramEnd"/>
    </w:p>
    <w:p w14:paraId="33EC465B" w14:textId="249965FA" w:rsid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t>attainment.</w:t>
      </w:r>
    </w:p>
    <w:p w14:paraId="2BE9DE25" w14:textId="77777777" w:rsidR="006002EF" w:rsidRP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</w:p>
    <w:p w14:paraId="09BC0051" w14:textId="0578030C" w:rsid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t>The research is oriented around the case of evaluation of research and policy incentives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for energy efficiency in buildings in Sweden, which is used for identifying how current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evaluations are conducted </w:t>
      </w:r>
      <w:proofErr w:type="gramStart"/>
      <w:r w:rsidRPr="006002EF">
        <w:rPr>
          <w:rFonts w:ascii="AGaramondPro-Regular" w:hAnsi="AGaramondPro-Regular" w:cs="AGaramondPro-Regular"/>
          <w:lang w:val="en-GB"/>
        </w:rPr>
        <w:t>in order to</w:t>
      </w:r>
      <w:proofErr w:type="gramEnd"/>
      <w:r w:rsidRPr="006002EF">
        <w:rPr>
          <w:rFonts w:ascii="AGaramondPro-Regular" w:hAnsi="AGaramondPro-Regular" w:cs="AGaramondPro-Regular"/>
          <w:lang w:val="en-GB"/>
        </w:rPr>
        <w:t xml:space="preserve"> outline how these can be further advanced and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complemented to move towards a transformative evaluation approach. Data collection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and analyses build on reviews of existing evaluation reports of both research and policy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incentives, as well as information gained from representatives working with evaluation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at Swedish state agencies.</w:t>
      </w:r>
    </w:p>
    <w:p w14:paraId="6819A66B" w14:textId="77777777" w:rsidR="006002EF" w:rsidRP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</w:p>
    <w:p w14:paraId="01854D49" w14:textId="77777777" w:rsid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t>A key finding is that there are many evaluations performed of incentives aimed at energy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efficiency in buildings, and these are commissioned and conducted by a limited number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of actors. This provides a good foundation to move towards a transformative evaluation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approach. Suggestions on how to complement current practices include a need to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concretely articulate the energy vision that research and policy incentives seek to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support, and to assess how the evaluand supports this vision. The research also suggests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that capturing experimentation and learning generated by the evaluand can be further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complemented, since testing and piloting of new solutions and practices, and learning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from these activities, are required to bring about changes. Evaluations can also expand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the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involvement of key </w:t>
      </w:r>
      <w:proofErr w:type="gramStart"/>
      <w:r w:rsidRPr="006002EF">
        <w:rPr>
          <w:rFonts w:ascii="AGaramondPro-Regular" w:hAnsi="AGaramondPro-Regular" w:cs="AGaramondPro-Regular"/>
          <w:lang w:val="en-GB"/>
        </w:rPr>
        <w:t>actors, and</w:t>
      </w:r>
      <w:proofErr w:type="gramEnd"/>
      <w:r w:rsidRPr="006002EF">
        <w:rPr>
          <w:rFonts w:ascii="AGaramondPro-Regular" w:hAnsi="AGaramondPro-Regular" w:cs="AGaramondPro-Regular"/>
          <w:lang w:val="en-GB"/>
        </w:rPr>
        <w:t xml:space="preserve"> adopt a systems perspective to a larger degree.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Furthermore, </w:t>
      </w:r>
      <w:proofErr w:type="gramStart"/>
      <w:r w:rsidRPr="006002EF">
        <w:rPr>
          <w:rFonts w:ascii="AGaramondPro-Regular" w:hAnsi="AGaramondPro-Regular" w:cs="AGaramondPro-Regular"/>
          <w:lang w:val="en-GB"/>
        </w:rPr>
        <w:t>in order to</w:t>
      </w:r>
      <w:proofErr w:type="gramEnd"/>
      <w:r w:rsidRPr="006002EF">
        <w:rPr>
          <w:rFonts w:ascii="AGaramondPro-Regular" w:hAnsi="AGaramondPro-Regular" w:cs="AGaramondPro-Regular"/>
          <w:lang w:val="en-GB"/>
        </w:rPr>
        <w:t xml:space="preserve"> make rigorous assessments of the transformative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contributions, one key suggestion is to apply multiple methods and criteria. This </w:t>
      </w:r>
      <w:proofErr w:type="gramStart"/>
      <w:r w:rsidRPr="006002EF">
        <w:rPr>
          <w:rFonts w:ascii="AGaramondPro-Regular" w:hAnsi="AGaramondPro-Regular" w:cs="AGaramondPro-Regular"/>
          <w:lang w:val="en-GB"/>
        </w:rPr>
        <w:t>in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order to</w:t>
      </w:r>
      <w:proofErr w:type="gramEnd"/>
      <w:r w:rsidRPr="006002EF">
        <w:rPr>
          <w:rFonts w:ascii="AGaramondPro-Regular" w:hAnsi="AGaramondPro-Regular" w:cs="AGaramondPro-Regular"/>
          <w:lang w:val="en-GB"/>
        </w:rPr>
        <w:t xml:space="preserve"> facilitate validation of findings through triangulation, and to provide broader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assessments that go beyond the prevalent use of programme-oriented criteria such as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effectiveness and impact. The application of counterfactual assessments can also be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extended to ensure that effects and impacts are indeed attributable to the evaluand and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do not stem from other sources.</w:t>
      </w:r>
      <w:r>
        <w:rPr>
          <w:rFonts w:ascii="AGaramondPro-Regular" w:hAnsi="AGaramondPro-Regular" w:cs="AGaramondPro-Regular"/>
          <w:lang w:val="en-GB"/>
        </w:rPr>
        <w:t xml:space="preserve"> </w:t>
      </w:r>
    </w:p>
    <w:p w14:paraId="057D5D4B" w14:textId="77777777" w:rsid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</w:p>
    <w:p w14:paraId="08AB817D" w14:textId="71F2AA54" w:rsidR="006002EF" w:rsidRP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lastRenderedPageBreak/>
        <w:t>Furthermore, evaluations should seek to take a more holistic perspective, where the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transformative contribution or potential of an incentive is put in relation to </w:t>
      </w:r>
      <w:proofErr w:type="gramStart"/>
      <w:r w:rsidRPr="006002EF">
        <w:rPr>
          <w:rFonts w:ascii="AGaramondPro-Regular" w:hAnsi="AGaramondPro-Regular" w:cs="AGaramondPro-Regular"/>
          <w:lang w:val="en-GB"/>
        </w:rPr>
        <w:t>insights</w:t>
      </w:r>
      <w:proofErr w:type="gramEnd"/>
    </w:p>
    <w:p w14:paraId="57FC39F7" w14:textId="7190ED2E" w:rsid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t xml:space="preserve">generated in other evaluations. This can also support an enhanced </w:t>
      </w:r>
      <w:r w:rsidRPr="006002EF">
        <w:rPr>
          <w:rFonts w:ascii="AGaramondPro-Italic" w:hAnsi="AGaramondPro-Italic" w:cs="AGaramondPro-Italic"/>
          <w:i/>
          <w:iCs/>
          <w:lang w:val="en-GB"/>
        </w:rPr>
        <w:t xml:space="preserve">alignment </w:t>
      </w:r>
      <w:r w:rsidRPr="006002EF">
        <w:rPr>
          <w:rFonts w:ascii="AGaramondPro-Regular" w:hAnsi="AGaramondPro-Regular" w:cs="AGaramondPro-Regular"/>
          <w:lang w:val="en-GB"/>
        </w:rPr>
        <w:t>of research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and policy evaluations, and a more comprehensive understanding of </w:t>
      </w:r>
      <w:r w:rsidRPr="006002EF">
        <w:rPr>
          <w:rFonts w:ascii="AGaramondPro-Italic" w:hAnsi="AGaramondPro-Italic" w:cs="AGaramondPro-Italic"/>
          <w:i/>
          <w:iCs/>
          <w:lang w:val="en-GB"/>
        </w:rPr>
        <w:t xml:space="preserve">cascading </w:t>
      </w:r>
      <w:r w:rsidRPr="006002EF">
        <w:rPr>
          <w:rFonts w:ascii="AGaramondPro-Regular" w:hAnsi="AGaramondPro-Regular" w:cs="AGaramondPro-Regular"/>
          <w:lang w:val="en-GB"/>
        </w:rPr>
        <w:t>effects,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which illuminate how outcomes and effects stemming from an individual research or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policy incentive in turn support or spur transformative effects from other incentives.</w:t>
      </w:r>
    </w:p>
    <w:p w14:paraId="5FE7FE5C" w14:textId="77777777" w:rsidR="006002EF" w:rsidRP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</w:p>
    <w:p w14:paraId="0A000DB1" w14:textId="6B4A228C" w:rsidR="006002EF" w:rsidRP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t xml:space="preserve">Another key for successful evaluations is that they are </w:t>
      </w:r>
      <w:r w:rsidRPr="006002EF">
        <w:rPr>
          <w:rFonts w:ascii="AGaramondPro-Italic" w:hAnsi="AGaramondPro-Italic" w:cs="AGaramondPro-Italic"/>
          <w:i/>
          <w:iCs/>
          <w:lang w:val="en-GB"/>
        </w:rPr>
        <w:t xml:space="preserve">used. </w:t>
      </w:r>
      <w:r w:rsidRPr="006002EF">
        <w:rPr>
          <w:rFonts w:ascii="AGaramondPro-Regular" w:hAnsi="AGaramondPro-Regular" w:cs="AGaramondPro-Regular"/>
          <w:lang w:val="en-GB"/>
        </w:rPr>
        <w:t>This research shows that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the use of evaluations, as perceived by informants at Swedish state agencies, is mainly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proactive, as use for improvement and for knowledge creation is frequently recognized,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rather than use for promoting agendas or simply meeting evaluation requirements. The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processes that underpin evaluation use among Swedish state agencies are reported </w:t>
      </w:r>
      <w:proofErr w:type="gramStart"/>
      <w:r w:rsidRPr="006002EF">
        <w:rPr>
          <w:rFonts w:ascii="AGaramondPro-Regular" w:hAnsi="AGaramondPro-Regular" w:cs="AGaramondPro-Regular"/>
          <w:lang w:val="en-GB"/>
        </w:rPr>
        <w:t>to</w:t>
      </w:r>
      <w:proofErr w:type="gramEnd"/>
    </w:p>
    <w:p w14:paraId="1692D6BE" w14:textId="0BF32186" w:rsidR="006002EF" w:rsidRP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t>build on involvement of various actors and channels, which can further support an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extended use and sharing of evaluations. In all, this provides good foundations for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adopting a transformative evaluation approach, but there are also challenges noted that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relate to overcoming structural and institutional boundaries associated with </w:t>
      </w:r>
      <w:proofErr w:type="gramStart"/>
      <w:r w:rsidRPr="006002EF">
        <w:rPr>
          <w:rFonts w:ascii="AGaramondPro-Regular" w:hAnsi="AGaramondPro-Regular" w:cs="AGaramondPro-Regular"/>
          <w:lang w:val="en-GB"/>
        </w:rPr>
        <w:t>evaluation</w:t>
      </w:r>
      <w:proofErr w:type="gramEnd"/>
    </w:p>
    <w:p w14:paraId="551D9EA8" w14:textId="77777777" w:rsid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t>practices among and between Swedish state agencies.</w:t>
      </w:r>
      <w:r>
        <w:rPr>
          <w:rFonts w:ascii="AGaramondPro-Regular" w:hAnsi="AGaramondPro-Regular" w:cs="AGaramondPro-Regular"/>
          <w:lang w:val="en-GB"/>
        </w:rPr>
        <w:t xml:space="preserve"> </w:t>
      </w:r>
    </w:p>
    <w:p w14:paraId="33F9D3F5" w14:textId="77777777" w:rsidR="006002EF" w:rsidRDefault="006002EF" w:rsidP="006002E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lang w:val="en-GB"/>
        </w:rPr>
      </w:pPr>
    </w:p>
    <w:p w14:paraId="23F496CD" w14:textId="6C5C8226" w:rsidR="002652AB" w:rsidRPr="006002EF" w:rsidRDefault="006002EF" w:rsidP="006002EF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002EF">
        <w:rPr>
          <w:rFonts w:ascii="AGaramondPro-Regular" w:hAnsi="AGaramondPro-Regular" w:cs="AGaramondPro-Regular"/>
          <w:lang w:val="en-GB"/>
        </w:rPr>
        <w:t>Moving towards transformative evaluation will require a revision of current evaluation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practices, mainly concerning how state agencies with mandates to govern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 xml:space="preserve">transformative change work with acquiring and sharing knowledge. </w:t>
      </w:r>
      <w:proofErr w:type="gramStart"/>
      <w:r w:rsidRPr="006002EF">
        <w:rPr>
          <w:rFonts w:ascii="AGaramondPro-Regular" w:hAnsi="AGaramondPro-Regular" w:cs="AGaramondPro-Regular"/>
          <w:lang w:val="en-GB"/>
        </w:rPr>
        <w:t>In order to</w:t>
      </w:r>
      <w:proofErr w:type="gramEnd"/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promote deliberate and well-designed research and policy incentives that can address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the need for supporting a transition towards a more sustainable energy system and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society, evaluations must be supported to purposefully combine transformative insights</w:t>
      </w:r>
      <w:r>
        <w:rPr>
          <w:rFonts w:ascii="AGaramondPro-Regular" w:hAnsi="AGaramondPro-Regular" w:cs="AGaramondPro-Regular"/>
          <w:lang w:val="en-GB"/>
        </w:rPr>
        <w:t xml:space="preserve"> </w:t>
      </w:r>
      <w:r w:rsidRPr="006002EF">
        <w:rPr>
          <w:rFonts w:ascii="AGaramondPro-Regular" w:hAnsi="AGaramondPro-Regular" w:cs="AGaramondPro-Regular"/>
          <w:lang w:val="en-GB"/>
        </w:rPr>
        <w:t>with rigorous evaluation approaches.</w:t>
      </w:r>
    </w:p>
    <w:sectPr w:rsidR="002652AB" w:rsidRPr="006002EF" w:rsidSect="006002EF">
      <w:pgSz w:w="11906" w:h="16838"/>
      <w:pgMar w:top="1440" w:right="2692" w:bottom="212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EF"/>
    <w:rsid w:val="002652AB"/>
    <w:rsid w:val="006002EF"/>
    <w:rsid w:val="00AA1B77"/>
    <w:rsid w:val="00A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0131"/>
  <w15:chartTrackingRefBased/>
  <w15:docId w15:val="{4802BAFA-A60E-4E54-8F8E-8AB178B9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Sandin</dc:creator>
  <cp:keywords/>
  <dc:description/>
  <cp:lastModifiedBy>Sofie Sandin</cp:lastModifiedBy>
  <cp:revision>1</cp:revision>
  <dcterms:created xsi:type="dcterms:W3CDTF">2021-04-21T13:13:00Z</dcterms:created>
  <dcterms:modified xsi:type="dcterms:W3CDTF">2021-04-21T13:21:00Z</dcterms:modified>
</cp:coreProperties>
</file>