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B16389">
        <w:tc>
          <w:tcPr>
            <w:tcW w:w="10348" w:type="dxa"/>
            <w:gridSpan w:val="2"/>
            <w:vAlign w:val="center"/>
          </w:tcPr>
          <w:p w:rsidR="005012CC" w:rsidRPr="00B16389" w:rsidRDefault="002E6BF4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fldChar w:fldCharType="begin"/>
            </w:r>
            <w:r w:rsidRPr="00B16389">
              <w:rPr>
                <w:rFonts w:ascii="Book Antiqua" w:hAnsi="Book Antiqua"/>
                <w:b/>
                <w:sz w:val="18"/>
                <w:szCs w:val="18"/>
              </w:rPr>
              <w:instrText xml:space="preserve"> HYPERLINK "http://www.atiner.gr" </w:instrText>
            </w:r>
            <w:r w:rsidRPr="00B16389">
              <w:rPr>
                <w:rFonts w:ascii="Book Antiqua" w:hAnsi="Book Antiqua"/>
                <w:b/>
                <w:sz w:val="18"/>
                <w:szCs w:val="18"/>
              </w:rPr>
              <w:fldChar w:fldCharType="separate"/>
            </w:r>
            <w:r w:rsidR="005012CC" w:rsidRPr="00B16389">
              <w:rPr>
                <w:rStyle w:val="Hyperlnk"/>
                <w:rFonts w:ascii="Book Antiqua" w:hAnsi="Book Antiqua"/>
                <w:b/>
                <w:sz w:val="18"/>
                <w:szCs w:val="18"/>
              </w:rPr>
              <w:t>Athens Institute for Education and Research</w:t>
            </w:r>
            <w:r w:rsidRPr="00B16389">
              <w:rPr>
                <w:rFonts w:ascii="Book Antiqua" w:hAnsi="Book Antiqua"/>
                <w:b/>
                <w:sz w:val="18"/>
                <w:szCs w:val="18"/>
              </w:rPr>
              <w:fldChar w:fldCharType="end"/>
            </w:r>
          </w:p>
          <w:p w:rsidR="006C508C" w:rsidRPr="00B16389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B16389">
        <w:tc>
          <w:tcPr>
            <w:tcW w:w="1560" w:type="dxa"/>
            <w:vAlign w:val="center"/>
          </w:tcPr>
          <w:p w:rsidR="005012CC" w:rsidRPr="00B16389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:rsidR="005012CC" w:rsidRPr="00B16389" w:rsidRDefault="004C38E7" w:rsidP="00B16389">
            <w:pPr>
              <w:rPr>
                <w:rFonts w:ascii="Book Antiqua" w:hAnsi="Book Antiqua"/>
              </w:rPr>
            </w:pPr>
            <w:hyperlink r:id="rId8" w:history="1">
              <w:r w:rsidR="00B16389" w:rsidRPr="00B16389">
                <w:rPr>
                  <w:rStyle w:val="Hyperlnk"/>
                  <w:rFonts w:ascii="Book Antiqua" w:hAnsi="Book Antiqua"/>
                </w:rPr>
                <w:t>10</w:t>
              </w:r>
              <w:r w:rsidR="00B16389" w:rsidRPr="00B16389">
                <w:rPr>
                  <w:rStyle w:val="Hyperlnk"/>
                  <w:rFonts w:ascii="Book Antiqua" w:hAnsi="Book Antiqua"/>
                  <w:vertAlign w:val="superscript"/>
                </w:rPr>
                <w:t>th</w:t>
              </w:r>
              <w:r w:rsidR="00B16389" w:rsidRPr="00B16389">
                <w:rPr>
                  <w:rStyle w:val="Hyperlnk"/>
                  <w:rFonts w:ascii="Book Antiqua" w:hAnsi="Book Antiqua"/>
                </w:rPr>
                <w:t xml:space="preserve"> Annual International Conference on Communication and Mass Media, 14-17 May 2012, Athens, Greece</w:t>
              </w:r>
            </w:hyperlink>
          </w:p>
        </w:tc>
      </w:tr>
      <w:tr w:rsidR="00292F1B" w:rsidRPr="00B16389">
        <w:tc>
          <w:tcPr>
            <w:tcW w:w="1560" w:type="dxa"/>
            <w:vAlign w:val="center"/>
          </w:tcPr>
          <w:p w:rsidR="00292F1B" w:rsidRPr="00B16389" w:rsidRDefault="00292F1B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Title</w:t>
            </w:r>
            <w:r w:rsidR="008B66CD" w:rsidRPr="00B16389">
              <w:rPr>
                <w:rFonts w:ascii="Book Antiqua" w:hAnsi="Book Antiqua"/>
                <w:b/>
                <w:sz w:val="18"/>
                <w:szCs w:val="18"/>
              </w:rPr>
              <w:t xml:space="preserve"> of Paper</w:t>
            </w:r>
          </w:p>
        </w:tc>
        <w:tc>
          <w:tcPr>
            <w:tcW w:w="8788" w:type="dxa"/>
            <w:vAlign w:val="center"/>
          </w:tcPr>
          <w:p w:rsidR="00292F1B" w:rsidRPr="003A4951" w:rsidRDefault="003B7421" w:rsidP="00E96A80">
            <w:pPr>
              <w:rPr>
                <w:rFonts w:ascii="Book Antiqua" w:hAnsi="Book Antiqua"/>
                <w:sz w:val="18"/>
                <w:szCs w:val="18"/>
              </w:rPr>
            </w:pPr>
            <w:r w:rsidRPr="003A4951">
              <w:rPr>
                <w:rFonts w:ascii="Book Antiqua" w:hAnsi="Book Antiqua"/>
                <w:sz w:val="18"/>
                <w:szCs w:val="18"/>
              </w:rPr>
              <w:t xml:space="preserve">Digital Narcissism within the </w:t>
            </w:r>
            <w:r w:rsidR="00E96A80">
              <w:rPr>
                <w:rFonts w:ascii="Book Antiqua" w:hAnsi="Book Antiqua"/>
                <w:sz w:val="18"/>
                <w:szCs w:val="18"/>
              </w:rPr>
              <w:t xml:space="preserve">Newspaper </w:t>
            </w:r>
            <w:r w:rsidRPr="003A4951">
              <w:rPr>
                <w:rFonts w:ascii="Book Antiqua" w:hAnsi="Book Antiqua"/>
                <w:sz w:val="18"/>
                <w:szCs w:val="18"/>
              </w:rPr>
              <w:t>Industry: Findings from an Ethnographic Excursion</w:t>
            </w:r>
          </w:p>
        </w:tc>
      </w:tr>
      <w:tr w:rsidR="00260948" w:rsidRPr="00B16389" w:rsidTr="002172F6">
        <w:tc>
          <w:tcPr>
            <w:tcW w:w="10348" w:type="dxa"/>
            <w:gridSpan w:val="2"/>
            <w:vAlign w:val="center"/>
          </w:tcPr>
          <w:p w:rsidR="00260948" w:rsidRPr="00B16389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B16389" w:rsidTr="0021288B">
        <w:tc>
          <w:tcPr>
            <w:tcW w:w="1560" w:type="dxa"/>
            <w:vAlign w:val="center"/>
          </w:tcPr>
          <w:p w:rsidR="00614AE4" w:rsidRPr="00B16389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:rsidR="00614AE4" w:rsidRPr="00B16389" w:rsidRDefault="00614AE4" w:rsidP="003B742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="003B7421" w:rsidRPr="003B7421">
              <w:rPr>
                <w:rFonts w:ascii="Book Antiqua" w:hAnsi="Book Antiqua"/>
                <w:b/>
                <w:sz w:val="18"/>
                <w:szCs w:val="18"/>
                <w:lang w:val="en-GB"/>
              </w:rPr>
              <w:sym w:font="Symbol" w:char="F0D6"/>
            </w: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3B7421">
              <w:rPr>
                <w:rFonts w:ascii="Book Antiqua" w:hAnsi="Book Antiqua"/>
                <w:b/>
                <w:sz w:val="18"/>
                <w:szCs w:val="18"/>
                <w:lang w:val="en-GB"/>
              </w:rPr>
              <w:t>Mr</w:t>
            </w: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t xml:space="preserve">    </w:t>
            </w: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t xml:space="preserve"> Mrs    </w:t>
            </w: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B16389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B16389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B16389" w:rsidTr="0021288B">
        <w:tc>
          <w:tcPr>
            <w:tcW w:w="1560" w:type="dxa"/>
            <w:vAlign w:val="center"/>
          </w:tcPr>
          <w:p w:rsidR="00614AE4" w:rsidRPr="00B1638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:rsidR="00614AE4" w:rsidRPr="00B16389" w:rsidRDefault="003B7421" w:rsidP="0021288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Jacob</w:t>
            </w:r>
          </w:p>
        </w:tc>
      </w:tr>
      <w:tr w:rsidR="00614AE4" w:rsidRPr="00B16389" w:rsidTr="0021288B">
        <w:tc>
          <w:tcPr>
            <w:tcW w:w="1560" w:type="dxa"/>
            <w:vAlign w:val="center"/>
          </w:tcPr>
          <w:p w:rsidR="00614AE4" w:rsidRPr="00B1638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:rsidR="00614AE4" w:rsidRPr="00B16389" w:rsidRDefault="003B7421" w:rsidP="0021288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Stenberg</w:t>
            </w:r>
          </w:p>
        </w:tc>
      </w:tr>
      <w:tr w:rsidR="00614AE4" w:rsidRPr="00B16389" w:rsidTr="0021288B">
        <w:tc>
          <w:tcPr>
            <w:tcW w:w="1560" w:type="dxa"/>
            <w:vAlign w:val="center"/>
          </w:tcPr>
          <w:p w:rsidR="00614AE4" w:rsidRPr="00B1638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:rsidR="00614AE4" w:rsidRPr="00B16389" w:rsidRDefault="003B7421" w:rsidP="0021288B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Ph.D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-student</w:t>
            </w:r>
          </w:p>
        </w:tc>
      </w:tr>
      <w:tr w:rsidR="00287A1C" w:rsidRPr="00B16389">
        <w:tc>
          <w:tcPr>
            <w:tcW w:w="1560" w:type="dxa"/>
            <w:vAlign w:val="center"/>
          </w:tcPr>
          <w:p w:rsidR="00287A1C" w:rsidRPr="00B16389" w:rsidRDefault="00287A1C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Affiliation</w:t>
            </w:r>
          </w:p>
        </w:tc>
        <w:tc>
          <w:tcPr>
            <w:tcW w:w="8788" w:type="dxa"/>
            <w:vAlign w:val="center"/>
          </w:tcPr>
          <w:p w:rsidR="00287A1C" w:rsidRPr="00B16389" w:rsidRDefault="003B7421" w:rsidP="004C38E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Department of </w:t>
            </w:r>
            <w:r w:rsidR="004C38E7">
              <w:rPr>
                <w:rFonts w:ascii="Book Antiqua" w:hAnsi="Book Antiqua"/>
                <w:sz w:val="18"/>
                <w:szCs w:val="18"/>
              </w:rPr>
              <w:t>Strategic Communication</w:t>
            </w:r>
            <w:r>
              <w:rPr>
                <w:rFonts w:ascii="Book Antiqua" w:hAnsi="Book Antiqua"/>
                <w:sz w:val="18"/>
                <w:szCs w:val="18"/>
              </w:rPr>
              <w:t>, Lund University</w:t>
            </w:r>
          </w:p>
        </w:tc>
      </w:tr>
      <w:tr w:rsidR="00614AE4" w:rsidRPr="00B16389">
        <w:tc>
          <w:tcPr>
            <w:tcW w:w="1560" w:type="dxa"/>
            <w:vAlign w:val="center"/>
          </w:tcPr>
          <w:p w:rsidR="00614AE4" w:rsidRPr="00B16389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:rsidR="00614AE4" w:rsidRPr="00B16389" w:rsidRDefault="003B7421" w:rsidP="00E766C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Sweden</w:t>
            </w:r>
          </w:p>
        </w:tc>
      </w:tr>
      <w:tr w:rsidR="00287A1C" w:rsidRPr="00B16389">
        <w:tc>
          <w:tcPr>
            <w:tcW w:w="1560" w:type="dxa"/>
            <w:vAlign w:val="center"/>
          </w:tcPr>
          <w:p w:rsidR="00287A1C" w:rsidRPr="00B16389" w:rsidRDefault="00287A1C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vAlign w:val="center"/>
          </w:tcPr>
          <w:p w:rsidR="00287A1C" w:rsidRPr="00B16389" w:rsidRDefault="004C38E7" w:rsidP="00E766C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jacob.stenberg@isk</w:t>
            </w:r>
            <w:bookmarkStart w:id="0" w:name="_GoBack"/>
            <w:bookmarkEnd w:id="0"/>
            <w:r w:rsidR="003B7421">
              <w:rPr>
                <w:rFonts w:ascii="Book Antiqua" w:hAnsi="Book Antiqua"/>
                <w:sz w:val="18"/>
                <w:szCs w:val="18"/>
              </w:rPr>
              <w:t>.lu.se</w:t>
            </w:r>
          </w:p>
        </w:tc>
      </w:tr>
      <w:tr w:rsidR="000E15D2" w:rsidRPr="00B16389">
        <w:tc>
          <w:tcPr>
            <w:tcW w:w="1560" w:type="dxa"/>
            <w:vAlign w:val="center"/>
          </w:tcPr>
          <w:p w:rsidR="000E15D2" w:rsidRPr="00B16389" w:rsidRDefault="000E15D2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  <w:lang w:val="en-GB"/>
              </w:rPr>
              <w:t>Telephone</w:t>
            </w:r>
            <w:r w:rsidR="008F45F6" w:rsidRPr="00B16389">
              <w:rPr>
                <w:rFonts w:ascii="Book Antiqua" w:hAnsi="Book Antiqua"/>
                <w:b/>
                <w:sz w:val="18"/>
                <w:szCs w:val="18"/>
                <w:lang w:val="en-GB"/>
              </w:rPr>
              <w:t>(</w:t>
            </w:r>
            <w:r w:rsidRPr="00B16389">
              <w:rPr>
                <w:rFonts w:ascii="Book Antiqua" w:hAnsi="Book Antiqua"/>
                <w:b/>
                <w:sz w:val="18"/>
                <w:szCs w:val="18"/>
                <w:lang w:val="en-GB"/>
              </w:rPr>
              <w:t>s</w:t>
            </w:r>
            <w:r w:rsidR="008F45F6" w:rsidRPr="00B16389">
              <w:rPr>
                <w:rFonts w:ascii="Book Antiqua" w:hAnsi="Book Antiqu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8788" w:type="dxa"/>
            <w:vAlign w:val="center"/>
          </w:tcPr>
          <w:p w:rsidR="000E15D2" w:rsidRPr="00B16389" w:rsidRDefault="003B7421" w:rsidP="00E766C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0046 708 28 35 33</w:t>
            </w:r>
          </w:p>
        </w:tc>
      </w:tr>
      <w:tr w:rsidR="00F43AD2" w:rsidRPr="00B16389">
        <w:tc>
          <w:tcPr>
            <w:tcW w:w="1560" w:type="dxa"/>
            <w:vAlign w:val="center"/>
          </w:tcPr>
          <w:p w:rsidR="00F43AD2" w:rsidRPr="00B16389" w:rsidRDefault="00F43AD2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GB"/>
              </w:rPr>
              <w:t>Fax</w:t>
            </w:r>
          </w:p>
        </w:tc>
        <w:tc>
          <w:tcPr>
            <w:tcW w:w="8788" w:type="dxa"/>
            <w:vAlign w:val="center"/>
          </w:tcPr>
          <w:p w:rsidR="00F43AD2" w:rsidRPr="00B16389" w:rsidRDefault="003B7421" w:rsidP="00E766C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-</w:t>
            </w:r>
          </w:p>
        </w:tc>
      </w:tr>
      <w:tr w:rsidR="00287A1C" w:rsidRPr="00B16389">
        <w:tc>
          <w:tcPr>
            <w:tcW w:w="1560" w:type="dxa"/>
            <w:vAlign w:val="center"/>
          </w:tcPr>
          <w:p w:rsidR="00287A1C" w:rsidRPr="00B16389" w:rsidRDefault="00287A1C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Abstract</w:t>
            </w:r>
          </w:p>
        </w:tc>
        <w:tc>
          <w:tcPr>
            <w:tcW w:w="8788" w:type="dxa"/>
            <w:vAlign w:val="center"/>
          </w:tcPr>
          <w:p w:rsidR="003B7421" w:rsidRDefault="003B7421" w:rsidP="003B7421">
            <w:pPr>
              <w:rPr>
                <w:rFonts w:ascii="Book Antiqua" w:hAnsi="Book Antiqua"/>
                <w:sz w:val="18"/>
                <w:szCs w:val="18"/>
              </w:rPr>
            </w:pPr>
          </w:p>
          <w:p w:rsidR="00747DCD" w:rsidRDefault="003B7421" w:rsidP="00E51F0F">
            <w:pPr>
              <w:rPr>
                <w:rFonts w:ascii="Times New Roman" w:hAnsi="Times New Roman"/>
                <w:sz w:val="24"/>
                <w:szCs w:val="24"/>
              </w:rPr>
            </w:pPr>
            <w:r w:rsidRPr="003B7421">
              <w:rPr>
                <w:rFonts w:ascii="Times New Roman" w:hAnsi="Times New Roman"/>
                <w:sz w:val="24"/>
                <w:szCs w:val="24"/>
              </w:rPr>
              <w:t>This article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seeks to find out how </w:t>
            </w:r>
            <w:r w:rsidR="00E96A80">
              <w:rPr>
                <w:rFonts w:ascii="Times New Roman" w:hAnsi="Times New Roman"/>
                <w:sz w:val="24"/>
                <w:szCs w:val="24"/>
              </w:rPr>
              <w:t>the current newspaper crisis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 is embodied through praxis within a large newspaper’s digital media department. In order to grasp these practices I have conducted fieldwork at a large newspaper’s digital media department in Sweden. I wanted to </w:t>
            </w:r>
            <w:r w:rsidR="00467CFA">
              <w:rPr>
                <w:rFonts w:ascii="Times New Roman" w:hAnsi="Times New Roman"/>
                <w:sz w:val="24"/>
                <w:szCs w:val="24"/>
              </w:rPr>
              <w:t xml:space="preserve">pinpoint and observe 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characteristics and consequences of what I, and many others, have labeled the </w:t>
            </w:r>
            <w:r w:rsidRPr="007C0496">
              <w:rPr>
                <w:rFonts w:ascii="Times New Roman" w:hAnsi="Times New Roman"/>
                <w:i/>
                <w:sz w:val="24"/>
                <w:szCs w:val="24"/>
              </w:rPr>
              <w:t xml:space="preserve">new economy 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or the </w:t>
            </w:r>
            <w:r w:rsidRPr="007C0496">
              <w:rPr>
                <w:rFonts w:ascii="Times New Roman" w:hAnsi="Times New Roman"/>
                <w:i/>
                <w:sz w:val="24"/>
                <w:szCs w:val="24"/>
              </w:rPr>
              <w:t>hybrid age</w:t>
            </w:r>
            <w:r w:rsidR="007C0496">
              <w:rPr>
                <w:rFonts w:ascii="Times New Roman" w:hAnsi="Times New Roman"/>
                <w:sz w:val="24"/>
                <w:szCs w:val="24"/>
              </w:rPr>
              <w:t>,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 a perhaps historical event in capitalism where (especially in media) companies, entrepreneurs, producers, users and technologies come together in unique, unexpected and almost promiscuous manners. I wanted to see how this flux of people and things find stability – or </w:t>
            </w:r>
            <w:r w:rsidRPr="007C0496">
              <w:rPr>
                <w:rFonts w:ascii="Times New Roman" w:hAnsi="Times New Roman"/>
                <w:i/>
                <w:sz w:val="24"/>
                <w:szCs w:val="24"/>
              </w:rPr>
              <w:t>meaning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 – within such a schizophrenic climate. By taking the social constructivists' critique of never-static roles seriously and applying Nigel Thrift's notion of </w:t>
            </w:r>
            <w:r w:rsidRPr="007C0496">
              <w:rPr>
                <w:rFonts w:ascii="Times New Roman" w:hAnsi="Times New Roman"/>
                <w:i/>
                <w:sz w:val="24"/>
                <w:szCs w:val="24"/>
              </w:rPr>
              <w:t>place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 in order to find an understanding of s</w:t>
            </w:r>
            <w:r w:rsidR="00625D2B">
              <w:rPr>
                <w:rFonts w:ascii="Times New Roman" w:hAnsi="Times New Roman"/>
                <w:sz w:val="24"/>
                <w:szCs w:val="24"/>
              </w:rPr>
              <w:t>tability within a given context,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 I argue that</w:t>
            </w:r>
            <w:r w:rsidR="0033479E">
              <w:rPr>
                <w:rFonts w:ascii="Times New Roman" w:hAnsi="Times New Roman"/>
                <w:sz w:val="24"/>
                <w:szCs w:val="24"/>
              </w:rPr>
              <w:t xml:space="preserve"> stability is performed</w:t>
            </w:r>
            <w:r w:rsidR="00D52309">
              <w:rPr>
                <w:rFonts w:ascii="Times New Roman" w:hAnsi="Times New Roman"/>
                <w:sz w:val="24"/>
                <w:szCs w:val="24"/>
              </w:rPr>
              <w:t xml:space="preserve"> by digital media actors</w:t>
            </w:r>
            <w:r w:rsidR="00DA014A">
              <w:rPr>
                <w:rFonts w:ascii="Times New Roman" w:hAnsi="Times New Roman"/>
                <w:sz w:val="24"/>
                <w:szCs w:val="24"/>
              </w:rPr>
              <w:t xml:space="preserve"> by an extreme </w:t>
            </w:r>
            <w:r w:rsidR="00625D2B">
              <w:rPr>
                <w:rFonts w:ascii="Times New Roman" w:hAnsi="Times New Roman"/>
                <w:sz w:val="24"/>
                <w:szCs w:val="24"/>
              </w:rPr>
              <w:t>adaptation</w:t>
            </w:r>
            <w:r w:rsidR="00D52309">
              <w:rPr>
                <w:rFonts w:ascii="Times New Roman" w:hAnsi="Times New Roman"/>
                <w:sz w:val="24"/>
                <w:szCs w:val="24"/>
              </w:rPr>
              <w:t xml:space="preserve"> to its own digital discourse</w:t>
            </w:r>
            <w:r w:rsidR="00334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rather than adapting to the </w:t>
            </w:r>
            <w:r w:rsidR="0033479E">
              <w:rPr>
                <w:rFonts w:ascii="Times New Roman" w:hAnsi="Times New Roman"/>
                <w:sz w:val="24"/>
                <w:szCs w:val="24"/>
              </w:rPr>
              <w:t xml:space="preserve">actual </w:t>
            </w:r>
            <w:r w:rsidR="007802E4">
              <w:rPr>
                <w:rFonts w:ascii="Times New Roman" w:hAnsi="Times New Roman"/>
                <w:sz w:val="24"/>
                <w:szCs w:val="24"/>
              </w:rPr>
              <w:t>consumers</w:t>
            </w:r>
            <w:r w:rsidR="00DA01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5D2B">
              <w:rPr>
                <w:rFonts w:ascii="Times New Roman" w:hAnsi="Times New Roman"/>
                <w:sz w:val="24"/>
                <w:szCs w:val="24"/>
              </w:rPr>
              <w:t xml:space="preserve">thereby running the risk of creating a </w:t>
            </w:r>
            <w:r w:rsidR="00625D2B" w:rsidRPr="003B7421">
              <w:rPr>
                <w:rFonts w:ascii="Times New Roman" w:hAnsi="Times New Roman"/>
                <w:sz w:val="24"/>
                <w:szCs w:val="24"/>
              </w:rPr>
              <w:t xml:space="preserve">media </w:t>
            </w:r>
            <w:r w:rsidR="00625D2B">
              <w:rPr>
                <w:rFonts w:ascii="Times New Roman" w:hAnsi="Times New Roman"/>
                <w:sz w:val="24"/>
                <w:szCs w:val="24"/>
              </w:rPr>
              <w:t xml:space="preserve">bubble </w:t>
            </w:r>
            <w:r w:rsidR="00625D2B" w:rsidRPr="003B7421">
              <w:rPr>
                <w:rFonts w:ascii="Times New Roman" w:hAnsi="Times New Roman"/>
                <w:sz w:val="24"/>
                <w:szCs w:val="24"/>
              </w:rPr>
              <w:t xml:space="preserve">(what I will label </w:t>
            </w:r>
            <w:r w:rsidR="00625D2B" w:rsidRPr="003B7421">
              <w:rPr>
                <w:rFonts w:ascii="Times New Roman" w:hAnsi="Times New Roman"/>
                <w:i/>
                <w:sz w:val="24"/>
                <w:szCs w:val="24"/>
              </w:rPr>
              <w:t>digital narcissism</w:t>
            </w:r>
            <w:r w:rsidR="00625D2B">
              <w:rPr>
                <w:rFonts w:ascii="Times New Roman" w:hAnsi="Times New Roman"/>
                <w:sz w:val="24"/>
                <w:szCs w:val="24"/>
              </w:rPr>
              <w:t>).</w:t>
            </w:r>
            <w:r w:rsidR="00625D2B" w:rsidRPr="003B7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The broader question I will answer is: How is the digital media department seeking stability or meaning within a fluctuating information media economy and how is this economy embodied in the praxis of the department’s everyday life? This article will therefore provide </w:t>
            </w:r>
            <w:r w:rsidR="00D52309">
              <w:rPr>
                <w:rFonts w:ascii="Times New Roman" w:hAnsi="Times New Roman"/>
                <w:sz w:val="24"/>
                <w:szCs w:val="24"/>
              </w:rPr>
              <w:t>an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 xml:space="preserve"> understanding of (1) </w:t>
            </w:r>
            <w:r w:rsidR="00625D2B">
              <w:rPr>
                <w:rFonts w:ascii="Times New Roman" w:hAnsi="Times New Roman"/>
                <w:sz w:val="24"/>
                <w:szCs w:val="24"/>
              </w:rPr>
              <w:t xml:space="preserve">how 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>the popular digital media discourse</w:t>
            </w:r>
            <w:r w:rsidR="00C331D9">
              <w:rPr>
                <w:rFonts w:ascii="Times New Roman" w:hAnsi="Times New Roman"/>
                <w:sz w:val="24"/>
                <w:szCs w:val="24"/>
              </w:rPr>
              <w:t xml:space="preserve"> in a newspaper setting </w:t>
            </w:r>
            <w:r w:rsidR="00DA014A">
              <w:rPr>
                <w:rFonts w:ascii="Times New Roman" w:hAnsi="Times New Roman"/>
                <w:sz w:val="24"/>
                <w:szCs w:val="24"/>
              </w:rPr>
              <w:t>is in a process of consumer-exclusion</w:t>
            </w:r>
            <w:r w:rsidRPr="003B7421">
              <w:rPr>
                <w:rFonts w:ascii="Times New Roman" w:hAnsi="Times New Roman"/>
                <w:sz w:val="24"/>
                <w:szCs w:val="24"/>
              </w:rPr>
              <w:t>, (2) the possible risk of digital narcissism and (3) how this may affect newspaper industries in general and digital media departments in particular.*</w:t>
            </w:r>
          </w:p>
          <w:p w:rsidR="003B7421" w:rsidRPr="003B7421" w:rsidRDefault="003B7421" w:rsidP="00E51F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7DCD" w:rsidRPr="003B7421" w:rsidRDefault="003A4951" w:rsidP="003E3C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3B7421" w:rsidRPr="003B7421">
              <w:rPr>
                <w:rFonts w:ascii="Times New Roman" w:hAnsi="Times New Roman"/>
                <w:sz w:val="20"/>
                <w:szCs w:val="20"/>
              </w:rPr>
              <w:t>This article is based on</w:t>
            </w:r>
            <w:r w:rsidR="003B7421">
              <w:rPr>
                <w:rFonts w:ascii="Times New Roman" w:hAnsi="Times New Roman"/>
                <w:sz w:val="20"/>
                <w:szCs w:val="20"/>
              </w:rPr>
              <w:t xml:space="preserve"> material gathered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fieldwork </w:t>
            </w:r>
            <w:r w:rsidR="003B7421" w:rsidRPr="003B7421">
              <w:rPr>
                <w:rFonts w:ascii="Times New Roman" w:hAnsi="Times New Roman"/>
                <w:sz w:val="20"/>
                <w:szCs w:val="20"/>
              </w:rPr>
              <w:t>conducted</w:t>
            </w:r>
            <w:r w:rsidR="003E3C06">
              <w:rPr>
                <w:rFonts w:ascii="Times New Roman" w:hAnsi="Times New Roman"/>
                <w:sz w:val="20"/>
                <w:szCs w:val="20"/>
              </w:rPr>
              <w:t xml:space="preserve"> in 2010</w:t>
            </w:r>
            <w:r w:rsidR="003B7421" w:rsidRPr="003B7421">
              <w:rPr>
                <w:rFonts w:ascii="Times New Roman" w:hAnsi="Times New Roman"/>
                <w:sz w:val="20"/>
                <w:szCs w:val="20"/>
              </w:rPr>
              <w:t xml:space="preserve"> for my MA-thesis entitled </w:t>
            </w:r>
            <w:r w:rsidR="003B7421">
              <w:rPr>
                <w:rFonts w:ascii="Times New Roman" w:hAnsi="Times New Roman"/>
                <w:i/>
                <w:sz w:val="20"/>
                <w:szCs w:val="20"/>
              </w:rPr>
              <w:t>A Process of Becoming: A</w:t>
            </w:r>
            <w:r w:rsidR="003B7421" w:rsidRPr="003B7421">
              <w:rPr>
                <w:rFonts w:ascii="Times New Roman" w:hAnsi="Times New Roman"/>
                <w:i/>
                <w:sz w:val="20"/>
                <w:szCs w:val="20"/>
              </w:rPr>
              <w:t xml:space="preserve"> Digital Media Department’s Place within the Swedish Newspaper Industry</w:t>
            </w:r>
            <w:r w:rsidR="003B74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87A1C" w:rsidRPr="00B16389">
        <w:tc>
          <w:tcPr>
            <w:tcW w:w="1560" w:type="dxa"/>
            <w:vAlign w:val="center"/>
          </w:tcPr>
          <w:p w:rsidR="00287A1C" w:rsidRPr="00B16389" w:rsidRDefault="00287A1C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B16389">
              <w:rPr>
                <w:rFonts w:ascii="Book Antiqua" w:hAnsi="Book Antiqua"/>
                <w:b/>
                <w:sz w:val="18"/>
                <w:szCs w:val="18"/>
              </w:rPr>
              <w:t>Keywords</w:t>
            </w:r>
          </w:p>
        </w:tc>
        <w:tc>
          <w:tcPr>
            <w:tcW w:w="8788" w:type="dxa"/>
            <w:vAlign w:val="center"/>
          </w:tcPr>
          <w:p w:rsidR="00287A1C" w:rsidRPr="00B16389" w:rsidRDefault="00366B67" w:rsidP="008D6D1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Digital media, newspaper industry, ICT, new economy, digitization, ethnography</w:t>
            </w:r>
          </w:p>
        </w:tc>
      </w:tr>
    </w:tbl>
    <w:p w:rsidR="00C30DA5" w:rsidRPr="002E6BF4" w:rsidRDefault="005012CC" w:rsidP="00E51F0F">
      <w:pPr>
        <w:rPr>
          <w:rFonts w:ascii="Book Antiqua" w:hAnsi="Book Antiqua"/>
          <w:sz w:val="18"/>
          <w:szCs w:val="18"/>
          <w:lang w:val="en-GB"/>
        </w:rPr>
      </w:pPr>
      <w:r w:rsidRPr="002E6BF4">
        <w:rPr>
          <w:rFonts w:ascii="Book Antiqua" w:hAnsi="Book Antiqua"/>
          <w:sz w:val="18"/>
          <w:szCs w:val="18"/>
          <w:lang w:val="en-GB"/>
        </w:rPr>
        <w:t xml:space="preserve">Please email to: </w:t>
      </w:r>
      <w:hyperlink r:id="rId9" w:history="1">
        <w:r w:rsidR="00C30DA5" w:rsidRPr="002E6BF4">
          <w:rPr>
            <w:rStyle w:val="Hyperl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2E6BF4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2E6BF4">
        <w:rPr>
          <w:rFonts w:ascii="Book Antiqua" w:hAnsi="Book Antiqua"/>
          <w:sz w:val="18"/>
          <w:szCs w:val="18"/>
          <w:lang w:val="en-GB"/>
        </w:rPr>
        <w:t>as an attached file or fax it to +30 210 3634209</w:t>
      </w:r>
    </w:p>
    <w:sectPr w:rsidR="00C30DA5" w:rsidRPr="002E6BF4" w:rsidSect="00C30DA5">
      <w:pgSz w:w="11906" w:h="16838"/>
      <w:pgMar w:top="1089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D9" w:rsidRDefault="00C331D9" w:rsidP="005F6229">
      <w:r>
        <w:separator/>
      </w:r>
    </w:p>
  </w:endnote>
  <w:endnote w:type="continuationSeparator" w:id="0">
    <w:p w:rsidR="00C331D9" w:rsidRDefault="00C331D9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D9" w:rsidRDefault="00C331D9" w:rsidP="005F6229">
      <w:r>
        <w:separator/>
      </w:r>
    </w:p>
  </w:footnote>
  <w:footnote w:type="continuationSeparator" w:id="0">
    <w:p w:rsidR="00C331D9" w:rsidRDefault="00C331D9" w:rsidP="005F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BEA4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F43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E4B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94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0CA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2C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1676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4031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FC7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148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1B"/>
    <w:rsid w:val="00011542"/>
    <w:rsid w:val="000E15D2"/>
    <w:rsid w:val="000F0406"/>
    <w:rsid w:val="001C68D3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E0939"/>
    <w:rsid w:val="002E5D20"/>
    <w:rsid w:val="002E6BF4"/>
    <w:rsid w:val="002F4417"/>
    <w:rsid w:val="00304B54"/>
    <w:rsid w:val="0033479E"/>
    <w:rsid w:val="003557D8"/>
    <w:rsid w:val="00366B67"/>
    <w:rsid w:val="003A4951"/>
    <w:rsid w:val="003B7421"/>
    <w:rsid w:val="003E3C06"/>
    <w:rsid w:val="003F54E0"/>
    <w:rsid w:val="00416921"/>
    <w:rsid w:val="00422BC5"/>
    <w:rsid w:val="00467CFA"/>
    <w:rsid w:val="00487D7A"/>
    <w:rsid w:val="004C3389"/>
    <w:rsid w:val="004C38E7"/>
    <w:rsid w:val="005012CC"/>
    <w:rsid w:val="00504FC1"/>
    <w:rsid w:val="00510F62"/>
    <w:rsid w:val="005469B0"/>
    <w:rsid w:val="00551211"/>
    <w:rsid w:val="00553A66"/>
    <w:rsid w:val="005661CB"/>
    <w:rsid w:val="005A6D9C"/>
    <w:rsid w:val="005F6229"/>
    <w:rsid w:val="005F6812"/>
    <w:rsid w:val="00614AE4"/>
    <w:rsid w:val="00614D25"/>
    <w:rsid w:val="00625D2B"/>
    <w:rsid w:val="00626E01"/>
    <w:rsid w:val="006540A3"/>
    <w:rsid w:val="0065730D"/>
    <w:rsid w:val="0065797F"/>
    <w:rsid w:val="00676496"/>
    <w:rsid w:val="0068328C"/>
    <w:rsid w:val="006C508C"/>
    <w:rsid w:val="006D3ED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02E4"/>
    <w:rsid w:val="00782DB7"/>
    <w:rsid w:val="007A76E0"/>
    <w:rsid w:val="007C0496"/>
    <w:rsid w:val="007C3D91"/>
    <w:rsid w:val="007F1304"/>
    <w:rsid w:val="00832E5D"/>
    <w:rsid w:val="008417FF"/>
    <w:rsid w:val="00847998"/>
    <w:rsid w:val="00874467"/>
    <w:rsid w:val="00874840"/>
    <w:rsid w:val="00882059"/>
    <w:rsid w:val="008B66CD"/>
    <w:rsid w:val="008C59D3"/>
    <w:rsid w:val="008D6D14"/>
    <w:rsid w:val="008F45F6"/>
    <w:rsid w:val="00913F7F"/>
    <w:rsid w:val="00924521"/>
    <w:rsid w:val="00927D14"/>
    <w:rsid w:val="00937E47"/>
    <w:rsid w:val="009450D0"/>
    <w:rsid w:val="00947F75"/>
    <w:rsid w:val="009A254A"/>
    <w:rsid w:val="00A02BEE"/>
    <w:rsid w:val="00A31725"/>
    <w:rsid w:val="00AC4E55"/>
    <w:rsid w:val="00AE1973"/>
    <w:rsid w:val="00AF167E"/>
    <w:rsid w:val="00AF578E"/>
    <w:rsid w:val="00B0254C"/>
    <w:rsid w:val="00B16063"/>
    <w:rsid w:val="00B16389"/>
    <w:rsid w:val="00B26DAD"/>
    <w:rsid w:val="00B41056"/>
    <w:rsid w:val="00B64847"/>
    <w:rsid w:val="00B93E39"/>
    <w:rsid w:val="00BD461A"/>
    <w:rsid w:val="00BF2AF5"/>
    <w:rsid w:val="00C01F60"/>
    <w:rsid w:val="00C30DA5"/>
    <w:rsid w:val="00C331D9"/>
    <w:rsid w:val="00C65748"/>
    <w:rsid w:val="00C75875"/>
    <w:rsid w:val="00C77AC1"/>
    <w:rsid w:val="00CB1BFD"/>
    <w:rsid w:val="00CC1163"/>
    <w:rsid w:val="00CC660A"/>
    <w:rsid w:val="00D2525F"/>
    <w:rsid w:val="00D32CEF"/>
    <w:rsid w:val="00D33C7A"/>
    <w:rsid w:val="00D51F33"/>
    <w:rsid w:val="00D52309"/>
    <w:rsid w:val="00D66966"/>
    <w:rsid w:val="00D757D5"/>
    <w:rsid w:val="00D92416"/>
    <w:rsid w:val="00D93991"/>
    <w:rsid w:val="00DA014A"/>
    <w:rsid w:val="00DA2351"/>
    <w:rsid w:val="00DC54AA"/>
    <w:rsid w:val="00DD70F8"/>
    <w:rsid w:val="00DF42F7"/>
    <w:rsid w:val="00E51F0F"/>
    <w:rsid w:val="00E639EF"/>
    <w:rsid w:val="00E71645"/>
    <w:rsid w:val="00E730A4"/>
    <w:rsid w:val="00E766C3"/>
    <w:rsid w:val="00E772C2"/>
    <w:rsid w:val="00E96A80"/>
    <w:rsid w:val="00EA4549"/>
    <w:rsid w:val="00EC37D1"/>
    <w:rsid w:val="00ED59A0"/>
    <w:rsid w:val="00F011EF"/>
    <w:rsid w:val="00F06F6E"/>
    <w:rsid w:val="00F11C40"/>
    <w:rsid w:val="00F36311"/>
    <w:rsid w:val="00F43AD2"/>
    <w:rsid w:val="00F46B1A"/>
    <w:rsid w:val="00F47293"/>
    <w:rsid w:val="00F47631"/>
    <w:rsid w:val="00F7635C"/>
    <w:rsid w:val="00FC2E7F"/>
    <w:rsid w:val="00FD3AA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92F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3F54E0"/>
    <w:rPr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5F6229"/>
    <w:rPr>
      <w:kern w:val="2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5F6229"/>
    <w:rPr>
      <w:kern w:val="2"/>
      <w:sz w:val="18"/>
      <w:szCs w:val="18"/>
    </w:rPr>
  </w:style>
  <w:style w:type="character" w:styleId="Hyperlnk">
    <w:name w:val="Hyperlink"/>
    <w:basedOn w:val="Standardstycketypsnitt"/>
    <w:rsid w:val="005012CC"/>
    <w:rPr>
      <w:color w:val="0000FF"/>
      <w:u w:val="single"/>
    </w:rPr>
  </w:style>
  <w:style w:type="character" w:styleId="AnvndHyperlnk">
    <w:name w:val="FollowedHyperlink"/>
    <w:basedOn w:val="Standardstycketypsnitt"/>
    <w:rsid w:val="000E15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92F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3F54E0"/>
    <w:rPr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5F6229"/>
    <w:rPr>
      <w:kern w:val="2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5F6229"/>
    <w:rPr>
      <w:kern w:val="2"/>
      <w:sz w:val="18"/>
      <w:szCs w:val="18"/>
    </w:rPr>
  </w:style>
  <w:style w:type="character" w:styleId="Hyperlnk">
    <w:name w:val="Hyperlink"/>
    <w:basedOn w:val="Standardstycketypsnitt"/>
    <w:rsid w:val="005012CC"/>
    <w:rPr>
      <w:color w:val="0000FF"/>
      <w:u w:val="single"/>
    </w:rPr>
  </w:style>
  <w:style w:type="character" w:styleId="AnvndHyperlnk">
    <w:name w:val="FollowedHyperlink"/>
    <w:basedOn w:val="Standardstycketypsnitt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tiner.gr/media.htm" TargetMode="External"/><Relationship Id="rId9" Type="http://schemas.openxmlformats.org/officeDocument/2006/relationships/hyperlink" Target="mailto:atiner@atiner.g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2423</Characters>
  <Application>Microsoft Macintosh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2874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http://www.atiner.gr/media.htm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Jacob Stenberg</cp:lastModifiedBy>
  <cp:revision>2</cp:revision>
  <cp:lastPrinted>2011-12-05T12:26:00Z</cp:lastPrinted>
  <dcterms:created xsi:type="dcterms:W3CDTF">2012-03-22T20:48:00Z</dcterms:created>
  <dcterms:modified xsi:type="dcterms:W3CDTF">2012-03-22T20:48:00Z</dcterms:modified>
</cp:coreProperties>
</file>