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B0" w:rsidRDefault="00FD56B0" w:rsidP="00B56573">
      <w:pPr>
        <w:rPr>
          <w:b/>
        </w:rPr>
      </w:pPr>
    </w:p>
    <w:p w:rsidR="00BC06F6" w:rsidRDefault="00E1661D" w:rsidP="00B56573">
      <w:pPr>
        <w:rPr>
          <w:b/>
        </w:rPr>
      </w:pPr>
      <w:r>
        <w:rPr>
          <w:b/>
        </w:rPr>
        <w:t xml:space="preserve">Rubrics as assessment for learning </w:t>
      </w:r>
    </w:p>
    <w:p w:rsidR="00397BB4" w:rsidRPr="00FD56B0" w:rsidRDefault="00397BB4" w:rsidP="00B56573">
      <w:pPr>
        <w:rPr>
          <w:b/>
        </w:rPr>
      </w:pPr>
    </w:p>
    <w:p w:rsidR="00B56573" w:rsidRDefault="00BB6C77" w:rsidP="00B56573">
      <w:r>
        <w:t>Through the</w:t>
      </w:r>
      <w:r w:rsidR="00B56573">
        <w:t xml:space="preserve"> pedagogical changes proposed by the Bologna process, European </w:t>
      </w:r>
      <w:r w:rsidR="00397BB4">
        <w:t>h</w:t>
      </w:r>
      <w:r w:rsidR="00B56573">
        <w:t xml:space="preserve">igher </w:t>
      </w:r>
      <w:r w:rsidR="00397BB4">
        <w:t>e</w:t>
      </w:r>
      <w:r w:rsidR="00B56573">
        <w:t>ducation</w:t>
      </w:r>
      <w:r w:rsidR="00932A9D">
        <w:t xml:space="preserve"> has been</w:t>
      </w:r>
      <w:r w:rsidR="00B56573">
        <w:t xml:space="preserve"> challenged to move towards a more student-centered approach to teaching</w:t>
      </w:r>
      <w:r>
        <w:t xml:space="preserve"> (</w:t>
      </w:r>
      <w:r w:rsidR="0084535A">
        <w:t>Hyland</w:t>
      </w:r>
      <w:r w:rsidR="00EC193E">
        <w:t>, Kennedy &amp; Rust,</w:t>
      </w:r>
      <w:r w:rsidR="0084535A">
        <w:t xml:space="preserve"> </w:t>
      </w:r>
      <w:r w:rsidR="00FD5E59">
        <w:t>2006</w:t>
      </w:r>
      <w:r>
        <w:t>)</w:t>
      </w:r>
      <w:r w:rsidR="00B56573">
        <w:t xml:space="preserve">. One particular area of challenge is student assessment, which is often viewed as a summative practice whose sole purpose is to equip students with a grade. </w:t>
      </w:r>
      <w:r w:rsidR="00E556FE">
        <w:t xml:space="preserve">In light of recent pedagogical developments, however, assessment </w:t>
      </w:r>
      <w:r>
        <w:t xml:space="preserve">procedures </w:t>
      </w:r>
      <w:r w:rsidR="00507989">
        <w:t>are</w:t>
      </w:r>
      <w:r w:rsidR="00E556FE">
        <w:t xml:space="preserve"> gradually changing</w:t>
      </w:r>
      <w:r w:rsidR="00932A9D">
        <w:t>,</w:t>
      </w:r>
      <w:r w:rsidR="00E556FE">
        <w:t xml:space="preserve"> and </w:t>
      </w:r>
      <w:r w:rsidR="00783EDE">
        <w:t>more teachers are using assessment as a formative activity</w:t>
      </w:r>
      <w:r w:rsidR="00EC193E">
        <w:t xml:space="preserve"> (Rust, Price &amp; O’Donnovan,</w:t>
      </w:r>
      <w:r w:rsidR="00E1661D">
        <w:t xml:space="preserve"> 2003</w:t>
      </w:r>
      <w:r w:rsidR="00EC193E">
        <w:t>,</w:t>
      </w:r>
      <w:r w:rsidR="00E1661D">
        <w:t xml:space="preserve"> Nicol 2010)</w:t>
      </w:r>
      <w:r w:rsidR="00592619">
        <w:t>.</w:t>
      </w:r>
    </w:p>
    <w:p w:rsidR="00E556FE" w:rsidRDefault="008369A3" w:rsidP="00B56573">
      <w:pPr>
        <w:ind w:firstLine="720"/>
      </w:pPr>
      <w:r>
        <w:t xml:space="preserve">The context of the paper is an ESP course at </w:t>
      </w:r>
      <w:r w:rsidR="00F329DF">
        <w:t xml:space="preserve">the </w:t>
      </w:r>
      <w:r>
        <w:t xml:space="preserve">introductory level </w:t>
      </w:r>
      <w:r w:rsidR="00F329DF">
        <w:t>of the</w:t>
      </w:r>
      <w:r>
        <w:t xml:space="preserve"> Shipping and Logistics program at Chalmers University of Technology. </w:t>
      </w:r>
      <w:r w:rsidR="00B56573">
        <w:t>The aim of the paper is two-fold.</w:t>
      </w:r>
      <w:r w:rsidR="00E556FE">
        <w:t xml:space="preserve"> </w:t>
      </w:r>
      <w:r w:rsidR="00BB6C77">
        <w:t>The first aim is to</w:t>
      </w:r>
      <w:r w:rsidR="00B56573">
        <w:t xml:space="preserve"> </w:t>
      </w:r>
      <w:r w:rsidR="00783EDE">
        <w:t xml:space="preserve">shed light on the usefulness of one method of assessment, the rubric. </w:t>
      </w:r>
      <w:r w:rsidR="00B56573">
        <w:t xml:space="preserve">A rubric can be defined as a grid </w:t>
      </w:r>
      <w:r w:rsidR="00E556FE">
        <w:t xml:space="preserve">of </w:t>
      </w:r>
      <w:r w:rsidR="00B56573">
        <w:t>assessment criteria describing different levels of performance associated with clear grades</w:t>
      </w:r>
      <w:r w:rsidR="00507989">
        <w:t xml:space="preserve"> (</w:t>
      </w:r>
      <w:r w:rsidR="0084535A">
        <w:t xml:space="preserve">Reddy </w:t>
      </w:r>
      <w:r w:rsidR="00EC193E">
        <w:t xml:space="preserve">&amp; </w:t>
      </w:r>
      <w:r w:rsidR="0084535A">
        <w:t>Andrade</w:t>
      </w:r>
      <w:r w:rsidR="00EC193E">
        <w:t>,</w:t>
      </w:r>
      <w:r w:rsidR="0084535A">
        <w:t xml:space="preserve"> 2010</w:t>
      </w:r>
      <w:r w:rsidR="00EC193E">
        <w:t>:</w:t>
      </w:r>
      <w:r w:rsidR="0084535A">
        <w:t>435</w:t>
      </w:r>
      <w:r w:rsidR="00507989">
        <w:t>)</w:t>
      </w:r>
      <w:r w:rsidR="00B56573">
        <w:t xml:space="preserve">. </w:t>
      </w:r>
      <w:r w:rsidR="00783EDE">
        <w:t>Usefulness is assessed both from the teacher perspective</w:t>
      </w:r>
      <w:r w:rsidR="00BB6C77">
        <w:t xml:space="preserve">, in terms of facilitated marking and increased fairness of marks, </w:t>
      </w:r>
      <w:r w:rsidR="00783EDE">
        <w:t xml:space="preserve">and </w:t>
      </w:r>
      <w:r w:rsidR="00932A9D">
        <w:t xml:space="preserve">from </w:t>
      </w:r>
      <w:r w:rsidR="00783EDE">
        <w:t>the student perspective</w:t>
      </w:r>
      <w:r w:rsidR="00BB6C77">
        <w:t>, in terms of</w:t>
      </w:r>
      <w:r w:rsidR="00783EDE">
        <w:t xml:space="preserve"> enhanced understanding of the goals and purposes of </w:t>
      </w:r>
      <w:r w:rsidR="00BB6C77">
        <w:t>the course</w:t>
      </w:r>
      <w:r w:rsidR="00783EDE">
        <w:t xml:space="preserve">. </w:t>
      </w:r>
      <w:r w:rsidR="00E556FE">
        <w:t>The</w:t>
      </w:r>
      <w:r w:rsidR="00B56573">
        <w:t xml:space="preserve"> second aim</w:t>
      </w:r>
      <w:r w:rsidR="00E556FE">
        <w:t xml:space="preserve"> of the paper</w:t>
      </w:r>
      <w:r w:rsidR="00B56573">
        <w:t xml:space="preserve"> is to present and evaluate a method </w:t>
      </w:r>
      <w:r w:rsidR="00932A9D">
        <w:t>of using rubrics</w:t>
      </w:r>
      <w:r w:rsidR="00B56573">
        <w:t xml:space="preserve"> </w:t>
      </w:r>
      <w:r w:rsidR="00B56573" w:rsidRPr="00245C10">
        <w:rPr>
          <w:i/>
        </w:rPr>
        <w:t>for</w:t>
      </w:r>
      <w:r w:rsidR="00B56573">
        <w:t xml:space="preserve"> learning rather than </w:t>
      </w:r>
      <w:r w:rsidR="00B56573" w:rsidRPr="00245C10">
        <w:rPr>
          <w:i/>
        </w:rPr>
        <w:t>of</w:t>
      </w:r>
      <w:r w:rsidR="00B56573">
        <w:t xml:space="preserve"> learning, i.e. as a feedback tool between the traditional poles of formative and summative feedback. </w:t>
      </w:r>
    </w:p>
    <w:p w:rsidR="00FD56B0" w:rsidRDefault="00B56573" w:rsidP="00B56573">
      <w:pPr>
        <w:ind w:firstLine="720"/>
      </w:pPr>
      <w:r>
        <w:t xml:space="preserve">The study </w:t>
      </w:r>
      <w:r w:rsidR="00E8315F">
        <w:t>is based on both</w:t>
      </w:r>
      <w:r>
        <w:t xml:space="preserve"> quanti</w:t>
      </w:r>
      <w:r w:rsidR="0025396C">
        <w:t xml:space="preserve">tative and qualitative methods. </w:t>
      </w:r>
      <w:r>
        <w:t>Findings support tentative claims made</w:t>
      </w:r>
      <w:r w:rsidR="0084535A">
        <w:t xml:space="preserve"> in the literature that rubrics</w:t>
      </w:r>
      <w:r w:rsidR="00397BB4">
        <w:t xml:space="preserve"> </w:t>
      </w:r>
      <w:r w:rsidR="00BB6C77">
        <w:t>increase</w:t>
      </w:r>
      <w:r>
        <w:t xml:space="preserve"> student understanding of how to </w:t>
      </w:r>
      <w:r w:rsidR="00932A9D">
        <w:t xml:space="preserve">approach </w:t>
      </w:r>
      <w:r>
        <w:t>academic writing</w:t>
      </w:r>
      <w:r w:rsidR="00932A9D">
        <w:t xml:space="preserve"> and enhance</w:t>
      </w:r>
      <w:r w:rsidR="00CB3224">
        <w:t xml:space="preserve"> student involvement</w:t>
      </w:r>
      <w:r w:rsidR="00BB6C77">
        <w:t xml:space="preserve"> (</w:t>
      </w:r>
      <w:r w:rsidR="0084535A">
        <w:t>Cohen</w:t>
      </w:r>
      <w:r w:rsidR="00BC06F6">
        <w:t xml:space="preserve">, Lotan, Abram, Sarloss &amp; Schultz, </w:t>
      </w:r>
      <w:r w:rsidR="0084535A">
        <w:t xml:space="preserve">2002, </w:t>
      </w:r>
      <w:r w:rsidR="00E1661D">
        <w:t xml:space="preserve">Reddy </w:t>
      </w:r>
      <w:r w:rsidR="00EC193E">
        <w:t>&amp;</w:t>
      </w:r>
      <w:r w:rsidR="00E1661D">
        <w:t xml:space="preserve"> Andrade</w:t>
      </w:r>
      <w:r w:rsidR="00EC193E">
        <w:t>,</w:t>
      </w:r>
      <w:r w:rsidR="00E1661D">
        <w:t xml:space="preserve"> 2010</w:t>
      </w:r>
      <w:r w:rsidR="00BB6C77">
        <w:t>)</w:t>
      </w:r>
      <w:r>
        <w:t xml:space="preserve">. Thus, the study suggests </w:t>
      </w:r>
      <w:r w:rsidR="00E8315F">
        <w:t xml:space="preserve">that </w:t>
      </w:r>
      <w:r>
        <w:t xml:space="preserve">the integration of rubrics in teaching activities </w:t>
      </w:r>
      <w:r w:rsidR="00EE2747">
        <w:t>is a fruitful move towards a more student-cen</w:t>
      </w:r>
      <w:r w:rsidR="00BC06F6">
        <w:t>tered approach to assessing ESP</w:t>
      </w:r>
      <w:r w:rsidR="00EE2747">
        <w:t xml:space="preserve">, a step that will hopefully lead to increased explicit knowledge of what writing is all about.  </w:t>
      </w:r>
    </w:p>
    <w:p w:rsidR="00FD5E59" w:rsidRDefault="00FD5E59" w:rsidP="00FD56B0"/>
    <w:p w:rsidR="00FD56B0" w:rsidRPr="00FD56B0" w:rsidRDefault="00FD56B0" w:rsidP="00FD56B0">
      <w:pPr>
        <w:ind w:left="567" w:hanging="567"/>
        <w:rPr>
          <w:b/>
        </w:rPr>
      </w:pPr>
      <w:r w:rsidRPr="00FD56B0">
        <w:rPr>
          <w:b/>
        </w:rPr>
        <w:t>References</w:t>
      </w:r>
    </w:p>
    <w:p w:rsidR="00FD56B0" w:rsidRDefault="00FD56B0" w:rsidP="00BC06F6">
      <w:pPr>
        <w:tabs>
          <w:tab w:val="left" w:pos="4678"/>
        </w:tabs>
        <w:ind w:left="567" w:hanging="567"/>
      </w:pPr>
      <w:r>
        <w:t xml:space="preserve">Cohen, E. G., Lotan, R. A., Abram, P.L., Sarloss, B.A. </w:t>
      </w:r>
      <w:r w:rsidR="00BC06F6">
        <w:t>&amp;</w:t>
      </w:r>
      <w:r>
        <w:t xml:space="preserve"> Schultz, S.E. (2002). Can groups learn? In </w:t>
      </w:r>
      <w:r w:rsidRPr="00FD56B0">
        <w:rPr>
          <w:i/>
        </w:rPr>
        <w:t>Teachers College Record</w:t>
      </w:r>
      <w:r>
        <w:t xml:space="preserve"> Vol. 104:6, pp</w:t>
      </w:r>
      <w:r w:rsidR="00BC06F6">
        <w:t xml:space="preserve">. </w:t>
      </w:r>
      <w:r>
        <w:t>1045-68.</w:t>
      </w:r>
    </w:p>
    <w:p w:rsidR="00E1661D" w:rsidRDefault="0084535A" w:rsidP="00FD56B0">
      <w:pPr>
        <w:ind w:left="567" w:hanging="567"/>
      </w:pPr>
      <w:r>
        <w:t>Hyland, A</w:t>
      </w:r>
      <w:r w:rsidR="00EC193E">
        <w:t>.</w:t>
      </w:r>
      <w:r>
        <w:t>, Kennedy, D.</w:t>
      </w:r>
      <w:r w:rsidR="00FD5E59">
        <w:t xml:space="preserve">, </w:t>
      </w:r>
      <w:r w:rsidR="00BC06F6">
        <w:t xml:space="preserve">&amp; </w:t>
      </w:r>
      <w:r w:rsidR="00FD5E59">
        <w:t>Ryan</w:t>
      </w:r>
      <w:r w:rsidR="00BC06F6">
        <w:t>, N.</w:t>
      </w:r>
      <w:r w:rsidR="00FD5E59">
        <w:t xml:space="preserve"> </w:t>
      </w:r>
      <w:r w:rsidR="00EC193E">
        <w:t>(</w:t>
      </w:r>
      <w:r w:rsidR="00FD5E59">
        <w:t>2006</w:t>
      </w:r>
      <w:r w:rsidR="00EC193E">
        <w:t>)</w:t>
      </w:r>
      <w:r w:rsidR="00FD5E59">
        <w:t xml:space="preserve">. Writing and using learning outcomes: a practical guide. In </w:t>
      </w:r>
      <w:r w:rsidR="00EC193E">
        <w:t xml:space="preserve">E. Froment, J. Kohler, L. Purser, L. Wilson, H. Davies &amp; G. Schurings (Eds.), </w:t>
      </w:r>
      <w:r w:rsidR="00FD5E59" w:rsidRPr="00EC193E">
        <w:rPr>
          <w:i/>
        </w:rPr>
        <w:t>EUA Bologna Handbook. Making Bologna Work.</w:t>
      </w:r>
      <w:r w:rsidR="00FD5E59">
        <w:t xml:space="preserve"> Berlin: Dr Josef Raabe Verlag.</w:t>
      </w:r>
    </w:p>
    <w:p w:rsidR="00FD56B0" w:rsidRDefault="00E1661D" w:rsidP="00FD56B0">
      <w:pPr>
        <w:ind w:left="567" w:hanging="567"/>
      </w:pPr>
      <w:r>
        <w:t xml:space="preserve">Nicol, D. </w:t>
      </w:r>
      <w:r w:rsidR="00FD56B0">
        <w:t xml:space="preserve">(2010). </w:t>
      </w:r>
      <w:r>
        <w:t xml:space="preserve">From monologue to dialogue: improving written feedback processes in mass higher education. In </w:t>
      </w:r>
      <w:r w:rsidRPr="00FD56B0">
        <w:rPr>
          <w:i/>
        </w:rPr>
        <w:t>Assessment &amp; Evaluation in Higher Education</w:t>
      </w:r>
      <w:r>
        <w:t>, Vol. 35</w:t>
      </w:r>
      <w:r w:rsidR="00FD56B0">
        <w:t>:</w:t>
      </w:r>
      <w:r>
        <w:t xml:space="preserve"> 5</w:t>
      </w:r>
      <w:r w:rsidR="00FD56B0">
        <w:t>, pp.</w:t>
      </w:r>
      <w:r w:rsidR="00BC06F6">
        <w:t xml:space="preserve"> </w:t>
      </w:r>
      <w:r>
        <w:t xml:space="preserve">501-517. </w:t>
      </w:r>
    </w:p>
    <w:p w:rsidR="00E1661D" w:rsidRDefault="00E1661D" w:rsidP="00FD56B0">
      <w:pPr>
        <w:ind w:left="567" w:hanging="567"/>
      </w:pPr>
      <w:r>
        <w:t xml:space="preserve">Reddy, Y. Malini </w:t>
      </w:r>
      <w:r w:rsidR="00FD56B0">
        <w:t xml:space="preserve">&amp; </w:t>
      </w:r>
      <w:r>
        <w:t xml:space="preserve">Andrade, H. </w:t>
      </w:r>
      <w:r w:rsidR="00FD56B0">
        <w:t>(</w:t>
      </w:r>
      <w:r>
        <w:t>2010</w:t>
      </w:r>
      <w:r w:rsidR="00FD56B0">
        <w:t>)</w:t>
      </w:r>
      <w:r>
        <w:t>. A review of</w:t>
      </w:r>
      <w:r w:rsidR="00FD56B0">
        <w:t xml:space="preserve"> rubric use in higher education. In</w:t>
      </w:r>
      <w:r>
        <w:t xml:space="preserve"> </w:t>
      </w:r>
      <w:r w:rsidR="00FD56B0" w:rsidRPr="00FD56B0">
        <w:rPr>
          <w:i/>
        </w:rPr>
        <w:t xml:space="preserve">Assessment </w:t>
      </w:r>
      <w:r w:rsidR="00FD56B0">
        <w:rPr>
          <w:i/>
        </w:rPr>
        <w:t>&amp;</w:t>
      </w:r>
      <w:r w:rsidR="00FD56B0" w:rsidRPr="00FD56B0">
        <w:rPr>
          <w:i/>
        </w:rPr>
        <w:t xml:space="preserve"> Evaluation in Higher Education,</w:t>
      </w:r>
      <w:r w:rsidR="00FD56B0">
        <w:t xml:space="preserve"> </w:t>
      </w:r>
      <w:r>
        <w:t>35:4,</w:t>
      </w:r>
      <w:r w:rsidR="00FD56B0">
        <w:t xml:space="preserve"> pp.</w:t>
      </w:r>
      <w:r>
        <w:t xml:space="preserve"> 435-448. </w:t>
      </w:r>
    </w:p>
    <w:p w:rsidR="00FD56B0" w:rsidRDefault="00FD56B0" w:rsidP="00FD56B0">
      <w:pPr>
        <w:ind w:left="567" w:hanging="567"/>
      </w:pPr>
      <w:r>
        <w:t xml:space="preserve">Rust, C., Price, M. &amp; O’Donovan, B. (2003). Improving students’ learning by developing their understanding of assessment criteria and processes. In </w:t>
      </w:r>
      <w:r w:rsidRPr="00EC193E">
        <w:rPr>
          <w:i/>
        </w:rPr>
        <w:t>Assessment</w:t>
      </w:r>
      <w:r w:rsidR="00BC06F6">
        <w:rPr>
          <w:i/>
        </w:rPr>
        <w:t xml:space="preserve"> &amp; </w:t>
      </w:r>
      <w:r w:rsidRPr="00EC193E">
        <w:rPr>
          <w:i/>
        </w:rPr>
        <w:t xml:space="preserve"> Evaluation in Higher Education</w:t>
      </w:r>
      <w:r>
        <w:t xml:space="preserve">, Vol. 28:2, pp. 147-164. </w:t>
      </w:r>
    </w:p>
    <w:p w:rsidR="00E1661D" w:rsidRDefault="00E1661D" w:rsidP="00E1661D"/>
    <w:sectPr w:rsidR="00E1661D" w:rsidSect="00FD56B0">
      <w:headerReference w:type="even" r:id="rId4"/>
      <w:head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362"/>
      <w:gridCol w:w="8168"/>
    </w:tblGrid>
    <w:tr w:rsidR="00932A9D" w:rsidRPr="0025191F">
      <w:tc>
        <w:tcPr>
          <w:tcW w:w="212" w:type="pct"/>
          <w:tcBorders>
            <w:bottom w:val="nil"/>
            <w:right w:val="single" w:sz="4" w:space="0" w:color="BFBFBF"/>
          </w:tcBorders>
        </w:tcPr>
        <w:p w:rsidR="00932A9D" w:rsidRPr="007B7F10" w:rsidRDefault="00E73E47" w:rsidP="00FD56B0">
          <w:pPr>
            <w:rPr>
              <w:rFonts w:ascii="Calibri" w:eastAsia="Cambria" w:hAnsi="Calibri"/>
              <w:b/>
              <w:color w:val="595959" w:themeColor="text1" w:themeTint="A6"/>
            </w:rPr>
          </w:pPr>
          <w:fldSimple w:instr=" PAGE   \* MERGEFORMAT ">
            <w:r w:rsidR="00932A9D">
              <w:rPr>
                <w:rFonts w:ascii="Calibri" w:hAnsi="Calibri"/>
                <w:b/>
                <w:noProof/>
                <w:color w:val="595959" w:themeColor="text1" w:themeTint="A6"/>
              </w:rPr>
              <w:t>2</w:t>
            </w:r>
          </w:fldSimple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:rsidR="00932A9D" w:rsidRPr="0025191F" w:rsidRDefault="00E73E47" w:rsidP="00FD56B0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71999504"/>
              <w:placeholder>
                <w:docPart w:val="7F6F9BA6A03FCC4F889A5A2DCBB9EA7C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932A9D" w:rsidRPr="0025191F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Type the document title</w:t>
              </w:r>
            </w:sdtContent>
          </w:sdt>
        </w:p>
      </w:tc>
    </w:tr>
  </w:tbl>
  <w:p w:rsidR="00932A9D" w:rsidRDefault="00932A9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9D" w:rsidRDefault="00932A9D">
    <w:pPr>
      <w:pStyle w:val="Head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Katherine Evans and Lene Nordrum</w:t>
    </w:r>
    <w:r>
      <w:rPr>
        <w:rFonts w:ascii="Calibri" w:hAnsi="Calibri"/>
        <w:sz w:val="22"/>
        <w:szCs w:val="22"/>
      </w:rPr>
      <w:tab/>
      <w:t xml:space="preserve">                                              Abstract for Paper Presentation</w:t>
    </w:r>
  </w:p>
  <w:p w:rsidR="00932A9D" w:rsidRDefault="00932A9D">
    <w:pPr>
      <w:pStyle w:val="Head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Chalmers University of Technology</w:t>
    </w:r>
    <w:r>
      <w:rPr>
        <w:rFonts w:ascii="Calibri" w:hAnsi="Calibri"/>
        <w:sz w:val="22"/>
        <w:szCs w:val="22"/>
      </w:rPr>
      <w:tab/>
      <w:t xml:space="preserve">                                               LSPIV, Mälardalen University</w:t>
    </w:r>
  </w:p>
  <w:p w:rsidR="00932A9D" w:rsidRDefault="00932A9D" w:rsidP="00932A9D">
    <w:pPr>
      <w:pStyle w:val="Head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Department of Applied IT</w:t>
    </w:r>
    <w:r>
      <w:rPr>
        <w:rFonts w:ascii="Calibri" w:hAnsi="Calibri"/>
        <w:sz w:val="22"/>
        <w:szCs w:val="22"/>
      </w:rPr>
      <w:tab/>
      <w:t xml:space="preserve">                                                                January 10 –</w:t>
    </w:r>
    <w:r w:rsidR="00BC06F6">
      <w:rPr>
        <w:rFonts w:ascii="Calibri" w:hAnsi="Calibri"/>
        <w:sz w:val="22"/>
        <w:szCs w:val="22"/>
      </w:rPr>
      <w:t xml:space="preserve"> 11, </w:t>
    </w:r>
    <w:r>
      <w:rPr>
        <w:rFonts w:ascii="Calibri" w:hAnsi="Calibri"/>
        <w:sz w:val="22"/>
        <w:szCs w:val="22"/>
      </w:rPr>
      <w:t>2011</w:t>
    </w:r>
  </w:p>
  <w:p w:rsidR="00932A9D" w:rsidRPr="00932A9D" w:rsidRDefault="00932A9D">
    <w:pPr>
      <w:pStyle w:val="Head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Centre for Language and Communication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6573"/>
    <w:rsid w:val="00247AF2"/>
    <w:rsid w:val="0025396C"/>
    <w:rsid w:val="00397BB4"/>
    <w:rsid w:val="00507989"/>
    <w:rsid w:val="00592619"/>
    <w:rsid w:val="00783EDE"/>
    <w:rsid w:val="008369A3"/>
    <w:rsid w:val="0084535A"/>
    <w:rsid w:val="00932A9D"/>
    <w:rsid w:val="00986A17"/>
    <w:rsid w:val="009F5696"/>
    <w:rsid w:val="00B56573"/>
    <w:rsid w:val="00BB6C77"/>
    <w:rsid w:val="00BC06F6"/>
    <w:rsid w:val="00CB3224"/>
    <w:rsid w:val="00D479E6"/>
    <w:rsid w:val="00E1661D"/>
    <w:rsid w:val="00E556FE"/>
    <w:rsid w:val="00E73E47"/>
    <w:rsid w:val="00E8315F"/>
    <w:rsid w:val="00EC193E"/>
    <w:rsid w:val="00EE2747"/>
    <w:rsid w:val="00F329DF"/>
    <w:rsid w:val="00FD56B0"/>
    <w:rsid w:val="00FD5E5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6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6B0"/>
  </w:style>
  <w:style w:type="paragraph" w:styleId="Footer">
    <w:name w:val="footer"/>
    <w:basedOn w:val="Normal"/>
    <w:link w:val="FooterChar"/>
    <w:uiPriority w:val="99"/>
    <w:semiHidden/>
    <w:unhideWhenUsed/>
    <w:rsid w:val="00FD56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6B0"/>
  </w:style>
  <w:style w:type="table" w:styleId="TableGrid">
    <w:name w:val="Table Grid"/>
    <w:basedOn w:val="TableNormal"/>
    <w:uiPriority w:val="1"/>
    <w:rsid w:val="00FD56B0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6F9BA6A03FCC4F889A5A2DCBB9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FDF32-4C28-E74F-93BB-9BE68B94FFBD}"/>
      </w:docPartPr>
      <w:docPartBody>
        <w:p w:rsidR="00593EB5" w:rsidRDefault="00593EB5" w:rsidP="00593EB5">
          <w:pPr>
            <w:pStyle w:val="7F6F9BA6A03FCC4F889A5A2DCBB9EA7C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593EB5"/>
    <w:rsid w:val="00593EB5"/>
    <w:rsid w:val="006549C2"/>
    <w:rsid w:val="00783D6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26D8B789E9BE0D4C978D055C61AB5C23">
    <w:name w:val="26D8B789E9BE0D4C978D055C61AB5C23"/>
    <w:rsid w:val="00593EB5"/>
  </w:style>
  <w:style w:type="paragraph" w:customStyle="1" w:styleId="AE559F718000294FA8AB21CE304AE730">
    <w:name w:val="AE559F718000294FA8AB21CE304AE730"/>
    <w:rsid w:val="00593EB5"/>
  </w:style>
  <w:style w:type="paragraph" w:customStyle="1" w:styleId="E9BC60CA2FED53429039689184B43A1C">
    <w:name w:val="E9BC60CA2FED53429039689184B43A1C"/>
    <w:rsid w:val="00593EB5"/>
  </w:style>
  <w:style w:type="paragraph" w:customStyle="1" w:styleId="370113F6AC51B24F9B16C714BEFC846B">
    <w:name w:val="370113F6AC51B24F9B16C714BEFC846B"/>
    <w:rsid w:val="00593EB5"/>
  </w:style>
  <w:style w:type="paragraph" w:customStyle="1" w:styleId="92521D8CC9786044AE0E613182C132F7">
    <w:name w:val="92521D8CC9786044AE0E613182C132F7"/>
    <w:rsid w:val="00593EB5"/>
  </w:style>
  <w:style w:type="paragraph" w:customStyle="1" w:styleId="7F6F9BA6A03FCC4F889A5A2DCBB9EA7C">
    <w:name w:val="7F6F9BA6A03FCC4F889A5A2DCBB9EA7C"/>
    <w:rsid w:val="00593EB5"/>
  </w:style>
  <w:style w:type="paragraph" w:customStyle="1" w:styleId="715B7FCAA4310B41B38073CD3FC56597">
    <w:name w:val="715B7FCAA4310B41B38073CD3FC56597"/>
    <w:rsid w:val="00593EB5"/>
  </w:style>
  <w:style w:type="paragraph" w:customStyle="1" w:styleId="16701802BF2E7D468B28BF7C3AA43872">
    <w:name w:val="16701802BF2E7D468B28BF7C3AA43872"/>
    <w:rsid w:val="00593EB5"/>
  </w:style>
  <w:style w:type="paragraph" w:customStyle="1" w:styleId="7D7084226779CD46A1A72DB808EEFE55">
    <w:name w:val="7D7084226779CD46A1A72DB808EEFE55"/>
    <w:rsid w:val="00593E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Macintosh Word</Application>
  <DocSecurity>0</DocSecurity>
  <Lines>20</Lines>
  <Paragraphs>4</Paragraphs>
  <ScaleCrop>false</ScaleCrop>
  <Company>Chalmers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Nordrum</dc:creator>
  <cp:keywords/>
  <cp:lastModifiedBy>Lene Nordrum</cp:lastModifiedBy>
  <cp:revision>2</cp:revision>
  <cp:lastPrinted>2010-12-22T10:05:00Z</cp:lastPrinted>
  <dcterms:created xsi:type="dcterms:W3CDTF">2013-01-31T14:50:00Z</dcterms:created>
  <dcterms:modified xsi:type="dcterms:W3CDTF">2013-01-31T14:50:00Z</dcterms:modified>
</cp:coreProperties>
</file>